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27.jpeg" ContentType="image/jpeg"/>
  <Override PartName="/word/media/image126.jpeg" ContentType="image/jpeg"/>
  <Override PartName="/word/media/image125.jpeg" ContentType="image/jpeg"/>
  <Override PartName="/word/media/image124.jpeg" ContentType="image/jpeg"/>
  <Override PartName="/word/media/image123.jpeg" ContentType="image/jpeg"/>
  <Override PartName="/word/media/image122.jpeg" ContentType="image/jpeg"/>
  <Override PartName="/word/media/image121.jpeg" ContentType="image/jpeg"/>
  <Override PartName="/word/media/image115.jpeg" ContentType="image/jpeg"/>
  <Override PartName="/word/media/image114.jpeg" ContentType="image/jpeg"/>
  <Override PartName="/word/media/image113.jpeg" ContentType="image/jpeg"/>
  <Override PartName="/word/media/image99.jpeg" ContentType="image/jpeg"/>
  <Override PartName="/word/media/image96.jpeg" ContentType="image/jpeg"/>
  <Override PartName="/word/media/image95.jpeg" ContentType="image/jpeg"/>
  <Override PartName="/word/media/image94.jpeg" ContentType="image/jpeg"/>
  <Override PartName="/word/media/image93.jpeg" ContentType="image/jpeg"/>
  <Override PartName="/word/media/image112.jpeg" ContentType="image/jpeg"/>
  <Override PartName="/word/media/image92.jpeg" ContentType="image/jpeg"/>
  <Override PartName="/word/media/image19.jpeg" ContentType="image/jpeg"/>
  <Override PartName="/word/media/image111.jpeg" ContentType="image/jpeg"/>
  <Override PartName="/word/media/image91.jpeg" ContentType="image/jpeg"/>
  <Override PartName="/word/media/image18.jpeg" ContentType="image/jpeg"/>
  <Override PartName="/word/media/image110.jpeg" ContentType="image/jpeg"/>
  <Override PartName="/word/media/image90.jpeg" ContentType="image/jpeg"/>
  <Override PartName="/word/media/image17.jpeg" ContentType="image/jpeg"/>
  <Override PartName="/word/media/image76.jpeg" ContentType="image/jpeg"/>
  <Override PartName="/word/media/image75.jpeg" ContentType="image/jpeg"/>
  <Override PartName="/word/media/image74.jpeg" ContentType="image/jpeg"/>
  <Override PartName="/word/media/image73.jpeg" ContentType="image/jpeg"/>
  <Override PartName="/word/media/image72.jpeg" ContentType="image/jpeg"/>
  <Override PartName="/word/media/image71.jpeg" ContentType="image/jpeg"/>
  <Override PartName="/word/media/image98.jpeg" ContentType="image/jpeg"/>
  <Override PartName="/word/media/image39.jpeg" ContentType="image/jpeg"/>
  <Override PartName="/word/media/image13.jpeg" ContentType="image/jpeg"/>
  <Override PartName="/word/media/image40.jpeg" ContentType="image/jpeg"/>
  <Override PartName="/word/media/image87.jpeg" ContentType="image/jpeg"/>
  <Override PartName="/word/media/image11.jpeg" ContentType="image/jpeg"/>
  <Override PartName="/word/media/image107.jpeg" ContentType="image/jpeg"/>
  <Override PartName="/word/media/image28.jpeg" ContentType="image/jpeg"/>
  <Override PartName="/word/media/image30.jpeg" ContentType="image/jpeg"/>
  <Override PartName="/word/media/image31.jpeg" ContentType="image/jpeg"/>
  <Override PartName="/word/media/image32.jpeg" ContentType="image/jpeg"/>
  <Override PartName="/word/media/image33.jpeg" ContentType="image/jpeg"/>
  <Override PartName="/word/media/image34.jpeg" ContentType="image/jpeg"/>
  <Override PartName="/word/media/image48.jpeg" ContentType="image/jpeg"/>
  <Override PartName="/word/media/image49.jpeg" ContentType="image/jpeg"/>
  <Override PartName="/word/media/image59.jpeg" ContentType="image/jpeg"/>
  <Override PartName="/word/media/image138.jpeg" ContentType="image/jpeg"/>
  <Override PartName="/word/media/image42.jpeg" ContentType="image/jpeg"/>
  <Override PartName="/word/media/image56.jpeg" ContentType="image/jpeg"/>
  <Override PartName="/word/media/image135.jpeg" ContentType="image/jpeg"/>
  <Override PartName="/word/media/image147.jpeg" ContentType="image/jpeg"/>
  <Override PartName="/word/media/image130.jpeg" ContentType="image/jpeg"/>
  <Override PartName="/word/media/image51.jpeg" ContentType="image/jpeg"/>
  <Override PartName="/word/media/image153.jpeg" ContentType="image/jpeg"/>
  <Override PartName="/word/media/image57.jpeg" ContentType="image/jpeg"/>
  <Override PartName="/word/media/image136.jpeg" ContentType="image/jpeg"/>
  <Override PartName="/word/media/image148.jpeg" ContentType="image/jpeg"/>
  <Override PartName="/word/media/image131.jpeg" ContentType="image/jpeg"/>
  <Override PartName="/word/media/image52.jpeg" ContentType="image/jpeg"/>
  <Override PartName="/word/media/image58.jpeg" ContentType="image/jpeg"/>
  <Override PartName="/word/media/image137.jpeg" ContentType="image/jpeg"/>
  <Override PartName="/word/media/image149.jpeg" ContentType="image/jpeg"/>
  <Override PartName="/word/media/image53.jpeg" ContentType="image/jpeg"/>
  <Override PartName="/word/media/image132.jpeg" ContentType="image/jpeg"/>
  <Override PartName="/word/media/image150.jpeg" ContentType="image/jpeg"/>
  <Override PartName="/word/media/image144.jpeg" ContentType="image/jpeg"/>
  <Override PartName="/word/media/image151.jpeg" ContentType="image/jpeg"/>
  <Override PartName="/word/media/image54.jpeg" ContentType="image/jpeg"/>
  <Override PartName="/word/media/image133.jpeg" ContentType="image/jpeg"/>
  <Override PartName="/word/media/image145.jpeg" ContentType="image/jpeg"/>
  <Override PartName="/word/media/image152.jpeg" ContentType="image/jpeg"/>
  <Override PartName="/word/media/image55.jpeg" ContentType="image/jpeg"/>
  <Override PartName="/word/media/image134.jpeg" ContentType="image/jpeg"/>
  <Override PartName="/word/media/image146.jpeg" ContentType="image/jpeg"/>
  <Override PartName="/word/media/image8.jpeg" ContentType="image/jpeg"/>
  <Override PartName="/word/media/image156.jpeg" ContentType="image/jpeg"/>
  <Override PartName="/word/media/image60.jpeg" ContentType="image/jpeg"/>
  <Override PartName="/word/media/image77.jpeg" ContentType="image/jpeg"/>
  <Override PartName="/word/media/image9.jpeg" ContentType="image/jpeg"/>
  <Override PartName="/word/media/image157.jpeg" ContentType="image/jpeg"/>
  <Override PartName="/word/media/image61.jpeg" ContentType="image/jpeg"/>
  <Override PartName="/word/media/image78.jpeg" ContentType="image/jpeg"/>
  <Override PartName="/word/media/image143.jpeg" ContentType="image/jpeg"/>
  <Override PartName="/word/media/image142.jpeg" ContentType="image/jpeg"/>
  <Override PartName="/word/media/image141.jpeg" ContentType="image/jpeg"/>
  <Override PartName="/word/media/image140.jpeg" ContentType="image/jpeg"/>
  <Override PartName="/word/media/image47.jpeg" ContentType="image/jpeg"/>
  <Override PartName="/word/media/image46.jpeg" ContentType="image/jpeg"/>
  <Override PartName="/word/media/image45.jpeg" ContentType="image/jpeg"/>
  <Override PartName="/word/media/image44.jpeg" ContentType="image/jpeg"/>
  <Override PartName="/word/media/image155.jpeg" ContentType="image/jpeg"/>
  <Override PartName="/word/media/image129.jpeg" ContentType="image/jpeg"/>
  <Override PartName="/word/media/image43.jpeg" ContentType="image/jpeg"/>
  <Override PartName="/word/media/image50.jpeg" ContentType="image/jpeg"/>
  <Override PartName="/word/media/image139.jpeg" ContentType="image/jpeg"/>
  <Override PartName="/word/media/image154.jpeg" ContentType="image/jpeg"/>
  <Override PartName="/word/media/image128.jpeg" ContentType="image/jpeg"/>
  <Override PartName="/word/media/image10.jpeg" ContentType="image/jpeg"/>
  <Override PartName="/word/media/image27.jpeg" ContentType="image/jpeg"/>
  <Override PartName="/word/media/image86.jpeg" ContentType="image/jpeg"/>
  <Override PartName="/word/media/image106.jpeg" ContentType="image/jpeg"/>
  <Override PartName="/word/media/image29.jpeg" ContentType="image/jpeg"/>
  <Override PartName="/word/media/image12.jpeg" ContentType="image/jpeg"/>
  <Override PartName="/word/media/image88.jpeg" ContentType="image/jpeg"/>
  <Override PartName="/word/media/image108.jpeg" ContentType="image/jpeg"/>
  <Override PartName="/word/media/image38.jpeg" ContentType="image/jpeg"/>
  <Override PartName="/word/media/image97.jpeg" ContentType="image/jpeg"/>
  <Override PartName="/word/media/image7.jpeg" ContentType="image/jpeg"/>
  <Override PartName="/word/media/image6.jpeg" ContentType="image/jpeg"/>
  <Override PartName="/word/media/image5.jpeg" ContentType="image/jpeg"/>
  <Override PartName="/word/media/image26.jpeg" ContentType="image/jpeg"/>
  <Override PartName="/word/media/image85.jpeg" ContentType="image/jpeg"/>
  <Override PartName="/word/media/image105.jpeg" ContentType="image/jpeg"/>
  <Override PartName="/word/media/image4.jpeg" ContentType="image/jpeg"/>
  <Override PartName="/word/media/image25.jpeg" ContentType="image/jpeg"/>
  <Override PartName="/word/media/image84.jpeg" ContentType="image/jpeg"/>
  <Override PartName="/word/media/image104.jpeg" ContentType="image/jpeg"/>
  <Override PartName="/word/media/image37.jpeg" ContentType="image/jpeg"/>
  <Override PartName="/word/media/image3.jpeg" ContentType="image/jpeg"/>
  <Override PartName="/word/media/image24.jpeg" ContentType="image/jpeg"/>
  <Override PartName="/word/media/image83.jpeg" ContentType="image/jpeg"/>
  <Override PartName="/word/media/image103.jpeg" ContentType="image/jpeg"/>
  <Override PartName="/word/media/image36.jpeg" ContentType="image/jpeg"/>
  <Override PartName="/word/media/image2.jpeg" ContentType="image/jpeg"/>
  <Override PartName="/word/media/image23.jpeg" ContentType="image/jpeg"/>
  <Override PartName="/word/media/image82.jpeg" ContentType="image/jpeg"/>
  <Override PartName="/word/media/image102.jpeg" ContentType="image/jpeg"/>
  <Override PartName="/word/media/image119.jpeg" ContentType="image/jpeg"/>
  <Override PartName="/word/media/image35.jpeg" ContentType="image/jpeg"/>
  <Override PartName="/word/media/image1.jpeg" ContentType="image/jpeg"/>
  <Override PartName="/word/media/image89.jpeg" ContentType="image/jpeg"/>
  <Override PartName="/word/media/image22.jpeg" ContentType="image/jpeg"/>
  <Override PartName="/word/media/image81.jpeg" ContentType="image/jpeg"/>
  <Override PartName="/word/media/image101.jpeg" ContentType="image/jpeg"/>
  <Override PartName="/word/media/image118.jpeg" ContentType="image/jpeg"/>
  <Override PartName="/word/media/image41.jpeg" ContentType="image/jpeg"/>
  <Override PartName="/word/media/image120.jpeg" ContentType="image/jpeg"/>
  <Override PartName="/word/media/image14.jpeg" ContentType="image/jpeg"/>
  <Override PartName="/word/media/image15.jpeg" ContentType="image/jpeg"/>
  <Override PartName="/word/media/image16.jpeg" ContentType="image/jpeg"/>
  <Override PartName="/word/media/image109.jpeg" ContentType="image/jpeg"/>
  <Override PartName="/word/media/image20.jpeg" ContentType="image/jpeg"/>
  <Override PartName="/word/media/image116.jpeg" ContentType="image/jpeg"/>
  <Override PartName="/word/media/image21.jpeg" ContentType="image/jpeg"/>
  <Override PartName="/word/media/image80.jpeg" ContentType="image/jpeg"/>
  <Override PartName="/word/media/image100.jpeg" ContentType="image/jpeg"/>
  <Override PartName="/word/media/image117.jpeg" ContentType="image/jpeg"/>
  <Override PartName="/word/media/image62.jpeg" ContentType="image/jpeg"/>
  <Override PartName="/word/media/image79.jpeg" ContentType="image/jpeg"/>
  <Override PartName="/word/media/image63.jpeg" ContentType="image/jpeg"/>
  <Override PartName="/word/media/image64.jpeg" ContentType="image/jpeg"/>
  <Override PartName="/word/media/image65.jpeg" ContentType="image/jpeg"/>
  <Override PartName="/word/media/image66.jpeg" ContentType="image/jpeg"/>
  <Override PartName="/word/media/image67.jpeg" ContentType="image/jpeg"/>
  <Override PartName="/word/media/image68.jpeg" ContentType="image/jpeg"/>
  <Override PartName="/word/media/image69.jpeg" ContentType="image/jpeg"/>
  <Override PartName="/word/media/image70.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00" w:after="200"/>
        <w:jc w:val="left"/>
        <w:rPr/>
      </w:pPr>
      <w:hyperlink w:anchor="toc">
        <w:bookmarkStart w:id="0" w:name="rtx014050-def14a.htm"/>
        <w:bookmarkStart w:id="1" w:name="ksrtx014050def14a"/>
        <w:bookmarkEnd w:id="0"/>
        <w:bookmarkEnd w:id="1"/>
        <w:r>
          <w:rPr>
            <w:rStyle w:val="InternetLink"/>
            <w:rFonts w:ascii="Arial;Helvetica;Sans-Serif" w:hAnsi="Arial;Helvetica;Sans-Serif"/>
            <w:b/>
            <w:i w:val="false"/>
            <w:caps w:val="false"/>
            <w:smallCaps w:val="false"/>
            <w:sz w:val="16"/>
          </w:rPr>
          <w:t>Table of Contents</w:t>
        </w:r>
      </w:hyperlink>
    </w:p>
    <w:p>
      <w:pPr>
        <w:pStyle w:val="TextBody"/>
        <w:bidi w:val="0"/>
        <w:spacing w:before="240" w:after="0"/>
        <w:jc w:val="center"/>
        <w:rPr>
          <w:rFonts w:ascii="Arial" w:hAnsi="Arial"/>
          <w:sz w:val="20"/>
        </w:rPr>
      </w:pPr>
      <w:r>
        <w:rPr>
          <w:rFonts w:ascii="Arial" w:hAnsi="Arial"/>
          <w:sz w:val="20"/>
        </w:rPr>
        <w:t>UNITED STATES</w:t>
        <w:br/>
        <w:t>SECURITIES AND EXCHANGE COMMISSION</w:t>
        <w:br/>
        <w:t xml:space="preserve">Washington, D.C. 20549 </w:t>
      </w:r>
    </w:p>
    <w:p>
      <w:pPr>
        <w:pStyle w:val="TextBody"/>
        <w:bidi w:val="0"/>
        <w:spacing w:before="240" w:after="0"/>
        <w:jc w:val="center"/>
        <w:rPr>
          <w:rFonts w:ascii="Arial" w:hAnsi="Arial"/>
          <w:sz w:val="20"/>
        </w:rPr>
      </w:pPr>
      <w:bookmarkStart w:id="2" w:name="xdx_90F_edei--DocumentType_dxL_c20250101"/>
      <w:bookmarkEnd w:id="2"/>
      <w:r>
        <w:rPr>
          <w:rFonts w:ascii="Arial" w:hAnsi="Arial"/>
          <w:sz w:val="20"/>
        </w:rPr>
        <w:t xml:space="preserve">SCHEDULE 14A </w:t>
      </w:r>
    </w:p>
    <w:p>
      <w:pPr>
        <w:pStyle w:val="TextBody"/>
        <w:bidi w:val="0"/>
        <w:spacing w:before="240" w:after="240"/>
        <w:jc w:val="center"/>
        <w:rPr>
          <w:rFonts w:ascii="Arial" w:hAnsi="Arial"/>
          <w:sz w:val="20"/>
        </w:rPr>
      </w:pPr>
      <w:r>
        <w:rPr>
          <w:rFonts w:ascii="Arial" w:hAnsi="Arial"/>
          <w:sz w:val="20"/>
        </w:rPr>
        <w:t xml:space="preserve">Proxy Statement Pursuant to Section 14(a) of the </w:t>
        <w:br/>
        <w:t xml:space="preserve">Securities Exchange Act of 1934 (Amendment No. ) </w:t>
      </w:r>
    </w:p>
    <w:tbl>
      <w:tblPr>
        <w:tblW w:w="6320" w:type="dxa"/>
        <w:jc w:val="left"/>
        <w:tblInd w:w="0" w:type="dxa"/>
        <w:tblLayout w:type="fixed"/>
        <w:tblCellMar>
          <w:top w:w="0" w:type="dxa"/>
          <w:left w:w="0" w:type="dxa"/>
          <w:bottom w:w="0" w:type="dxa"/>
          <w:right w:w="0" w:type="dxa"/>
        </w:tblCellMar>
      </w:tblPr>
      <w:tblGrid>
        <w:gridCol w:w="230"/>
        <w:gridCol w:w="1985"/>
        <w:gridCol w:w="230"/>
        <w:gridCol w:w="3575"/>
        <w:gridCol w:w="300"/>
      </w:tblGrid>
      <w:tr>
        <w:trPr/>
        <w:tc>
          <w:tcPr>
            <w:tcW w:w="230" w:type="dxa"/>
            <w:tcBorders/>
            <w:vAlign w:val="center"/>
          </w:tcPr>
          <w:p>
            <w:pPr>
              <w:pStyle w:val="TableContents"/>
              <w:bidi w:val="0"/>
              <w:spacing w:before="0" w:after="283"/>
              <w:jc w:val="left"/>
              <w:rPr/>
            </w:pPr>
            <w:r>
              <w:rPr/>
              <w:t>☑</w:t>
            </w:r>
          </w:p>
        </w:tc>
        <w:tc>
          <w:tcPr>
            <w:tcW w:w="1985" w:type="dxa"/>
            <w:tcBorders/>
            <w:vAlign w:val="center"/>
          </w:tcPr>
          <w:p>
            <w:pPr>
              <w:pStyle w:val="TableContents"/>
              <w:bidi w:val="0"/>
              <w:spacing w:before="0" w:after="283"/>
              <w:jc w:val="left"/>
              <w:rPr>
                <w:rFonts w:ascii="Arial" w:hAnsi="Arial"/>
                <w:sz w:val="20"/>
              </w:rPr>
            </w:pPr>
            <w:r>
              <w:rPr>
                <w:rFonts w:ascii="Arial" w:hAnsi="Arial"/>
                <w:sz w:val="20"/>
              </w:rPr>
              <w:t>Filed by the Registrant</w:t>
            </w:r>
          </w:p>
        </w:tc>
        <w:tc>
          <w:tcPr>
            <w:tcW w:w="230" w:type="dxa"/>
            <w:tcBorders/>
            <w:vAlign w:val="center"/>
          </w:tcPr>
          <w:p>
            <w:pPr>
              <w:pStyle w:val="TableContents"/>
              <w:bidi w:val="0"/>
              <w:spacing w:before="0" w:after="283"/>
              <w:jc w:val="left"/>
              <w:rPr/>
            </w:pPr>
            <w:r>
              <w:rPr/>
              <w:t>☐</w:t>
            </w:r>
          </w:p>
        </w:tc>
        <w:tc>
          <w:tcPr>
            <w:tcW w:w="3575" w:type="dxa"/>
            <w:tcBorders/>
            <w:vAlign w:val="center"/>
          </w:tcPr>
          <w:p>
            <w:pPr>
              <w:pStyle w:val="TableContents"/>
              <w:bidi w:val="0"/>
              <w:spacing w:before="0" w:after="283"/>
              <w:jc w:val="left"/>
              <w:rPr>
                <w:rFonts w:ascii="Arial" w:hAnsi="Arial"/>
                <w:sz w:val="20"/>
              </w:rPr>
            </w:pPr>
            <w:r>
              <w:rPr>
                <w:rFonts w:ascii="Arial" w:hAnsi="Arial"/>
                <w:sz w:val="20"/>
              </w:rPr>
              <w:t>Filed by a party other than the Registrant</w:t>
            </w:r>
          </w:p>
        </w:tc>
        <w:tc>
          <w:tcPr>
            <w:tcW w:w="300" w:type="dxa"/>
            <w:tcBorders/>
            <w:vAlign w:val="center"/>
          </w:tcPr>
          <w:p>
            <w:pPr>
              <w:pStyle w:val="TableContents"/>
              <w:bidi w:val="0"/>
              <w:spacing w:before="0" w:after="283"/>
              <w:jc w:val="left"/>
              <w:rPr/>
            </w:pPr>
            <w:r>
              <w:rPr/>
              <w:t>     </w:t>
            </w:r>
          </w:p>
        </w:tc>
      </w:tr>
    </w:tbl>
    <w:p>
      <w:pPr>
        <w:pStyle w:val="TextBody"/>
        <w:bidi w:val="0"/>
        <w:spacing w:before="0" w:after="0"/>
        <w:jc w:val="left"/>
        <w:rPr/>
      </w:pPr>
      <w:r>
        <w:rPr/>
      </w:r>
    </w:p>
    <w:tbl>
      <w:tblPr>
        <w:tblW w:w="7210" w:type="dxa"/>
        <w:jc w:val="left"/>
        <w:tblInd w:w="0" w:type="dxa"/>
        <w:tblLayout w:type="fixed"/>
        <w:tblCellMar>
          <w:top w:w="0" w:type="dxa"/>
          <w:left w:w="0" w:type="dxa"/>
          <w:bottom w:w="28" w:type="dxa"/>
          <w:right w:w="0" w:type="dxa"/>
        </w:tblCellMar>
      </w:tblPr>
      <w:tblGrid>
        <w:gridCol w:w="230"/>
        <w:gridCol w:w="60"/>
        <w:gridCol w:w="6920"/>
      </w:tblGrid>
      <w:tr>
        <w:trPr/>
        <w:tc>
          <w:tcPr>
            <w:tcW w:w="7210" w:type="dxa"/>
            <w:gridSpan w:val="3"/>
            <w:tcBorders>
              <w:bottom w:val="single" w:sz="8" w:space="0" w:color="000000"/>
            </w:tcBorders>
            <w:vAlign w:val="center"/>
          </w:tcPr>
          <w:p>
            <w:pPr>
              <w:pStyle w:val="TableContents"/>
              <w:bidi w:val="0"/>
              <w:spacing w:before="0" w:after="283"/>
              <w:jc w:val="left"/>
              <w:rPr>
                <w:rFonts w:ascii="Arial" w:hAnsi="Arial"/>
                <w:sz w:val="20"/>
              </w:rPr>
            </w:pPr>
            <w:r>
              <w:rPr>
                <w:rFonts w:ascii="Arial" w:hAnsi="Arial"/>
                <w:sz w:val="20"/>
              </w:rPr>
              <w:t>CHECK THE APPROPRIATE BOX:</w:t>
            </w:r>
          </w:p>
        </w:tc>
      </w:tr>
      <w:tr>
        <w:trPr/>
        <w:tc>
          <w:tcPr>
            <w:tcW w:w="230" w:type="dxa"/>
            <w:tcBorders>
              <w:bottom w:val="single" w:sz="8" w:space="0" w:color="000000"/>
            </w:tcBorders>
            <w:shd w:fill="F2F2F2" w:val="clear"/>
            <w:vAlign w:val="center"/>
          </w:tcPr>
          <w:p>
            <w:pPr>
              <w:pStyle w:val="TableContents"/>
              <w:bidi w:val="0"/>
              <w:spacing w:before="0" w:after="283"/>
              <w:jc w:val="left"/>
              <w:rPr/>
            </w:pPr>
            <w:r>
              <w:rPr/>
              <w:t>☐</w:t>
            </w:r>
          </w:p>
        </w:tc>
        <w:tc>
          <w:tcPr>
            <w:tcW w:w="60" w:type="dxa"/>
            <w:tcBorders>
              <w:bottom w:val="single" w:sz="8" w:space="0" w:color="000000"/>
            </w:tcBorders>
            <w:shd w:fill="F2F2F2" w:val="clear"/>
            <w:vAlign w:val="center"/>
          </w:tcPr>
          <w:p>
            <w:pPr>
              <w:pStyle w:val="TableContents"/>
              <w:bidi w:val="0"/>
              <w:spacing w:before="0" w:after="283"/>
              <w:jc w:val="left"/>
              <w:rPr/>
            </w:pPr>
            <w:r>
              <w:rPr/>
              <w:t> </w:t>
            </w:r>
          </w:p>
        </w:tc>
        <w:tc>
          <w:tcPr>
            <w:tcW w:w="6920" w:type="dxa"/>
            <w:tcBorders>
              <w:bottom w:val="single" w:sz="8" w:space="0" w:color="000000"/>
            </w:tcBorders>
            <w:shd w:fill="F2F2F2" w:val="clear"/>
            <w:vAlign w:val="center"/>
          </w:tcPr>
          <w:p>
            <w:pPr>
              <w:pStyle w:val="TableContents"/>
              <w:bidi w:val="0"/>
              <w:spacing w:before="0" w:after="283"/>
              <w:jc w:val="left"/>
              <w:rPr>
                <w:rFonts w:ascii="Arial" w:hAnsi="Arial"/>
                <w:sz w:val="20"/>
              </w:rPr>
            </w:pPr>
            <w:r>
              <w:rPr>
                <w:rFonts w:ascii="Arial" w:hAnsi="Arial"/>
                <w:sz w:val="20"/>
              </w:rPr>
              <w:t>Preliminary Proxy Statement</w:t>
            </w:r>
          </w:p>
        </w:tc>
      </w:tr>
      <w:tr>
        <w:trPr/>
        <w:tc>
          <w:tcPr>
            <w:tcW w:w="230" w:type="dxa"/>
            <w:tcBorders>
              <w:bottom w:val="single" w:sz="8" w:space="0" w:color="000000"/>
            </w:tcBorders>
            <w:shd w:fill="F2F2F2" w:val="clear"/>
            <w:vAlign w:val="center"/>
          </w:tcPr>
          <w:p>
            <w:pPr>
              <w:pStyle w:val="TableContents"/>
              <w:bidi w:val="0"/>
              <w:spacing w:before="0" w:after="283"/>
              <w:jc w:val="left"/>
              <w:rPr/>
            </w:pPr>
            <w:r>
              <w:rPr/>
              <w:t>☐</w:t>
            </w:r>
          </w:p>
        </w:tc>
        <w:tc>
          <w:tcPr>
            <w:tcW w:w="60" w:type="dxa"/>
            <w:tcBorders>
              <w:bottom w:val="single" w:sz="8" w:space="0" w:color="000000"/>
            </w:tcBorders>
            <w:shd w:fill="F2F2F2" w:val="clear"/>
            <w:vAlign w:val="center"/>
          </w:tcPr>
          <w:p>
            <w:pPr>
              <w:pStyle w:val="TableContents"/>
              <w:bidi w:val="0"/>
              <w:spacing w:before="0" w:after="283"/>
              <w:jc w:val="left"/>
              <w:rPr>
                <w:sz w:val="4"/>
                <w:szCs w:val="4"/>
              </w:rPr>
            </w:pPr>
            <w:r>
              <w:rPr>
                <w:sz w:val="4"/>
                <w:szCs w:val="4"/>
              </w:rPr>
            </w:r>
          </w:p>
        </w:tc>
        <w:tc>
          <w:tcPr>
            <w:tcW w:w="6920" w:type="dxa"/>
            <w:tcBorders>
              <w:bottom w:val="single" w:sz="8" w:space="0" w:color="000000"/>
            </w:tcBorders>
            <w:shd w:fill="F2F2F2" w:val="clear"/>
            <w:vAlign w:val="center"/>
          </w:tcPr>
          <w:p>
            <w:pPr>
              <w:pStyle w:val="TableContents"/>
              <w:bidi w:val="0"/>
              <w:spacing w:before="0" w:after="283"/>
              <w:jc w:val="left"/>
              <w:rPr>
                <w:rFonts w:ascii="Arial" w:hAnsi="Arial"/>
                <w:sz w:val="20"/>
              </w:rPr>
            </w:pPr>
            <w:r>
              <w:rPr>
                <w:rFonts w:ascii="Arial" w:hAnsi="Arial"/>
                <w:sz w:val="20"/>
              </w:rPr>
              <w:t>Confidential, for Use of the Commission Only (as permitted by Rule 14a-6(e)(2))</w:t>
            </w:r>
          </w:p>
        </w:tc>
      </w:tr>
      <w:tr>
        <w:trPr/>
        <w:tc>
          <w:tcPr>
            <w:tcW w:w="230" w:type="dxa"/>
            <w:tcBorders>
              <w:bottom w:val="single" w:sz="8" w:space="0" w:color="000000"/>
            </w:tcBorders>
            <w:shd w:fill="F2F2F2" w:val="clear"/>
            <w:vAlign w:val="center"/>
          </w:tcPr>
          <w:p>
            <w:pPr>
              <w:pStyle w:val="TableContents"/>
              <w:bidi w:val="0"/>
              <w:spacing w:before="0" w:after="283"/>
              <w:jc w:val="left"/>
              <w:rPr/>
            </w:pPr>
            <w:r>
              <w:rPr/>
              <w:t>☑</w:t>
            </w:r>
          </w:p>
        </w:tc>
        <w:tc>
          <w:tcPr>
            <w:tcW w:w="60" w:type="dxa"/>
            <w:tcBorders>
              <w:bottom w:val="single" w:sz="8" w:space="0" w:color="000000"/>
            </w:tcBorders>
            <w:shd w:fill="F2F2F2" w:val="clear"/>
            <w:vAlign w:val="center"/>
          </w:tcPr>
          <w:p>
            <w:pPr>
              <w:pStyle w:val="TableContents"/>
              <w:bidi w:val="0"/>
              <w:spacing w:before="0" w:after="283"/>
              <w:jc w:val="left"/>
              <w:rPr>
                <w:sz w:val="4"/>
                <w:szCs w:val="4"/>
              </w:rPr>
            </w:pPr>
            <w:r>
              <w:rPr>
                <w:sz w:val="4"/>
                <w:szCs w:val="4"/>
              </w:rPr>
            </w:r>
          </w:p>
        </w:tc>
        <w:tc>
          <w:tcPr>
            <w:tcW w:w="6920" w:type="dxa"/>
            <w:tcBorders>
              <w:bottom w:val="single" w:sz="8" w:space="0" w:color="000000"/>
            </w:tcBorders>
            <w:shd w:fill="F2F2F2" w:val="clear"/>
            <w:vAlign w:val="center"/>
          </w:tcPr>
          <w:p>
            <w:pPr>
              <w:pStyle w:val="TableContents"/>
              <w:bidi w:val="0"/>
              <w:spacing w:before="0" w:after="283"/>
              <w:jc w:val="left"/>
              <w:rPr>
                <w:rFonts w:ascii="Arial" w:hAnsi="Arial"/>
                <w:sz w:val="20"/>
              </w:rPr>
            </w:pPr>
            <w:r>
              <w:rPr>
                <w:rFonts w:ascii="Arial" w:hAnsi="Arial"/>
                <w:sz w:val="20"/>
              </w:rPr>
              <w:t>Definitive Proxy Statement</w:t>
            </w:r>
          </w:p>
        </w:tc>
      </w:tr>
      <w:tr>
        <w:trPr/>
        <w:tc>
          <w:tcPr>
            <w:tcW w:w="230" w:type="dxa"/>
            <w:tcBorders>
              <w:bottom w:val="single" w:sz="8" w:space="0" w:color="000000"/>
            </w:tcBorders>
            <w:shd w:fill="F2F2F2" w:val="clear"/>
            <w:vAlign w:val="center"/>
          </w:tcPr>
          <w:p>
            <w:pPr>
              <w:pStyle w:val="TableContents"/>
              <w:bidi w:val="0"/>
              <w:spacing w:before="0" w:after="283"/>
              <w:jc w:val="left"/>
              <w:rPr/>
            </w:pPr>
            <w:r>
              <w:rPr/>
              <w:t>☐</w:t>
            </w:r>
          </w:p>
        </w:tc>
        <w:tc>
          <w:tcPr>
            <w:tcW w:w="60" w:type="dxa"/>
            <w:tcBorders>
              <w:bottom w:val="single" w:sz="8" w:space="0" w:color="000000"/>
            </w:tcBorders>
            <w:shd w:fill="F2F2F2" w:val="clear"/>
            <w:vAlign w:val="center"/>
          </w:tcPr>
          <w:p>
            <w:pPr>
              <w:pStyle w:val="TableContents"/>
              <w:bidi w:val="0"/>
              <w:spacing w:before="0" w:after="283"/>
              <w:jc w:val="left"/>
              <w:rPr/>
            </w:pPr>
            <w:r>
              <w:rPr/>
              <w:t> </w:t>
            </w:r>
          </w:p>
        </w:tc>
        <w:tc>
          <w:tcPr>
            <w:tcW w:w="6920" w:type="dxa"/>
            <w:tcBorders>
              <w:bottom w:val="single" w:sz="8" w:space="0" w:color="000000"/>
            </w:tcBorders>
            <w:shd w:fill="F2F2F2" w:val="clear"/>
            <w:vAlign w:val="center"/>
          </w:tcPr>
          <w:p>
            <w:pPr>
              <w:pStyle w:val="TableContents"/>
              <w:bidi w:val="0"/>
              <w:spacing w:before="0" w:after="283"/>
              <w:jc w:val="left"/>
              <w:rPr>
                <w:rFonts w:ascii="Arial" w:hAnsi="Arial"/>
                <w:sz w:val="20"/>
              </w:rPr>
            </w:pPr>
            <w:r>
              <w:rPr>
                <w:rFonts w:ascii="Arial" w:hAnsi="Arial"/>
                <w:sz w:val="20"/>
              </w:rPr>
              <w:t>Definitive Additional Materials</w:t>
            </w:r>
          </w:p>
        </w:tc>
      </w:tr>
      <w:tr>
        <w:trPr/>
        <w:tc>
          <w:tcPr>
            <w:tcW w:w="230" w:type="dxa"/>
            <w:tcBorders>
              <w:bottom w:val="single" w:sz="8" w:space="0" w:color="000000"/>
            </w:tcBorders>
            <w:shd w:fill="F2F2F2" w:val="clear"/>
            <w:vAlign w:val="center"/>
          </w:tcPr>
          <w:p>
            <w:pPr>
              <w:pStyle w:val="TableContents"/>
              <w:bidi w:val="0"/>
              <w:spacing w:before="0" w:after="283"/>
              <w:jc w:val="left"/>
              <w:rPr/>
            </w:pPr>
            <w:r>
              <w:rPr/>
              <w:t>☐</w:t>
            </w:r>
          </w:p>
        </w:tc>
        <w:tc>
          <w:tcPr>
            <w:tcW w:w="60" w:type="dxa"/>
            <w:tcBorders>
              <w:bottom w:val="single" w:sz="8" w:space="0" w:color="000000"/>
            </w:tcBorders>
            <w:shd w:fill="F2F2F2" w:val="clear"/>
            <w:vAlign w:val="center"/>
          </w:tcPr>
          <w:p>
            <w:pPr>
              <w:pStyle w:val="TableContents"/>
              <w:bidi w:val="0"/>
              <w:spacing w:before="0" w:after="283"/>
              <w:jc w:val="left"/>
              <w:rPr>
                <w:sz w:val="4"/>
                <w:szCs w:val="4"/>
              </w:rPr>
            </w:pPr>
            <w:r>
              <w:rPr>
                <w:sz w:val="4"/>
                <w:szCs w:val="4"/>
              </w:rPr>
            </w:r>
          </w:p>
        </w:tc>
        <w:tc>
          <w:tcPr>
            <w:tcW w:w="6920" w:type="dxa"/>
            <w:tcBorders>
              <w:bottom w:val="single" w:sz="8" w:space="0" w:color="000000"/>
            </w:tcBorders>
            <w:shd w:fill="F2F2F2" w:val="clear"/>
            <w:vAlign w:val="center"/>
          </w:tcPr>
          <w:p>
            <w:pPr>
              <w:pStyle w:val="TableContents"/>
              <w:bidi w:val="0"/>
              <w:spacing w:before="0" w:after="283"/>
              <w:jc w:val="left"/>
              <w:rPr>
                <w:rFonts w:ascii="Arial" w:hAnsi="Arial"/>
                <w:sz w:val="20"/>
              </w:rPr>
            </w:pPr>
            <w:r>
              <w:rPr>
                <w:rFonts w:ascii="Arial" w:hAnsi="Arial"/>
                <w:sz w:val="20"/>
              </w:rPr>
              <w:t>Soliciting Material under §240.14a-12</w:t>
            </w:r>
          </w:p>
        </w:tc>
      </w:tr>
    </w:tbl>
    <w:p>
      <w:pPr>
        <w:pStyle w:val="TextBody"/>
        <w:bidi w:val="0"/>
        <w:spacing w:before="240" w:after="0"/>
        <w:jc w:val="center"/>
        <w:rPr/>
      </w:pPr>
      <w:r>
        <w:rPr/>
        <w:drawing>
          <wp:inline distT="0" distB="0" distL="0" distR="0">
            <wp:extent cx="1143000" cy="13144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rcRect l="-299" t="-767" r="-299" b="-767"/>
                    <a:stretch>
                      <a:fillRect/>
                    </a:stretch>
                  </pic:blipFill>
                  <pic:spPr bwMode="auto">
                    <a:xfrm>
                      <a:off x="0" y="0"/>
                      <a:ext cx="1143000" cy="1314450"/>
                    </a:xfrm>
                    <a:prstGeom prst="rect">
                      <a:avLst/>
                    </a:prstGeom>
                    <a:ln w="635">
                      <a:solidFill>
                        <a:srgbClr val="000000"/>
                      </a:solidFill>
                    </a:ln>
                  </pic:spPr>
                </pic:pic>
              </a:graphicData>
            </a:graphic>
          </wp:inline>
        </w:drawing>
      </w:r>
    </w:p>
    <w:p>
      <w:pPr>
        <w:pStyle w:val="TextBody"/>
        <w:bidi w:val="0"/>
        <w:spacing w:before="40" w:after="0"/>
        <w:jc w:val="center"/>
        <w:rPr>
          <w:rFonts w:ascii="Arial" w:hAnsi="Arial"/>
          <w:b/>
          <w:sz w:val="24"/>
        </w:rPr>
      </w:pPr>
      <w:bookmarkStart w:id="3" w:name="xdx_906_edei--EntityRegistrantName_c2025"/>
      <w:bookmarkEnd w:id="3"/>
      <w:r>
        <w:rPr>
          <w:rFonts w:ascii="Arial" w:hAnsi="Arial"/>
          <w:b/>
          <w:sz w:val="24"/>
        </w:rPr>
        <w:t>RTX Corporation</w:t>
      </w:r>
    </w:p>
    <w:p>
      <w:pPr>
        <w:pStyle w:val="TextBody"/>
        <w:bidi w:val="0"/>
        <w:spacing w:before="240" w:after="240"/>
        <w:jc w:val="center"/>
        <w:rPr/>
      </w:pPr>
      <w:r>
        <w:rPr>
          <w:rFonts w:ascii="Arial" w:hAnsi="Arial"/>
          <w:sz w:val="15"/>
        </w:rPr>
        <w:t>(Name of Registrant as Specified In Its Charter)</w:t>
        <w:br/>
        <w:t>(Name of Person(s) Filing Proxy Statement, if other than the Registrant)</w:t>
      </w:r>
      <w:r>
        <w:rPr/>
        <w:t xml:space="preserve"> </w:t>
      </w:r>
    </w:p>
    <w:tbl>
      <w:tblPr>
        <w:tblW w:w="9025" w:type="dxa"/>
        <w:jc w:val="left"/>
        <w:tblInd w:w="0" w:type="dxa"/>
        <w:tblLayout w:type="fixed"/>
        <w:tblCellMar>
          <w:top w:w="0" w:type="dxa"/>
          <w:left w:w="0" w:type="dxa"/>
          <w:bottom w:w="28" w:type="dxa"/>
          <w:right w:w="0" w:type="dxa"/>
        </w:tblCellMar>
      </w:tblPr>
      <w:tblGrid>
        <w:gridCol w:w="230"/>
        <w:gridCol w:w="60"/>
        <w:gridCol w:w="8735"/>
      </w:tblGrid>
      <w:tr>
        <w:trPr/>
        <w:tc>
          <w:tcPr>
            <w:tcW w:w="9025" w:type="dxa"/>
            <w:gridSpan w:val="3"/>
            <w:tcBorders>
              <w:bottom w:val="single" w:sz="8" w:space="0" w:color="000000"/>
            </w:tcBorders>
            <w:vAlign w:val="center"/>
          </w:tcPr>
          <w:p>
            <w:pPr>
              <w:pStyle w:val="TableContents"/>
              <w:bidi w:val="0"/>
              <w:spacing w:before="0" w:after="283"/>
              <w:jc w:val="left"/>
              <w:rPr>
                <w:rFonts w:ascii="Arial" w:hAnsi="Arial"/>
                <w:sz w:val="20"/>
              </w:rPr>
            </w:pPr>
            <w:r>
              <w:rPr>
                <w:rFonts w:ascii="Arial" w:hAnsi="Arial"/>
                <w:sz w:val="20"/>
              </w:rPr>
              <w:t>PAYMENT OF FILING FEE (CHECK ALL BOXES THAT APPLY):</w:t>
            </w:r>
          </w:p>
        </w:tc>
      </w:tr>
      <w:tr>
        <w:trPr/>
        <w:tc>
          <w:tcPr>
            <w:tcW w:w="230" w:type="dxa"/>
            <w:tcBorders>
              <w:bottom w:val="single" w:sz="8" w:space="0" w:color="000000"/>
            </w:tcBorders>
            <w:shd w:fill="F2F2F2" w:val="clear"/>
            <w:vAlign w:val="center"/>
          </w:tcPr>
          <w:p>
            <w:pPr>
              <w:pStyle w:val="TableContents"/>
              <w:bidi w:val="0"/>
              <w:spacing w:before="0" w:after="283"/>
              <w:jc w:val="left"/>
              <w:rPr/>
            </w:pPr>
            <w:r>
              <w:rPr/>
              <w:t>☑</w:t>
            </w:r>
          </w:p>
        </w:tc>
        <w:tc>
          <w:tcPr>
            <w:tcW w:w="60" w:type="dxa"/>
            <w:tcBorders>
              <w:bottom w:val="single" w:sz="8" w:space="0" w:color="000000"/>
            </w:tcBorders>
            <w:shd w:fill="F2F2F2" w:val="clear"/>
            <w:vAlign w:val="center"/>
          </w:tcPr>
          <w:p>
            <w:pPr>
              <w:pStyle w:val="TableContents"/>
              <w:bidi w:val="0"/>
              <w:spacing w:before="0" w:after="283"/>
              <w:jc w:val="left"/>
              <w:rPr/>
            </w:pPr>
            <w:r>
              <w:rPr/>
              <w:t> </w:t>
            </w:r>
          </w:p>
        </w:tc>
        <w:tc>
          <w:tcPr>
            <w:tcW w:w="8735" w:type="dxa"/>
            <w:tcBorders>
              <w:bottom w:val="single" w:sz="8" w:space="0" w:color="000000"/>
            </w:tcBorders>
            <w:shd w:fill="F2F2F2" w:val="clear"/>
            <w:vAlign w:val="center"/>
          </w:tcPr>
          <w:p>
            <w:pPr>
              <w:pStyle w:val="TableContents"/>
              <w:bidi w:val="0"/>
              <w:spacing w:before="0" w:after="283"/>
              <w:jc w:val="left"/>
              <w:rPr>
                <w:rFonts w:ascii="Arial" w:hAnsi="Arial"/>
                <w:sz w:val="20"/>
              </w:rPr>
            </w:pPr>
            <w:r>
              <w:rPr>
                <w:rFonts w:ascii="Arial" w:hAnsi="Arial"/>
                <w:sz w:val="20"/>
              </w:rPr>
              <w:t>No fee required</w:t>
            </w:r>
          </w:p>
        </w:tc>
      </w:tr>
      <w:tr>
        <w:trPr/>
        <w:tc>
          <w:tcPr>
            <w:tcW w:w="230" w:type="dxa"/>
            <w:tcBorders>
              <w:bottom w:val="single" w:sz="8" w:space="0" w:color="000000"/>
            </w:tcBorders>
            <w:shd w:fill="F2F2F2" w:val="clear"/>
            <w:vAlign w:val="center"/>
          </w:tcPr>
          <w:p>
            <w:pPr>
              <w:pStyle w:val="TableContents"/>
              <w:bidi w:val="0"/>
              <w:spacing w:before="0" w:after="283"/>
              <w:jc w:val="left"/>
              <w:rPr/>
            </w:pPr>
            <w:r>
              <w:rPr/>
              <w:t>☐</w:t>
            </w:r>
          </w:p>
        </w:tc>
        <w:tc>
          <w:tcPr>
            <w:tcW w:w="60" w:type="dxa"/>
            <w:tcBorders>
              <w:bottom w:val="single" w:sz="8" w:space="0" w:color="000000"/>
            </w:tcBorders>
            <w:shd w:fill="F2F2F2" w:val="clear"/>
            <w:vAlign w:val="center"/>
          </w:tcPr>
          <w:p>
            <w:pPr>
              <w:pStyle w:val="TableContents"/>
              <w:bidi w:val="0"/>
              <w:spacing w:before="0" w:after="283"/>
              <w:jc w:val="left"/>
              <w:rPr>
                <w:sz w:val="4"/>
                <w:szCs w:val="4"/>
              </w:rPr>
            </w:pPr>
            <w:r>
              <w:rPr>
                <w:sz w:val="4"/>
                <w:szCs w:val="4"/>
              </w:rPr>
            </w:r>
          </w:p>
        </w:tc>
        <w:tc>
          <w:tcPr>
            <w:tcW w:w="8735" w:type="dxa"/>
            <w:tcBorders>
              <w:bottom w:val="single" w:sz="8" w:space="0" w:color="000000"/>
            </w:tcBorders>
            <w:shd w:fill="F2F2F2" w:val="clear"/>
            <w:vAlign w:val="center"/>
          </w:tcPr>
          <w:p>
            <w:pPr>
              <w:pStyle w:val="TableContents"/>
              <w:bidi w:val="0"/>
              <w:spacing w:before="0" w:after="283"/>
              <w:jc w:val="left"/>
              <w:rPr>
                <w:rFonts w:ascii="Arial" w:hAnsi="Arial"/>
                <w:sz w:val="20"/>
              </w:rPr>
            </w:pPr>
            <w:r>
              <w:rPr>
                <w:rFonts w:ascii="Arial" w:hAnsi="Arial"/>
                <w:sz w:val="20"/>
              </w:rPr>
              <w:t>Fee paid previously with preliminary materials</w:t>
            </w:r>
          </w:p>
        </w:tc>
      </w:tr>
      <w:tr>
        <w:trPr/>
        <w:tc>
          <w:tcPr>
            <w:tcW w:w="230" w:type="dxa"/>
            <w:tcBorders>
              <w:bottom w:val="single" w:sz="8" w:space="0" w:color="000000"/>
            </w:tcBorders>
            <w:shd w:fill="F2F2F2" w:val="clear"/>
            <w:vAlign w:val="center"/>
          </w:tcPr>
          <w:p>
            <w:pPr>
              <w:pStyle w:val="TableContents"/>
              <w:bidi w:val="0"/>
              <w:spacing w:before="0" w:after="283"/>
              <w:jc w:val="left"/>
              <w:rPr/>
            </w:pPr>
            <w:r>
              <w:rPr/>
              <w:t>☐</w:t>
            </w:r>
          </w:p>
        </w:tc>
        <w:tc>
          <w:tcPr>
            <w:tcW w:w="60" w:type="dxa"/>
            <w:tcBorders>
              <w:bottom w:val="single" w:sz="8" w:space="0" w:color="000000"/>
            </w:tcBorders>
            <w:shd w:fill="F2F2F2" w:val="clear"/>
            <w:vAlign w:val="center"/>
          </w:tcPr>
          <w:p>
            <w:pPr>
              <w:pStyle w:val="TableContents"/>
              <w:bidi w:val="0"/>
              <w:spacing w:before="0" w:after="283"/>
              <w:jc w:val="left"/>
              <w:rPr>
                <w:sz w:val="4"/>
                <w:szCs w:val="4"/>
              </w:rPr>
            </w:pPr>
            <w:r>
              <w:rPr>
                <w:sz w:val="4"/>
                <w:szCs w:val="4"/>
              </w:rPr>
            </w:r>
          </w:p>
        </w:tc>
        <w:tc>
          <w:tcPr>
            <w:tcW w:w="8735" w:type="dxa"/>
            <w:tcBorders>
              <w:bottom w:val="single" w:sz="8" w:space="0" w:color="000000"/>
            </w:tcBorders>
            <w:shd w:fill="F2F2F2" w:val="clear"/>
            <w:vAlign w:val="center"/>
          </w:tcPr>
          <w:p>
            <w:pPr>
              <w:pStyle w:val="TableContents"/>
              <w:bidi w:val="0"/>
              <w:spacing w:before="0" w:after="283"/>
              <w:jc w:val="left"/>
              <w:rPr>
                <w:rFonts w:ascii="Arial" w:hAnsi="Arial"/>
                <w:sz w:val="20"/>
              </w:rPr>
            </w:pPr>
            <w:r>
              <w:rPr>
                <w:rFonts w:ascii="Arial" w:hAnsi="Arial"/>
                <w:sz w:val="20"/>
              </w:rPr>
              <w:t>Fee computed on table in exhibit required by Item 25(b) per Exchange Act Rules 14a-6(i)(1) and 0-11</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TextBody"/>
        <w:bidi w:val="0"/>
        <w:spacing w:before="200" w:after="200"/>
        <w:jc w:val="left"/>
        <w:rPr/>
      </w:pPr>
      <w:hyperlink w:anchor="toc">
        <w:r>
          <w:rPr>
            <w:rStyle w:val="InternetLink"/>
            <w:rFonts w:ascii="Arial;Helvetica;Sans-Serif" w:hAnsi="Arial;Helvetica;Sans-Serif"/>
            <w:b/>
            <w:i w:val="false"/>
            <w:caps w:val="false"/>
            <w:smallCaps w:val="false"/>
            <w:sz w:val="16"/>
          </w:rPr>
          <w:t>Table of Contents</w:t>
        </w:r>
      </w:hyperlink>
    </w:p>
    <w:p>
      <w:pPr>
        <w:pStyle w:val="TextBody"/>
        <w:bidi w:val="0"/>
        <w:jc w:val="center"/>
        <w:rPr>
          <w:caps w:val="false"/>
          <w:smallCaps w:val="false"/>
        </w:rPr>
      </w:pPr>
      <w:r>
        <w:rPr>
          <w:caps w:val="false"/>
          <w:smallCaps w:val="false"/>
        </w:rPr>
        <w:drawing>
          <wp:inline distT="0" distB="0" distL="0" distR="0">
            <wp:extent cx="7620000" cy="996696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7620000" cy="9966960"/>
                    </a:xfrm>
                    <a:prstGeom prst="rect">
                      <a:avLst/>
                    </a:prstGeom>
                  </pic:spPr>
                </pic:pic>
              </a:graphicData>
            </a:graphic>
          </wp:inline>
        </w:drawing>
      </w:r>
    </w:p>
    <w:p>
      <w:pPr>
        <w:pStyle w:val="TextBody"/>
        <w:bidi w:val="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200" w:after="200"/>
        <w:jc w:val="left"/>
        <w:rPr/>
      </w:pPr>
      <w:hyperlink w:anchor="toc">
        <w:r>
          <w:rPr>
            <w:rStyle w:val="InternetLink"/>
            <w:rFonts w:ascii="Arial;Helvetica;Sans-Serif" w:hAnsi="Arial;Helvetica;Sans-Serif"/>
            <w:b/>
            <w:i w:val="false"/>
            <w:caps w:val="false"/>
            <w:smallCaps w:val="false"/>
            <w:sz w:val="16"/>
          </w:rPr>
          <w:t>Table of Contents</w:t>
        </w:r>
      </w:hyperlink>
    </w:p>
    <w:p>
      <w:pPr>
        <w:pStyle w:val="TextBody"/>
        <w:bidi w:val="0"/>
        <w:jc w:val="right"/>
        <w:rPr>
          <w:caps w:val="false"/>
          <w:smallCaps w:val="false"/>
        </w:rPr>
      </w:pPr>
      <w:r>
        <w:rPr>
          <w:caps w:val="false"/>
          <w:smallCaps w:val="false"/>
        </w:rPr>
        <w:drawing>
          <wp:inline distT="0" distB="0" distL="0" distR="0">
            <wp:extent cx="1076325" cy="41783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076325" cy="417830"/>
                    </a:xfrm>
                    <a:prstGeom prst="rect">
                      <a:avLst/>
                    </a:prstGeom>
                  </pic:spPr>
                </pic:pic>
              </a:graphicData>
            </a:graphic>
          </wp:inline>
        </w:drawing>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56"/>
        </w:rPr>
      </w:pPr>
      <w:r>
        <w:rPr>
          <w:rFonts w:ascii="Arial;Helvetica;Sans-Serif" w:hAnsi="Arial;Helvetica;Sans-Serif"/>
          <w:b/>
          <w:i w:val="false"/>
          <w:caps w:val="false"/>
          <w:smallCaps w:val="false"/>
          <w:sz w:val="56"/>
        </w:rPr>
        <w:t>Our Values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6"/>
        </w:rPr>
      </w:pPr>
      <w:r>
        <w:rPr>
          <w:rFonts w:ascii="Arial;Helvetica;Sans-Serif" w:hAnsi="Arial;Helvetica;Sans-Serif"/>
          <w:b/>
          <w:i w:val="false"/>
          <w:caps w:val="false"/>
          <w:smallCaps w:val="false"/>
          <w:sz w:val="26"/>
        </w:rPr>
        <w:t>At RTX, we hold ourselves to the highest standard and live by our values:</w:t>
      </w:r>
    </w:p>
    <w:p>
      <w:pPr>
        <w:pStyle w:val="TextBody"/>
        <w:bidi w:val="0"/>
        <w:spacing w:before="0" w:after="0"/>
        <w:ind w:left="0" w:right="0" w:hanging="0"/>
        <w:jc w:val="left"/>
        <w:rPr>
          <w:caps w:val="false"/>
          <w:smallCaps w:val="false"/>
        </w:rPr>
      </w:pPr>
      <w:r>
        <w:rPr>
          <w:caps w:val="false"/>
          <w:smallCaps w:val="false"/>
        </w:rPr>
        <w:t> </w:t>
      </w:r>
    </w:p>
    <w:tbl>
      <w:tblPr>
        <w:tblW w:w="8989" w:type="dxa"/>
        <w:jc w:val="left"/>
        <w:tblInd w:w="0" w:type="dxa"/>
        <w:tblLayout w:type="fixed"/>
        <w:tblCellMar>
          <w:top w:w="0" w:type="dxa"/>
          <w:left w:w="0" w:type="dxa"/>
          <w:bottom w:w="0" w:type="dxa"/>
          <w:right w:w="0" w:type="dxa"/>
        </w:tblCellMar>
      </w:tblPr>
      <w:tblGrid>
        <w:gridCol w:w="915"/>
        <w:gridCol w:w="7832"/>
        <w:gridCol w:w="242"/>
      </w:tblGrid>
      <w:tr>
        <w:trPr/>
        <w:tc>
          <w:tcPr>
            <w:tcW w:w="915" w:type="dxa"/>
            <w:vMerge w:val="restart"/>
            <w:tcBorders/>
            <w:vAlign w:val="center"/>
          </w:tcPr>
          <w:p>
            <w:pPr>
              <w:pStyle w:val="TableContents"/>
              <w:bidi w:val="0"/>
              <w:spacing w:before="0" w:after="283"/>
              <w:jc w:val="center"/>
              <w:rPr/>
            </w:pPr>
            <w:r>
              <w:rPr/>
              <w:drawing>
                <wp:inline distT="0" distB="0" distL="0" distR="0">
                  <wp:extent cx="571500" cy="44196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571500" cy="441960"/>
                          </a:xfrm>
                          <a:prstGeom prst="rect">
                            <a:avLst/>
                          </a:prstGeom>
                        </pic:spPr>
                      </pic:pic>
                    </a:graphicData>
                  </a:graphic>
                </wp:inline>
              </w:drawing>
            </w:r>
          </w:p>
        </w:tc>
        <w:tc>
          <w:tcPr>
            <w:tcW w:w="7832" w:type="dxa"/>
            <w:tcBorders/>
            <w:vAlign w:val="center"/>
          </w:tcPr>
          <w:p>
            <w:pPr>
              <w:pStyle w:val="TableContents"/>
              <w:bidi w:val="0"/>
              <w:spacing w:before="0" w:after="283"/>
              <w:jc w:val="left"/>
              <w:rPr>
                <w:rFonts w:ascii="Arial;Helvetica;Sans-Serif" w:hAnsi="Arial;Helvetica;Sans-Serif"/>
                <w:b/>
                <w:i w:val="false"/>
                <w:caps w:val="false"/>
                <w:smallCaps w:val="false"/>
                <w:sz w:val="34"/>
              </w:rPr>
            </w:pPr>
            <w:r>
              <w:rPr>
                <w:rFonts w:ascii="Arial;Helvetica;Sans-Serif" w:hAnsi="Arial;Helvetica;Sans-Serif"/>
                <w:b/>
                <w:i w:val="false"/>
                <w:caps w:val="false"/>
                <w:smallCaps w:val="false"/>
                <w:sz w:val="34"/>
              </w:rPr>
              <w:t>Safety</w:t>
            </w:r>
          </w:p>
        </w:tc>
        <w:tc>
          <w:tcPr>
            <w:tcW w:w="242" w:type="dxa"/>
            <w:tcBorders/>
            <w:vAlign w:val="center"/>
          </w:tcPr>
          <w:p>
            <w:pPr>
              <w:pStyle w:val="TableContents"/>
              <w:bidi w:val="0"/>
              <w:spacing w:before="0" w:after="283"/>
              <w:jc w:val="left"/>
              <w:rPr/>
            </w:pPr>
            <w:r>
              <w:rPr/>
              <w:t> </w:t>
            </w:r>
          </w:p>
        </w:tc>
      </w:tr>
      <w:tr>
        <w:trPr/>
        <w:tc>
          <w:tcPr>
            <w:tcW w:w="915" w:type="dxa"/>
            <w:vMerge w:val="continue"/>
            <w:tcBorders/>
            <w:vAlign w:val="center"/>
          </w:tcPr>
          <w:p>
            <w:pPr>
              <w:pStyle w:val="Normal"/>
              <w:bidi w:val="0"/>
              <w:jc w:val="left"/>
              <w:rPr/>
            </w:pPr>
            <w:r>
              <w:rPr/>
            </w:r>
          </w:p>
        </w:tc>
        <w:tc>
          <w:tcPr>
            <w:tcW w:w="8074" w:type="dxa"/>
            <w:gridSpan w:val="2"/>
            <w:tcBorders/>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We prioritize safety in every aspect of our work</w:t>
            </w:r>
          </w:p>
        </w:tc>
      </w:tr>
      <w:tr>
        <w:trPr/>
        <w:tc>
          <w:tcPr>
            <w:tcW w:w="915" w:type="dxa"/>
            <w:tcBorders/>
            <w:vAlign w:val="center"/>
          </w:tcPr>
          <w:p>
            <w:pPr>
              <w:pStyle w:val="TableContents"/>
              <w:bidi w:val="0"/>
              <w:spacing w:before="0" w:after="283"/>
              <w:jc w:val="center"/>
              <w:rPr/>
            </w:pPr>
            <w:r>
              <w:rPr/>
              <w:t> </w:t>
            </w:r>
          </w:p>
        </w:tc>
        <w:tc>
          <w:tcPr>
            <w:tcW w:w="8074" w:type="dxa"/>
            <w:gridSpan w:val="2"/>
            <w:tcBorders/>
            <w:vAlign w:val="center"/>
          </w:tcPr>
          <w:p>
            <w:pPr>
              <w:pStyle w:val="TableContents"/>
              <w:bidi w:val="0"/>
              <w:spacing w:before="0" w:after="283"/>
              <w:jc w:val="left"/>
              <w:rPr/>
            </w:pPr>
            <w:r>
              <w:rPr/>
              <w:t> </w:t>
            </w:r>
          </w:p>
        </w:tc>
      </w:tr>
      <w:tr>
        <w:trPr/>
        <w:tc>
          <w:tcPr>
            <w:tcW w:w="915" w:type="dxa"/>
            <w:vMerge w:val="restart"/>
            <w:tcBorders/>
            <w:vAlign w:val="center"/>
          </w:tcPr>
          <w:p>
            <w:pPr>
              <w:pStyle w:val="TableContents"/>
              <w:bidi w:val="0"/>
              <w:spacing w:before="0" w:after="283"/>
              <w:jc w:val="center"/>
              <w:rPr/>
            </w:pPr>
            <w:r>
              <w:rPr/>
              <w:drawing>
                <wp:inline distT="0" distB="0" distL="0" distR="0">
                  <wp:extent cx="571500" cy="19716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571500" cy="1971675"/>
                          </a:xfrm>
                          <a:prstGeom prst="rect">
                            <a:avLst/>
                          </a:prstGeom>
                        </pic:spPr>
                      </pic:pic>
                    </a:graphicData>
                  </a:graphic>
                </wp:inline>
              </w:drawing>
            </w:r>
          </w:p>
        </w:tc>
        <w:tc>
          <w:tcPr>
            <w:tcW w:w="7832" w:type="dxa"/>
            <w:tcBorders/>
            <w:vAlign w:val="center"/>
          </w:tcPr>
          <w:p>
            <w:pPr>
              <w:pStyle w:val="TableContents"/>
              <w:bidi w:val="0"/>
              <w:spacing w:before="0" w:after="283"/>
              <w:jc w:val="left"/>
              <w:rPr>
                <w:rFonts w:ascii="Arial;Helvetica;Sans-Serif" w:hAnsi="Arial;Helvetica;Sans-Serif"/>
                <w:b/>
                <w:i w:val="false"/>
                <w:caps w:val="false"/>
                <w:smallCaps w:val="false"/>
                <w:sz w:val="34"/>
              </w:rPr>
            </w:pPr>
            <w:r>
              <w:rPr>
                <w:rFonts w:ascii="Arial;Helvetica;Sans-Serif" w:hAnsi="Arial;Helvetica;Sans-Serif"/>
                <w:b/>
                <w:i w:val="false"/>
                <w:caps w:val="false"/>
                <w:smallCaps w:val="false"/>
                <w:sz w:val="34"/>
              </w:rPr>
              <w:t>Trust</w:t>
            </w:r>
          </w:p>
        </w:tc>
        <w:tc>
          <w:tcPr>
            <w:tcW w:w="242" w:type="dxa"/>
            <w:tcBorders/>
            <w:vAlign w:val="center"/>
          </w:tcPr>
          <w:p>
            <w:pPr>
              <w:pStyle w:val="TableContents"/>
              <w:bidi w:val="0"/>
              <w:spacing w:before="0" w:after="283"/>
              <w:jc w:val="left"/>
              <w:rPr/>
            </w:pPr>
            <w:r>
              <w:rPr/>
              <w:t> </w:t>
            </w:r>
          </w:p>
        </w:tc>
      </w:tr>
      <w:tr>
        <w:trPr/>
        <w:tc>
          <w:tcPr>
            <w:tcW w:w="915" w:type="dxa"/>
            <w:vMerge w:val="continue"/>
            <w:tcBorders/>
            <w:vAlign w:val="center"/>
          </w:tcPr>
          <w:p>
            <w:pPr>
              <w:pStyle w:val="Normal"/>
              <w:bidi w:val="0"/>
              <w:jc w:val="left"/>
              <w:rPr/>
            </w:pPr>
            <w:r>
              <w:rPr/>
            </w:r>
          </w:p>
        </w:tc>
        <w:tc>
          <w:tcPr>
            <w:tcW w:w="8074" w:type="dxa"/>
            <w:gridSpan w:val="2"/>
            <w:tcBorders/>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We act with integrity and do the right thing</w:t>
            </w:r>
          </w:p>
        </w:tc>
      </w:tr>
      <w:tr>
        <w:trPr/>
        <w:tc>
          <w:tcPr>
            <w:tcW w:w="915" w:type="dxa"/>
            <w:tcBorders/>
            <w:vAlign w:val="center"/>
          </w:tcPr>
          <w:p>
            <w:pPr>
              <w:pStyle w:val="TableContents"/>
              <w:bidi w:val="0"/>
              <w:spacing w:before="0" w:after="283"/>
              <w:jc w:val="center"/>
              <w:rPr/>
            </w:pPr>
            <w:r>
              <w:rPr/>
              <w:t> </w:t>
            </w:r>
          </w:p>
        </w:tc>
        <w:tc>
          <w:tcPr>
            <w:tcW w:w="8074" w:type="dxa"/>
            <w:gridSpan w:val="2"/>
            <w:tcBorders/>
            <w:vAlign w:val="center"/>
          </w:tcPr>
          <w:p>
            <w:pPr>
              <w:pStyle w:val="TableContents"/>
              <w:bidi w:val="0"/>
              <w:spacing w:before="0" w:after="283"/>
              <w:jc w:val="left"/>
              <w:rPr/>
            </w:pPr>
            <w:r>
              <w:rPr/>
              <w:t> </w:t>
            </w:r>
          </w:p>
        </w:tc>
      </w:tr>
      <w:tr>
        <w:trPr/>
        <w:tc>
          <w:tcPr>
            <w:tcW w:w="915" w:type="dxa"/>
            <w:vMerge w:val="restart"/>
            <w:tcBorders/>
            <w:vAlign w:val="center"/>
          </w:tcPr>
          <w:p>
            <w:pPr>
              <w:pStyle w:val="TableContents"/>
              <w:bidi w:val="0"/>
              <w:spacing w:before="0" w:after="283"/>
              <w:jc w:val="center"/>
              <w:rPr/>
            </w:pPr>
            <w:r>
              <w:rPr/>
              <w:drawing>
                <wp:inline distT="0" distB="0" distL="0" distR="0">
                  <wp:extent cx="571500" cy="42037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571500" cy="420370"/>
                          </a:xfrm>
                          <a:prstGeom prst="rect">
                            <a:avLst/>
                          </a:prstGeom>
                        </pic:spPr>
                      </pic:pic>
                    </a:graphicData>
                  </a:graphic>
                </wp:inline>
              </w:drawing>
            </w:r>
          </w:p>
        </w:tc>
        <w:tc>
          <w:tcPr>
            <w:tcW w:w="7832" w:type="dxa"/>
            <w:tcBorders/>
            <w:vAlign w:val="center"/>
          </w:tcPr>
          <w:p>
            <w:pPr>
              <w:pStyle w:val="TableContents"/>
              <w:bidi w:val="0"/>
              <w:spacing w:before="0" w:after="283"/>
              <w:jc w:val="left"/>
              <w:rPr>
                <w:rFonts w:ascii="Arial;Helvetica;Sans-Serif" w:hAnsi="Arial;Helvetica;Sans-Serif"/>
                <w:b/>
                <w:i w:val="false"/>
                <w:caps w:val="false"/>
                <w:smallCaps w:val="false"/>
                <w:sz w:val="34"/>
              </w:rPr>
            </w:pPr>
            <w:r>
              <w:rPr>
                <w:rFonts w:ascii="Arial;Helvetica;Sans-Serif" w:hAnsi="Arial;Helvetica;Sans-Serif"/>
                <w:b/>
                <w:i w:val="false"/>
                <w:caps w:val="false"/>
                <w:smallCaps w:val="false"/>
                <w:sz w:val="34"/>
              </w:rPr>
              <w:t>Respect</w:t>
            </w:r>
          </w:p>
        </w:tc>
        <w:tc>
          <w:tcPr>
            <w:tcW w:w="242" w:type="dxa"/>
            <w:tcBorders/>
            <w:vAlign w:val="center"/>
          </w:tcPr>
          <w:p>
            <w:pPr>
              <w:pStyle w:val="TableContents"/>
              <w:bidi w:val="0"/>
              <w:spacing w:before="0" w:after="283"/>
              <w:jc w:val="left"/>
              <w:rPr/>
            </w:pPr>
            <w:r>
              <w:rPr/>
              <w:t> </w:t>
            </w:r>
          </w:p>
        </w:tc>
      </w:tr>
      <w:tr>
        <w:trPr/>
        <w:tc>
          <w:tcPr>
            <w:tcW w:w="915" w:type="dxa"/>
            <w:vMerge w:val="continue"/>
            <w:tcBorders/>
            <w:vAlign w:val="center"/>
          </w:tcPr>
          <w:p>
            <w:pPr>
              <w:pStyle w:val="Normal"/>
              <w:bidi w:val="0"/>
              <w:jc w:val="left"/>
              <w:rPr/>
            </w:pPr>
            <w:r>
              <w:rPr/>
            </w:r>
          </w:p>
        </w:tc>
        <w:tc>
          <w:tcPr>
            <w:tcW w:w="8074" w:type="dxa"/>
            <w:gridSpan w:val="2"/>
            <w:tcBorders/>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We embrace diverse perspectives and treat others the way they want to be treated</w:t>
            </w:r>
          </w:p>
        </w:tc>
      </w:tr>
      <w:tr>
        <w:trPr/>
        <w:tc>
          <w:tcPr>
            <w:tcW w:w="915" w:type="dxa"/>
            <w:tcBorders/>
            <w:vAlign w:val="center"/>
          </w:tcPr>
          <w:p>
            <w:pPr>
              <w:pStyle w:val="TableContents"/>
              <w:bidi w:val="0"/>
              <w:spacing w:before="0" w:after="283"/>
              <w:jc w:val="center"/>
              <w:rPr/>
            </w:pPr>
            <w:r>
              <w:rPr/>
              <w:t> </w:t>
            </w:r>
          </w:p>
        </w:tc>
        <w:tc>
          <w:tcPr>
            <w:tcW w:w="8074" w:type="dxa"/>
            <w:gridSpan w:val="2"/>
            <w:tcBorders/>
            <w:vAlign w:val="center"/>
          </w:tcPr>
          <w:p>
            <w:pPr>
              <w:pStyle w:val="TableContents"/>
              <w:bidi w:val="0"/>
              <w:spacing w:before="0" w:after="283"/>
              <w:jc w:val="left"/>
              <w:rPr/>
            </w:pPr>
            <w:r>
              <w:rPr/>
              <w:t> </w:t>
            </w:r>
          </w:p>
        </w:tc>
      </w:tr>
      <w:tr>
        <w:trPr/>
        <w:tc>
          <w:tcPr>
            <w:tcW w:w="915" w:type="dxa"/>
            <w:vMerge w:val="restart"/>
            <w:tcBorders/>
            <w:vAlign w:val="center"/>
          </w:tcPr>
          <w:p>
            <w:pPr>
              <w:pStyle w:val="TableContents"/>
              <w:bidi w:val="0"/>
              <w:spacing w:before="0" w:after="283"/>
              <w:jc w:val="center"/>
              <w:rPr/>
            </w:pPr>
            <w:r>
              <w:rPr/>
              <w:drawing>
                <wp:inline distT="0" distB="0" distL="0" distR="0">
                  <wp:extent cx="571500" cy="54229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571500" cy="542290"/>
                          </a:xfrm>
                          <a:prstGeom prst="rect">
                            <a:avLst/>
                          </a:prstGeom>
                        </pic:spPr>
                      </pic:pic>
                    </a:graphicData>
                  </a:graphic>
                </wp:inline>
              </w:drawing>
            </w:r>
          </w:p>
        </w:tc>
        <w:tc>
          <w:tcPr>
            <w:tcW w:w="7832" w:type="dxa"/>
            <w:tcBorders/>
            <w:vAlign w:val="center"/>
          </w:tcPr>
          <w:p>
            <w:pPr>
              <w:pStyle w:val="TableContents"/>
              <w:bidi w:val="0"/>
              <w:spacing w:before="0" w:after="283"/>
              <w:jc w:val="left"/>
              <w:rPr>
                <w:rFonts w:ascii="Arial;Helvetica;Sans-Serif" w:hAnsi="Arial;Helvetica;Sans-Serif"/>
                <w:b/>
                <w:i w:val="false"/>
                <w:caps w:val="false"/>
                <w:smallCaps w:val="false"/>
                <w:sz w:val="34"/>
              </w:rPr>
            </w:pPr>
            <w:r>
              <w:rPr>
                <w:rFonts w:ascii="Arial;Helvetica;Sans-Serif" w:hAnsi="Arial;Helvetica;Sans-Serif"/>
                <w:b/>
                <w:i w:val="false"/>
                <w:caps w:val="false"/>
                <w:smallCaps w:val="false"/>
                <w:sz w:val="34"/>
              </w:rPr>
              <w:t>Accountability</w:t>
            </w:r>
          </w:p>
        </w:tc>
        <w:tc>
          <w:tcPr>
            <w:tcW w:w="242" w:type="dxa"/>
            <w:tcBorders/>
            <w:vAlign w:val="center"/>
          </w:tcPr>
          <w:p>
            <w:pPr>
              <w:pStyle w:val="TableContents"/>
              <w:bidi w:val="0"/>
              <w:spacing w:before="0" w:after="283"/>
              <w:jc w:val="left"/>
              <w:rPr/>
            </w:pPr>
            <w:r>
              <w:rPr/>
              <w:t> </w:t>
            </w:r>
          </w:p>
        </w:tc>
      </w:tr>
      <w:tr>
        <w:trPr/>
        <w:tc>
          <w:tcPr>
            <w:tcW w:w="915" w:type="dxa"/>
            <w:vMerge w:val="continue"/>
            <w:tcBorders/>
            <w:vAlign w:val="center"/>
          </w:tcPr>
          <w:p>
            <w:pPr>
              <w:pStyle w:val="Normal"/>
              <w:bidi w:val="0"/>
              <w:jc w:val="left"/>
              <w:rPr/>
            </w:pPr>
            <w:r>
              <w:rPr/>
            </w:r>
          </w:p>
        </w:tc>
        <w:tc>
          <w:tcPr>
            <w:tcW w:w="8074" w:type="dxa"/>
            <w:gridSpan w:val="2"/>
            <w:tcBorders/>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We honor our commitments, expect excellence and take pride in our work</w:t>
            </w:r>
          </w:p>
        </w:tc>
      </w:tr>
      <w:tr>
        <w:trPr/>
        <w:tc>
          <w:tcPr>
            <w:tcW w:w="915" w:type="dxa"/>
            <w:tcBorders/>
            <w:vAlign w:val="center"/>
          </w:tcPr>
          <w:p>
            <w:pPr>
              <w:pStyle w:val="TableContents"/>
              <w:bidi w:val="0"/>
              <w:spacing w:before="0" w:after="283"/>
              <w:jc w:val="center"/>
              <w:rPr/>
            </w:pPr>
            <w:r>
              <w:rPr/>
              <w:t> </w:t>
            </w:r>
          </w:p>
        </w:tc>
        <w:tc>
          <w:tcPr>
            <w:tcW w:w="8074" w:type="dxa"/>
            <w:gridSpan w:val="2"/>
            <w:tcBorders/>
            <w:vAlign w:val="center"/>
          </w:tcPr>
          <w:p>
            <w:pPr>
              <w:pStyle w:val="TableContents"/>
              <w:bidi w:val="0"/>
              <w:spacing w:before="0" w:after="283"/>
              <w:jc w:val="left"/>
              <w:rPr/>
            </w:pPr>
            <w:r>
              <w:rPr/>
              <w:t> </w:t>
            </w:r>
          </w:p>
        </w:tc>
      </w:tr>
      <w:tr>
        <w:trPr/>
        <w:tc>
          <w:tcPr>
            <w:tcW w:w="915" w:type="dxa"/>
            <w:vMerge w:val="restart"/>
            <w:tcBorders/>
            <w:vAlign w:val="center"/>
          </w:tcPr>
          <w:p>
            <w:pPr>
              <w:pStyle w:val="TableContents"/>
              <w:bidi w:val="0"/>
              <w:spacing w:before="0" w:after="283"/>
              <w:jc w:val="center"/>
              <w:rPr/>
            </w:pPr>
            <w:r>
              <w:rPr/>
              <w:drawing>
                <wp:inline distT="0" distB="0" distL="0" distR="0">
                  <wp:extent cx="571500" cy="45085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571500" cy="450850"/>
                          </a:xfrm>
                          <a:prstGeom prst="rect">
                            <a:avLst/>
                          </a:prstGeom>
                        </pic:spPr>
                      </pic:pic>
                    </a:graphicData>
                  </a:graphic>
                </wp:inline>
              </w:drawing>
            </w:r>
          </w:p>
        </w:tc>
        <w:tc>
          <w:tcPr>
            <w:tcW w:w="7832" w:type="dxa"/>
            <w:tcBorders/>
            <w:vAlign w:val="center"/>
          </w:tcPr>
          <w:p>
            <w:pPr>
              <w:pStyle w:val="TableContents"/>
              <w:bidi w:val="0"/>
              <w:spacing w:before="0" w:after="283"/>
              <w:jc w:val="left"/>
              <w:rPr>
                <w:rFonts w:ascii="Arial;Helvetica;Sans-Serif" w:hAnsi="Arial;Helvetica;Sans-Serif"/>
                <w:b/>
                <w:i w:val="false"/>
                <w:caps w:val="false"/>
                <w:smallCaps w:val="false"/>
                <w:sz w:val="34"/>
              </w:rPr>
            </w:pPr>
            <w:r>
              <w:rPr>
                <w:rFonts w:ascii="Arial;Helvetica;Sans-Serif" w:hAnsi="Arial;Helvetica;Sans-Serif"/>
                <w:b/>
                <w:i w:val="false"/>
                <w:caps w:val="false"/>
                <w:smallCaps w:val="false"/>
                <w:sz w:val="34"/>
              </w:rPr>
              <w:t>Collaboration</w:t>
            </w:r>
          </w:p>
        </w:tc>
        <w:tc>
          <w:tcPr>
            <w:tcW w:w="242" w:type="dxa"/>
            <w:tcBorders/>
            <w:vAlign w:val="center"/>
          </w:tcPr>
          <w:p>
            <w:pPr>
              <w:pStyle w:val="TableContents"/>
              <w:bidi w:val="0"/>
              <w:spacing w:before="0" w:after="283"/>
              <w:jc w:val="left"/>
              <w:rPr/>
            </w:pPr>
            <w:r>
              <w:rPr/>
              <w:t> </w:t>
            </w:r>
          </w:p>
        </w:tc>
      </w:tr>
      <w:tr>
        <w:trPr/>
        <w:tc>
          <w:tcPr>
            <w:tcW w:w="915" w:type="dxa"/>
            <w:vMerge w:val="continue"/>
            <w:tcBorders/>
            <w:vAlign w:val="center"/>
          </w:tcPr>
          <w:p>
            <w:pPr>
              <w:pStyle w:val="Normal"/>
              <w:bidi w:val="0"/>
              <w:jc w:val="left"/>
              <w:rPr/>
            </w:pPr>
            <w:r>
              <w:rPr/>
            </w:r>
          </w:p>
        </w:tc>
        <w:tc>
          <w:tcPr>
            <w:tcW w:w="8074" w:type="dxa"/>
            <w:gridSpan w:val="2"/>
            <w:tcBorders/>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We share insights, learn together and perform as a team</w:t>
            </w:r>
          </w:p>
        </w:tc>
      </w:tr>
      <w:tr>
        <w:trPr/>
        <w:tc>
          <w:tcPr>
            <w:tcW w:w="915" w:type="dxa"/>
            <w:tcBorders/>
            <w:vAlign w:val="center"/>
          </w:tcPr>
          <w:p>
            <w:pPr>
              <w:pStyle w:val="TableContents"/>
              <w:bidi w:val="0"/>
              <w:spacing w:before="0" w:after="283"/>
              <w:jc w:val="center"/>
              <w:rPr/>
            </w:pPr>
            <w:r>
              <w:rPr/>
              <w:t> </w:t>
            </w:r>
          </w:p>
        </w:tc>
        <w:tc>
          <w:tcPr>
            <w:tcW w:w="8074" w:type="dxa"/>
            <w:gridSpan w:val="2"/>
            <w:tcBorders/>
            <w:vAlign w:val="center"/>
          </w:tcPr>
          <w:p>
            <w:pPr>
              <w:pStyle w:val="TableContents"/>
              <w:bidi w:val="0"/>
              <w:spacing w:before="0" w:after="283"/>
              <w:jc w:val="left"/>
              <w:rPr/>
            </w:pPr>
            <w:r>
              <w:rPr/>
              <w:t> </w:t>
            </w:r>
          </w:p>
        </w:tc>
      </w:tr>
      <w:tr>
        <w:trPr/>
        <w:tc>
          <w:tcPr>
            <w:tcW w:w="915" w:type="dxa"/>
            <w:vMerge w:val="restart"/>
            <w:tcBorders/>
            <w:vAlign w:val="center"/>
          </w:tcPr>
          <w:p>
            <w:pPr>
              <w:pStyle w:val="TableContents"/>
              <w:bidi w:val="0"/>
              <w:spacing w:before="0" w:after="283"/>
              <w:jc w:val="center"/>
              <w:rPr/>
            </w:pPr>
            <w:r>
              <w:rPr/>
              <w:drawing>
                <wp:inline distT="0" distB="0" distL="0" distR="0">
                  <wp:extent cx="571500" cy="44513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571500" cy="445135"/>
                          </a:xfrm>
                          <a:prstGeom prst="rect">
                            <a:avLst/>
                          </a:prstGeom>
                        </pic:spPr>
                      </pic:pic>
                    </a:graphicData>
                  </a:graphic>
                </wp:inline>
              </w:drawing>
            </w:r>
          </w:p>
        </w:tc>
        <w:tc>
          <w:tcPr>
            <w:tcW w:w="7832" w:type="dxa"/>
            <w:tcBorders/>
            <w:vAlign w:val="center"/>
          </w:tcPr>
          <w:p>
            <w:pPr>
              <w:pStyle w:val="TableContents"/>
              <w:bidi w:val="0"/>
              <w:spacing w:before="0" w:after="283"/>
              <w:jc w:val="left"/>
              <w:rPr>
                <w:rFonts w:ascii="Arial;Helvetica;Sans-Serif" w:hAnsi="Arial;Helvetica;Sans-Serif"/>
                <w:b/>
                <w:i w:val="false"/>
                <w:caps w:val="false"/>
                <w:smallCaps w:val="false"/>
                <w:sz w:val="34"/>
              </w:rPr>
            </w:pPr>
            <w:r>
              <w:rPr>
                <w:rFonts w:ascii="Arial;Helvetica;Sans-Serif" w:hAnsi="Arial;Helvetica;Sans-Serif"/>
                <w:b/>
                <w:i w:val="false"/>
                <w:caps w:val="false"/>
                <w:smallCaps w:val="false"/>
                <w:sz w:val="34"/>
              </w:rPr>
              <w:t>Innovation</w:t>
            </w:r>
          </w:p>
        </w:tc>
        <w:tc>
          <w:tcPr>
            <w:tcW w:w="242" w:type="dxa"/>
            <w:tcBorders/>
            <w:vAlign w:val="center"/>
          </w:tcPr>
          <w:p>
            <w:pPr>
              <w:pStyle w:val="TableContents"/>
              <w:bidi w:val="0"/>
              <w:spacing w:before="0" w:after="283"/>
              <w:jc w:val="left"/>
              <w:rPr/>
            </w:pPr>
            <w:r>
              <w:rPr/>
              <w:t> </w:t>
            </w:r>
          </w:p>
        </w:tc>
      </w:tr>
      <w:tr>
        <w:trPr/>
        <w:tc>
          <w:tcPr>
            <w:tcW w:w="915" w:type="dxa"/>
            <w:vMerge w:val="continue"/>
            <w:tcBorders/>
            <w:vAlign w:val="center"/>
          </w:tcPr>
          <w:p>
            <w:pPr>
              <w:pStyle w:val="Normal"/>
              <w:bidi w:val="0"/>
              <w:jc w:val="left"/>
              <w:rPr/>
            </w:pPr>
            <w:r>
              <w:rPr/>
            </w:r>
          </w:p>
        </w:tc>
        <w:tc>
          <w:tcPr>
            <w:tcW w:w="8074" w:type="dxa"/>
            <w:gridSpan w:val="2"/>
            <w:tcBorders/>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We experiment, design, build and transform with speed and agility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6"/>
        </w:rPr>
      </w:pPr>
      <w:r>
        <w:rPr>
          <w:rFonts w:ascii="Arial;Helvetica;Sans-Serif" w:hAnsi="Arial;Helvetica;Sans-Serif"/>
          <w:b/>
          <w:i w:val="false"/>
          <w:caps w:val="false"/>
          <w:smallCaps w:val="false"/>
          <w:sz w:val="26"/>
        </w:rPr>
        <w:t>These values drive our actions, behaviors and performance with a vision for a safer, more connected world</w:t>
      </w:r>
    </w:p>
    <w:p>
      <w:pPr>
        <w:pStyle w:val="HorizontalLine"/>
        <w:pBdr>
          <w:bottom w:val="double" w:sz="2" w:space="0" w:color="808080"/>
        </w:pBdr>
        <w:bidi w:val="0"/>
        <w:spacing w:before="0" w:after="283"/>
        <w:jc w:val="left"/>
        <w:rPr/>
      </w:pPr>
      <w:r>
        <w:rPr/>
      </w:r>
    </w:p>
    <w:p>
      <w:pPr>
        <w:pStyle w:val="TextBody"/>
        <w:bidi w:val="0"/>
        <w:spacing w:before="200" w:after="200"/>
        <w:jc w:val="left"/>
        <w:rPr/>
      </w:pPr>
      <w:hyperlink w:anchor="toc">
        <w:r>
          <w:rPr>
            <w:rStyle w:val="InternetLink"/>
            <w:rFonts w:ascii="Arial;Helvetica;Sans-Serif" w:hAnsi="Arial;Helvetica;Sans-Serif"/>
            <w:b/>
            <w:i w:val="false"/>
            <w:caps w:val="false"/>
            <w:smallCaps w:val="false"/>
            <w:sz w:val="16"/>
          </w:rPr>
          <w:t>Table of Contents</w:t>
        </w:r>
      </w:hyperlink>
    </w:p>
    <w:p>
      <w:pPr>
        <w:pStyle w:val="TextBody"/>
        <w:bidi w:val="0"/>
        <w:jc w:val="right"/>
        <w:rPr>
          <w:caps w:val="false"/>
          <w:smallCaps w:val="false"/>
        </w:rPr>
      </w:pPr>
      <w:r>
        <w:rPr>
          <w:caps w:val="false"/>
          <w:smallCaps w:val="false"/>
        </w:rPr>
        <w:drawing>
          <wp:inline distT="0" distB="0" distL="0" distR="0">
            <wp:extent cx="1076325" cy="41783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076325" cy="417830"/>
                    </a:xfrm>
                    <a:prstGeom prst="rect">
                      <a:avLst/>
                    </a:prstGeom>
                  </pic:spPr>
                </pic:pic>
              </a:graphicData>
            </a:graphic>
          </wp:inline>
        </w:drawing>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March 9, 2026</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56"/>
        </w:rPr>
      </w:pPr>
      <w:bookmarkStart w:id="4" w:name="rtx014050a001"/>
      <w:bookmarkEnd w:id="4"/>
      <w:r>
        <w:rPr>
          <w:rFonts w:ascii="Arial;Helvetica;Sans-Serif" w:hAnsi="Arial;Helvetica;Sans-Serif"/>
          <w:b/>
          <w:i w:val="false"/>
          <w:caps w:val="false"/>
          <w:smallCaps w:val="false"/>
          <w:sz w:val="56"/>
        </w:rPr>
        <w:t>Notice of 2026 Annual</w:t>
        <w:br/>
        <w:t>Meeting of Shareowners</w:t>
      </w:r>
    </w:p>
    <w:p>
      <w:pPr>
        <w:pStyle w:val="TextBody"/>
        <w:bidi w:val="0"/>
        <w:jc w:val="left"/>
        <w:rPr>
          <w:caps w:val="false"/>
          <w:smallCaps w:val="false"/>
        </w:rPr>
      </w:pPr>
      <w:r>
        <w:rPr>
          <w:caps w:val="false"/>
          <w:smallCaps w:val="false"/>
        </w:rPr>
        <w:t> </w:t>
      </w:r>
    </w:p>
    <w:p>
      <w:pPr>
        <w:pStyle w:val="TextBody"/>
        <w:bidi w:val="0"/>
        <w:spacing w:before="200" w:after="283"/>
        <w:jc w:val="right"/>
        <w:rPr/>
      </w:pPr>
      <w:r>
        <w:rPr>
          <w:rFonts w:ascii="Arial;Helvetica;Sans-Serif" w:hAnsi="Arial;Helvetica;Sans-Serif"/>
          <w:b/>
          <w:sz w:val="15"/>
        </w:rPr>
        <w:t>RTX</w:t>
      </w:r>
      <w:r>
        <w:rPr/>
        <w:t xml:space="preserve"> </w:t>
      </w:r>
      <w:r>
        <w:rPr>
          <w:rFonts w:ascii="Arial;Helvetica;Sans-Serif" w:hAnsi="Arial;Helvetica;Sans-Serif"/>
          <w:sz w:val="15"/>
        </w:rPr>
        <w:t>2026 PROXY STATEMENT    </w:t>
      </w:r>
      <w:r>
        <w:rPr>
          <w:rFonts w:ascii="Arial;Helvetica;Sans-Serif" w:hAnsi="Arial;Helvetica;Sans-Serif"/>
          <w:b/>
          <w:sz w:val="15"/>
        </w:rPr>
        <w:t>i</w:t>
      </w:r>
      <w:r>
        <mc:AlternateContent>
          <mc:Choice Requires="wps">
            <w:drawing>
              <wp:anchor behindDoc="0" distT="0" distB="0" distL="0" distR="0" simplePos="0" locked="0" layoutInCell="1" allowOverlap="1" relativeHeight="200">
                <wp:simplePos x="0" y="0"/>
                <wp:positionH relativeFrom="column">
                  <wp:align>left</wp:align>
                </wp:positionH>
                <wp:positionV relativeFrom="line">
                  <wp:posOffset>635</wp:posOffset>
                </wp:positionV>
                <wp:extent cx="3110230" cy="8088630"/>
                <wp:effectExtent l="0" t="0" r="0" b="0"/>
                <wp:wrapSquare wrapText="right"/>
                <wp:docPr id="11" name="Frame1"/>
                <a:graphic xmlns:a="http://schemas.openxmlformats.org/drawingml/2006/main">
                  <a:graphicData uri="http://schemas.microsoft.com/office/word/2010/wordprocessingShape">
                    <wps:wsp>
                      <wps:cNvSpPr txBox="1"/>
                      <wps:spPr>
                        <a:xfrm>
                          <a:off x="0" y="0"/>
                          <a:ext cx="3110230" cy="8088630"/>
                        </a:xfrm>
                        <a:prstGeom prst="rect"/>
                        <a:solidFill>
                          <a:srgbClr val="FFFFFF"/>
                        </a:solidFill>
                      </wps:spPr>
                      <wps:txbx>
                        <w:txbxContent>
                          <w:tbl>
                            <w:tblPr>
                              <w:tblW w:w="10205" w:type="dxa"/>
                              <w:jc w:val="left"/>
                              <w:tblInd w:w="0" w:type="dxa"/>
                              <w:tblLayout w:type="fixed"/>
                              <w:tblCellMar>
                                <w:top w:w="160" w:type="dxa"/>
                                <w:left w:w="0" w:type="dxa"/>
                                <w:bottom w:w="0" w:type="dxa"/>
                                <w:right w:w="0" w:type="dxa"/>
                              </w:tblCellMar>
                            </w:tblPr>
                            <w:tblGrid>
                              <w:gridCol w:w="10205"/>
                            </w:tblGrid>
                            <w:tr>
                              <w:trPr/>
                              <w:tc>
                                <w:tcPr>
                                  <w:tcW w:w="10205" w:type="dxa"/>
                                  <w:tcBorders>
                                    <w:top w:val="single" w:sz="12" w:space="0" w:color="C12E33"/>
                                  </w:tcBorders>
                                  <w:shd w:fill="EDEDEE" w:val="clear"/>
                                  <w:vAlign w:val="center"/>
                                </w:tcPr>
                                <w:p>
                                  <w:pPr>
                                    <w:pStyle w:val="TableContents"/>
                                    <w:bidi w:val="0"/>
                                    <w:jc w:val="left"/>
                                    <w:rPr>
                                      <w:b/>
                                      <w:sz w:val="22"/>
                                    </w:rPr>
                                  </w:pPr>
                                  <w:r>
                                    <w:rPr>
                                      <w:b/>
                                      <w:sz w:val="22"/>
                                    </w:rPr>
                                    <w:t>PLACE</w:t>
                                  </w:r>
                                </w:p>
                                <w:p>
                                  <w:pPr>
                                    <w:pStyle w:val="TableContents"/>
                                    <w:bidi w:val="0"/>
                                    <w:spacing w:before="160" w:after="283"/>
                                    <w:jc w:val="left"/>
                                    <w:rPr/>
                                  </w:pPr>
                                  <w:r>
                                    <w:rPr>
                                      <w:b/>
                                      <w:color w:val="C12E33"/>
                                    </w:rPr>
                                    <w:t>Our 2026 Annual Meeting will be held in a virtual-only format at:</w:t>
                                  </w:r>
                                  <w:r>
                                    <w:rPr/>
                                    <w:br/>
                                  </w:r>
                                  <w:r>
                                    <w:rPr>
                                      <w:bdr w:val="single" w:sz="2" w:space="1" w:color="636466"/>
                                    </w:rPr>
                                    <w:t>www.virtualshareholdermeeting.com/RTX2026</w:t>
                                  </w:r>
                                </w:p>
                                <w:p>
                                  <w:pPr>
                                    <w:pStyle w:val="TableContents"/>
                                    <w:bidi w:val="0"/>
                                    <w:spacing w:before="200" w:after="283"/>
                                    <w:jc w:val="left"/>
                                    <w:rPr>
                                      <w:b/>
                                      <w:sz w:val="22"/>
                                    </w:rPr>
                                  </w:pPr>
                                  <w:r>
                                    <w:rPr>
                                      <w:b/>
                                      <w:sz w:val="22"/>
                                    </w:rPr>
                                    <w:t>DATE AND TIME</w:t>
                                  </w:r>
                                </w:p>
                                <w:p>
                                  <w:pPr>
                                    <w:pStyle w:val="TableContents"/>
                                    <w:bidi w:val="0"/>
                                    <w:spacing w:before="160" w:after="283"/>
                                    <w:jc w:val="left"/>
                                    <w:rPr/>
                                  </w:pPr>
                                  <w:r>
                                    <w:rPr>
                                      <w:b/>
                                      <w:color w:val="C12E33"/>
                                    </w:rPr>
                                    <w:t>April 30, 2026</w:t>
                                  </w:r>
                                  <w:r>
                                    <w:rPr/>
                                    <w:br/>
                                    <w:t>8:00 a.m. Eastern time</w:t>
                                  </w:r>
                                </w:p>
                                <w:p>
                                  <w:pPr>
                                    <w:pStyle w:val="TableContents"/>
                                    <w:bidi w:val="0"/>
                                    <w:spacing w:before="160" w:after="283"/>
                                    <w:jc w:val="left"/>
                                    <w:rPr>
                                      <w:b/>
                                    </w:rPr>
                                  </w:pPr>
                                  <w:r>
                                    <w:rPr>
                                      <w:b/>
                                    </w:rPr>
                                    <w:t>Your vote is very important. Please submit your proxy card or voting instruction form as soon as possible.</w:t>
                                  </w:r>
                                </w:p>
                              </w:tc>
                            </w:tr>
                          </w:tbl>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i w:val="false"/>
                                <w:caps w:val="false"/>
                                <w:smallCaps w:val="false"/>
                                <w:sz w:val="34"/>
                              </w:rPr>
                            </w:pPr>
                            <w:r>
                              <w:rPr>
                                <w:rFonts w:ascii="Arial;Helvetica;Sans-Serif" w:hAnsi="Arial;Helvetica;Sans-Serif"/>
                                <w:b/>
                                <w:i w:val="false"/>
                                <w:caps w:val="false"/>
                                <w:smallCaps w:val="false"/>
                                <w:sz w:val="34"/>
                              </w:rPr>
                              <w:t>Who may vote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If you owned shares of RTX Common Stock at the close of business on March 3, 2026, the record date for the 2026 Annual Meeting, you are entitled to receive this Notice of the 2026 Annual Meeting and to vote at the meeting, either during the virtual meeting or by proxy.</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i w:val="false"/>
                                <w:caps w:val="false"/>
                                <w:smallCaps w:val="false"/>
                                <w:sz w:val="34"/>
                              </w:rPr>
                            </w:pPr>
                            <w:r>
                              <w:rPr>
                                <w:rFonts w:ascii="Arial;Helvetica;Sans-Serif" w:hAnsi="Arial;Helvetica;Sans-Serif"/>
                                <w:b/>
                                <w:i w:val="false"/>
                                <w:caps w:val="false"/>
                                <w:smallCaps w:val="false"/>
                                <w:sz w:val="34"/>
                              </w:rPr>
                              <w:t>How to attend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To be admitted to the 2026 Annual Meeting via the website, enter the 16-digit voting control number found on your proxy card, voting instruction form, notice of internet availability of proxy materials or email notification. You can find detailed instructions on pages 90-92 of this Proxy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Please review this Proxy Statement and vote in one of the four ways shown to the right under “Voting Methods Available to You.”</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By Order of the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Edward G. Perrault</w:t>
                            </w:r>
                            <w:r>
                              <w:rPr>
                                <w:rFonts w:ascii="Arial;Helvetica;Sans-Serif" w:hAnsi="Arial;Helvetica;Sans-Serif"/>
                                <w:b w:val="false"/>
                                <w:i w:val="false"/>
                                <w:caps w:val="false"/>
                                <w:smallCaps w:val="false"/>
                                <w:sz w:val="20"/>
                              </w:rPr>
                              <w:br/>
                              <w:t>Senior Vice President &amp; Secretary</w:t>
                            </w:r>
                          </w:p>
                          <w:p>
                            <w:pPr>
                              <w:pStyle w:val="TextBody"/>
                              <w:bidi w:val="0"/>
                              <w:spacing w:before="0" w:after="0"/>
                              <w:ind w:left="0" w:right="0" w:hanging="0"/>
                              <w:jc w:val="left"/>
                              <w:rPr>
                                <w:caps w:val="false"/>
                                <w:smallCaps w:val="false"/>
                              </w:rPr>
                            </w:pPr>
                            <w:r>
                              <w:rPr>
                                <w:caps w:val="false"/>
                                <w:smallCaps w:val="false"/>
                              </w:rPr>
                              <w:t>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636.9pt;mso-wrap-distance-left:0pt;mso-wrap-distance-right:0pt;mso-wrap-distance-top:0pt;mso-wrap-distance-bottom:0pt;margin-top:0pt;mso-position-vertical:top;mso-position-vertical-relative:text;margin-left:0pt;mso-position-horizontal:left;mso-position-horizontal-relative:text">
                <v:textbox>
                  <w:txbxContent>
                    <w:tbl>
                      <w:tblPr>
                        <w:tblW w:w="10205" w:type="dxa"/>
                        <w:jc w:val="left"/>
                        <w:tblInd w:w="0" w:type="dxa"/>
                        <w:tblLayout w:type="fixed"/>
                        <w:tblCellMar>
                          <w:top w:w="160" w:type="dxa"/>
                          <w:left w:w="0" w:type="dxa"/>
                          <w:bottom w:w="0" w:type="dxa"/>
                          <w:right w:w="0" w:type="dxa"/>
                        </w:tblCellMar>
                      </w:tblPr>
                      <w:tblGrid>
                        <w:gridCol w:w="10205"/>
                      </w:tblGrid>
                      <w:tr>
                        <w:trPr/>
                        <w:tc>
                          <w:tcPr>
                            <w:tcW w:w="10205" w:type="dxa"/>
                            <w:tcBorders>
                              <w:top w:val="single" w:sz="12" w:space="0" w:color="C12E33"/>
                            </w:tcBorders>
                            <w:shd w:fill="EDEDEE" w:val="clear"/>
                            <w:vAlign w:val="center"/>
                          </w:tcPr>
                          <w:p>
                            <w:pPr>
                              <w:pStyle w:val="TableContents"/>
                              <w:bidi w:val="0"/>
                              <w:jc w:val="left"/>
                              <w:rPr>
                                <w:b/>
                                <w:sz w:val="22"/>
                              </w:rPr>
                            </w:pPr>
                            <w:r>
                              <w:rPr>
                                <w:b/>
                                <w:sz w:val="22"/>
                              </w:rPr>
                              <w:t>PLACE</w:t>
                            </w:r>
                          </w:p>
                          <w:p>
                            <w:pPr>
                              <w:pStyle w:val="TableContents"/>
                              <w:bidi w:val="0"/>
                              <w:spacing w:before="160" w:after="283"/>
                              <w:jc w:val="left"/>
                              <w:rPr/>
                            </w:pPr>
                            <w:r>
                              <w:rPr>
                                <w:b/>
                                <w:color w:val="C12E33"/>
                              </w:rPr>
                              <w:t>Our 2026 Annual Meeting will be held in a virtual-only format at:</w:t>
                            </w:r>
                            <w:r>
                              <w:rPr/>
                              <w:br/>
                            </w:r>
                            <w:r>
                              <w:rPr>
                                <w:bdr w:val="single" w:sz="2" w:space="1" w:color="636466"/>
                              </w:rPr>
                              <w:t>www.virtualshareholdermeeting.com/RTX2026</w:t>
                            </w:r>
                          </w:p>
                          <w:p>
                            <w:pPr>
                              <w:pStyle w:val="TableContents"/>
                              <w:bidi w:val="0"/>
                              <w:spacing w:before="200" w:after="283"/>
                              <w:jc w:val="left"/>
                              <w:rPr>
                                <w:b/>
                                <w:sz w:val="22"/>
                              </w:rPr>
                            </w:pPr>
                            <w:r>
                              <w:rPr>
                                <w:b/>
                                <w:sz w:val="22"/>
                              </w:rPr>
                              <w:t>DATE AND TIME</w:t>
                            </w:r>
                          </w:p>
                          <w:p>
                            <w:pPr>
                              <w:pStyle w:val="TableContents"/>
                              <w:bidi w:val="0"/>
                              <w:spacing w:before="160" w:after="283"/>
                              <w:jc w:val="left"/>
                              <w:rPr/>
                            </w:pPr>
                            <w:r>
                              <w:rPr>
                                <w:b/>
                                <w:color w:val="C12E33"/>
                              </w:rPr>
                              <w:t>April 30, 2026</w:t>
                            </w:r>
                            <w:r>
                              <w:rPr/>
                              <w:br/>
                              <w:t>8:00 a.m. Eastern time</w:t>
                            </w:r>
                          </w:p>
                          <w:p>
                            <w:pPr>
                              <w:pStyle w:val="TableContents"/>
                              <w:bidi w:val="0"/>
                              <w:spacing w:before="160" w:after="283"/>
                              <w:jc w:val="left"/>
                              <w:rPr>
                                <w:b/>
                              </w:rPr>
                            </w:pPr>
                            <w:r>
                              <w:rPr>
                                <w:b/>
                              </w:rPr>
                              <w:t>Your vote is very important. Please submit your proxy card or voting instruction form as soon as possible.</w:t>
                            </w:r>
                          </w:p>
                        </w:tc>
                      </w:tr>
                    </w:tbl>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i w:val="false"/>
                          <w:caps w:val="false"/>
                          <w:smallCaps w:val="false"/>
                          <w:sz w:val="34"/>
                        </w:rPr>
                      </w:pPr>
                      <w:r>
                        <w:rPr>
                          <w:rFonts w:ascii="Arial;Helvetica;Sans-Serif" w:hAnsi="Arial;Helvetica;Sans-Serif"/>
                          <w:b/>
                          <w:i w:val="false"/>
                          <w:caps w:val="false"/>
                          <w:smallCaps w:val="false"/>
                          <w:sz w:val="34"/>
                        </w:rPr>
                        <w:t>Who may vote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If you owned shares of RTX Common Stock at the close of business on March 3, 2026, the record date for the 2026 Annual Meeting, you are entitled to receive this Notice of the 2026 Annual Meeting and to vote at the meeting, either during the virtual meeting or by proxy.</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i w:val="false"/>
                          <w:caps w:val="false"/>
                          <w:smallCaps w:val="false"/>
                          <w:sz w:val="34"/>
                        </w:rPr>
                      </w:pPr>
                      <w:r>
                        <w:rPr>
                          <w:rFonts w:ascii="Arial;Helvetica;Sans-Serif" w:hAnsi="Arial;Helvetica;Sans-Serif"/>
                          <w:b/>
                          <w:i w:val="false"/>
                          <w:caps w:val="false"/>
                          <w:smallCaps w:val="false"/>
                          <w:sz w:val="34"/>
                        </w:rPr>
                        <w:t>How to attend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To be admitted to the 2026 Annual Meeting via the website, enter the 16-digit voting control number found on your proxy card, voting instruction form, notice of internet availability of proxy materials or email notification. You can find detailed instructions on pages 90-92 of this Proxy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Please review this Proxy Statement and vote in one of the four ways shown to the right under “Voting Methods Available to You.”</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By Order of the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Edward G. Perrault</w:t>
                      </w:r>
                      <w:r>
                        <w:rPr>
                          <w:rFonts w:ascii="Arial;Helvetica;Sans-Serif" w:hAnsi="Arial;Helvetica;Sans-Serif"/>
                          <w:b w:val="false"/>
                          <w:i w:val="false"/>
                          <w:caps w:val="false"/>
                          <w:smallCaps w:val="false"/>
                          <w:sz w:val="20"/>
                        </w:rPr>
                        <w:br/>
                        <w:t>Senior Vice President &amp; Secretary</w:t>
                      </w:r>
                    </w:p>
                    <w:p>
                      <w:pPr>
                        <w:pStyle w:val="TextBody"/>
                        <w:bidi w:val="0"/>
                        <w:spacing w:before="0" w:after="0"/>
                        <w:ind w:left="0" w:right="0" w:hanging="0"/>
                        <w:jc w:val="left"/>
                        <w:rPr>
                          <w:caps w:val="false"/>
                          <w:smallCaps w:val="false"/>
                        </w:rPr>
                      </w:pPr>
                      <w:r>
                        <w:rPr>
                          <w:caps w:val="false"/>
                          <w:smallCaps w:val="false"/>
                        </w:rPr>
                        <w:t> </w:t>
                      </w:r>
                    </w:p>
                  </w:txbxContent>
                </v:textbox>
                <w10:wrap type="square" side="right"/>
              </v:rect>
            </w:pict>
          </mc:Fallback>
        </mc:AlternateContent>
      </w:r>
      <w:r>
        <mc:AlternateContent>
          <mc:Choice Requires="wps">
            <w:drawing>
              <wp:anchor behindDoc="0" distT="0" distB="0" distL="0" distR="0" simplePos="0" locked="0" layoutInCell="1" allowOverlap="1" relativeHeight="206">
                <wp:simplePos x="0" y="0"/>
                <wp:positionH relativeFrom="column">
                  <wp:align>right</wp:align>
                </wp:positionH>
                <wp:positionV relativeFrom="line">
                  <wp:posOffset>635</wp:posOffset>
                </wp:positionV>
                <wp:extent cx="3110230" cy="7143750"/>
                <wp:effectExtent l="0" t="0" r="0" b="0"/>
                <wp:wrapSquare wrapText="left"/>
                <wp:docPr id="12" name="Frame2"/>
                <a:graphic xmlns:a="http://schemas.openxmlformats.org/drawingml/2006/main">
                  <a:graphicData uri="http://schemas.microsoft.com/office/word/2010/wordprocessingShape">
                    <wps:wsp>
                      <wps:cNvSpPr txBox="1"/>
                      <wps:spPr>
                        <a:xfrm>
                          <a:off x="0" y="0"/>
                          <a:ext cx="3110230" cy="7143750"/>
                        </a:xfrm>
                        <a:prstGeom prst="rect"/>
                        <a:solidFill>
                          <a:srgbClr val="FFFFFF"/>
                        </a:solidFill>
                      </wps:spPr>
                      <wps:txbx>
                        <w:txbxContent>
                          <w:tbl>
                            <w:tblPr>
                              <w:tblW w:w="8830" w:type="dxa"/>
                              <w:jc w:val="left"/>
                              <w:tblInd w:w="0" w:type="dxa"/>
                              <w:tblLayout w:type="fixed"/>
                              <w:tblCellMar>
                                <w:top w:w="0" w:type="dxa"/>
                                <w:left w:w="0" w:type="dxa"/>
                                <w:bottom w:w="0" w:type="dxa"/>
                                <w:right w:w="0" w:type="dxa"/>
                              </w:tblCellMar>
                            </w:tblPr>
                            <w:tblGrid>
                              <w:gridCol w:w="395"/>
                              <w:gridCol w:w="8435"/>
                            </w:tblGrid>
                            <w:tr>
                              <w:trPr/>
                              <w:tc>
                                <w:tcPr>
                                  <w:tcW w:w="8830" w:type="dxa"/>
                                  <w:gridSpan w:val="2"/>
                                  <w:tcBorders/>
                                  <w:shd w:fill="A7A9AC" w:val="clear"/>
                                  <w:vAlign w:val="center"/>
                                </w:tcPr>
                                <w:p>
                                  <w:pPr>
                                    <w:pStyle w:val="TableContents"/>
                                    <w:bidi w:val="0"/>
                                    <w:spacing w:before="0" w:after="283"/>
                                    <w:jc w:val="left"/>
                                    <w:rPr>
                                      <w:b/>
                                      <w:color w:val="FFFFFF"/>
                                    </w:rPr>
                                  </w:pPr>
                                  <w:r>
                                    <w:rPr>
                                      <w:b/>
                                      <w:color w:val="FFFFFF"/>
                                    </w:rPr>
                                    <w:t>AGENDA</w:t>
                                  </w:r>
                                </w:p>
                              </w:tc>
                            </w:tr>
                            <w:tr>
                              <w:trPr/>
                              <w:tc>
                                <w:tcPr>
                                  <w:tcW w:w="395" w:type="dxa"/>
                                  <w:tcBorders/>
                                  <w:vAlign w:val="center"/>
                                </w:tcPr>
                                <w:p>
                                  <w:pPr>
                                    <w:pStyle w:val="TableContents"/>
                                    <w:bidi w:val="0"/>
                                    <w:spacing w:before="0" w:after="283"/>
                                    <w:jc w:val="left"/>
                                    <w:rPr/>
                                  </w:pPr>
                                  <w:r>
                                    <w:rPr/>
                                    <w:t> </w:t>
                                  </w:r>
                                </w:p>
                              </w:tc>
                              <w:tc>
                                <w:tcPr>
                                  <w:tcW w:w="8435" w:type="dxa"/>
                                  <w:tcBorders/>
                                  <w:vAlign w:val="center"/>
                                </w:tcPr>
                                <w:p>
                                  <w:pPr>
                                    <w:pStyle w:val="TableContents"/>
                                    <w:bidi w:val="0"/>
                                    <w:spacing w:before="0" w:after="283"/>
                                    <w:jc w:val="left"/>
                                    <w:rPr/>
                                  </w:pPr>
                                  <w:r>
                                    <w:rPr/>
                                    <w:t> </w:t>
                                  </w:r>
                                </w:p>
                              </w:tc>
                            </w:tr>
                            <w:tr>
                              <w:trPr/>
                              <w:tc>
                                <w:tcPr>
                                  <w:tcW w:w="395" w:type="dxa"/>
                                  <w:tcBorders/>
                                  <w:vAlign w:val="center"/>
                                </w:tcPr>
                                <w:p>
                                  <w:pPr>
                                    <w:pStyle w:val="TableContents"/>
                                    <w:bidi w:val="0"/>
                                    <w:spacing w:before="0" w:after="283"/>
                                    <w:jc w:val="left"/>
                                    <w:rPr>
                                      <w:b/>
                                      <w:sz w:val="48"/>
                                    </w:rPr>
                                  </w:pPr>
                                  <w:r>
                                    <w:rPr>
                                      <w:b/>
                                      <w:sz w:val="48"/>
                                    </w:rPr>
                                    <w:t>1</w:t>
                                  </w:r>
                                </w:p>
                              </w:tc>
                              <w:tc>
                                <w:tcPr>
                                  <w:tcW w:w="8435" w:type="dxa"/>
                                  <w:tcBorders/>
                                  <w:vAlign w:val="center"/>
                                </w:tcPr>
                                <w:p>
                                  <w:pPr>
                                    <w:pStyle w:val="TableContents"/>
                                    <w:bidi w:val="0"/>
                                    <w:spacing w:before="0" w:after="283"/>
                                    <w:jc w:val="left"/>
                                    <w:rPr/>
                                  </w:pPr>
                                  <w:r>
                                    <w:rPr/>
                                    <w:t>Election of the Ten Director Nominees Listed in this Proxy Statement</w:t>
                                  </w:r>
                                </w:p>
                              </w:tc>
                            </w:tr>
                            <w:tr>
                              <w:trPr/>
                              <w:tc>
                                <w:tcPr>
                                  <w:tcW w:w="395" w:type="dxa"/>
                                  <w:tcBorders/>
                                  <w:vAlign w:val="center"/>
                                </w:tcPr>
                                <w:p>
                                  <w:pPr>
                                    <w:pStyle w:val="TableContents"/>
                                    <w:bidi w:val="0"/>
                                    <w:spacing w:before="0" w:after="283"/>
                                    <w:jc w:val="left"/>
                                    <w:rPr>
                                      <w:b/>
                                      <w:sz w:val="48"/>
                                    </w:rPr>
                                  </w:pPr>
                                  <w:r>
                                    <w:rPr>
                                      <w:b/>
                                      <w:sz w:val="48"/>
                                    </w:rPr>
                                    <w:t>2</w:t>
                                  </w:r>
                                </w:p>
                              </w:tc>
                              <w:tc>
                                <w:tcPr>
                                  <w:tcW w:w="8435" w:type="dxa"/>
                                  <w:tcBorders/>
                                  <w:vAlign w:val="center"/>
                                </w:tcPr>
                                <w:p>
                                  <w:pPr>
                                    <w:pStyle w:val="TableContents"/>
                                    <w:bidi w:val="0"/>
                                    <w:spacing w:before="0" w:after="283"/>
                                    <w:jc w:val="left"/>
                                    <w:rPr/>
                                  </w:pPr>
                                  <w:r>
                                    <w:rPr/>
                                    <w:t>Advisory Vote to Approve Executive Compensation</w:t>
                                  </w:r>
                                </w:p>
                              </w:tc>
                            </w:tr>
                            <w:tr>
                              <w:trPr/>
                              <w:tc>
                                <w:tcPr>
                                  <w:tcW w:w="395" w:type="dxa"/>
                                  <w:tcBorders/>
                                  <w:vAlign w:val="center"/>
                                </w:tcPr>
                                <w:p>
                                  <w:pPr>
                                    <w:pStyle w:val="TableContents"/>
                                    <w:bidi w:val="0"/>
                                    <w:spacing w:before="0" w:after="283"/>
                                    <w:jc w:val="left"/>
                                    <w:rPr>
                                      <w:b/>
                                      <w:sz w:val="48"/>
                                    </w:rPr>
                                  </w:pPr>
                                  <w:r>
                                    <w:rPr>
                                      <w:b/>
                                      <w:sz w:val="48"/>
                                    </w:rPr>
                                    <w:t xml:space="preserve">3 </w:t>
                                  </w:r>
                                </w:p>
                              </w:tc>
                              <w:tc>
                                <w:tcPr>
                                  <w:tcW w:w="8435" w:type="dxa"/>
                                  <w:tcBorders/>
                                  <w:vAlign w:val="center"/>
                                </w:tcPr>
                                <w:p>
                                  <w:pPr>
                                    <w:pStyle w:val="TableContents"/>
                                    <w:bidi w:val="0"/>
                                    <w:spacing w:before="0" w:after="283"/>
                                    <w:jc w:val="left"/>
                                    <w:rPr/>
                                  </w:pPr>
                                  <w:r>
                                    <w:rPr/>
                                    <w:t>Appointment of PricewaterhouseCoopers LLP to Serve as Independent Auditor for 2026</w:t>
                                  </w:r>
                                </w:p>
                              </w:tc>
                            </w:tr>
                            <w:tr>
                              <w:trPr/>
                              <w:tc>
                                <w:tcPr>
                                  <w:tcW w:w="395" w:type="dxa"/>
                                  <w:tcBorders/>
                                  <w:vAlign w:val="center"/>
                                </w:tcPr>
                                <w:p>
                                  <w:pPr>
                                    <w:pStyle w:val="TableContents"/>
                                    <w:bidi w:val="0"/>
                                    <w:spacing w:before="0" w:after="283"/>
                                    <w:jc w:val="left"/>
                                    <w:rPr/>
                                  </w:pPr>
                                  <w:r>
                                    <w:rPr/>
                                    <w:t> </w:t>
                                  </w:r>
                                </w:p>
                              </w:tc>
                              <w:tc>
                                <w:tcPr>
                                  <w:tcW w:w="8435" w:type="dxa"/>
                                  <w:tcBorders/>
                                  <w:vAlign w:val="center"/>
                                </w:tcPr>
                                <w:p>
                                  <w:pPr>
                                    <w:pStyle w:val="TableContents"/>
                                    <w:bidi w:val="0"/>
                                    <w:spacing w:before="0" w:after="283"/>
                                    <w:jc w:val="left"/>
                                    <w:rPr/>
                                  </w:pPr>
                                  <w:r>
                                    <w:rPr/>
                                    <w:t> </w:t>
                                  </w:r>
                                </w:p>
                              </w:tc>
                            </w:tr>
                          </w:tbl>
                          <w:tbl>
                            <w:tblPr>
                              <w:tblW w:w="10025" w:type="dxa"/>
                              <w:jc w:val="left"/>
                              <w:tblInd w:w="0" w:type="dxa"/>
                              <w:tblLayout w:type="fixed"/>
                              <w:tblCellMar>
                                <w:top w:w="0" w:type="dxa"/>
                                <w:left w:w="0" w:type="dxa"/>
                                <w:bottom w:w="0" w:type="dxa"/>
                                <w:right w:w="0" w:type="dxa"/>
                              </w:tblCellMar>
                            </w:tblPr>
                            <w:tblGrid>
                              <w:gridCol w:w="675"/>
                              <w:gridCol w:w="9350"/>
                            </w:tblGrid>
                            <w:tr>
                              <w:trPr/>
                              <w:tc>
                                <w:tcPr>
                                  <w:tcW w:w="10025" w:type="dxa"/>
                                  <w:gridSpan w:val="2"/>
                                  <w:tcBorders/>
                                  <w:shd w:fill="A7A9AC" w:val="clear"/>
                                  <w:vAlign w:val="center"/>
                                </w:tcPr>
                                <w:p>
                                  <w:pPr>
                                    <w:pStyle w:val="TableContents"/>
                                    <w:bidi w:val="0"/>
                                    <w:spacing w:before="0" w:after="283"/>
                                    <w:jc w:val="left"/>
                                    <w:rPr>
                                      <w:b/>
                                      <w:color w:val="FFFFFF"/>
                                    </w:rPr>
                                  </w:pPr>
                                  <w:r>
                                    <w:rPr>
                                      <w:b/>
                                      <w:color w:val="FFFFFF"/>
                                    </w:rPr>
                                    <w:t>VOTING METHODS AVAILABLE TO YOU</w:t>
                                  </w:r>
                                </w:p>
                              </w:tc>
                            </w:tr>
                            <w:tr>
                              <w:trPr/>
                              <w:tc>
                                <w:tcPr>
                                  <w:tcW w:w="675" w:type="dxa"/>
                                  <w:tcBorders/>
                                  <w:vAlign w:val="center"/>
                                </w:tcPr>
                                <w:p>
                                  <w:pPr>
                                    <w:pStyle w:val="TableContents"/>
                                    <w:bidi w:val="0"/>
                                    <w:spacing w:before="0" w:after="283"/>
                                    <w:jc w:val="left"/>
                                    <w:rPr/>
                                  </w:pPr>
                                  <w:r>
                                    <w:rPr/>
                                    <w:t> </w:t>
                                  </w:r>
                                </w:p>
                              </w:tc>
                              <w:tc>
                                <w:tcPr>
                                  <w:tcW w:w="9350" w:type="dxa"/>
                                  <w:tcBorders/>
                                  <w:vAlign w:val="center"/>
                                </w:tcPr>
                                <w:p>
                                  <w:pPr>
                                    <w:pStyle w:val="TableContents"/>
                                    <w:bidi w:val="0"/>
                                    <w:spacing w:before="0" w:after="283"/>
                                    <w:jc w:val="left"/>
                                    <w:rPr/>
                                  </w:pPr>
                                  <w:r>
                                    <w:rPr/>
                                    <w:t> </w:t>
                                  </w:r>
                                </w:p>
                              </w:tc>
                            </w:tr>
                            <w:tr>
                              <w:trPr/>
                              <w:tc>
                                <w:tcPr>
                                  <w:tcW w:w="675" w:type="dxa"/>
                                  <w:tcBorders/>
                                  <w:vAlign w:val="center"/>
                                </w:tcPr>
                                <w:p>
                                  <w:pPr>
                                    <w:pStyle w:val="TableContents"/>
                                    <w:bidi w:val="0"/>
                                    <w:spacing w:before="0" w:after="283"/>
                                    <w:jc w:val="left"/>
                                    <w:rPr/>
                                  </w:pPr>
                                  <w:r>
                                    <w:rPr/>
                                    <w:drawing>
                                      <wp:inline distT="0" distB="0" distL="0" distR="0">
                                        <wp:extent cx="419100" cy="271145"/>
                                        <wp:effectExtent l="0" t="0" r="0" b="0"/>
                                        <wp:docPr id="13"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1" descr=""/>
                                                <pic:cNvPicPr>
                                                  <a:picLocks noChangeAspect="1" noChangeArrowheads="1"/>
                                                </pic:cNvPicPr>
                                              </pic:nvPicPr>
                                              <pic:blipFill>
                                                <a:blip r:embed="rId12"/>
                                                <a:stretch>
                                                  <a:fillRect/>
                                                </a:stretch>
                                              </pic:blipFill>
                                              <pic:spPr bwMode="auto">
                                                <a:xfrm>
                                                  <a:off x="0" y="0"/>
                                                  <a:ext cx="419100" cy="271145"/>
                                                </a:xfrm>
                                                <a:prstGeom prst="rect">
                                                  <a:avLst/>
                                                </a:prstGeom>
                                              </pic:spPr>
                                            </pic:pic>
                                          </a:graphicData>
                                        </a:graphic>
                                      </wp:inline>
                                    </w:drawing>
                                  </w:r>
                                </w:p>
                              </w:tc>
                              <w:tc>
                                <w:tcPr>
                                  <w:tcW w:w="9350" w:type="dxa"/>
                                  <w:tcBorders/>
                                  <w:vAlign w:val="center"/>
                                </w:tcPr>
                                <w:p>
                                  <w:pPr>
                                    <w:pStyle w:val="TableContents"/>
                                    <w:bidi w:val="0"/>
                                    <w:spacing w:before="0" w:after="283"/>
                                    <w:jc w:val="left"/>
                                    <w:rPr/>
                                  </w:pPr>
                                  <w:r>
                                    <w:rPr>
                                      <w:b/>
                                      <w:color w:val="C12E33"/>
                                    </w:rPr>
                                    <w:t>Internet</w:t>
                                    <w:br/>
                                  </w:r>
                                  <w:r>
                                    <w:rPr/>
                                    <w:t>Visit the website shown on your proxy card, voting instruction form or electronic communications.</w:t>
                                  </w:r>
                                </w:p>
                              </w:tc>
                            </w:tr>
                            <w:tr>
                              <w:trPr/>
                              <w:tc>
                                <w:tcPr>
                                  <w:tcW w:w="675" w:type="dxa"/>
                                  <w:tcBorders/>
                                  <w:vAlign w:val="center"/>
                                </w:tcPr>
                                <w:p>
                                  <w:pPr>
                                    <w:pStyle w:val="TableContents"/>
                                    <w:bidi w:val="0"/>
                                    <w:spacing w:before="0" w:after="283"/>
                                    <w:jc w:val="left"/>
                                    <w:rPr/>
                                  </w:pPr>
                                  <w:r>
                                    <w:rPr/>
                                    <w:t> </w:t>
                                  </w:r>
                                </w:p>
                              </w:tc>
                              <w:tc>
                                <w:tcPr>
                                  <w:tcW w:w="9350" w:type="dxa"/>
                                  <w:tcBorders/>
                                  <w:vAlign w:val="center"/>
                                </w:tcPr>
                                <w:p>
                                  <w:pPr>
                                    <w:pStyle w:val="TableContents"/>
                                    <w:bidi w:val="0"/>
                                    <w:spacing w:before="0" w:after="283"/>
                                    <w:jc w:val="left"/>
                                    <w:rPr/>
                                  </w:pPr>
                                  <w:r>
                                    <w:rPr/>
                                    <w:t> </w:t>
                                  </w:r>
                                </w:p>
                              </w:tc>
                            </w:tr>
                            <w:tr>
                              <w:trPr/>
                              <w:tc>
                                <w:tcPr>
                                  <w:tcW w:w="675" w:type="dxa"/>
                                  <w:tcBorders/>
                                  <w:vAlign w:val="center"/>
                                </w:tcPr>
                                <w:p>
                                  <w:pPr>
                                    <w:pStyle w:val="TableContents"/>
                                    <w:bidi w:val="0"/>
                                    <w:spacing w:before="0" w:after="283"/>
                                    <w:jc w:val="left"/>
                                    <w:rPr/>
                                  </w:pPr>
                                  <w:r>
                                    <w:rPr/>
                                    <w:drawing>
                                      <wp:inline distT="0" distB="0" distL="0" distR="0">
                                        <wp:extent cx="419100" cy="393065"/>
                                        <wp:effectExtent l="0" t="0" r="0" b="0"/>
                                        <wp:docPr id="14"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2" descr=""/>
                                                <pic:cNvPicPr>
                                                  <a:picLocks noChangeAspect="1" noChangeArrowheads="1"/>
                                                </pic:cNvPicPr>
                                              </pic:nvPicPr>
                                              <pic:blipFill>
                                                <a:blip r:embed="rId13"/>
                                                <a:stretch>
                                                  <a:fillRect/>
                                                </a:stretch>
                                              </pic:blipFill>
                                              <pic:spPr bwMode="auto">
                                                <a:xfrm>
                                                  <a:off x="0" y="0"/>
                                                  <a:ext cx="419100" cy="393065"/>
                                                </a:xfrm>
                                                <a:prstGeom prst="rect">
                                                  <a:avLst/>
                                                </a:prstGeom>
                                              </pic:spPr>
                                            </pic:pic>
                                          </a:graphicData>
                                        </a:graphic>
                                      </wp:inline>
                                    </w:drawing>
                                  </w:r>
                                </w:p>
                              </w:tc>
                              <w:tc>
                                <w:tcPr>
                                  <w:tcW w:w="9350" w:type="dxa"/>
                                  <w:tcBorders/>
                                  <w:vAlign w:val="center"/>
                                </w:tcPr>
                                <w:p>
                                  <w:pPr>
                                    <w:pStyle w:val="TableContents"/>
                                    <w:bidi w:val="0"/>
                                    <w:spacing w:before="0" w:after="283"/>
                                    <w:jc w:val="left"/>
                                    <w:rPr/>
                                  </w:pPr>
                                  <w:r>
                                    <w:rPr>
                                      <w:b/>
                                      <w:color w:val="C12E33"/>
                                    </w:rPr>
                                    <w:t>Telephone</w:t>
                                  </w:r>
                                  <w:r>
                                    <w:rPr/>
                                    <w:t xml:space="preserve"> </w:t>
                                    <w:br/>
                                    <w:t>Call the number shown on your proxy card, voting instruction form or electronic communications.</w:t>
                                  </w:r>
                                </w:p>
                              </w:tc>
                            </w:tr>
                            <w:tr>
                              <w:trPr/>
                              <w:tc>
                                <w:tcPr>
                                  <w:tcW w:w="675" w:type="dxa"/>
                                  <w:tcBorders/>
                                  <w:vAlign w:val="center"/>
                                </w:tcPr>
                                <w:p>
                                  <w:pPr>
                                    <w:pStyle w:val="TableContents"/>
                                    <w:bidi w:val="0"/>
                                    <w:spacing w:before="0" w:after="283"/>
                                    <w:jc w:val="left"/>
                                    <w:rPr/>
                                  </w:pPr>
                                  <w:r>
                                    <w:rPr/>
                                    <w:t> </w:t>
                                  </w:r>
                                </w:p>
                              </w:tc>
                              <w:tc>
                                <w:tcPr>
                                  <w:tcW w:w="9350" w:type="dxa"/>
                                  <w:tcBorders/>
                                  <w:vAlign w:val="center"/>
                                </w:tcPr>
                                <w:p>
                                  <w:pPr>
                                    <w:pStyle w:val="TableContents"/>
                                    <w:bidi w:val="0"/>
                                    <w:spacing w:before="0" w:after="283"/>
                                    <w:jc w:val="left"/>
                                    <w:rPr/>
                                  </w:pPr>
                                  <w:r>
                                    <w:rPr/>
                                    <w:t> </w:t>
                                  </w:r>
                                </w:p>
                              </w:tc>
                            </w:tr>
                            <w:tr>
                              <w:trPr/>
                              <w:tc>
                                <w:tcPr>
                                  <w:tcW w:w="675" w:type="dxa"/>
                                  <w:tcBorders/>
                                  <w:vAlign w:val="center"/>
                                </w:tcPr>
                                <w:p>
                                  <w:pPr>
                                    <w:pStyle w:val="TableContents"/>
                                    <w:bidi w:val="0"/>
                                    <w:spacing w:before="0" w:after="283"/>
                                    <w:jc w:val="left"/>
                                    <w:rPr/>
                                  </w:pPr>
                                  <w:r>
                                    <w:rPr/>
                                    <w:drawing>
                                      <wp:inline distT="0" distB="0" distL="0" distR="0">
                                        <wp:extent cx="419100" cy="362585"/>
                                        <wp:effectExtent l="0" t="0" r="0" b="0"/>
                                        <wp:docPr id="15"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3" descr=""/>
                                                <pic:cNvPicPr>
                                                  <a:picLocks noChangeAspect="1" noChangeArrowheads="1"/>
                                                </pic:cNvPicPr>
                                              </pic:nvPicPr>
                                              <pic:blipFill>
                                                <a:blip r:embed="rId14"/>
                                                <a:stretch>
                                                  <a:fillRect/>
                                                </a:stretch>
                                              </pic:blipFill>
                                              <pic:spPr bwMode="auto">
                                                <a:xfrm>
                                                  <a:off x="0" y="0"/>
                                                  <a:ext cx="419100" cy="362585"/>
                                                </a:xfrm>
                                                <a:prstGeom prst="rect">
                                                  <a:avLst/>
                                                </a:prstGeom>
                                              </pic:spPr>
                                            </pic:pic>
                                          </a:graphicData>
                                        </a:graphic>
                                      </wp:inline>
                                    </w:drawing>
                                  </w:r>
                                </w:p>
                              </w:tc>
                              <w:tc>
                                <w:tcPr>
                                  <w:tcW w:w="9350" w:type="dxa"/>
                                  <w:tcBorders/>
                                  <w:vAlign w:val="center"/>
                                </w:tcPr>
                                <w:p>
                                  <w:pPr>
                                    <w:pStyle w:val="TableContents"/>
                                    <w:bidi w:val="0"/>
                                    <w:spacing w:before="0" w:after="283"/>
                                    <w:jc w:val="left"/>
                                    <w:rPr/>
                                  </w:pPr>
                                  <w:r>
                                    <w:rPr>
                                      <w:b/>
                                      <w:color w:val="C12E33"/>
                                    </w:rPr>
                                    <w:t>Mail</w:t>
                                  </w:r>
                                  <w:r>
                                    <w:rPr>
                                      <w:color w:val="C12E33"/>
                                    </w:rPr>
                                    <w:br/>
                                  </w:r>
                                  <w:r>
                                    <w:rPr/>
                                    <w:t>Sign, date and return your proxy card or voting instruction form in the enclosed envelope.</w:t>
                                  </w:r>
                                </w:p>
                              </w:tc>
                            </w:tr>
                            <w:tr>
                              <w:trPr/>
                              <w:tc>
                                <w:tcPr>
                                  <w:tcW w:w="675" w:type="dxa"/>
                                  <w:tcBorders/>
                                  <w:vAlign w:val="center"/>
                                </w:tcPr>
                                <w:p>
                                  <w:pPr>
                                    <w:pStyle w:val="TableContents"/>
                                    <w:bidi w:val="0"/>
                                    <w:spacing w:before="0" w:after="283"/>
                                    <w:jc w:val="left"/>
                                    <w:rPr/>
                                  </w:pPr>
                                  <w:r>
                                    <w:rPr/>
                                    <w:t> </w:t>
                                  </w:r>
                                </w:p>
                              </w:tc>
                              <w:tc>
                                <w:tcPr>
                                  <w:tcW w:w="9350" w:type="dxa"/>
                                  <w:tcBorders/>
                                  <w:vAlign w:val="center"/>
                                </w:tcPr>
                                <w:p>
                                  <w:pPr>
                                    <w:pStyle w:val="TableContents"/>
                                    <w:bidi w:val="0"/>
                                    <w:spacing w:before="0" w:after="283"/>
                                    <w:jc w:val="left"/>
                                    <w:rPr/>
                                  </w:pPr>
                                  <w:r>
                                    <w:rPr/>
                                    <w:t> </w:t>
                                  </w:r>
                                </w:p>
                              </w:tc>
                            </w:tr>
                            <w:tr>
                              <w:trPr/>
                              <w:tc>
                                <w:tcPr>
                                  <w:tcW w:w="675" w:type="dxa"/>
                                  <w:tcBorders/>
                                  <w:vAlign w:val="center"/>
                                </w:tcPr>
                                <w:p>
                                  <w:pPr>
                                    <w:pStyle w:val="TableContents"/>
                                    <w:bidi w:val="0"/>
                                    <w:spacing w:before="0" w:after="283"/>
                                    <w:jc w:val="left"/>
                                    <w:rPr/>
                                  </w:pPr>
                                  <w:r>
                                    <w:rPr/>
                                    <w:drawing>
                                      <wp:inline distT="0" distB="0" distL="0" distR="0">
                                        <wp:extent cx="419100" cy="405130"/>
                                        <wp:effectExtent l="0" t="0" r="0" b="0"/>
                                        <wp:docPr id="16"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4" descr=""/>
                                                <pic:cNvPicPr>
                                                  <a:picLocks noChangeAspect="1" noChangeArrowheads="1"/>
                                                </pic:cNvPicPr>
                                              </pic:nvPicPr>
                                              <pic:blipFill>
                                                <a:blip r:embed="rId15"/>
                                                <a:stretch>
                                                  <a:fillRect/>
                                                </a:stretch>
                                              </pic:blipFill>
                                              <pic:spPr bwMode="auto">
                                                <a:xfrm>
                                                  <a:off x="0" y="0"/>
                                                  <a:ext cx="419100" cy="405130"/>
                                                </a:xfrm>
                                                <a:prstGeom prst="rect">
                                                  <a:avLst/>
                                                </a:prstGeom>
                                              </pic:spPr>
                                            </pic:pic>
                                          </a:graphicData>
                                        </a:graphic>
                                      </wp:inline>
                                    </w:drawing>
                                  </w:r>
                                </w:p>
                              </w:tc>
                              <w:tc>
                                <w:tcPr>
                                  <w:tcW w:w="9350" w:type="dxa"/>
                                  <w:tcBorders/>
                                  <w:vAlign w:val="center"/>
                                </w:tcPr>
                                <w:p>
                                  <w:pPr>
                                    <w:pStyle w:val="TableContents"/>
                                    <w:bidi w:val="0"/>
                                    <w:spacing w:before="0" w:after="283"/>
                                    <w:jc w:val="left"/>
                                    <w:rPr/>
                                  </w:pPr>
                                  <w:r>
                                    <w:rPr>
                                      <w:b/>
                                      <w:color w:val="C12E33"/>
                                    </w:rPr>
                                    <w:t>During the Meeting</w:t>
                                  </w:r>
                                  <w:r>
                                    <w:rPr/>
                                    <w:t xml:space="preserve"> </w:t>
                                    <w:br/>
                                    <w:t>Attend the 2026 Annual Meeting online. See pages 90-92 for instructions.</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562.5pt;mso-wrap-distance-left:0pt;mso-wrap-distance-right:0pt;mso-wrap-distance-top:0pt;mso-wrap-distance-bottom:0pt;margin-top:0pt;mso-position-vertical:top;mso-position-vertical-relative:text;margin-left:265.35pt;mso-position-horizontal:right;mso-position-horizontal-relative:text">
                <v:textbox>
                  <w:txbxContent>
                    <w:tbl>
                      <w:tblPr>
                        <w:tblW w:w="8830" w:type="dxa"/>
                        <w:jc w:val="left"/>
                        <w:tblInd w:w="0" w:type="dxa"/>
                        <w:tblLayout w:type="fixed"/>
                        <w:tblCellMar>
                          <w:top w:w="0" w:type="dxa"/>
                          <w:left w:w="0" w:type="dxa"/>
                          <w:bottom w:w="0" w:type="dxa"/>
                          <w:right w:w="0" w:type="dxa"/>
                        </w:tblCellMar>
                      </w:tblPr>
                      <w:tblGrid>
                        <w:gridCol w:w="395"/>
                        <w:gridCol w:w="8435"/>
                      </w:tblGrid>
                      <w:tr>
                        <w:trPr/>
                        <w:tc>
                          <w:tcPr>
                            <w:tcW w:w="8830" w:type="dxa"/>
                            <w:gridSpan w:val="2"/>
                            <w:tcBorders/>
                            <w:shd w:fill="A7A9AC" w:val="clear"/>
                            <w:vAlign w:val="center"/>
                          </w:tcPr>
                          <w:p>
                            <w:pPr>
                              <w:pStyle w:val="TableContents"/>
                              <w:bidi w:val="0"/>
                              <w:spacing w:before="0" w:after="283"/>
                              <w:jc w:val="left"/>
                              <w:rPr>
                                <w:b/>
                                <w:color w:val="FFFFFF"/>
                              </w:rPr>
                            </w:pPr>
                            <w:r>
                              <w:rPr>
                                <w:b/>
                                <w:color w:val="FFFFFF"/>
                              </w:rPr>
                              <w:t>AGENDA</w:t>
                            </w:r>
                          </w:p>
                        </w:tc>
                      </w:tr>
                      <w:tr>
                        <w:trPr/>
                        <w:tc>
                          <w:tcPr>
                            <w:tcW w:w="395" w:type="dxa"/>
                            <w:tcBorders/>
                            <w:vAlign w:val="center"/>
                          </w:tcPr>
                          <w:p>
                            <w:pPr>
                              <w:pStyle w:val="TableContents"/>
                              <w:bidi w:val="0"/>
                              <w:spacing w:before="0" w:after="283"/>
                              <w:jc w:val="left"/>
                              <w:rPr/>
                            </w:pPr>
                            <w:r>
                              <w:rPr/>
                              <w:t> </w:t>
                            </w:r>
                          </w:p>
                        </w:tc>
                        <w:tc>
                          <w:tcPr>
                            <w:tcW w:w="8435" w:type="dxa"/>
                            <w:tcBorders/>
                            <w:vAlign w:val="center"/>
                          </w:tcPr>
                          <w:p>
                            <w:pPr>
                              <w:pStyle w:val="TableContents"/>
                              <w:bidi w:val="0"/>
                              <w:spacing w:before="0" w:after="283"/>
                              <w:jc w:val="left"/>
                              <w:rPr/>
                            </w:pPr>
                            <w:r>
                              <w:rPr/>
                              <w:t> </w:t>
                            </w:r>
                          </w:p>
                        </w:tc>
                      </w:tr>
                      <w:tr>
                        <w:trPr/>
                        <w:tc>
                          <w:tcPr>
                            <w:tcW w:w="395" w:type="dxa"/>
                            <w:tcBorders/>
                            <w:vAlign w:val="center"/>
                          </w:tcPr>
                          <w:p>
                            <w:pPr>
                              <w:pStyle w:val="TableContents"/>
                              <w:bidi w:val="0"/>
                              <w:spacing w:before="0" w:after="283"/>
                              <w:jc w:val="left"/>
                              <w:rPr>
                                <w:b/>
                                <w:sz w:val="48"/>
                              </w:rPr>
                            </w:pPr>
                            <w:r>
                              <w:rPr>
                                <w:b/>
                                <w:sz w:val="48"/>
                              </w:rPr>
                              <w:t>1</w:t>
                            </w:r>
                          </w:p>
                        </w:tc>
                        <w:tc>
                          <w:tcPr>
                            <w:tcW w:w="8435" w:type="dxa"/>
                            <w:tcBorders/>
                            <w:vAlign w:val="center"/>
                          </w:tcPr>
                          <w:p>
                            <w:pPr>
                              <w:pStyle w:val="TableContents"/>
                              <w:bidi w:val="0"/>
                              <w:spacing w:before="0" w:after="283"/>
                              <w:jc w:val="left"/>
                              <w:rPr/>
                            </w:pPr>
                            <w:r>
                              <w:rPr/>
                              <w:t>Election of the Ten Director Nominees Listed in this Proxy Statement</w:t>
                            </w:r>
                          </w:p>
                        </w:tc>
                      </w:tr>
                      <w:tr>
                        <w:trPr/>
                        <w:tc>
                          <w:tcPr>
                            <w:tcW w:w="395" w:type="dxa"/>
                            <w:tcBorders/>
                            <w:vAlign w:val="center"/>
                          </w:tcPr>
                          <w:p>
                            <w:pPr>
                              <w:pStyle w:val="TableContents"/>
                              <w:bidi w:val="0"/>
                              <w:spacing w:before="0" w:after="283"/>
                              <w:jc w:val="left"/>
                              <w:rPr>
                                <w:b/>
                                <w:sz w:val="48"/>
                              </w:rPr>
                            </w:pPr>
                            <w:r>
                              <w:rPr>
                                <w:b/>
                                <w:sz w:val="48"/>
                              </w:rPr>
                              <w:t>2</w:t>
                            </w:r>
                          </w:p>
                        </w:tc>
                        <w:tc>
                          <w:tcPr>
                            <w:tcW w:w="8435" w:type="dxa"/>
                            <w:tcBorders/>
                            <w:vAlign w:val="center"/>
                          </w:tcPr>
                          <w:p>
                            <w:pPr>
                              <w:pStyle w:val="TableContents"/>
                              <w:bidi w:val="0"/>
                              <w:spacing w:before="0" w:after="283"/>
                              <w:jc w:val="left"/>
                              <w:rPr/>
                            </w:pPr>
                            <w:r>
                              <w:rPr/>
                              <w:t>Advisory Vote to Approve Executive Compensation</w:t>
                            </w:r>
                          </w:p>
                        </w:tc>
                      </w:tr>
                      <w:tr>
                        <w:trPr/>
                        <w:tc>
                          <w:tcPr>
                            <w:tcW w:w="395" w:type="dxa"/>
                            <w:tcBorders/>
                            <w:vAlign w:val="center"/>
                          </w:tcPr>
                          <w:p>
                            <w:pPr>
                              <w:pStyle w:val="TableContents"/>
                              <w:bidi w:val="0"/>
                              <w:spacing w:before="0" w:after="283"/>
                              <w:jc w:val="left"/>
                              <w:rPr>
                                <w:b/>
                                <w:sz w:val="48"/>
                              </w:rPr>
                            </w:pPr>
                            <w:r>
                              <w:rPr>
                                <w:b/>
                                <w:sz w:val="48"/>
                              </w:rPr>
                              <w:t xml:space="preserve">3 </w:t>
                            </w:r>
                          </w:p>
                        </w:tc>
                        <w:tc>
                          <w:tcPr>
                            <w:tcW w:w="8435" w:type="dxa"/>
                            <w:tcBorders/>
                            <w:vAlign w:val="center"/>
                          </w:tcPr>
                          <w:p>
                            <w:pPr>
                              <w:pStyle w:val="TableContents"/>
                              <w:bidi w:val="0"/>
                              <w:spacing w:before="0" w:after="283"/>
                              <w:jc w:val="left"/>
                              <w:rPr/>
                            </w:pPr>
                            <w:r>
                              <w:rPr/>
                              <w:t>Appointment of PricewaterhouseCoopers LLP to Serve as Independent Auditor for 2026</w:t>
                            </w:r>
                          </w:p>
                        </w:tc>
                      </w:tr>
                      <w:tr>
                        <w:trPr/>
                        <w:tc>
                          <w:tcPr>
                            <w:tcW w:w="395" w:type="dxa"/>
                            <w:tcBorders/>
                            <w:vAlign w:val="center"/>
                          </w:tcPr>
                          <w:p>
                            <w:pPr>
                              <w:pStyle w:val="TableContents"/>
                              <w:bidi w:val="0"/>
                              <w:spacing w:before="0" w:after="283"/>
                              <w:jc w:val="left"/>
                              <w:rPr/>
                            </w:pPr>
                            <w:r>
                              <w:rPr/>
                              <w:t> </w:t>
                            </w:r>
                          </w:p>
                        </w:tc>
                        <w:tc>
                          <w:tcPr>
                            <w:tcW w:w="8435" w:type="dxa"/>
                            <w:tcBorders/>
                            <w:vAlign w:val="center"/>
                          </w:tcPr>
                          <w:p>
                            <w:pPr>
                              <w:pStyle w:val="TableContents"/>
                              <w:bidi w:val="0"/>
                              <w:spacing w:before="0" w:after="283"/>
                              <w:jc w:val="left"/>
                              <w:rPr/>
                            </w:pPr>
                            <w:r>
                              <w:rPr/>
                              <w:t> </w:t>
                            </w:r>
                          </w:p>
                        </w:tc>
                      </w:tr>
                    </w:tbl>
                    <w:tbl>
                      <w:tblPr>
                        <w:tblW w:w="10025" w:type="dxa"/>
                        <w:jc w:val="left"/>
                        <w:tblInd w:w="0" w:type="dxa"/>
                        <w:tblLayout w:type="fixed"/>
                        <w:tblCellMar>
                          <w:top w:w="0" w:type="dxa"/>
                          <w:left w:w="0" w:type="dxa"/>
                          <w:bottom w:w="0" w:type="dxa"/>
                          <w:right w:w="0" w:type="dxa"/>
                        </w:tblCellMar>
                      </w:tblPr>
                      <w:tblGrid>
                        <w:gridCol w:w="675"/>
                        <w:gridCol w:w="9350"/>
                      </w:tblGrid>
                      <w:tr>
                        <w:trPr/>
                        <w:tc>
                          <w:tcPr>
                            <w:tcW w:w="10025" w:type="dxa"/>
                            <w:gridSpan w:val="2"/>
                            <w:tcBorders/>
                            <w:shd w:fill="A7A9AC" w:val="clear"/>
                            <w:vAlign w:val="center"/>
                          </w:tcPr>
                          <w:p>
                            <w:pPr>
                              <w:pStyle w:val="TableContents"/>
                              <w:bidi w:val="0"/>
                              <w:spacing w:before="0" w:after="283"/>
                              <w:jc w:val="left"/>
                              <w:rPr>
                                <w:b/>
                                <w:color w:val="FFFFFF"/>
                              </w:rPr>
                            </w:pPr>
                            <w:r>
                              <w:rPr>
                                <w:b/>
                                <w:color w:val="FFFFFF"/>
                              </w:rPr>
                              <w:t>VOTING METHODS AVAILABLE TO YOU</w:t>
                            </w:r>
                          </w:p>
                        </w:tc>
                      </w:tr>
                      <w:tr>
                        <w:trPr/>
                        <w:tc>
                          <w:tcPr>
                            <w:tcW w:w="675" w:type="dxa"/>
                            <w:tcBorders/>
                            <w:vAlign w:val="center"/>
                          </w:tcPr>
                          <w:p>
                            <w:pPr>
                              <w:pStyle w:val="TableContents"/>
                              <w:bidi w:val="0"/>
                              <w:spacing w:before="0" w:after="283"/>
                              <w:jc w:val="left"/>
                              <w:rPr/>
                            </w:pPr>
                            <w:r>
                              <w:rPr/>
                              <w:t> </w:t>
                            </w:r>
                          </w:p>
                        </w:tc>
                        <w:tc>
                          <w:tcPr>
                            <w:tcW w:w="9350" w:type="dxa"/>
                            <w:tcBorders/>
                            <w:vAlign w:val="center"/>
                          </w:tcPr>
                          <w:p>
                            <w:pPr>
                              <w:pStyle w:val="TableContents"/>
                              <w:bidi w:val="0"/>
                              <w:spacing w:before="0" w:after="283"/>
                              <w:jc w:val="left"/>
                              <w:rPr/>
                            </w:pPr>
                            <w:r>
                              <w:rPr/>
                              <w:t> </w:t>
                            </w:r>
                          </w:p>
                        </w:tc>
                      </w:tr>
                      <w:tr>
                        <w:trPr/>
                        <w:tc>
                          <w:tcPr>
                            <w:tcW w:w="675" w:type="dxa"/>
                            <w:tcBorders/>
                            <w:vAlign w:val="center"/>
                          </w:tcPr>
                          <w:p>
                            <w:pPr>
                              <w:pStyle w:val="TableContents"/>
                              <w:bidi w:val="0"/>
                              <w:spacing w:before="0" w:after="283"/>
                              <w:jc w:val="left"/>
                              <w:rPr/>
                            </w:pPr>
                            <w:r>
                              <w:rPr/>
                              <w:drawing>
                                <wp:inline distT="0" distB="0" distL="0" distR="0">
                                  <wp:extent cx="419100" cy="271145"/>
                                  <wp:effectExtent l="0" t="0" r="0" b="0"/>
                                  <wp:docPr id="17"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1" descr=""/>
                                          <pic:cNvPicPr>
                                            <a:picLocks noChangeAspect="1" noChangeArrowheads="1"/>
                                          </pic:cNvPicPr>
                                        </pic:nvPicPr>
                                        <pic:blipFill>
                                          <a:blip r:embed="rId16"/>
                                          <a:stretch>
                                            <a:fillRect/>
                                          </a:stretch>
                                        </pic:blipFill>
                                        <pic:spPr bwMode="auto">
                                          <a:xfrm>
                                            <a:off x="0" y="0"/>
                                            <a:ext cx="419100" cy="271145"/>
                                          </a:xfrm>
                                          <a:prstGeom prst="rect">
                                            <a:avLst/>
                                          </a:prstGeom>
                                        </pic:spPr>
                                      </pic:pic>
                                    </a:graphicData>
                                  </a:graphic>
                                </wp:inline>
                              </w:drawing>
                            </w:r>
                          </w:p>
                        </w:tc>
                        <w:tc>
                          <w:tcPr>
                            <w:tcW w:w="9350" w:type="dxa"/>
                            <w:tcBorders/>
                            <w:vAlign w:val="center"/>
                          </w:tcPr>
                          <w:p>
                            <w:pPr>
                              <w:pStyle w:val="TableContents"/>
                              <w:bidi w:val="0"/>
                              <w:spacing w:before="0" w:after="283"/>
                              <w:jc w:val="left"/>
                              <w:rPr/>
                            </w:pPr>
                            <w:r>
                              <w:rPr>
                                <w:b/>
                                <w:color w:val="C12E33"/>
                              </w:rPr>
                              <w:t>Internet</w:t>
                              <w:br/>
                            </w:r>
                            <w:r>
                              <w:rPr/>
                              <w:t>Visit the website shown on your proxy card, voting instruction form or electronic communications.</w:t>
                            </w:r>
                          </w:p>
                        </w:tc>
                      </w:tr>
                      <w:tr>
                        <w:trPr/>
                        <w:tc>
                          <w:tcPr>
                            <w:tcW w:w="675" w:type="dxa"/>
                            <w:tcBorders/>
                            <w:vAlign w:val="center"/>
                          </w:tcPr>
                          <w:p>
                            <w:pPr>
                              <w:pStyle w:val="TableContents"/>
                              <w:bidi w:val="0"/>
                              <w:spacing w:before="0" w:after="283"/>
                              <w:jc w:val="left"/>
                              <w:rPr/>
                            </w:pPr>
                            <w:r>
                              <w:rPr/>
                              <w:t> </w:t>
                            </w:r>
                          </w:p>
                        </w:tc>
                        <w:tc>
                          <w:tcPr>
                            <w:tcW w:w="9350" w:type="dxa"/>
                            <w:tcBorders/>
                            <w:vAlign w:val="center"/>
                          </w:tcPr>
                          <w:p>
                            <w:pPr>
                              <w:pStyle w:val="TableContents"/>
                              <w:bidi w:val="0"/>
                              <w:spacing w:before="0" w:after="283"/>
                              <w:jc w:val="left"/>
                              <w:rPr/>
                            </w:pPr>
                            <w:r>
                              <w:rPr/>
                              <w:t> </w:t>
                            </w:r>
                          </w:p>
                        </w:tc>
                      </w:tr>
                      <w:tr>
                        <w:trPr/>
                        <w:tc>
                          <w:tcPr>
                            <w:tcW w:w="675" w:type="dxa"/>
                            <w:tcBorders/>
                            <w:vAlign w:val="center"/>
                          </w:tcPr>
                          <w:p>
                            <w:pPr>
                              <w:pStyle w:val="TableContents"/>
                              <w:bidi w:val="0"/>
                              <w:spacing w:before="0" w:after="283"/>
                              <w:jc w:val="left"/>
                              <w:rPr/>
                            </w:pPr>
                            <w:r>
                              <w:rPr/>
                              <w:drawing>
                                <wp:inline distT="0" distB="0" distL="0" distR="0">
                                  <wp:extent cx="419100" cy="393065"/>
                                  <wp:effectExtent l="0" t="0" r="0" b="0"/>
                                  <wp:docPr id="18"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2" descr=""/>
                                          <pic:cNvPicPr>
                                            <a:picLocks noChangeAspect="1" noChangeArrowheads="1"/>
                                          </pic:cNvPicPr>
                                        </pic:nvPicPr>
                                        <pic:blipFill>
                                          <a:blip r:embed="rId17"/>
                                          <a:stretch>
                                            <a:fillRect/>
                                          </a:stretch>
                                        </pic:blipFill>
                                        <pic:spPr bwMode="auto">
                                          <a:xfrm>
                                            <a:off x="0" y="0"/>
                                            <a:ext cx="419100" cy="393065"/>
                                          </a:xfrm>
                                          <a:prstGeom prst="rect">
                                            <a:avLst/>
                                          </a:prstGeom>
                                        </pic:spPr>
                                      </pic:pic>
                                    </a:graphicData>
                                  </a:graphic>
                                </wp:inline>
                              </w:drawing>
                            </w:r>
                          </w:p>
                        </w:tc>
                        <w:tc>
                          <w:tcPr>
                            <w:tcW w:w="9350" w:type="dxa"/>
                            <w:tcBorders/>
                            <w:vAlign w:val="center"/>
                          </w:tcPr>
                          <w:p>
                            <w:pPr>
                              <w:pStyle w:val="TableContents"/>
                              <w:bidi w:val="0"/>
                              <w:spacing w:before="0" w:after="283"/>
                              <w:jc w:val="left"/>
                              <w:rPr/>
                            </w:pPr>
                            <w:r>
                              <w:rPr>
                                <w:b/>
                                <w:color w:val="C12E33"/>
                              </w:rPr>
                              <w:t>Telephone</w:t>
                            </w:r>
                            <w:r>
                              <w:rPr/>
                              <w:t xml:space="preserve"> </w:t>
                              <w:br/>
                              <w:t>Call the number shown on your proxy card, voting instruction form or electronic communications.</w:t>
                            </w:r>
                          </w:p>
                        </w:tc>
                      </w:tr>
                      <w:tr>
                        <w:trPr/>
                        <w:tc>
                          <w:tcPr>
                            <w:tcW w:w="675" w:type="dxa"/>
                            <w:tcBorders/>
                            <w:vAlign w:val="center"/>
                          </w:tcPr>
                          <w:p>
                            <w:pPr>
                              <w:pStyle w:val="TableContents"/>
                              <w:bidi w:val="0"/>
                              <w:spacing w:before="0" w:after="283"/>
                              <w:jc w:val="left"/>
                              <w:rPr/>
                            </w:pPr>
                            <w:r>
                              <w:rPr/>
                              <w:t> </w:t>
                            </w:r>
                          </w:p>
                        </w:tc>
                        <w:tc>
                          <w:tcPr>
                            <w:tcW w:w="9350" w:type="dxa"/>
                            <w:tcBorders/>
                            <w:vAlign w:val="center"/>
                          </w:tcPr>
                          <w:p>
                            <w:pPr>
                              <w:pStyle w:val="TableContents"/>
                              <w:bidi w:val="0"/>
                              <w:spacing w:before="0" w:after="283"/>
                              <w:jc w:val="left"/>
                              <w:rPr/>
                            </w:pPr>
                            <w:r>
                              <w:rPr/>
                              <w:t> </w:t>
                            </w:r>
                          </w:p>
                        </w:tc>
                      </w:tr>
                      <w:tr>
                        <w:trPr/>
                        <w:tc>
                          <w:tcPr>
                            <w:tcW w:w="675" w:type="dxa"/>
                            <w:tcBorders/>
                            <w:vAlign w:val="center"/>
                          </w:tcPr>
                          <w:p>
                            <w:pPr>
                              <w:pStyle w:val="TableContents"/>
                              <w:bidi w:val="0"/>
                              <w:spacing w:before="0" w:after="283"/>
                              <w:jc w:val="left"/>
                              <w:rPr/>
                            </w:pPr>
                            <w:r>
                              <w:rPr/>
                              <w:drawing>
                                <wp:inline distT="0" distB="0" distL="0" distR="0">
                                  <wp:extent cx="419100" cy="362585"/>
                                  <wp:effectExtent l="0" t="0" r="0" b="0"/>
                                  <wp:docPr id="19"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3" descr=""/>
                                          <pic:cNvPicPr>
                                            <a:picLocks noChangeAspect="1" noChangeArrowheads="1"/>
                                          </pic:cNvPicPr>
                                        </pic:nvPicPr>
                                        <pic:blipFill>
                                          <a:blip r:embed="rId18"/>
                                          <a:stretch>
                                            <a:fillRect/>
                                          </a:stretch>
                                        </pic:blipFill>
                                        <pic:spPr bwMode="auto">
                                          <a:xfrm>
                                            <a:off x="0" y="0"/>
                                            <a:ext cx="419100" cy="362585"/>
                                          </a:xfrm>
                                          <a:prstGeom prst="rect">
                                            <a:avLst/>
                                          </a:prstGeom>
                                        </pic:spPr>
                                      </pic:pic>
                                    </a:graphicData>
                                  </a:graphic>
                                </wp:inline>
                              </w:drawing>
                            </w:r>
                          </w:p>
                        </w:tc>
                        <w:tc>
                          <w:tcPr>
                            <w:tcW w:w="9350" w:type="dxa"/>
                            <w:tcBorders/>
                            <w:vAlign w:val="center"/>
                          </w:tcPr>
                          <w:p>
                            <w:pPr>
                              <w:pStyle w:val="TableContents"/>
                              <w:bidi w:val="0"/>
                              <w:spacing w:before="0" w:after="283"/>
                              <w:jc w:val="left"/>
                              <w:rPr/>
                            </w:pPr>
                            <w:r>
                              <w:rPr>
                                <w:b/>
                                <w:color w:val="C12E33"/>
                              </w:rPr>
                              <w:t>Mail</w:t>
                            </w:r>
                            <w:r>
                              <w:rPr>
                                <w:color w:val="C12E33"/>
                              </w:rPr>
                              <w:br/>
                            </w:r>
                            <w:r>
                              <w:rPr/>
                              <w:t>Sign, date and return your proxy card or voting instruction form in the enclosed envelope.</w:t>
                            </w:r>
                          </w:p>
                        </w:tc>
                      </w:tr>
                      <w:tr>
                        <w:trPr/>
                        <w:tc>
                          <w:tcPr>
                            <w:tcW w:w="675" w:type="dxa"/>
                            <w:tcBorders/>
                            <w:vAlign w:val="center"/>
                          </w:tcPr>
                          <w:p>
                            <w:pPr>
                              <w:pStyle w:val="TableContents"/>
                              <w:bidi w:val="0"/>
                              <w:spacing w:before="0" w:after="283"/>
                              <w:jc w:val="left"/>
                              <w:rPr/>
                            </w:pPr>
                            <w:r>
                              <w:rPr/>
                              <w:t> </w:t>
                            </w:r>
                          </w:p>
                        </w:tc>
                        <w:tc>
                          <w:tcPr>
                            <w:tcW w:w="9350" w:type="dxa"/>
                            <w:tcBorders/>
                            <w:vAlign w:val="center"/>
                          </w:tcPr>
                          <w:p>
                            <w:pPr>
                              <w:pStyle w:val="TableContents"/>
                              <w:bidi w:val="0"/>
                              <w:spacing w:before="0" w:after="283"/>
                              <w:jc w:val="left"/>
                              <w:rPr/>
                            </w:pPr>
                            <w:r>
                              <w:rPr/>
                              <w:t> </w:t>
                            </w:r>
                          </w:p>
                        </w:tc>
                      </w:tr>
                      <w:tr>
                        <w:trPr/>
                        <w:tc>
                          <w:tcPr>
                            <w:tcW w:w="675" w:type="dxa"/>
                            <w:tcBorders/>
                            <w:vAlign w:val="center"/>
                          </w:tcPr>
                          <w:p>
                            <w:pPr>
                              <w:pStyle w:val="TableContents"/>
                              <w:bidi w:val="0"/>
                              <w:spacing w:before="0" w:after="283"/>
                              <w:jc w:val="left"/>
                              <w:rPr/>
                            </w:pPr>
                            <w:r>
                              <w:rPr/>
                              <w:drawing>
                                <wp:inline distT="0" distB="0" distL="0" distR="0">
                                  <wp:extent cx="419100" cy="405130"/>
                                  <wp:effectExtent l="0" t="0" r="0" b="0"/>
                                  <wp:docPr id="20"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4" descr=""/>
                                          <pic:cNvPicPr>
                                            <a:picLocks noChangeAspect="1" noChangeArrowheads="1"/>
                                          </pic:cNvPicPr>
                                        </pic:nvPicPr>
                                        <pic:blipFill>
                                          <a:blip r:embed="rId19"/>
                                          <a:stretch>
                                            <a:fillRect/>
                                          </a:stretch>
                                        </pic:blipFill>
                                        <pic:spPr bwMode="auto">
                                          <a:xfrm>
                                            <a:off x="0" y="0"/>
                                            <a:ext cx="419100" cy="405130"/>
                                          </a:xfrm>
                                          <a:prstGeom prst="rect">
                                            <a:avLst/>
                                          </a:prstGeom>
                                        </pic:spPr>
                                      </pic:pic>
                                    </a:graphicData>
                                  </a:graphic>
                                </wp:inline>
                              </w:drawing>
                            </w:r>
                          </w:p>
                        </w:tc>
                        <w:tc>
                          <w:tcPr>
                            <w:tcW w:w="9350" w:type="dxa"/>
                            <w:tcBorders/>
                            <w:vAlign w:val="center"/>
                          </w:tcPr>
                          <w:p>
                            <w:pPr>
                              <w:pStyle w:val="TableContents"/>
                              <w:bidi w:val="0"/>
                              <w:spacing w:before="0" w:after="283"/>
                              <w:jc w:val="left"/>
                              <w:rPr/>
                            </w:pPr>
                            <w:r>
                              <w:rPr>
                                <w:b/>
                                <w:color w:val="C12E33"/>
                              </w:rPr>
                              <w:t>During the Meeting</w:t>
                            </w:r>
                            <w:r>
                              <w:rPr/>
                              <w:t xml:space="preserve"> </w:t>
                              <w:br/>
                              <w:t>Attend the 2026 Annual Meeting online. See pages 90-92 for instructions.</w:t>
                            </w:r>
                          </w:p>
                        </w:tc>
                      </w:tr>
                    </w:tbl>
                    <w:p>
                      <w:pPr>
                        <w:pStyle w:val="TextBody"/>
                        <w:bidi w:val="0"/>
                        <w:spacing w:before="0" w:after="283"/>
                        <w:jc w:val="left"/>
                        <w:rPr/>
                      </w:pPr>
                      <w:r>
                        <w:rPr/>
                      </w:r>
                    </w:p>
                  </w:txbxContent>
                </v:textbox>
                <w10:wrap type="square" side="left"/>
              </v:rect>
            </w:pict>
          </mc:Fallback>
        </mc:AlternateContent>
      </w:r>
    </w:p>
    <w:p>
      <w:pPr>
        <w:pStyle w:val="HorizontalLine"/>
        <w:pBdr>
          <w:bottom w:val="double" w:sz="2" w:space="0" w:color="808080"/>
        </w:pBdr>
        <w:bidi w:val="0"/>
        <w:spacing w:before="0" w:after="283"/>
        <w:jc w:val="left"/>
        <w:rPr/>
      </w:pPr>
      <w:r>
        <w:rPr/>
      </w:r>
    </w:p>
    <w:p>
      <w:pPr>
        <w:pStyle w:val="TextBody"/>
        <w:bidi w:val="0"/>
        <w:spacing w:before="200" w:after="200"/>
        <w:jc w:val="left"/>
        <w:rPr/>
      </w:pPr>
      <w:hyperlink w:anchor="toc">
        <w:r>
          <w:rPr>
            <w:rStyle w:val="InternetLink"/>
            <w:rFonts w:ascii="Arial;Helvetica;Sans-Serif" w:hAnsi="Arial;Helvetica;Sans-Serif"/>
            <w:b/>
            <w:i w:val="false"/>
            <w:caps w:val="false"/>
            <w:smallCaps w:val="false"/>
            <w:sz w:val="16"/>
          </w:rPr>
          <w:t>Table of Contents</w:t>
        </w:r>
      </w:hyperlink>
    </w:p>
    <w:p>
      <w:pPr>
        <w:pStyle w:val="TextBody"/>
        <w:bidi w:val="0"/>
        <w:jc w:val="right"/>
        <w:rPr>
          <w:caps w:val="false"/>
          <w:smallCaps w:val="false"/>
        </w:rPr>
      </w:pPr>
      <w:r>
        <w:rPr>
          <w:caps w:val="false"/>
          <w:smallCaps w:val="false"/>
        </w:rPr>
        <w:drawing>
          <wp:inline distT="0" distB="0" distL="0" distR="0">
            <wp:extent cx="1076325" cy="417830"/>
            <wp:effectExtent l="0" t="0" r="0" b="0"/>
            <wp:docPr id="21"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5" descr=""/>
                    <pic:cNvPicPr>
                      <a:picLocks noChangeAspect="1" noChangeArrowheads="1"/>
                    </pic:cNvPicPr>
                  </pic:nvPicPr>
                  <pic:blipFill>
                    <a:blip r:embed="rId20"/>
                    <a:stretch>
                      <a:fillRect/>
                    </a:stretch>
                  </pic:blipFill>
                  <pic:spPr bwMode="auto">
                    <a:xfrm>
                      <a:off x="0" y="0"/>
                      <a:ext cx="1076325" cy="417830"/>
                    </a:xfrm>
                    <a:prstGeom prst="rect">
                      <a:avLst/>
                    </a:prstGeom>
                  </pic:spPr>
                </pic:pic>
              </a:graphicData>
            </a:graphic>
          </wp:inline>
        </w:drawing>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56"/>
        </w:rPr>
      </w:pPr>
      <w:bookmarkStart w:id="5" w:name="toc"/>
      <w:bookmarkEnd w:id="5"/>
      <w:r>
        <w:rPr>
          <w:rFonts w:ascii="Arial;Helvetica;Sans-Serif" w:hAnsi="Arial;Helvetica;Sans-Serif"/>
          <w:b/>
          <w:i w:val="false"/>
          <w:caps w:val="false"/>
          <w:smallCaps w:val="false"/>
          <w:sz w:val="56"/>
        </w:rPr>
        <w:t>Table of Contents</w:t>
      </w:r>
    </w:p>
    <w:p>
      <w:pPr>
        <w:pStyle w:val="TextBody"/>
        <w:bidi w:val="0"/>
        <w:jc w:val="left"/>
        <w:rPr>
          <w:caps w:val="false"/>
          <w:smallCaps w:val="false"/>
        </w:rPr>
      </w:pPr>
      <w:r>
        <w:rPr>
          <w:caps w:val="false"/>
          <w:smallCaps w:val="false"/>
        </w:rPr>
        <w:t> </w:t>
      </w:r>
    </w:p>
    <w:p>
      <w:pPr>
        <w:pStyle w:val="TextBody"/>
        <w:pBdr>
          <w:bottom w:val="single" w:sz="12" w:space="1" w:color="C12E33"/>
        </w:pBdr>
        <w:bidi w:val="0"/>
        <w:spacing w:before="0" w:after="0"/>
        <w:jc w:val="left"/>
        <w:rPr>
          <w:caps w:val="false"/>
          <w:smallCaps w:val="false"/>
        </w:rPr>
      </w:pPr>
      <w:r>
        <w:rPr>
          <w:caps w:val="false"/>
          <w:smallCaps w:val="false"/>
        </w:rPr>
        <w:t> </w:t>
      </w:r>
      <w:r>
        <mc:AlternateContent>
          <mc:Choice Requires="wps">
            <w:drawing>
              <wp:anchor behindDoc="0" distT="0" distB="0" distL="0" distR="0" simplePos="0" locked="0" layoutInCell="1" allowOverlap="1" relativeHeight="285">
                <wp:simplePos x="0" y="0"/>
                <wp:positionH relativeFrom="column">
                  <wp:align>left</wp:align>
                </wp:positionH>
                <wp:positionV relativeFrom="line">
                  <wp:posOffset>635</wp:posOffset>
                </wp:positionV>
                <wp:extent cx="3110230" cy="7800340"/>
                <wp:effectExtent l="0" t="0" r="0" b="0"/>
                <wp:wrapSquare wrapText="right"/>
                <wp:docPr id="22" name="Frame3"/>
                <a:graphic xmlns:a="http://schemas.openxmlformats.org/drawingml/2006/main">
                  <a:graphicData uri="http://schemas.microsoft.com/office/word/2010/wordprocessingShape">
                    <wps:wsp>
                      <wps:cNvSpPr txBox="1"/>
                      <wps:spPr>
                        <a:xfrm>
                          <a:off x="0" y="0"/>
                          <a:ext cx="3110230" cy="7800340"/>
                        </a:xfrm>
                        <a:prstGeom prst="rect"/>
                        <a:solidFill>
                          <a:srgbClr val="FFFFFF"/>
                        </a:solidFill>
                      </wps:spPr>
                      <wps:txbx>
                        <w:txbxContent>
                          <w:tbl>
                            <w:tblPr>
                              <w:tblW w:w="5695" w:type="dxa"/>
                              <w:jc w:val="left"/>
                              <w:tblInd w:w="0" w:type="dxa"/>
                              <w:tblLayout w:type="fixed"/>
                              <w:tblCellMar>
                                <w:top w:w="0" w:type="dxa"/>
                                <w:left w:w="0" w:type="dxa"/>
                                <w:bottom w:w="0" w:type="dxa"/>
                                <w:right w:w="0" w:type="dxa"/>
                              </w:tblCellMar>
                            </w:tblPr>
                            <w:tblGrid>
                              <w:gridCol w:w="5420"/>
                              <w:gridCol w:w="275"/>
                            </w:tblGrid>
                            <w:tr>
                              <w:trPr/>
                              <w:tc>
                                <w:tcPr>
                                  <w:tcW w:w="5420" w:type="dxa"/>
                                  <w:tcBorders/>
                                  <w:vAlign w:val="center"/>
                                </w:tcPr>
                                <w:p>
                                  <w:pPr>
                                    <w:pStyle w:val="TableContents"/>
                                    <w:bidi w:val="0"/>
                                    <w:spacing w:before="0" w:after="283"/>
                                    <w:jc w:val="left"/>
                                    <w:rPr/>
                                  </w:pPr>
                                  <w:hyperlink w:anchor="rtx014050a001">
                                    <w:r>
                                      <w:rPr>
                                        <w:rStyle w:val="InternetLink"/>
                                        <w:b/>
                                        <w:strike w:val="false"/>
                                        <w:dstrike w:val="false"/>
                                        <w:color w:val="000000"/>
                                        <w:u w:val="none"/>
                                        <w:effect w:val="none"/>
                                      </w:rPr>
                                      <w:t>Notice of 2026 Annual Meeting of Shareowners</w:t>
                                    </w:r>
                                  </w:hyperlink>
                                </w:p>
                              </w:tc>
                              <w:tc>
                                <w:tcPr>
                                  <w:tcW w:w="275" w:type="dxa"/>
                                  <w:tcBorders/>
                                  <w:vAlign w:val="center"/>
                                </w:tcPr>
                                <w:p>
                                  <w:pPr>
                                    <w:pStyle w:val="TableContents"/>
                                    <w:bidi w:val="0"/>
                                    <w:spacing w:before="0" w:after="283"/>
                                    <w:jc w:val="right"/>
                                    <w:rPr/>
                                  </w:pPr>
                                  <w:hyperlink w:anchor="rtx014050a001">
                                    <w:r>
                                      <w:rPr>
                                        <w:rStyle w:val="InternetLink"/>
                                        <w:b/>
                                        <w:strike w:val="false"/>
                                        <w:dstrike w:val="false"/>
                                        <w:color w:val="000000"/>
                                        <w:u w:val="none"/>
                                        <w:effect w:val="none"/>
                                      </w:rPr>
                                      <w:t>i</w:t>
                                    </w:r>
                                  </w:hyperlink>
                                </w:p>
                              </w:tc>
                            </w:tr>
                            <w:tr>
                              <w:trPr/>
                              <w:tc>
                                <w:tcPr>
                                  <w:tcW w:w="5420" w:type="dxa"/>
                                  <w:tcBorders/>
                                  <w:vAlign w:val="center"/>
                                </w:tcPr>
                                <w:p>
                                  <w:pPr>
                                    <w:pStyle w:val="TableContents"/>
                                    <w:bidi w:val="0"/>
                                    <w:spacing w:before="0" w:after="283"/>
                                    <w:jc w:val="left"/>
                                    <w:rPr/>
                                  </w:pPr>
                                  <w:hyperlink w:anchor="rtx014050a002">
                                    <w:r>
                                      <w:rPr>
                                        <w:rStyle w:val="InternetLink"/>
                                        <w:b/>
                                        <w:strike w:val="false"/>
                                        <w:dstrike w:val="false"/>
                                        <w:color w:val="000000"/>
                                        <w:u w:val="none"/>
                                        <w:effect w:val="none"/>
                                      </w:rPr>
                                      <w:t>Proxy Summary</w:t>
                                    </w:r>
                                  </w:hyperlink>
                                </w:p>
                              </w:tc>
                              <w:tc>
                                <w:tcPr>
                                  <w:tcW w:w="275" w:type="dxa"/>
                                  <w:tcBorders/>
                                  <w:vAlign w:val="center"/>
                                </w:tcPr>
                                <w:p>
                                  <w:pPr>
                                    <w:pStyle w:val="TableContents"/>
                                    <w:bidi w:val="0"/>
                                    <w:spacing w:before="0" w:after="283"/>
                                    <w:jc w:val="right"/>
                                    <w:rPr/>
                                  </w:pPr>
                                  <w:hyperlink w:anchor="rtx014050a002">
                                    <w:r>
                                      <w:rPr>
                                        <w:rStyle w:val="InternetLink"/>
                                        <w:b/>
                                        <w:strike w:val="false"/>
                                        <w:dstrike w:val="false"/>
                                        <w:color w:val="000000"/>
                                        <w:u w:val="none"/>
                                        <w:effect w:val="none"/>
                                      </w:rPr>
                                      <w:t>1</w:t>
                                    </w:r>
                                  </w:hyperlink>
                                </w:p>
                              </w:tc>
                            </w:tr>
                            <w:tr>
                              <w:trPr/>
                              <w:tc>
                                <w:tcPr>
                                  <w:tcW w:w="542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5420" w:type="dxa"/>
                                  <w:tcBorders/>
                                  <w:vAlign w:val="center"/>
                                </w:tcPr>
                                <w:p>
                                  <w:pPr>
                                    <w:pStyle w:val="TableContents"/>
                                    <w:bidi w:val="0"/>
                                    <w:spacing w:before="0" w:after="283"/>
                                    <w:jc w:val="left"/>
                                    <w:rPr>
                                      <w:b/>
                                    </w:rPr>
                                  </w:pPr>
                                  <w:r>
                                    <w:rPr>
                                      <w:b/>
                                    </w:rPr>
                                    <w:t>CORPORATE GOVERNANCE</w:t>
                                  </w:r>
                                </w:p>
                              </w:tc>
                              <w:tc>
                                <w:tcPr>
                                  <w:tcW w:w="275" w:type="dxa"/>
                                  <w:tcBorders/>
                                  <w:vAlign w:val="center"/>
                                </w:tcPr>
                                <w:p>
                                  <w:pPr>
                                    <w:pStyle w:val="TableContents"/>
                                    <w:bidi w:val="0"/>
                                    <w:spacing w:before="0" w:after="283"/>
                                    <w:jc w:val="right"/>
                                    <w:rPr/>
                                  </w:pPr>
                                  <w:r>
                                    <w:rPr/>
                                    <w:t> </w:t>
                                  </w:r>
                                </w:p>
                              </w:tc>
                            </w:tr>
                            <w:tr>
                              <w:trPr/>
                              <w:tc>
                                <w:tcPr>
                                  <w:tcW w:w="5420" w:type="dxa"/>
                                  <w:tcBorders/>
                                  <w:vAlign w:val="center"/>
                                </w:tcPr>
                                <w:p>
                                  <w:pPr>
                                    <w:pStyle w:val="TableContents"/>
                                    <w:bidi w:val="0"/>
                                    <w:spacing w:before="0" w:after="283"/>
                                    <w:jc w:val="left"/>
                                    <w:rPr/>
                                  </w:pPr>
                                  <w:hyperlink w:anchor="rtx014050a003">
                                    <w:r>
                                      <w:rPr>
                                        <w:rStyle w:val="InternetLink"/>
                                        <w:b/>
                                        <w:strike w:val="false"/>
                                        <w:dstrike w:val="false"/>
                                        <w:color w:val="C12E33"/>
                                        <w:u w:val="none"/>
                                        <w:effect w:val="none"/>
                                      </w:rPr>
                                      <w:t>Proposal 1</w:t>
                                    </w:r>
                                  </w:hyperlink>
                                  <w:hyperlink w:anchor="rtx014050a003">
                                    <w:r>
                                      <w:rPr>
                                        <w:rStyle w:val="InternetLink"/>
                                        <w:strike w:val="false"/>
                                        <w:dstrike w:val="false"/>
                                        <w:color w:val="000000"/>
                                        <w:u w:val="none"/>
                                        <w:effect w:val="none"/>
                                      </w:rPr>
                                      <w:br/>
                                    </w:r>
                                  </w:hyperlink>
                                  <w:hyperlink w:anchor="rtx014050a003">
                                    <w:r>
                                      <w:rPr>
                                        <w:rStyle w:val="InternetLink"/>
                                        <w:b/>
                                        <w:strike w:val="false"/>
                                        <w:dstrike w:val="false"/>
                                        <w:color w:val="000000"/>
                                        <w:u w:val="none"/>
                                        <w:effect w:val="none"/>
                                      </w:rPr>
                                      <w:t>Election of Directors</w:t>
                                    </w:r>
                                  </w:hyperlink>
                                </w:p>
                              </w:tc>
                              <w:tc>
                                <w:tcPr>
                                  <w:tcW w:w="275" w:type="dxa"/>
                                  <w:tcBorders/>
                                  <w:vAlign w:val="center"/>
                                </w:tcPr>
                                <w:p>
                                  <w:pPr>
                                    <w:pStyle w:val="TableContents"/>
                                    <w:bidi w:val="0"/>
                                    <w:spacing w:before="0" w:after="283"/>
                                    <w:jc w:val="right"/>
                                    <w:rPr/>
                                  </w:pPr>
                                  <w:hyperlink w:anchor="rtx014050a003">
                                    <w:r>
                                      <w:rPr>
                                        <w:rStyle w:val="InternetLink"/>
                                        <w:b/>
                                        <w:strike w:val="false"/>
                                        <w:dstrike w:val="false"/>
                                        <w:color w:val="000000"/>
                                        <w:u w:val="none"/>
                                        <w:effect w:val="none"/>
                                      </w:rPr>
                                      <w:t>11</w:t>
                                    </w:r>
                                  </w:hyperlink>
                                </w:p>
                              </w:tc>
                            </w:tr>
                            <w:tr>
                              <w:trPr/>
                              <w:tc>
                                <w:tcPr>
                                  <w:tcW w:w="5420" w:type="dxa"/>
                                  <w:tcBorders/>
                                  <w:vAlign w:val="center"/>
                                </w:tcPr>
                                <w:p>
                                  <w:pPr>
                                    <w:pStyle w:val="TableContents"/>
                                    <w:bidi w:val="0"/>
                                    <w:spacing w:before="0" w:after="283"/>
                                    <w:jc w:val="left"/>
                                    <w:rPr/>
                                  </w:pPr>
                                  <w:hyperlink w:anchor="rtx014050a004">
                                    <w:r>
                                      <w:rPr>
                                        <w:rStyle w:val="InternetLink"/>
                                        <w:strike w:val="false"/>
                                        <w:dstrike w:val="false"/>
                                        <w:color w:val="000000"/>
                                        <w:u w:val="none"/>
                                        <w:effect w:val="none"/>
                                      </w:rPr>
                                      <w:t>Nominees</w:t>
                                    </w:r>
                                  </w:hyperlink>
                                </w:p>
                              </w:tc>
                              <w:tc>
                                <w:tcPr>
                                  <w:tcW w:w="275" w:type="dxa"/>
                                  <w:tcBorders/>
                                  <w:vAlign w:val="center"/>
                                </w:tcPr>
                                <w:p>
                                  <w:pPr>
                                    <w:pStyle w:val="TableContents"/>
                                    <w:bidi w:val="0"/>
                                    <w:spacing w:before="0" w:after="283"/>
                                    <w:jc w:val="right"/>
                                    <w:rPr/>
                                  </w:pPr>
                                  <w:hyperlink w:anchor="rtx014050a004">
                                    <w:r>
                                      <w:rPr>
                                        <w:rStyle w:val="InternetLink"/>
                                        <w:strike w:val="false"/>
                                        <w:dstrike w:val="false"/>
                                        <w:color w:val="000000"/>
                                        <w:u w:val="none"/>
                                        <w:effect w:val="none"/>
                                      </w:rPr>
                                      <w:t>14</w:t>
                                    </w:r>
                                  </w:hyperlink>
                                </w:p>
                              </w:tc>
                            </w:tr>
                            <w:tr>
                              <w:trPr/>
                              <w:tc>
                                <w:tcPr>
                                  <w:tcW w:w="5420" w:type="dxa"/>
                                  <w:tcBorders/>
                                  <w:vAlign w:val="center"/>
                                </w:tcPr>
                                <w:p>
                                  <w:pPr>
                                    <w:pStyle w:val="TableContents"/>
                                    <w:bidi w:val="0"/>
                                    <w:spacing w:before="0" w:after="283"/>
                                    <w:jc w:val="left"/>
                                    <w:rPr/>
                                  </w:pPr>
                                  <w:hyperlink w:anchor="rtx014050a005">
                                    <w:r>
                                      <w:rPr>
                                        <w:rStyle w:val="InternetLink"/>
                                        <w:b/>
                                        <w:strike w:val="false"/>
                                        <w:dstrike w:val="false"/>
                                        <w:color w:val="000000"/>
                                        <w:u w:val="none"/>
                                        <w:effect w:val="none"/>
                                      </w:rPr>
                                      <w:t>Corporate Governance</w:t>
                                    </w:r>
                                  </w:hyperlink>
                                </w:p>
                              </w:tc>
                              <w:tc>
                                <w:tcPr>
                                  <w:tcW w:w="275" w:type="dxa"/>
                                  <w:tcBorders/>
                                  <w:vAlign w:val="center"/>
                                </w:tcPr>
                                <w:p>
                                  <w:pPr>
                                    <w:pStyle w:val="TableContents"/>
                                    <w:bidi w:val="0"/>
                                    <w:spacing w:before="0" w:after="283"/>
                                    <w:jc w:val="right"/>
                                    <w:rPr/>
                                  </w:pPr>
                                  <w:hyperlink w:anchor="rtx014050a005">
                                    <w:r>
                                      <w:rPr>
                                        <w:rStyle w:val="InternetLink"/>
                                        <w:b/>
                                        <w:strike w:val="false"/>
                                        <w:dstrike w:val="false"/>
                                        <w:color w:val="000000"/>
                                        <w:u w:val="none"/>
                                        <w:effect w:val="none"/>
                                      </w:rPr>
                                      <w:t>20</w:t>
                                    </w:r>
                                  </w:hyperlink>
                                </w:p>
                              </w:tc>
                            </w:tr>
                            <w:tr>
                              <w:trPr/>
                              <w:tc>
                                <w:tcPr>
                                  <w:tcW w:w="5420" w:type="dxa"/>
                                  <w:tcBorders/>
                                  <w:vAlign w:val="center"/>
                                </w:tcPr>
                                <w:p>
                                  <w:pPr>
                                    <w:pStyle w:val="TableContents"/>
                                    <w:bidi w:val="0"/>
                                    <w:spacing w:before="0" w:after="283"/>
                                    <w:jc w:val="left"/>
                                    <w:rPr/>
                                  </w:pPr>
                                  <w:hyperlink w:anchor="rtx014050a006">
                                    <w:r>
                                      <w:rPr>
                                        <w:rStyle w:val="InternetLink"/>
                                        <w:b/>
                                        <w:strike w:val="false"/>
                                        <w:dstrike w:val="false"/>
                                        <w:color w:val="000000"/>
                                        <w:u w:val="none"/>
                                        <w:effect w:val="none"/>
                                      </w:rPr>
                                      <w:t>Compensation of Directors</w:t>
                                    </w:r>
                                  </w:hyperlink>
                                </w:p>
                              </w:tc>
                              <w:tc>
                                <w:tcPr>
                                  <w:tcW w:w="275" w:type="dxa"/>
                                  <w:tcBorders/>
                                  <w:vAlign w:val="center"/>
                                </w:tcPr>
                                <w:p>
                                  <w:pPr>
                                    <w:pStyle w:val="TableContents"/>
                                    <w:bidi w:val="0"/>
                                    <w:spacing w:before="0" w:after="283"/>
                                    <w:jc w:val="right"/>
                                    <w:rPr/>
                                  </w:pPr>
                                  <w:hyperlink w:anchor="rtx014050a006">
                                    <w:r>
                                      <w:rPr>
                                        <w:rStyle w:val="InternetLink"/>
                                        <w:b/>
                                        <w:strike w:val="false"/>
                                        <w:dstrike w:val="false"/>
                                        <w:color w:val="000000"/>
                                        <w:u w:val="none"/>
                                        <w:effect w:val="none"/>
                                      </w:rPr>
                                      <w:t>33</w:t>
                                    </w:r>
                                  </w:hyperlink>
                                </w:p>
                              </w:tc>
                            </w:tr>
                            <w:tr>
                              <w:trPr/>
                              <w:tc>
                                <w:tcPr>
                                  <w:tcW w:w="5420" w:type="dxa"/>
                                  <w:tcBorders/>
                                  <w:vAlign w:val="center"/>
                                </w:tcPr>
                                <w:p>
                                  <w:pPr>
                                    <w:pStyle w:val="TableContents"/>
                                    <w:bidi w:val="0"/>
                                    <w:spacing w:before="0" w:after="283"/>
                                    <w:jc w:val="left"/>
                                    <w:rPr/>
                                  </w:pPr>
                                  <w:hyperlink w:anchor="rtx014050a007">
                                    <w:r>
                                      <w:rPr>
                                        <w:rStyle w:val="InternetLink"/>
                                        <w:b/>
                                        <w:strike w:val="false"/>
                                        <w:dstrike w:val="false"/>
                                        <w:color w:val="000000"/>
                                        <w:u w:val="none"/>
                                        <w:effect w:val="none"/>
                                      </w:rPr>
                                      <w:t>Share Ownership</w:t>
                                    </w:r>
                                  </w:hyperlink>
                                </w:p>
                              </w:tc>
                              <w:tc>
                                <w:tcPr>
                                  <w:tcW w:w="275" w:type="dxa"/>
                                  <w:tcBorders/>
                                  <w:vAlign w:val="center"/>
                                </w:tcPr>
                                <w:p>
                                  <w:pPr>
                                    <w:pStyle w:val="TableContents"/>
                                    <w:bidi w:val="0"/>
                                    <w:spacing w:before="0" w:after="283"/>
                                    <w:jc w:val="right"/>
                                    <w:rPr/>
                                  </w:pPr>
                                  <w:hyperlink w:anchor="rtx014050a007">
                                    <w:r>
                                      <w:rPr>
                                        <w:rStyle w:val="InternetLink"/>
                                        <w:b/>
                                        <w:strike w:val="false"/>
                                        <w:dstrike w:val="false"/>
                                        <w:color w:val="000000"/>
                                        <w:u w:val="none"/>
                                        <w:effect w:val="none"/>
                                      </w:rPr>
                                      <w:t>35</w:t>
                                    </w:r>
                                  </w:hyperlink>
                                </w:p>
                              </w:tc>
                            </w:tr>
                            <w:tr>
                              <w:trPr/>
                              <w:tc>
                                <w:tcPr>
                                  <w:tcW w:w="542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5420" w:type="dxa"/>
                                  <w:tcBorders/>
                                  <w:vAlign w:val="center"/>
                                </w:tcPr>
                                <w:p>
                                  <w:pPr>
                                    <w:pStyle w:val="TableContents"/>
                                    <w:bidi w:val="0"/>
                                    <w:spacing w:before="0" w:after="283"/>
                                    <w:jc w:val="left"/>
                                    <w:rPr>
                                      <w:b/>
                                    </w:rPr>
                                  </w:pPr>
                                  <w:r>
                                    <w:rPr>
                                      <w:b/>
                                    </w:rPr>
                                    <w:t>EXECUTIVE COMPENSATION</w:t>
                                  </w:r>
                                </w:p>
                              </w:tc>
                              <w:tc>
                                <w:tcPr>
                                  <w:tcW w:w="275" w:type="dxa"/>
                                  <w:tcBorders/>
                                  <w:vAlign w:val="center"/>
                                </w:tcPr>
                                <w:p>
                                  <w:pPr>
                                    <w:pStyle w:val="TableContents"/>
                                    <w:bidi w:val="0"/>
                                    <w:spacing w:before="0" w:after="283"/>
                                    <w:jc w:val="right"/>
                                    <w:rPr/>
                                  </w:pPr>
                                  <w:r>
                                    <w:rPr/>
                                    <w:t> </w:t>
                                  </w:r>
                                </w:p>
                              </w:tc>
                            </w:tr>
                            <w:tr>
                              <w:trPr/>
                              <w:tc>
                                <w:tcPr>
                                  <w:tcW w:w="5420" w:type="dxa"/>
                                  <w:tcBorders/>
                                  <w:vAlign w:val="center"/>
                                </w:tcPr>
                                <w:p>
                                  <w:pPr>
                                    <w:pStyle w:val="TableContents"/>
                                    <w:bidi w:val="0"/>
                                    <w:spacing w:before="0" w:after="283"/>
                                    <w:jc w:val="left"/>
                                    <w:rPr/>
                                  </w:pPr>
                                  <w:hyperlink w:anchor="rtx014050a008">
                                    <w:r>
                                      <w:rPr>
                                        <w:rStyle w:val="InternetLink"/>
                                        <w:b/>
                                        <w:strike w:val="false"/>
                                        <w:dstrike w:val="false"/>
                                        <w:color w:val="C12E33"/>
                                        <w:u w:val="none"/>
                                        <w:effect w:val="none"/>
                                      </w:rPr>
                                      <w:t xml:space="preserve">Proposal 2 </w:t>
                                    </w:r>
                                  </w:hyperlink>
                                  <w:hyperlink w:anchor="rtx014050a008">
                                    <w:r>
                                      <w:rPr>
                                        <w:rStyle w:val="InternetLink"/>
                                        <w:strike w:val="false"/>
                                        <w:dstrike w:val="false"/>
                                        <w:color w:val="000000"/>
                                        <w:u w:val="none"/>
                                        <w:effect w:val="none"/>
                                      </w:rPr>
                                      <w:br/>
                                    </w:r>
                                  </w:hyperlink>
                                  <w:hyperlink w:anchor="rtx014050a008">
                                    <w:r>
                                      <w:rPr>
                                        <w:rStyle w:val="InternetLink"/>
                                        <w:b/>
                                        <w:strike w:val="false"/>
                                        <w:dstrike w:val="false"/>
                                        <w:color w:val="000000"/>
                                        <w:u w:val="none"/>
                                        <w:effect w:val="none"/>
                                      </w:rPr>
                                      <w:t>Advisory Vote to Approve Executive Compensation</w:t>
                                    </w:r>
                                  </w:hyperlink>
                                </w:p>
                              </w:tc>
                              <w:tc>
                                <w:tcPr>
                                  <w:tcW w:w="275" w:type="dxa"/>
                                  <w:tcBorders/>
                                  <w:vAlign w:val="center"/>
                                </w:tcPr>
                                <w:p>
                                  <w:pPr>
                                    <w:pStyle w:val="TableContents"/>
                                    <w:bidi w:val="0"/>
                                    <w:spacing w:before="0" w:after="283"/>
                                    <w:jc w:val="right"/>
                                    <w:rPr/>
                                  </w:pPr>
                                  <w:hyperlink w:anchor="rtx014050a008">
                                    <w:r>
                                      <w:rPr>
                                        <w:rStyle w:val="InternetLink"/>
                                        <w:b/>
                                        <w:strike w:val="false"/>
                                        <w:dstrike w:val="false"/>
                                        <w:color w:val="000000"/>
                                        <w:u w:val="none"/>
                                        <w:effect w:val="none"/>
                                      </w:rPr>
                                      <w:t>37</w:t>
                                    </w:r>
                                  </w:hyperlink>
                                </w:p>
                              </w:tc>
                            </w:tr>
                            <w:tr>
                              <w:trPr/>
                              <w:tc>
                                <w:tcPr>
                                  <w:tcW w:w="5420" w:type="dxa"/>
                                  <w:tcBorders/>
                                  <w:vAlign w:val="center"/>
                                </w:tcPr>
                                <w:p>
                                  <w:pPr>
                                    <w:pStyle w:val="TableContents"/>
                                    <w:bidi w:val="0"/>
                                    <w:spacing w:before="0" w:after="283"/>
                                    <w:jc w:val="left"/>
                                    <w:rPr/>
                                  </w:pPr>
                                  <w:hyperlink w:anchor="rtx014050a009">
                                    <w:r>
                                      <w:rPr>
                                        <w:rStyle w:val="InternetLink"/>
                                        <w:b/>
                                        <w:strike w:val="false"/>
                                        <w:dstrike w:val="false"/>
                                        <w:color w:val="000000"/>
                                        <w:u w:val="none"/>
                                        <w:effect w:val="none"/>
                                      </w:rPr>
                                      <w:t>Compensation Discussion and Analysis</w:t>
                                    </w:r>
                                  </w:hyperlink>
                                </w:p>
                              </w:tc>
                              <w:tc>
                                <w:tcPr>
                                  <w:tcW w:w="275" w:type="dxa"/>
                                  <w:tcBorders/>
                                  <w:vAlign w:val="center"/>
                                </w:tcPr>
                                <w:p>
                                  <w:pPr>
                                    <w:pStyle w:val="TableContents"/>
                                    <w:bidi w:val="0"/>
                                    <w:spacing w:before="0" w:after="283"/>
                                    <w:jc w:val="right"/>
                                    <w:rPr/>
                                  </w:pPr>
                                  <w:hyperlink w:anchor="rtx014050a009">
                                    <w:r>
                                      <w:rPr>
                                        <w:rStyle w:val="InternetLink"/>
                                        <w:b/>
                                        <w:strike w:val="false"/>
                                        <w:dstrike w:val="false"/>
                                        <w:color w:val="000000"/>
                                        <w:u w:val="none"/>
                                        <w:effect w:val="none"/>
                                      </w:rPr>
                                      <w:t>39</w:t>
                                    </w:r>
                                  </w:hyperlink>
                                </w:p>
                              </w:tc>
                            </w:tr>
                            <w:tr>
                              <w:trPr/>
                              <w:tc>
                                <w:tcPr>
                                  <w:tcW w:w="5420" w:type="dxa"/>
                                  <w:tcBorders/>
                                  <w:vAlign w:val="center"/>
                                </w:tcPr>
                                <w:p>
                                  <w:pPr>
                                    <w:pStyle w:val="TableContents"/>
                                    <w:bidi w:val="0"/>
                                    <w:spacing w:before="0" w:after="283"/>
                                    <w:jc w:val="left"/>
                                    <w:rPr/>
                                  </w:pPr>
                                  <w:hyperlink w:anchor="rtx014050a010">
                                    <w:r>
                                      <w:rPr>
                                        <w:rStyle w:val="InternetLink"/>
                                        <w:strike w:val="false"/>
                                        <w:dstrike w:val="false"/>
                                        <w:color w:val="000000"/>
                                        <w:u w:val="none"/>
                                        <w:effect w:val="none"/>
                                      </w:rPr>
                                      <w:t>Executive Summary</w:t>
                                    </w:r>
                                  </w:hyperlink>
                                </w:p>
                              </w:tc>
                              <w:tc>
                                <w:tcPr>
                                  <w:tcW w:w="275" w:type="dxa"/>
                                  <w:tcBorders/>
                                  <w:vAlign w:val="center"/>
                                </w:tcPr>
                                <w:p>
                                  <w:pPr>
                                    <w:pStyle w:val="TableContents"/>
                                    <w:bidi w:val="0"/>
                                    <w:spacing w:before="0" w:after="283"/>
                                    <w:jc w:val="right"/>
                                    <w:rPr/>
                                  </w:pPr>
                                  <w:hyperlink w:anchor="rtx014050a010">
                                    <w:r>
                                      <w:rPr>
                                        <w:rStyle w:val="InternetLink"/>
                                        <w:strike w:val="false"/>
                                        <w:dstrike w:val="false"/>
                                        <w:color w:val="000000"/>
                                        <w:u w:val="none"/>
                                        <w:effect w:val="none"/>
                                      </w:rPr>
                                      <w:t>40</w:t>
                                    </w:r>
                                  </w:hyperlink>
                                </w:p>
                              </w:tc>
                            </w:tr>
                            <w:tr>
                              <w:trPr/>
                              <w:tc>
                                <w:tcPr>
                                  <w:tcW w:w="5420" w:type="dxa"/>
                                  <w:tcBorders/>
                                  <w:vAlign w:val="center"/>
                                </w:tcPr>
                                <w:p>
                                  <w:pPr>
                                    <w:pStyle w:val="TableContents"/>
                                    <w:bidi w:val="0"/>
                                    <w:spacing w:before="0" w:after="283"/>
                                    <w:jc w:val="left"/>
                                    <w:rPr/>
                                  </w:pPr>
                                  <w:hyperlink w:anchor="rtx014050a011">
                                    <w:r>
                                      <w:rPr>
                                        <w:rStyle w:val="InternetLink"/>
                                        <w:strike w:val="false"/>
                                        <w:dstrike w:val="false"/>
                                        <w:color w:val="000000"/>
                                        <w:u w:val="none"/>
                                        <w:effect w:val="none"/>
                                      </w:rPr>
                                      <w:t>How We Make Pay Decisions and Assess Our Programs</w:t>
                                    </w:r>
                                  </w:hyperlink>
                                </w:p>
                              </w:tc>
                              <w:tc>
                                <w:tcPr>
                                  <w:tcW w:w="275" w:type="dxa"/>
                                  <w:tcBorders/>
                                  <w:vAlign w:val="center"/>
                                </w:tcPr>
                                <w:p>
                                  <w:pPr>
                                    <w:pStyle w:val="TableContents"/>
                                    <w:bidi w:val="0"/>
                                    <w:spacing w:before="0" w:after="283"/>
                                    <w:jc w:val="right"/>
                                    <w:rPr/>
                                  </w:pPr>
                                  <w:hyperlink w:anchor="rtx014050a011">
                                    <w:r>
                                      <w:rPr>
                                        <w:rStyle w:val="InternetLink"/>
                                        <w:strike w:val="false"/>
                                        <w:dstrike w:val="false"/>
                                        <w:color w:val="000000"/>
                                        <w:u w:val="none"/>
                                        <w:effect w:val="none"/>
                                      </w:rPr>
                                      <w:t>44</w:t>
                                    </w:r>
                                  </w:hyperlink>
                                </w:p>
                              </w:tc>
                            </w:tr>
                            <w:tr>
                              <w:trPr/>
                              <w:tc>
                                <w:tcPr>
                                  <w:tcW w:w="5420" w:type="dxa"/>
                                  <w:tcBorders/>
                                  <w:vAlign w:val="center"/>
                                </w:tcPr>
                                <w:p>
                                  <w:pPr>
                                    <w:pStyle w:val="TableContents"/>
                                    <w:bidi w:val="0"/>
                                    <w:spacing w:before="0" w:after="283"/>
                                    <w:jc w:val="left"/>
                                    <w:rPr/>
                                  </w:pPr>
                                  <w:hyperlink w:anchor="rtx014050a012">
                                    <w:r>
                                      <w:rPr>
                                        <w:rStyle w:val="InternetLink"/>
                                        <w:strike w:val="false"/>
                                        <w:dstrike w:val="false"/>
                                        <w:color w:val="000000"/>
                                        <w:u w:val="none"/>
                                        <w:effect w:val="none"/>
                                      </w:rPr>
                                      <w:t>2025 Principal Elements of Compensation</w:t>
                                    </w:r>
                                  </w:hyperlink>
                                </w:p>
                              </w:tc>
                              <w:tc>
                                <w:tcPr>
                                  <w:tcW w:w="275" w:type="dxa"/>
                                  <w:tcBorders/>
                                  <w:vAlign w:val="center"/>
                                </w:tcPr>
                                <w:p>
                                  <w:pPr>
                                    <w:pStyle w:val="TableContents"/>
                                    <w:bidi w:val="0"/>
                                    <w:spacing w:before="0" w:after="283"/>
                                    <w:jc w:val="right"/>
                                    <w:rPr/>
                                  </w:pPr>
                                  <w:hyperlink w:anchor="rtx014050a012">
                                    <w:r>
                                      <w:rPr>
                                        <w:rStyle w:val="InternetLink"/>
                                        <w:strike w:val="false"/>
                                        <w:dstrike w:val="false"/>
                                        <w:color w:val="000000"/>
                                        <w:u w:val="none"/>
                                        <w:effect w:val="none"/>
                                      </w:rPr>
                                      <w:t>47</w:t>
                                    </w:r>
                                  </w:hyperlink>
                                </w:p>
                              </w:tc>
                            </w:tr>
                            <w:tr>
                              <w:trPr/>
                              <w:tc>
                                <w:tcPr>
                                  <w:tcW w:w="5420" w:type="dxa"/>
                                  <w:tcBorders/>
                                  <w:vAlign w:val="center"/>
                                </w:tcPr>
                                <w:p>
                                  <w:pPr>
                                    <w:pStyle w:val="TableContents"/>
                                    <w:bidi w:val="0"/>
                                    <w:spacing w:before="0" w:after="283"/>
                                    <w:jc w:val="left"/>
                                    <w:rPr/>
                                  </w:pPr>
                                  <w:hyperlink w:anchor="rtx014050a013">
                                    <w:r>
                                      <w:rPr>
                                        <w:rStyle w:val="InternetLink"/>
                                        <w:strike w:val="false"/>
                                        <w:dstrike w:val="false"/>
                                        <w:color w:val="000000"/>
                                        <w:u w:val="none"/>
                                        <w:effect w:val="none"/>
                                      </w:rPr>
                                      <w:t>2025 CEO Pay Decisions</w:t>
                                    </w:r>
                                  </w:hyperlink>
                                </w:p>
                              </w:tc>
                              <w:tc>
                                <w:tcPr>
                                  <w:tcW w:w="275" w:type="dxa"/>
                                  <w:tcBorders/>
                                  <w:vAlign w:val="center"/>
                                </w:tcPr>
                                <w:p>
                                  <w:pPr>
                                    <w:pStyle w:val="TableContents"/>
                                    <w:bidi w:val="0"/>
                                    <w:spacing w:before="0" w:after="283"/>
                                    <w:jc w:val="right"/>
                                    <w:rPr/>
                                  </w:pPr>
                                  <w:hyperlink w:anchor="rtx014050a013">
                                    <w:r>
                                      <w:rPr>
                                        <w:rStyle w:val="InternetLink"/>
                                        <w:strike w:val="false"/>
                                        <w:dstrike w:val="false"/>
                                        <w:color w:val="000000"/>
                                        <w:u w:val="none"/>
                                        <w:effect w:val="none"/>
                                      </w:rPr>
                                      <w:t>52</w:t>
                                    </w:r>
                                  </w:hyperlink>
                                </w:p>
                              </w:tc>
                            </w:tr>
                            <w:tr>
                              <w:trPr/>
                              <w:tc>
                                <w:tcPr>
                                  <w:tcW w:w="5420" w:type="dxa"/>
                                  <w:tcBorders/>
                                  <w:vAlign w:val="center"/>
                                </w:tcPr>
                                <w:p>
                                  <w:pPr>
                                    <w:pStyle w:val="TableContents"/>
                                    <w:bidi w:val="0"/>
                                    <w:spacing w:before="0" w:after="283"/>
                                    <w:jc w:val="left"/>
                                    <w:rPr/>
                                  </w:pPr>
                                  <w:hyperlink w:anchor="rtx014050a014">
                                    <w:r>
                                      <w:rPr>
                                        <w:rStyle w:val="InternetLink"/>
                                        <w:strike w:val="false"/>
                                        <w:dstrike w:val="false"/>
                                        <w:color w:val="000000"/>
                                        <w:u w:val="none"/>
                                        <w:effect w:val="none"/>
                                      </w:rPr>
                                      <w:t>2025 Pay Decisions for Other NEOs</w:t>
                                    </w:r>
                                  </w:hyperlink>
                                </w:p>
                              </w:tc>
                              <w:tc>
                                <w:tcPr>
                                  <w:tcW w:w="275" w:type="dxa"/>
                                  <w:tcBorders/>
                                  <w:vAlign w:val="center"/>
                                </w:tcPr>
                                <w:p>
                                  <w:pPr>
                                    <w:pStyle w:val="TableContents"/>
                                    <w:bidi w:val="0"/>
                                    <w:spacing w:before="0" w:after="283"/>
                                    <w:jc w:val="right"/>
                                    <w:rPr/>
                                  </w:pPr>
                                  <w:hyperlink w:anchor="rtx014050a014">
                                    <w:r>
                                      <w:rPr>
                                        <w:rStyle w:val="InternetLink"/>
                                        <w:strike w:val="false"/>
                                        <w:dstrike w:val="false"/>
                                        <w:color w:val="000000"/>
                                        <w:u w:val="none"/>
                                        <w:effect w:val="none"/>
                                      </w:rPr>
                                      <w:t>54</w:t>
                                    </w:r>
                                  </w:hyperlink>
                                </w:p>
                              </w:tc>
                            </w:tr>
                            <w:tr>
                              <w:trPr/>
                              <w:tc>
                                <w:tcPr>
                                  <w:tcW w:w="5420" w:type="dxa"/>
                                  <w:tcBorders/>
                                  <w:vAlign w:val="center"/>
                                </w:tcPr>
                                <w:p>
                                  <w:pPr>
                                    <w:pStyle w:val="TableContents"/>
                                    <w:bidi w:val="0"/>
                                    <w:spacing w:before="0" w:after="283"/>
                                    <w:jc w:val="left"/>
                                    <w:rPr/>
                                  </w:pPr>
                                  <w:hyperlink w:anchor="rtx014050a015">
                                    <w:r>
                                      <w:rPr>
                                        <w:rStyle w:val="InternetLink"/>
                                        <w:strike w:val="false"/>
                                        <w:dstrike w:val="false"/>
                                        <w:color w:val="000000"/>
                                        <w:u w:val="none"/>
                                        <w:effect w:val="none"/>
                                      </w:rPr>
                                      <w:t>Other Compensation Elements</w:t>
                                    </w:r>
                                  </w:hyperlink>
                                </w:p>
                              </w:tc>
                              <w:tc>
                                <w:tcPr>
                                  <w:tcW w:w="275" w:type="dxa"/>
                                  <w:tcBorders/>
                                  <w:vAlign w:val="center"/>
                                </w:tcPr>
                                <w:p>
                                  <w:pPr>
                                    <w:pStyle w:val="TableContents"/>
                                    <w:bidi w:val="0"/>
                                    <w:spacing w:before="0" w:after="283"/>
                                    <w:jc w:val="right"/>
                                    <w:rPr/>
                                  </w:pPr>
                                  <w:hyperlink w:anchor="rtx014050a015">
                                    <w:r>
                                      <w:rPr>
                                        <w:rStyle w:val="InternetLink"/>
                                        <w:strike w:val="false"/>
                                        <w:dstrike w:val="false"/>
                                        <w:color w:val="000000"/>
                                        <w:u w:val="none"/>
                                        <w:effect w:val="none"/>
                                      </w:rPr>
                                      <w:t>58</w:t>
                                    </w:r>
                                  </w:hyperlink>
                                </w:p>
                              </w:tc>
                            </w:tr>
                            <w:tr>
                              <w:trPr/>
                              <w:tc>
                                <w:tcPr>
                                  <w:tcW w:w="5420" w:type="dxa"/>
                                  <w:tcBorders/>
                                  <w:vAlign w:val="center"/>
                                </w:tcPr>
                                <w:p>
                                  <w:pPr>
                                    <w:pStyle w:val="TableContents"/>
                                    <w:bidi w:val="0"/>
                                    <w:spacing w:before="0" w:after="283"/>
                                    <w:jc w:val="left"/>
                                    <w:rPr/>
                                  </w:pPr>
                                  <w:hyperlink w:anchor="rtx014050a016">
                                    <w:r>
                                      <w:rPr>
                                        <w:rStyle w:val="InternetLink"/>
                                        <w:strike w:val="false"/>
                                        <w:dstrike w:val="false"/>
                                        <w:color w:val="000000"/>
                                        <w:u w:val="none"/>
                                        <w:effect w:val="none"/>
                                      </w:rPr>
                                      <w:t>Other Executive Compensation Policies and Practices</w:t>
                                    </w:r>
                                  </w:hyperlink>
                                </w:p>
                              </w:tc>
                              <w:tc>
                                <w:tcPr>
                                  <w:tcW w:w="275" w:type="dxa"/>
                                  <w:tcBorders/>
                                  <w:vAlign w:val="center"/>
                                </w:tcPr>
                                <w:p>
                                  <w:pPr>
                                    <w:pStyle w:val="TableContents"/>
                                    <w:bidi w:val="0"/>
                                    <w:spacing w:before="0" w:after="283"/>
                                    <w:jc w:val="right"/>
                                    <w:rPr/>
                                  </w:pPr>
                                  <w:hyperlink w:anchor="rtx014050a016">
                                    <w:r>
                                      <w:rPr>
                                        <w:rStyle w:val="InternetLink"/>
                                        <w:strike w:val="false"/>
                                        <w:dstrike w:val="false"/>
                                        <w:color w:val="000000"/>
                                        <w:u w:val="none"/>
                                        <w:effect w:val="none"/>
                                      </w:rPr>
                                      <w:t>61</w:t>
                                    </w:r>
                                  </w:hyperlink>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614.2pt;mso-wrap-distance-left:0pt;mso-wrap-distance-right:0pt;mso-wrap-distance-top:0pt;mso-wrap-distance-bottom:0pt;margin-top:0pt;mso-position-vertical:top;mso-position-vertical-relative:text;margin-left:0pt;mso-position-horizontal:left;mso-position-horizontal-relative:text">
                <v:textbox>
                  <w:txbxContent>
                    <w:tbl>
                      <w:tblPr>
                        <w:tblW w:w="5695" w:type="dxa"/>
                        <w:jc w:val="left"/>
                        <w:tblInd w:w="0" w:type="dxa"/>
                        <w:tblLayout w:type="fixed"/>
                        <w:tblCellMar>
                          <w:top w:w="0" w:type="dxa"/>
                          <w:left w:w="0" w:type="dxa"/>
                          <w:bottom w:w="0" w:type="dxa"/>
                          <w:right w:w="0" w:type="dxa"/>
                        </w:tblCellMar>
                      </w:tblPr>
                      <w:tblGrid>
                        <w:gridCol w:w="5420"/>
                        <w:gridCol w:w="275"/>
                      </w:tblGrid>
                      <w:tr>
                        <w:trPr/>
                        <w:tc>
                          <w:tcPr>
                            <w:tcW w:w="5420" w:type="dxa"/>
                            <w:tcBorders/>
                            <w:vAlign w:val="center"/>
                          </w:tcPr>
                          <w:p>
                            <w:pPr>
                              <w:pStyle w:val="TableContents"/>
                              <w:bidi w:val="0"/>
                              <w:spacing w:before="0" w:after="283"/>
                              <w:jc w:val="left"/>
                              <w:rPr/>
                            </w:pPr>
                            <w:hyperlink w:anchor="rtx014050a001">
                              <w:r>
                                <w:rPr>
                                  <w:rStyle w:val="InternetLink"/>
                                  <w:b/>
                                  <w:strike w:val="false"/>
                                  <w:dstrike w:val="false"/>
                                  <w:color w:val="000000"/>
                                  <w:u w:val="none"/>
                                  <w:effect w:val="none"/>
                                </w:rPr>
                                <w:t>Notice of 2026 Annual Meeting of Shareowners</w:t>
                              </w:r>
                            </w:hyperlink>
                          </w:p>
                        </w:tc>
                        <w:tc>
                          <w:tcPr>
                            <w:tcW w:w="275" w:type="dxa"/>
                            <w:tcBorders/>
                            <w:vAlign w:val="center"/>
                          </w:tcPr>
                          <w:p>
                            <w:pPr>
                              <w:pStyle w:val="TableContents"/>
                              <w:bidi w:val="0"/>
                              <w:spacing w:before="0" w:after="283"/>
                              <w:jc w:val="right"/>
                              <w:rPr/>
                            </w:pPr>
                            <w:hyperlink w:anchor="rtx014050a001">
                              <w:r>
                                <w:rPr>
                                  <w:rStyle w:val="InternetLink"/>
                                  <w:b/>
                                  <w:strike w:val="false"/>
                                  <w:dstrike w:val="false"/>
                                  <w:color w:val="000000"/>
                                  <w:u w:val="none"/>
                                  <w:effect w:val="none"/>
                                </w:rPr>
                                <w:t>i</w:t>
                              </w:r>
                            </w:hyperlink>
                          </w:p>
                        </w:tc>
                      </w:tr>
                      <w:tr>
                        <w:trPr/>
                        <w:tc>
                          <w:tcPr>
                            <w:tcW w:w="5420" w:type="dxa"/>
                            <w:tcBorders/>
                            <w:vAlign w:val="center"/>
                          </w:tcPr>
                          <w:p>
                            <w:pPr>
                              <w:pStyle w:val="TableContents"/>
                              <w:bidi w:val="0"/>
                              <w:spacing w:before="0" w:after="283"/>
                              <w:jc w:val="left"/>
                              <w:rPr/>
                            </w:pPr>
                            <w:hyperlink w:anchor="rtx014050a002">
                              <w:r>
                                <w:rPr>
                                  <w:rStyle w:val="InternetLink"/>
                                  <w:b/>
                                  <w:strike w:val="false"/>
                                  <w:dstrike w:val="false"/>
                                  <w:color w:val="000000"/>
                                  <w:u w:val="none"/>
                                  <w:effect w:val="none"/>
                                </w:rPr>
                                <w:t>Proxy Summary</w:t>
                              </w:r>
                            </w:hyperlink>
                          </w:p>
                        </w:tc>
                        <w:tc>
                          <w:tcPr>
                            <w:tcW w:w="275" w:type="dxa"/>
                            <w:tcBorders/>
                            <w:vAlign w:val="center"/>
                          </w:tcPr>
                          <w:p>
                            <w:pPr>
                              <w:pStyle w:val="TableContents"/>
                              <w:bidi w:val="0"/>
                              <w:spacing w:before="0" w:after="283"/>
                              <w:jc w:val="right"/>
                              <w:rPr/>
                            </w:pPr>
                            <w:hyperlink w:anchor="rtx014050a002">
                              <w:r>
                                <w:rPr>
                                  <w:rStyle w:val="InternetLink"/>
                                  <w:b/>
                                  <w:strike w:val="false"/>
                                  <w:dstrike w:val="false"/>
                                  <w:color w:val="000000"/>
                                  <w:u w:val="none"/>
                                  <w:effect w:val="none"/>
                                </w:rPr>
                                <w:t>1</w:t>
                              </w:r>
                            </w:hyperlink>
                          </w:p>
                        </w:tc>
                      </w:tr>
                      <w:tr>
                        <w:trPr/>
                        <w:tc>
                          <w:tcPr>
                            <w:tcW w:w="542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5420" w:type="dxa"/>
                            <w:tcBorders/>
                            <w:vAlign w:val="center"/>
                          </w:tcPr>
                          <w:p>
                            <w:pPr>
                              <w:pStyle w:val="TableContents"/>
                              <w:bidi w:val="0"/>
                              <w:spacing w:before="0" w:after="283"/>
                              <w:jc w:val="left"/>
                              <w:rPr>
                                <w:b/>
                              </w:rPr>
                            </w:pPr>
                            <w:r>
                              <w:rPr>
                                <w:b/>
                              </w:rPr>
                              <w:t>CORPORATE GOVERNANCE</w:t>
                            </w:r>
                          </w:p>
                        </w:tc>
                        <w:tc>
                          <w:tcPr>
                            <w:tcW w:w="275" w:type="dxa"/>
                            <w:tcBorders/>
                            <w:vAlign w:val="center"/>
                          </w:tcPr>
                          <w:p>
                            <w:pPr>
                              <w:pStyle w:val="TableContents"/>
                              <w:bidi w:val="0"/>
                              <w:spacing w:before="0" w:after="283"/>
                              <w:jc w:val="right"/>
                              <w:rPr/>
                            </w:pPr>
                            <w:r>
                              <w:rPr/>
                              <w:t> </w:t>
                            </w:r>
                          </w:p>
                        </w:tc>
                      </w:tr>
                      <w:tr>
                        <w:trPr/>
                        <w:tc>
                          <w:tcPr>
                            <w:tcW w:w="5420" w:type="dxa"/>
                            <w:tcBorders/>
                            <w:vAlign w:val="center"/>
                          </w:tcPr>
                          <w:p>
                            <w:pPr>
                              <w:pStyle w:val="TableContents"/>
                              <w:bidi w:val="0"/>
                              <w:spacing w:before="0" w:after="283"/>
                              <w:jc w:val="left"/>
                              <w:rPr/>
                            </w:pPr>
                            <w:hyperlink w:anchor="rtx014050a003">
                              <w:r>
                                <w:rPr>
                                  <w:rStyle w:val="InternetLink"/>
                                  <w:b/>
                                  <w:strike w:val="false"/>
                                  <w:dstrike w:val="false"/>
                                  <w:color w:val="C12E33"/>
                                  <w:u w:val="none"/>
                                  <w:effect w:val="none"/>
                                </w:rPr>
                                <w:t>Proposal 1</w:t>
                              </w:r>
                            </w:hyperlink>
                            <w:hyperlink w:anchor="rtx014050a003">
                              <w:r>
                                <w:rPr>
                                  <w:rStyle w:val="InternetLink"/>
                                  <w:strike w:val="false"/>
                                  <w:dstrike w:val="false"/>
                                  <w:color w:val="000000"/>
                                  <w:u w:val="none"/>
                                  <w:effect w:val="none"/>
                                </w:rPr>
                                <w:br/>
                              </w:r>
                            </w:hyperlink>
                            <w:hyperlink w:anchor="rtx014050a003">
                              <w:r>
                                <w:rPr>
                                  <w:rStyle w:val="InternetLink"/>
                                  <w:b/>
                                  <w:strike w:val="false"/>
                                  <w:dstrike w:val="false"/>
                                  <w:color w:val="000000"/>
                                  <w:u w:val="none"/>
                                  <w:effect w:val="none"/>
                                </w:rPr>
                                <w:t>Election of Directors</w:t>
                              </w:r>
                            </w:hyperlink>
                          </w:p>
                        </w:tc>
                        <w:tc>
                          <w:tcPr>
                            <w:tcW w:w="275" w:type="dxa"/>
                            <w:tcBorders/>
                            <w:vAlign w:val="center"/>
                          </w:tcPr>
                          <w:p>
                            <w:pPr>
                              <w:pStyle w:val="TableContents"/>
                              <w:bidi w:val="0"/>
                              <w:spacing w:before="0" w:after="283"/>
                              <w:jc w:val="right"/>
                              <w:rPr/>
                            </w:pPr>
                            <w:hyperlink w:anchor="rtx014050a003">
                              <w:r>
                                <w:rPr>
                                  <w:rStyle w:val="InternetLink"/>
                                  <w:b/>
                                  <w:strike w:val="false"/>
                                  <w:dstrike w:val="false"/>
                                  <w:color w:val="000000"/>
                                  <w:u w:val="none"/>
                                  <w:effect w:val="none"/>
                                </w:rPr>
                                <w:t>11</w:t>
                              </w:r>
                            </w:hyperlink>
                          </w:p>
                        </w:tc>
                      </w:tr>
                      <w:tr>
                        <w:trPr/>
                        <w:tc>
                          <w:tcPr>
                            <w:tcW w:w="5420" w:type="dxa"/>
                            <w:tcBorders/>
                            <w:vAlign w:val="center"/>
                          </w:tcPr>
                          <w:p>
                            <w:pPr>
                              <w:pStyle w:val="TableContents"/>
                              <w:bidi w:val="0"/>
                              <w:spacing w:before="0" w:after="283"/>
                              <w:jc w:val="left"/>
                              <w:rPr/>
                            </w:pPr>
                            <w:hyperlink w:anchor="rtx014050a004">
                              <w:r>
                                <w:rPr>
                                  <w:rStyle w:val="InternetLink"/>
                                  <w:strike w:val="false"/>
                                  <w:dstrike w:val="false"/>
                                  <w:color w:val="000000"/>
                                  <w:u w:val="none"/>
                                  <w:effect w:val="none"/>
                                </w:rPr>
                                <w:t>Nominees</w:t>
                              </w:r>
                            </w:hyperlink>
                          </w:p>
                        </w:tc>
                        <w:tc>
                          <w:tcPr>
                            <w:tcW w:w="275" w:type="dxa"/>
                            <w:tcBorders/>
                            <w:vAlign w:val="center"/>
                          </w:tcPr>
                          <w:p>
                            <w:pPr>
                              <w:pStyle w:val="TableContents"/>
                              <w:bidi w:val="0"/>
                              <w:spacing w:before="0" w:after="283"/>
                              <w:jc w:val="right"/>
                              <w:rPr/>
                            </w:pPr>
                            <w:hyperlink w:anchor="rtx014050a004">
                              <w:r>
                                <w:rPr>
                                  <w:rStyle w:val="InternetLink"/>
                                  <w:strike w:val="false"/>
                                  <w:dstrike w:val="false"/>
                                  <w:color w:val="000000"/>
                                  <w:u w:val="none"/>
                                  <w:effect w:val="none"/>
                                </w:rPr>
                                <w:t>14</w:t>
                              </w:r>
                            </w:hyperlink>
                          </w:p>
                        </w:tc>
                      </w:tr>
                      <w:tr>
                        <w:trPr/>
                        <w:tc>
                          <w:tcPr>
                            <w:tcW w:w="5420" w:type="dxa"/>
                            <w:tcBorders/>
                            <w:vAlign w:val="center"/>
                          </w:tcPr>
                          <w:p>
                            <w:pPr>
                              <w:pStyle w:val="TableContents"/>
                              <w:bidi w:val="0"/>
                              <w:spacing w:before="0" w:after="283"/>
                              <w:jc w:val="left"/>
                              <w:rPr/>
                            </w:pPr>
                            <w:hyperlink w:anchor="rtx014050a005">
                              <w:r>
                                <w:rPr>
                                  <w:rStyle w:val="InternetLink"/>
                                  <w:b/>
                                  <w:strike w:val="false"/>
                                  <w:dstrike w:val="false"/>
                                  <w:color w:val="000000"/>
                                  <w:u w:val="none"/>
                                  <w:effect w:val="none"/>
                                </w:rPr>
                                <w:t>Corporate Governance</w:t>
                              </w:r>
                            </w:hyperlink>
                          </w:p>
                        </w:tc>
                        <w:tc>
                          <w:tcPr>
                            <w:tcW w:w="275" w:type="dxa"/>
                            <w:tcBorders/>
                            <w:vAlign w:val="center"/>
                          </w:tcPr>
                          <w:p>
                            <w:pPr>
                              <w:pStyle w:val="TableContents"/>
                              <w:bidi w:val="0"/>
                              <w:spacing w:before="0" w:after="283"/>
                              <w:jc w:val="right"/>
                              <w:rPr/>
                            </w:pPr>
                            <w:hyperlink w:anchor="rtx014050a005">
                              <w:r>
                                <w:rPr>
                                  <w:rStyle w:val="InternetLink"/>
                                  <w:b/>
                                  <w:strike w:val="false"/>
                                  <w:dstrike w:val="false"/>
                                  <w:color w:val="000000"/>
                                  <w:u w:val="none"/>
                                  <w:effect w:val="none"/>
                                </w:rPr>
                                <w:t>20</w:t>
                              </w:r>
                            </w:hyperlink>
                          </w:p>
                        </w:tc>
                      </w:tr>
                      <w:tr>
                        <w:trPr/>
                        <w:tc>
                          <w:tcPr>
                            <w:tcW w:w="5420" w:type="dxa"/>
                            <w:tcBorders/>
                            <w:vAlign w:val="center"/>
                          </w:tcPr>
                          <w:p>
                            <w:pPr>
                              <w:pStyle w:val="TableContents"/>
                              <w:bidi w:val="0"/>
                              <w:spacing w:before="0" w:after="283"/>
                              <w:jc w:val="left"/>
                              <w:rPr/>
                            </w:pPr>
                            <w:hyperlink w:anchor="rtx014050a006">
                              <w:r>
                                <w:rPr>
                                  <w:rStyle w:val="InternetLink"/>
                                  <w:b/>
                                  <w:strike w:val="false"/>
                                  <w:dstrike w:val="false"/>
                                  <w:color w:val="000000"/>
                                  <w:u w:val="none"/>
                                  <w:effect w:val="none"/>
                                </w:rPr>
                                <w:t>Compensation of Directors</w:t>
                              </w:r>
                            </w:hyperlink>
                          </w:p>
                        </w:tc>
                        <w:tc>
                          <w:tcPr>
                            <w:tcW w:w="275" w:type="dxa"/>
                            <w:tcBorders/>
                            <w:vAlign w:val="center"/>
                          </w:tcPr>
                          <w:p>
                            <w:pPr>
                              <w:pStyle w:val="TableContents"/>
                              <w:bidi w:val="0"/>
                              <w:spacing w:before="0" w:after="283"/>
                              <w:jc w:val="right"/>
                              <w:rPr/>
                            </w:pPr>
                            <w:hyperlink w:anchor="rtx014050a006">
                              <w:r>
                                <w:rPr>
                                  <w:rStyle w:val="InternetLink"/>
                                  <w:b/>
                                  <w:strike w:val="false"/>
                                  <w:dstrike w:val="false"/>
                                  <w:color w:val="000000"/>
                                  <w:u w:val="none"/>
                                  <w:effect w:val="none"/>
                                </w:rPr>
                                <w:t>33</w:t>
                              </w:r>
                            </w:hyperlink>
                          </w:p>
                        </w:tc>
                      </w:tr>
                      <w:tr>
                        <w:trPr/>
                        <w:tc>
                          <w:tcPr>
                            <w:tcW w:w="5420" w:type="dxa"/>
                            <w:tcBorders/>
                            <w:vAlign w:val="center"/>
                          </w:tcPr>
                          <w:p>
                            <w:pPr>
                              <w:pStyle w:val="TableContents"/>
                              <w:bidi w:val="0"/>
                              <w:spacing w:before="0" w:after="283"/>
                              <w:jc w:val="left"/>
                              <w:rPr/>
                            </w:pPr>
                            <w:hyperlink w:anchor="rtx014050a007">
                              <w:r>
                                <w:rPr>
                                  <w:rStyle w:val="InternetLink"/>
                                  <w:b/>
                                  <w:strike w:val="false"/>
                                  <w:dstrike w:val="false"/>
                                  <w:color w:val="000000"/>
                                  <w:u w:val="none"/>
                                  <w:effect w:val="none"/>
                                </w:rPr>
                                <w:t>Share Ownership</w:t>
                              </w:r>
                            </w:hyperlink>
                          </w:p>
                        </w:tc>
                        <w:tc>
                          <w:tcPr>
                            <w:tcW w:w="275" w:type="dxa"/>
                            <w:tcBorders/>
                            <w:vAlign w:val="center"/>
                          </w:tcPr>
                          <w:p>
                            <w:pPr>
                              <w:pStyle w:val="TableContents"/>
                              <w:bidi w:val="0"/>
                              <w:spacing w:before="0" w:after="283"/>
                              <w:jc w:val="right"/>
                              <w:rPr/>
                            </w:pPr>
                            <w:hyperlink w:anchor="rtx014050a007">
                              <w:r>
                                <w:rPr>
                                  <w:rStyle w:val="InternetLink"/>
                                  <w:b/>
                                  <w:strike w:val="false"/>
                                  <w:dstrike w:val="false"/>
                                  <w:color w:val="000000"/>
                                  <w:u w:val="none"/>
                                  <w:effect w:val="none"/>
                                </w:rPr>
                                <w:t>35</w:t>
                              </w:r>
                            </w:hyperlink>
                          </w:p>
                        </w:tc>
                      </w:tr>
                      <w:tr>
                        <w:trPr/>
                        <w:tc>
                          <w:tcPr>
                            <w:tcW w:w="542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5420" w:type="dxa"/>
                            <w:tcBorders/>
                            <w:vAlign w:val="center"/>
                          </w:tcPr>
                          <w:p>
                            <w:pPr>
                              <w:pStyle w:val="TableContents"/>
                              <w:bidi w:val="0"/>
                              <w:spacing w:before="0" w:after="283"/>
                              <w:jc w:val="left"/>
                              <w:rPr>
                                <w:b/>
                              </w:rPr>
                            </w:pPr>
                            <w:r>
                              <w:rPr>
                                <w:b/>
                              </w:rPr>
                              <w:t>EXECUTIVE COMPENSATION</w:t>
                            </w:r>
                          </w:p>
                        </w:tc>
                        <w:tc>
                          <w:tcPr>
                            <w:tcW w:w="275" w:type="dxa"/>
                            <w:tcBorders/>
                            <w:vAlign w:val="center"/>
                          </w:tcPr>
                          <w:p>
                            <w:pPr>
                              <w:pStyle w:val="TableContents"/>
                              <w:bidi w:val="0"/>
                              <w:spacing w:before="0" w:after="283"/>
                              <w:jc w:val="right"/>
                              <w:rPr/>
                            </w:pPr>
                            <w:r>
                              <w:rPr/>
                              <w:t> </w:t>
                            </w:r>
                          </w:p>
                        </w:tc>
                      </w:tr>
                      <w:tr>
                        <w:trPr/>
                        <w:tc>
                          <w:tcPr>
                            <w:tcW w:w="5420" w:type="dxa"/>
                            <w:tcBorders/>
                            <w:vAlign w:val="center"/>
                          </w:tcPr>
                          <w:p>
                            <w:pPr>
                              <w:pStyle w:val="TableContents"/>
                              <w:bidi w:val="0"/>
                              <w:spacing w:before="0" w:after="283"/>
                              <w:jc w:val="left"/>
                              <w:rPr/>
                            </w:pPr>
                            <w:hyperlink w:anchor="rtx014050a008">
                              <w:r>
                                <w:rPr>
                                  <w:rStyle w:val="InternetLink"/>
                                  <w:b/>
                                  <w:strike w:val="false"/>
                                  <w:dstrike w:val="false"/>
                                  <w:color w:val="C12E33"/>
                                  <w:u w:val="none"/>
                                  <w:effect w:val="none"/>
                                </w:rPr>
                                <w:t xml:space="preserve">Proposal 2 </w:t>
                              </w:r>
                            </w:hyperlink>
                            <w:hyperlink w:anchor="rtx014050a008">
                              <w:r>
                                <w:rPr>
                                  <w:rStyle w:val="InternetLink"/>
                                  <w:strike w:val="false"/>
                                  <w:dstrike w:val="false"/>
                                  <w:color w:val="000000"/>
                                  <w:u w:val="none"/>
                                  <w:effect w:val="none"/>
                                </w:rPr>
                                <w:br/>
                              </w:r>
                            </w:hyperlink>
                            <w:hyperlink w:anchor="rtx014050a008">
                              <w:r>
                                <w:rPr>
                                  <w:rStyle w:val="InternetLink"/>
                                  <w:b/>
                                  <w:strike w:val="false"/>
                                  <w:dstrike w:val="false"/>
                                  <w:color w:val="000000"/>
                                  <w:u w:val="none"/>
                                  <w:effect w:val="none"/>
                                </w:rPr>
                                <w:t>Advisory Vote to Approve Executive Compensation</w:t>
                              </w:r>
                            </w:hyperlink>
                          </w:p>
                        </w:tc>
                        <w:tc>
                          <w:tcPr>
                            <w:tcW w:w="275" w:type="dxa"/>
                            <w:tcBorders/>
                            <w:vAlign w:val="center"/>
                          </w:tcPr>
                          <w:p>
                            <w:pPr>
                              <w:pStyle w:val="TableContents"/>
                              <w:bidi w:val="0"/>
                              <w:spacing w:before="0" w:after="283"/>
                              <w:jc w:val="right"/>
                              <w:rPr/>
                            </w:pPr>
                            <w:hyperlink w:anchor="rtx014050a008">
                              <w:r>
                                <w:rPr>
                                  <w:rStyle w:val="InternetLink"/>
                                  <w:b/>
                                  <w:strike w:val="false"/>
                                  <w:dstrike w:val="false"/>
                                  <w:color w:val="000000"/>
                                  <w:u w:val="none"/>
                                  <w:effect w:val="none"/>
                                </w:rPr>
                                <w:t>37</w:t>
                              </w:r>
                            </w:hyperlink>
                          </w:p>
                        </w:tc>
                      </w:tr>
                      <w:tr>
                        <w:trPr/>
                        <w:tc>
                          <w:tcPr>
                            <w:tcW w:w="5420" w:type="dxa"/>
                            <w:tcBorders/>
                            <w:vAlign w:val="center"/>
                          </w:tcPr>
                          <w:p>
                            <w:pPr>
                              <w:pStyle w:val="TableContents"/>
                              <w:bidi w:val="0"/>
                              <w:spacing w:before="0" w:after="283"/>
                              <w:jc w:val="left"/>
                              <w:rPr/>
                            </w:pPr>
                            <w:hyperlink w:anchor="rtx014050a009">
                              <w:r>
                                <w:rPr>
                                  <w:rStyle w:val="InternetLink"/>
                                  <w:b/>
                                  <w:strike w:val="false"/>
                                  <w:dstrike w:val="false"/>
                                  <w:color w:val="000000"/>
                                  <w:u w:val="none"/>
                                  <w:effect w:val="none"/>
                                </w:rPr>
                                <w:t>Compensation Discussion and Analysis</w:t>
                              </w:r>
                            </w:hyperlink>
                          </w:p>
                        </w:tc>
                        <w:tc>
                          <w:tcPr>
                            <w:tcW w:w="275" w:type="dxa"/>
                            <w:tcBorders/>
                            <w:vAlign w:val="center"/>
                          </w:tcPr>
                          <w:p>
                            <w:pPr>
                              <w:pStyle w:val="TableContents"/>
                              <w:bidi w:val="0"/>
                              <w:spacing w:before="0" w:after="283"/>
                              <w:jc w:val="right"/>
                              <w:rPr/>
                            </w:pPr>
                            <w:hyperlink w:anchor="rtx014050a009">
                              <w:r>
                                <w:rPr>
                                  <w:rStyle w:val="InternetLink"/>
                                  <w:b/>
                                  <w:strike w:val="false"/>
                                  <w:dstrike w:val="false"/>
                                  <w:color w:val="000000"/>
                                  <w:u w:val="none"/>
                                  <w:effect w:val="none"/>
                                </w:rPr>
                                <w:t>39</w:t>
                              </w:r>
                            </w:hyperlink>
                          </w:p>
                        </w:tc>
                      </w:tr>
                      <w:tr>
                        <w:trPr/>
                        <w:tc>
                          <w:tcPr>
                            <w:tcW w:w="5420" w:type="dxa"/>
                            <w:tcBorders/>
                            <w:vAlign w:val="center"/>
                          </w:tcPr>
                          <w:p>
                            <w:pPr>
                              <w:pStyle w:val="TableContents"/>
                              <w:bidi w:val="0"/>
                              <w:spacing w:before="0" w:after="283"/>
                              <w:jc w:val="left"/>
                              <w:rPr/>
                            </w:pPr>
                            <w:hyperlink w:anchor="rtx014050a010">
                              <w:r>
                                <w:rPr>
                                  <w:rStyle w:val="InternetLink"/>
                                  <w:strike w:val="false"/>
                                  <w:dstrike w:val="false"/>
                                  <w:color w:val="000000"/>
                                  <w:u w:val="none"/>
                                  <w:effect w:val="none"/>
                                </w:rPr>
                                <w:t>Executive Summary</w:t>
                              </w:r>
                            </w:hyperlink>
                          </w:p>
                        </w:tc>
                        <w:tc>
                          <w:tcPr>
                            <w:tcW w:w="275" w:type="dxa"/>
                            <w:tcBorders/>
                            <w:vAlign w:val="center"/>
                          </w:tcPr>
                          <w:p>
                            <w:pPr>
                              <w:pStyle w:val="TableContents"/>
                              <w:bidi w:val="0"/>
                              <w:spacing w:before="0" w:after="283"/>
                              <w:jc w:val="right"/>
                              <w:rPr/>
                            </w:pPr>
                            <w:hyperlink w:anchor="rtx014050a010">
                              <w:r>
                                <w:rPr>
                                  <w:rStyle w:val="InternetLink"/>
                                  <w:strike w:val="false"/>
                                  <w:dstrike w:val="false"/>
                                  <w:color w:val="000000"/>
                                  <w:u w:val="none"/>
                                  <w:effect w:val="none"/>
                                </w:rPr>
                                <w:t>40</w:t>
                              </w:r>
                            </w:hyperlink>
                          </w:p>
                        </w:tc>
                      </w:tr>
                      <w:tr>
                        <w:trPr/>
                        <w:tc>
                          <w:tcPr>
                            <w:tcW w:w="5420" w:type="dxa"/>
                            <w:tcBorders/>
                            <w:vAlign w:val="center"/>
                          </w:tcPr>
                          <w:p>
                            <w:pPr>
                              <w:pStyle w:val="TableContents"/>
                              <w:bidi w:val="0"/>
                              <w:spacing w:before="0" w:after="283"/>
                              <w:jc w:val="left"/>
                              <w:rPr/>
                            </w:pPr>
                            <w:hyperlink w:anchor="rtx014050a011">
                              <w:r>
                                <w:rPr>
                                  <w:rStyle w:val="InternetLink"/>
                                  <w:strike w:val="false"/>
                                  <w:dstrike w:val="false"/>
                                  <w:color w:val="000000"/>
                                  <w:u w:val="none"/>
                                  <w:effect w:val="none"/>
                                </w:rPr>
                                <w:t>How We Make Pay Decisions and Assess Our Programs</w:t>
                              </w:r>
                            </w:hyperlink>
                          </w:p>
                        </w:tc>
                        <w:tc>
                          <w:tcPr>
                            <w:tcW w:w="275" w:type="dxa"/>
                            <w:tcBorders/>
                            <w:vAlign w:val="center"/>
                          </w:tcPr>
                          <w:p>
                            <w:pPr>
                              <w:pStyle w:val="TableContents"/>
                              <w:bidi w:val="0"/>
                              <w:spacing w:before="0" w:after="283"/>
                              <w:jc w:val="right"/>
                              <w:rPr/>
                            </w:pPr>
                            <w:hyperlink w:anchor="rtx014050a011">
                              <w:r>
                                <w:rPr>
                                  <w:rStyle w:val="InternetLink"/>
                                  <w:strike w:val="false"/>
                                  <w:dstrike w:val="false"/>
                                  <w:color w:val="000000"/>
                                  <w:u w:val="none"/>
                                  <w:effect w:val="none"/>
                                </w:rPr>
                                <w:t>44</w:t>
                              </w:r>
                            </w:hyperlink>
                          </w:p>
                        </w:tc>
                      </w:tr>
                      <w:tr>
                        <w:trPr/>
                        <w:tc>
                          <w:tcPr>
                            <w:tcW w:w="5420" w:type="dxa"/>
                            <w:tcBorders/>
                            <w:vAlign w:val="center"/>
                          </w:tcPr>
                          <w:p>
                            <w:pPr>
                              <w:pStyle w:val="TableContents"/>
                              <w:bidi w:val="0"/>
                              <w:spacing w:before="0" w:after="283"/>
                              <w:jc w:val="left"/>
                              <w:rPr/>
                            </w:pPr>
                            <w:hyperlink w:anchor="rtx014050a012">
                              <w:r>
                                <w:rPr>
                                  <w:rStyle w:val="InternetLink"/>
                                  <w:strike w:val="false"/>
                                  <w:dstrike w:val="false"/>
                                  <w:color w:val="000000"/>
                                  <w:u w:val="none"/>
                                  <w:effect w:val="none"/>
                                </w:rPr>
                                <w:t>2025 Principal Elements of Compensation</w:t>
                              </w:r>
                            </w:hyperlink>
                          </w:p>
                        </w:tc>
                        <w:tc>
                          <w:tcPr>
                            <w:tcW w:w="275" w:type="dxa"/>
                            <w:tcBorders/>
                            <w:vAlign w:val="center"/>
                          </w:tcPr>
                          <w:p>
                            <w:pPr>
                              <w:pStyle w:val="TableContents"/>
                              <w:bidi w:val="0"/>
                              <w:spacing w:before="0" w:after="283"/>
                              <w:jc w:val="right"/>
                              <w:rPr/>
                            </w:pPr>
                            <w:hyperlink w:anchor="rtx014050a012">
                              <w:r>
                                <w:rPr>
                                  <w:rStyle w:val="InternetLink"/>
                                  <w:strike w:val="false"/>
                                  <w:dstrike w:val="false"/>
                                  <w:color w:val="000000"/>
                                  <w:u w:val="none"/>
                                  <w:effect w:val="none"/>
                                </w:rPr>
                                <w:t>47</w:t>
                              </w:r>
                            </w:hyperlink>
                          </w:p>
                        </w:tc>
                      </w:tr>
                      <w:tr>
                        <w:trPr/>
                        <w:tc>
                          <w:tcPr>
                            <w:tcW w:w="5420" w:type="dxa"/>
                            <w:tcBorders/>
                            <w:vAlign w:val="center"/>
                          </w:tcPr>
                          <w:p>
                            <w:pPr>
                              <w:pStyle w:val="TableContents"/>
                              <w:bidi w:val="0"/>
                              <w:spacing w:before="0" w:after="283"/>
                              <w:jc w:val="left"/>
                              <w:rPr/>
                            </w:pPr>
                            <w:hyperlink w:anchor="rtx014050a013">
                              <w:r>
                                <w:rPr>
                                  <w:rStyle w:val="InternetLink"/>
                                  <w:strike w:val="false"/>
                                  <w:dstrike w:val="false"/>
                                  <w:color w:val="000000"/>
                                  <w:u w:val="none"/>
                                  <w:effect w:val="none"/>
                                </w:rPr>
                                <w:t>2025 CEO Pay Decisions</w:t>
                              </w:r>
                            </w:hyperlink>
                          </w:p>
                        </w:tc>
                        <w:tc>
                          <w:tcPr>
                            <w:tcW w:w="275" w:type="dxa"/>
                            <w:tcBorders/>
                            <w:vAlign w:val="center"/>
                          </w:tcPr>
                          <w:p>
                            <w:pPr>
                              <w:pStyle w:val="TableContents"/>
                              <w:bidi w:val="0"/>
                              <w:spacing w:before="0" w:after="283"/>
                              <w:jc w:val="right"/>
                              <w:rPr/>
                            </w:pPr>
                            <w:hyperlink w:anchor="rtx014050a013">
                              <w:r>
                                <w:rPr>
                                  <w:rStyle w:val="InternetLink"/>
                                  <w:strike w:val="false"/>
                                  <w:dstrike w:val="false"/>
                                  <w:color w:val="000000"/>
                                  <w:u w:val="none"/>
                                  <w:effect w:val="none"/>
                                </w:rPr>
                                <w:t>52</w:t>
                              </w:r>
                            </w:hyperlink>
                          </w:p>
                        </w:tc>
                      </w:tr>
                      <w:tr>
                        <w:trPr/>
                        <w:tc>
                          <w:tcPr>
                            <w:tcW w:w="5420" w:type="dxa"/>
                            <w:tcBorders/>
                            <w:vAlign w:val="center"/>
                          </w:tcPr>
                          <w:p>
                            <w:pPr>
                              <w:pStyle w:val="TableContents"/>
                              <w:bidi w:val="0"/>
                              <w:spacing w:before="0" w:after="283"/>
                              <w:jc w:val="left"/>
                              <w:rPr/>
                            </w:pPr>
                            <w:hyperlink w:anchor="rtx014050a014">
                              <w:r>
                                <w:rPr>
                                  <w:rStyle w:val="InternetLink"/>
                                  <w:strike w:val="false"/>
                                  <w:dstrike w:val="false"/>
                                  <w:color w:val="000000"/>
                                  <w:u w:val="none"/>
                                  <w:effect w:val="none"/>
                                </w:rPr>
                                <w:t>2025 Pay Decisions for Other NEOs</w:t>
                              </w:r>
                            </w:hyperlink>
                          </w:p>
                        </w:tc>
                        <w:tc>
                          <w:tcPr>
                            <w:tcW w:w="275" w:type="dxa"/>
                            <w:tcBorders/>
                            <w:vAlign w:val="center"/>
                          </w:tcPr>
                          <w:p>
                            <w:pPr>
                              <w:pStyle w:val="TableContents"/>
                              <w:bidi w:val="0"/>
                              <w:spacing w:before="0" w:after="283"/>
                              <w:jc w:val="right"/>
                              <w:rPr/>
                            </w:pPr>
                            <w:hyperlink w:anchor="rtx014050a014">
                              <w:r>
                                <w:rPr>
                                  <w:rStyle w:val="InternetLink"/>
                                  <w:strike w:val="false"/>
                                  <w:dstrike w:val="false"/>
                                  <w:color w:val="000000"/>
                                  <w:u w:val="none"/>
                                  <w:effect w:val="none"/>
                                </w:rPr>
                                <w:t>54</w:t>
                              </w:r>
                            </w:hyperlink>
                          </w:p>
                        </w:tc>
                      </w:tr>
                      <w:tr>
                        <w:trPr/>
                        <w:tc>
                          <w:tcPr>
                            <w:tcW w:w="5420" w:type="dxa"/>
                            <w:tcBorders/>
                            <w:vAlign w:val="center"/>
                          </w:tcPr>
                          <w:p>
                            <w:pPr>
                              <w:pStyle w:val="TableContents"/>
                              <w:bidi w:val="0"/>
                              <w:spacing w:before="0" w:after="283"/>
                              <w:jc w:val="left"/>
                              <w:rPr/>
                            </w:pPr>
                            <w:hyperlink w:anchor="rtx014050a015">
                              <w:r>
                                <w:rPr>
                                  <w:rStyle w:val="InternetLink"/>
                                  <w:strike w:val="false"/>
                                  <w:dstrike w:val="false"/>
                                  <w:color w:val="000000"/>
                                  <w:u w:val="none"/>
                                  <w:effect w:val="none"/>
                                </w:rPr>
                                <w:t>Other Compensation Elements</w:t>
                              </w:r>
                            </w:hyperlink>
                          </w:p>
                        </w:tc>
                        <w:tc>
                          <w:tcPr>
                            <w:tcW w:w="275" w:type="dxa"/>
                            <w:tcBorders/>
                            <w:vAlign w:val="center"/>
                          </w:tcPr>
                          <w:p>
                            <w:pPr>
                              <w:pStyle w:val="TableContents"/>
                              <w:bidi w:val="0"/>
                              <w:spacing w:before="0" w:after="283"/>
                              <w:jc w:val="right"/>
                              <w:rPr/>
                            </w:pPr>
                            <w:hyperlink w:anchor="rtx014050a015">
                              <w:r>
                                <w:rPr>
                                  <w:rStyle w:val="InternetLink"/>
                                  <w:strike w:val="false"/>
                                  <w:dstrike w:val="false"/>
                                  <w:color w:val="000000"/>
                                  <w:u w:val="none"/>
                                  <w:effect w:val="none"/>
                                </w:rPr>
                                <w:t>58</w:t>
                              </w:r>
                            </w:hyperlink>
                          </w:p>
                        </w:tc>
                      </w:tr>
                      <w:tr>
                        <w:trPr/>
                        <w:tc>
                          <w:tcPr>
                            <w:tcW w:w="5420" w:type="dxa"/>
                            <w:tcBorders/>
                            <w:vAlign w:val="center"/>
                          </w:tcPr>
                          <w:p>
                            <w:pPr>
                              <w:pStyle w:val="TableContents"/>
                              <w:bidi w:val="0"/>
                              <w:spacing w:before="0" w:after="283"/>
                              <w:jc w:val="left"/>
                              <w:rPr/>
                            </w:pPr>
                            <w:hyperlink w:anchor="rtx014050a016">
                              <w:r>
                                <w:rPr>
                                  <w:rStyle w:val="InternetLink"/>
                                  <w:strike w:val="false"/>
                                  <w:dstrike w:val="false"/>
                                  <w:color w:val="000000"/>
                                  <w:u w:val="none"/>
                                  <w:effect w:val="none"/>
                                </w:rPr>
                                <w:t>Other Executive Compensation Policies and Practices</w:t>
                              </w:r>
                            </w:hyperlink>
                          </w:p>
                        </w:tc>
                        <w:tc>
                          <w:tcPr>
                            <w:tcW w:w="275" w:type="dxa"/>
                            <w:tcBorders/>
                            <w:vAlign w:val="center"/>
                          </w:tcPr>
                          <w:p>
                            <w:pPr>
                              <w:pStyle w:val="TableContents"/>
                              <w:bidi w:val="0"/>
                              <w:spacing w:before="0" w:after="283"/>
                              <w:jc w:val="right"/>
                              <w:rPr/>
                            </w:pPr>
                            <w:hyperlink w:anchor="rtx014050a016">
                              <w:r>
                                <w:rPr>
                                  <w:rStyle w:val="InternetLink"/>
                                  <w:strike w:val="false"/>
                                  <w:dstrike w:val="false"/>
                                  <w:color w:val="000000"/>
                                  <w:u w:val="none"/>
                                  <w:effect w:val="none"/>
                                </w:rPr>
                                <w:t>61</w:t>
                              </w:r>
                            </w:hyperlink>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286">
                <wp:simplePos x="0" y="0"/>
                <wp:positionH relativeFrom="column">
                  <wp:align>right</wp:align>
                </wp:positionH>
                <wp:positionV relativeFrom="line">
                  <wp:posOffset>635</wp:posOffset>
                </wp:positionV>
                <wp:extent cx="3110230" cy="6205220"/>
                <wp:effectExtent l="0" t="0" r="0" b="0"/>
                <wp:wrapSquare wrapText="left"/>
                <wp:docPr id="23" name="Frame4"/>
                <a:graphic xmlns:a="http://schemas.openxmlformats.org/drawingml/2006/main">
                  <a:graphicData uri="http://schemas.microsoft.com/office/word/2010/wordprocessingShape">
                    <wps:wsp>
                      <wps:cNvSpPr txBox="1"/>
                      <wps:spPr>
                        <a:xfrm>
                          <a:off x="0" y="0"/>
                          <a:ext cx="3110230" cy="6205220"/>
                        </a:xfrm>
                        <a:prstGeom prst="rect"/>
                        <a:solidFill>
                          <a:srgbClr val="FFFFFF"/>
                        </a:solidFill>
                      </wps:spPr>
                      <wps:txbx>
                        <w:txbxContent>
                          <w:tbl>
                            <w:tblPr>
                              <w:tblW w:w="9460" w:type="dxa"/>
                              <w:jc w:val="left"/>
                              <w:tblInd w:w="0" w:type="dxa"/>
                              <w:tblLayout w:type="fixed"/>
                              <w:tblCellMar>
                                <w:top w:w="0" w:type="dxa"/>
                                <w:left w:w="0" w:type="dxa"/>
                                <w:bottom w:w="0" w:type="dxa"/>
                                <w:right w:w="0" w:type="dxa"/>
                              </w:tblCellMar>
                            </w:tblPr>
                            <w:tblGrid>
                              <w:gridCol w:w="9065"/>
                              <w:gridCol w:w="395"/>
                            </w:tblGrid>
                            <w:tr>
                              <w:trPr/>
                              <w:tc>
                                <w:tcPr>
                                  <w:tcW w:w="9065" w:type="dxa"/>
                                  <w:tcBorders/>
                                  <w:vAlign w:val="center"/>
                                </w:tcPr>
                                <w:p>
                                  <w:pPr>
                                    <w:pStyle w:val="TableContents"/>
                                    <w:bidi w:val="0"/>
                                    <w:spacing w:before="0" w:after="283"/>
                                    <w:jc w:val="left"/>
                                    <w:rPr/>
                                  </w:pPr>
                                  <w:hyperlink w:anchor="rtx014050a017">
                                    <w:r>
                                      <w:rPr>
                                        <w:rStyle w:val="InternetLink"/>
                                        <w:b/>
                                        <w:strike w:val="false"/>
                                        <w:dstrike w:val="false"/>
                                        <w:color w:val="000000"/>
                                        <w:u w:val="none"/>
                                        <w:effect w:val="none"/>
                                      </w:rPr>
                                      <w:t>Report of the Human Capital &amp;</w:t>
                                    </w:r>
                                  </w:hyperlink>
                                  <w:hyperlink w:anchor="rtx014050a017">
                                    <w:r>
                                      <w:rPr>
                                        <w:rStyle w:val="InternetLink"/>
                                        <w:strike w:val="false"/>
                                        <w:dstrike w:val="false"/>
                                        <w:color w:val="000000"/>
                                        <w:u w:val="none"/>
                                        <w:effect w:val="none"/>
                                      </w:rPr>
                                      <w:t xml:space="preserve"> </w:t>
                                    </w:r>
                                  </w:hyperlink>
                                  <w:hyperlink w:anchor="rtx014050a017">
                                    <w:r>
                                      <w:rPr>
                                        <w:rStyle w:val="InternetLink"/>
                                        <w:b/>
                                        <w:strike w:val="false"/>
                                        <w:dstrike w:val="false"/>
                                        <w:color w:val="000000"/>
                                        <w:u w:val="none"/>
                                        <w:effect w:val="none"/>
                                      </w:rPr>
                                      <w:t>Compensation Committee</w:t>
                                    </w:r>
                                  </w:hyperlink>
                                </w:p>
                              </w:tc>
                              <w:tc>
                                <w:tcPr>
                                  <w:tcW w:w="395" w:type="dxa"/>
                                  <w:tcBorders/>
                                  <w:vAlign w:val="center"/>
                                </w:tcPr>
                                <w:p>
                                  <w:pPr>
                                    <w:pStyle w:val="TableContents"/>
                                    <w:bidi w:val="0"/>
                                    <w:spacing w:before="0" w:after="283"/>
                                    <w:jc w:val="right"/>
                                    <w:rPr/>
                                  </w:pPr>
                                  <w:hyperlink w:anchor="rtx014050a017">
                                    <w:r>
                                      <w:rPr>
                                        <w:rStyle w:val="InternetLink"/>
                                        <w:b/>
                                        <w:strike w:val="false"/>
                                        <w:dstrike w:val="false"/>
                                        <w:color w:val="000000"/>
                                        <w:u w:val="none"/>
                                        <w:effect w:val="none"/>
                                      </w:rPr>
                                      <w:t>63</w:t>
                                    </w:r>
                                  </w:hyperlink>
                                </w:p>
                              </w:tc>
                            </w:tr>
                            <w:tr>
                              <w:trPr/>
                              <w:tc>
                                <w:tcPr>
                                  <w:tcW w:w="9065" w:type="dxa"/>
                                  <w:tcBorders/>
                                  <w:vAlign w:val="center"/>
                                </w:tcPr>
                                <w:p>
                                  <w:pPr>
                                    <w:pStyle w:val="TableContents"/>
                                    <w:bidi w:val="0"/>
                                    <w:spacing w:before="0" w:after="283"/>
                                    <w:jc w:val="left"/>
                                    <w:rPr/>
                                  </w:pPr>
                                  <w:hyperlink w:anchor="rtx014050a018">
                                    <w:r>
                                      <w:rPr>
                                        <w:rStyle w:val="InternetLink"/>
                                        <w:b/>
                                        <w:strike w:val="false"/>
                                        <w:dstrike w:val="false"/>
                                        <w:color w:val="000000"/>
                                        <w:u w:val="none"/>
                                        <w:effect w:val="none"/>
                                      </w:rPr>
                                      <w:t>Compensation Tables</w:t>
                                    </w:r>
                                  </w:hyperlink>
                                </w:p>
                              </w:tc>
                              <w:tc>
                                <w:tcPr>
                                  <w:tcW w:w="395" w:type="dxa"/>
                                  <w:tcBorders/>
                                  <w:vAlign w:val="center"/>
                                </w:tcPr>
                                <w:p>
                                  <w:pPr>
                                    <w:pStyle w:val="TableContents"/>
                                    <w:bidi w:val="0"/>
                                    <w:spacing w:before="0" w:after="283"/>
                                    <w:jc w:val="right"/>
                                    <w:rPr/>
                                  </w:pPr>
                                  <w:hyperlink w:anchor="rtx014050a018">
                                    <w:r>
                                      <w:rPr>
                                        <w:rStyle w:val="InternetLink"/>
                                        <w:b/>
                                        <w:strike w:val="false"/>
                                        <w:dstrike w:val="false"/>
                                        <w:color w:val="000000"/>
                                        <w:u w:val="none"/>
                                        <w:effect w:val="none"/>
                                      </w:rPr>
                                      <w:t>64</w:t>
                                    </w:r>
                                  </w:hyperlink>
                                </w:p>
                              </w:tc>
                            </w:tr>
                            <w:tr>
                              <w:trPr/>
                              <w:tc>
                                <w:tcPr>
                                  <w:tcW w:w="9065" w:type="dxa"/>
                                  <w:tcBorders/>
                                  <w:vAlign w:val="center"/>
                                </w:tcPr>
                                <w:p>
                                  <w:pPr>
                                    <w:pStyle w:val="TableContents"/>
                                    <w:bidi w:val="0"/>
                                    <w:spacing w:before="0" w:after="283"/>
                                    <w:jc w:val="left"/>
                                    <w:rPr/>
                                  </w:pPr>
                                  <w:hyperlink w:anchor="rtx014050a019">
                                    <w:r>
                                      <w:rPr>
                                        <w:rStyle w:val="InternetLink"/>
                                        <w:b/>
                                        <w:strike w:val="false"/>
                                        <w:dstrike w:val="false"/>
                                        <w:color w:val="000000"/>
                                        <w:u w:val="none"/>
                                        <w:effect w:val="none"/>
                                      </w:rPr>
                                      <w:t>CEO Pay Ratio</w:t>
                                    </w:r>
                                  </w:hyperlink>
                                </w:p>
                              </w:tc>
                              <w:tc>
                                <w:tcPr>
                                  <w:tcW w:w="395" w:type="dxa"/>
                                  <w:tcBorders/>
                                  <w:vAlign w:val="center"/>
                                </w:tcPr>
                                <w:p>
                                  <w:pPr>
                                    <w:pStyle w:val="TableContents"/>
                                    <w:bidi w:val="0"/>
                                    <w:spacing w:before="0" w:after="283"/>
                                    <w:jc w:val="right"/>
                                    <w:rPr/>
                                  </w:pPr>
                                  <w:hyperlink w:anchor="rtx014050a019">
                                    <w:r>
                                      <w:rPr>
                                        <w:rStyle w:val="InternetLink"/>
                                        <w:b/>
                                        <w:strike w:val="false"/>
                                        <w:dstrike w:val="false"/>
                                        <w:color w:val="000000"/>
                                        <w:u w:val="none"/>
                                        <w:effect w:val="none"/>
                                      </w:rPr>
                                      <w:t>78</w:t>
                                    </w:r>
                                  </w:hyperlink>
                                </w:p>
                              </w:tc>
                            </w:tr>
                            <w:tr>
                              <w:trPr/>
                              <w:tc>
                                <w:tcPr>
                                  <w:tcW w:w="9065" w:type="dxa"/>
                                  <w:tcBorders/>
                                  <w:vAlign w:val="center"/>
                                </w:tcPr>
                                <w:p>
                                  <w:pPr>
                                    <w:pStyle w:val="TableContents"/>
                                    <w:bidi w:val="0"/>
                                    <w:spacing w:before="0" w:after="283"/>
                                    <w:jc w:val="left"/>
                                    <w:rPr/>
                                  </w:pPr>
                                  <w:hyperlink w:anchor="rtx014050a020">
                                    <w:r>
                                      <w:rPr>
                                        <w:rStyle w:val="InternetLink"/>
                                        <w:b/>
                                        <w:strike w:val="false"/>
                                        <w:dstrike w:val="false"/>
                                        <w:color w:val="000000"/>
                                        <w:u w:val="none"/>
                                        <w:effect w:val="none"/>
                                      </w:rPr>
                                      <w:t>Pay versus Performance</w:t>
                                    </w:r>
                                  </w:hyperlink>
                                </w:p>
                              </w:tc>
                              <w:tc>
                                <w:tcPr>
                                  <w:tcW w:w="395" w:type="dxa"/>
                                  <w:tcBorders/>
                                  <w:vAlign w:val="center"/>
                                </w:tcPr>
                                <w:p>
                                  <w:pPr>
                                    <w:pStyle w:val="TableContents"/>
                                    <w:bidi w:val="0"/>
                                    <w:spacing w:before="0" w:after="283"/>
                                    <w:jc w:val="right"/>
                                    <w:rPr/>
                                  </w:pPr>
                                  <w:hyperlink w:anchor="rtx014050a020">
                                    <w:r>
                                      <w:rPr>
                                        <w:rStyle w:val="InternetLink"/>
                                        <w:b/>
                                        <w:strike w:val="false"/>
                                        <w:dstrike w:val="false"/>
                                        <w:color w:val="000000"/>
                                        <w:u w:val="none"/>
                                        <w:effect w:val="none"/>
                                      </w:rPr>
                                      <w:t>80</w:t>
                                    </w:r>
                                  </w:hyperlink>
                                </w:p>
                              </w:tc>
                            </w:tr>
                            <w:tr>
                              <w:trPr/>
                              <w:tc>
                                <w:tcPr>
                                  <w:tcW w:w="9065"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 </w:t>
                                  </w:r>
                                </w:p>
                              </w:tc>
                            </w:tr>
                            <w:tr>
                              <w:trPr/>
                              <w:tc>
                                <w:tcPr>
                                  <w:tcW w:w="9065" w:type="dxa"/>
                                  <w:tcBorders/>
                                  <w:vAlign w:val="center"/>
                                </w:tcPr>
                                <w:p>
                                  <w:pPr>
                                    <w:pStyle w:val="TableContents"/>
                                    <w:bidi w:val="0"/>
                                    <w:spacing w:before="0" w:after="283"/>
                                    <w:jc w:val="left"/>
                                    <w:rPr>
                                      <w:b/>
                                    </w:rPr>
                                  </w:pPr>
                                  <w:r>
                                    <w:rPr>
                                      <w:b/>
                                    </w:rPr>
                                    <w:t>AUDIT</w:t>
                                  </w:r>
                                </w:p>
                              </w:tc>
                              <w:tc>
                                <w:tcPr>
                                  <w:tcW w:w="395" w:type="dxa"/>
                                  <w:tcBorders/>
                                  <w:vAlign w:val="center"/>
                                </w:tcPr>
                                <w:p>
                                  <w:pPr>
                                    <w:pStyle w:val="TableContents"/>
                                    <w:bidi w:val="0"/>
                                    <w:spacing w:before="0" w:after="283"/>
                                    <w:jc w:val="right"/>
                                    <w:rPr/>
                                  </w:pPr>
                                  <w:r>
                                    <w:rPr/>
                                    <w:t> </w:t>
                                  </w:r>
                                </w:p>
                              </w:tc>
                            </w:tr>
                            <w:tr>
                              <w:trPr/>
                              <w:tc>
                                <w:tcPr>
                                  <w:tcW w:w="9065" w:type="dxa"/>
                                  <w:tcBorders/>
                                  <w:vAlign w:val="center"/>
                                </w:tcPr>
                                <w:p>
                                  <w:pPr>
                                    <w:pStyle w:val="TableContents"/>
                                    <w:bidi w:val="0"/>
                                    <w:spacing w:before="0" w:after="283"/>
                                    <w:jc w:val="left"/>
                                    <w:rPr/>
                                  </w:pPr>
                                  <w:hyperlink w:anchor="rtx014050a021">
                                    <w:r>
                                      <w:rPr>
                                        <w:rStyle w:val="InternetLink"/>
                                        <w:b/>
                                        <w:strike w:val="false"/>
                                        <w:dstrike w:val="false"/>
                                        <w:color w:val="000000"/>
                                        <w:u w:val="none"/>
                                        <w:effect w:val="none"/>
                                      </w:rPr>
                                      <w:t>Audit Committee Report</w:t>
                                    </w:r>
                                  </w:hyperlink>
                                </w:p>
                              </w:tc>
                              <w:tc>
                                <w:tcPr>
                                  <w:tcW w:w="395" w:type="dxa"/>
                                  <w:tcBorders/>
                                  <w:vAlign w:val="center"/>
                                </w:tcPr>
                                <w:p>
                                  <w:pPr>
                                    <w:pStyle w:val="TableContents"/>
                                    <w:bidi w:val="0"/>
                                    <w:spacing w:before="0" w:after="283"/>
                                    <w:jc w:val="right"/>
                                    <w:rPr/>
                                  </w:pPr>
                                  <w:hyperlink w:anchor="rtx014050a021">
                                    <w:r>
                                      <w:rPr>
                                        <w:rStyle w:val="InternetLink"/>
                                        <w:b/>
                                        <w:strike w:val="false"/>
                                        <w:dstrike w:val="false"/>
                                        <w:color w:val="000000"/>
                                        <w:u w:val="none"/>
                                        <w:effect w:val="none"/>
                                      </w:rPr>
                                      <w:t>87</w:t>
                                    </w:r>
                                  </w:hyperlink>
                                </w:p>
                              </w:tc>
                            </w:tr>
                            <w:tr>
                              <w:trPr/>
                              <w:tc>
                                <w:tcPr>
                                  <w:tcW w:w="9065" w:type="dxa"/>
                                  <w:tcBorders/>
                                  <w:vAlign w:val="center"/>
                                </w:tcPr>
                                <w:p>
                                  <w:pPr>
                                    <w:pStyle w:val="TableContents"/>
                                    <w:bidi w:val="0"/>
                                    <w:spacing w:before="0" w:after="283"/>
                                    <w:jc w:val="left"/>
                                    <w:rPr/>
                                  </w:pPr>
                                  <w:hyperlink w:anchor="rtx014050a022">
                                    <w:r>
                                      <w:rPr>
                                        <w:rStyle w:val="InternetLink"/>
                                        <w:b/>
                                        <w:strike w:val="false"/>
                                        <w:dstrike w:val="false"/>
                                        <w:color w:val="C12E33"/>
                                        <w:u w:val="none"/>
                                        <w:effect w:val="none"/>
                                      </w:rPr>
                                      <w:t>Proposal 3</w:t>
                                    </w:r>
                                  </w:hyperlink>
                                  <w:hyperlink w:anchor="rtx014050a022">
                                    <w:r>
                                      <w:rPr>
                                        <w:rStyle w:val="InternetLink"/>
                                        <w:strike w:val="false"/>
                                        <w:dstrike w:val="false"/>
                                        <w:color w:val="000000"/>
                                        <w:u w:val="none"/>
                                        <w:effect w:val="none"/>
                                      </w:rPr>
                                      <w:br/>
                                    </w:r>
                                  </w:hyperlink>
                                  <w:hyperlink w:anchor="rtx014050a022">
                                    <w:r>
                                      <w:rPr>
                                        <w:rStyle w:val="InternetLink"/>
                                        <w:b/>
                                        <w:strike w:val="false"/>
                                        <w:dstrike w:val="false"/>
                                        <w:color w:val="000000"/>
                                        <w:u w:val="none"/>
                                        <w:effect w:val="none"/>
                                      </w:rPr>
                                      <w:t>Appointment of PricewaterhouseCoopers LLP to Serve as Independent Auditor for 2026</w:t>
                                    </w:r>
                                  </w:hyperlink>
                                </w:p>
                              </w:tc>
                              <w:tc>
                                <w:tcPr>
                                  <w:tcW w:w="395" w:type="dxa"/>
                                  <w:tcBorders/>
                                  <w:vAlign w:val="center"/>
                                </w:tcPr>
                                <w:p>
                                  <w:pPr>
                                    <w:pStyle w:val="TableContents"/>
                                    <w:bidi w:val="0"/>
                                    <w:spacing w:before="0" w:after="283"/>
                                    <w:jc w:val="right"/>
                                    <w:rPr/>
                                  </w:pPr>
                                  <w:hyperlink w:anchor="rtx014050a022">
                                    <w:r>
                                      <w:rPr>
                                        <w:rStyle w:val="InternetLink"/>
                                        <w:b/>
                                        <w:strike w:val="false"/>
                                        <w:dstrike w:val="false"/>
                                        <w:color w:val="000000"/>
                                        <w:u w:val="none"/>
                                        <w:effect w:val="none"/>
                                      </w:rPr>
                                      <w:t>88</w:t>
                                    </w:r>
                                  </w:hyperlink>
                                </w:p>
                              </w:tc>
                            </w:tr>
                            <w:tr>
                              <w:trPr/>
                              <w:tc>
                                <w:tcPr>
                                  <w:tcW w:w="9065"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 </w:t>
                                  </w:r>
                                </w:p>
                              </w:tc>
                            </w:tr>
                            <w:tr>
                              <w:trPr/>
                              <w:tc>
                                <w:tcPr>
                                  <w:tcW w:w="9065" w:type="dxa"/>
                                  <w:tcBorders/>
                                  <w:vAlign w:val="center"/>
                                </w:tcPr>
                                <w:p>
                                  <w:pPr>
                                    <w:pStyle w:val="TableContents"/>
                                    <w:bidi w:val="0"/>
                                    <w:spacing w:before="0" w:after="283"/>
                                    <w:jc w:val="left"/>
                                    <w:rPr>
                                      <w:b/>
                                    </w:rPr>
                                  </w:pPr>
                                  <w:r>
                                    <w:rPr>
                                      <w:b/>
                                    </w:rPr>
                                    <w:t>OTHER SHAREOWNER INFORMATION</w:t>
                                  </w:r>
                                </w:p>
                              </w:tc>
                              <w:tc>
                                <w:tcPr>
                                  <w:tcW w:w="395" w:type="dxa"/>
                                  <w:tcBorders/>
                                  <w:vAlign w:val="center"/>
                                </w:tcPr>
                                <w:p>
                                  <w:pPr>
                                    <w:pStyle w:val="TableContents"/>
                                    <w:bidi w:val="0"/>
                                    <w:spacing w:before="0" w:after="283"/>
                                    <w:jc w:val="right"/>
                                    <w:rPr/>
                                  </w:pPr>
                                  <w:r>
                                    <w:rPr/>
                                    <w:t> </w:t>
                                  </w:r>
                                </w:p>
                              </w:tc>
                            </w:tr>
                            <w:tr>
                              <w:trPr/>
                              <w:tc>
                                <w:tcPr>
                                  <w:tcW w:w="9065" w:type="dxa"/>
                                  <w:tcBorders/>
                                  <w:vAlign w:val="center"/>
                                </w:tcPr>
                                <w:p>
                                  <w:pPr>
                                    <w:pStyle w:val="TableContents"/>
                                    <w:bidi w:val="0"/>
                                    <w:spacing w:before="0" w:after="283"/>
                                    <w:jc w:val="left"/>
                                    <w:rPr/>
                                  </w:pPr>
                                  <w:hyperlink w:anchor="rtx014050a023">
                                    <w:r>
                                      <w:rPr>
                                        <w:rStyle w:val="InternetLink"/>
                                        <w:b/>
                                        <w:strike w:val="false"/>
                                        <w:dstrike w:val="false"/>
                                        <w:color w:val="000000"/>
                                        <w:u w:val="none"/>
                                        <w:effect w:val="none"/>
                                      </w:rPr>
                                      <w:t>Frequently Asked Questions About the Annual Meeting</w:t>
                                    </w:r>
                                  </w:hyperlink>
                                </w:p>
                              </w:tc>
                              <w:tc>
                                <w:tcPr>
                                  <w:tcW w:w="395" w:type="dxa"/>
                                  <w:tcBorders/>
                                  <w:vAlign w:val="center"/>
                                </w:tcPr>
                                <w:p>
                                  <w:pPr>
                                    <w:pStyle w:val="TableContents"/>
                                    <w:bidi w:val="0"/>
                                    <w:spacing w:before="0" w:after="283"/>
                                    <w:jc w:val="right"/>
                                    <w:rPr/>
                                  </w:pPr>
                                  <w:hyperlink w:anchor="rtx014050a023">
                                    <w:r>
                                      <w:rPr>
                                        <w:rStyle w:val="InternetLink"/>
                                        <w:b/>
                                        <w:strike w:val="false"/>
                                        <w:dstrike w:val="false"/>
                                        <w:color w:val="000000"/>
                                        <w:u w:val="none"/>
                                        <w:effect w:val="none"/>
                                      </w:rPr>
                                      <w:t>90</w:t>
                                    </w:r>
                                  </w:hyperlink>
                                </w:p>
                              </w:tc>
                            </w:tr>
                            <w:tr>
                              <w:trPr/>
                              <w:tc>
                                <w:tcPr>
                                  <w:tcW w:w="9065" w:type="dxa"/>
                                  <w:tcBorders/>
                                  <w:vAlign w:val="center"/>
                                </w:tcPr>
                                <w:p>
                                  <w:pPr>
                                    <w:pStyle w:val="TableContents"/>
                                    <w:bidi w:val="0"/>
                                    <w:spacing w:before="0" w:after="283"/>
                                    <w:jc w:val="left"/>
                                    <w:rPr/>
                                  </w:pPr>
                                  <w:hyperlink w:anchor="rtx014050a024">
                                    <w:r>
                                      <w:rPr>
                                        <w:rStyle w:val="InternetLink"/>
                                        <w:b/>
                                        <w:strike w:val="false"/>
                                        <w:dstrike w:val="false"/>
                                        <w:color w:val="000000"/>
                                        <w:u w:val="none"/>
                                        <w:effect w:val="none"/>
                                      </w:rPr>
                                      <w:t>Other Important Information</w:t>
                                    </w:r>
                                  </w:hyperlink>
                                </w:p>
                              </w:tc>
                              <w:tc>
                                <w:tcPr>
                                  <w:tcW w:w="395" w:type="dxa"/>
                                  <w:tcBorders/>
                                  <w:vAlign w:val="center"/>
                                </w:tcPr>
                                <w:p>
                                  <w:pPr>
                                    <w:pStyle w:val="TableContents"/>
                                    <w:bidi w:val="0"/>
                                    <w:spacing w:before="0" w:after="283"/>
                                    <w:jc w:val="right"/>
                                    <w:rPr/>
                                  </w:pPr>
                                  <w:hyperlink w:anchor="rtx014050a024">
                                    <w:r>
                                      <w:rPr>
                                        <w:rStyle w:val="InternetLink"/>
                                        <w:b/>
                                        <w:strike w:val="false"/>
                                        <w:dstrike w:val="false"/>
                                        <w:color w:val="000000"/>
                                        <w:u w:val="none"/>
                                        <w:effect w:val="none"/>
                                      </w:rPr>
                                      <w:t>96</w:t>
                                    </w:r>
                                  </w:hyperlink>
                                </w:p>
                              </w:tc>
                            </w:tr>
                            <w:tr>
                              <w:trPr/>
                              <w:tc>
                                <w:tcPr>
                                  <w:tcW w:w="9065"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 </w:t>
                                  </w:r>
                                </w:p>
                              </w:tc>
                            </w:tr>
                            <w:tr>
                              <w:trPr/>
                              <w:tc>
                                <w:tcPr>
                                  <w:tcW w:w="9065" w:type="dxa"/>
                                  <w:tcBorders/>
                                  <w:vAlign w:val="center"/>
                                </w:tcPr>
                                <w:p>
                                  <w:pPr>
                                    <w:pStyle w:val="TableContents"/>
                                    <w:bidi w:val="0"/>
                                    <w:spacing w:before="0" w:after="283"/>
                                    <w:jc w:val="left"/>
                                    <w:rPr>
                                      <w:b/>
                                    </w:rPr>
                                  </w:pPr>
                                  <w:r>
                                    <w:rPr>
                                      <w:b/>
                                    </w:rPr>
                                    <w:t>APPENDICES</w:t>
                                  </w:r>
                                </w:p>
                              </w:tc>
                              <w:tc>
                                <w:tcPr>
                                  <w:tcW w:w="395" w:type="dxa"/>
                                  <w:tcBorders/>
                                  <w:vAlign w:val="center"/>
                                </w:tcPr>
                                <w:p>
                                  <w:pPr>
                                    <w:pStyle w:val="TableContents"/>
                                    <w:bidi w:val="0"/>
                                    <w:spacing w:before="0" w:after="283"/>
                                    <w:jc w:val="right"/>
                                    <w:rPr/>
                                  </w:pPr>
                                  <w:r>
                                    <w:rPr/>
                                    <w:t> </w:t>
                                  </w:r>
                                </w:p>
                              </w:tc>
                            </w:tr>
                            <w:tr>
                              <w:trPr/>
                              <w:tc>
                                <w:tcPr>
                                  <w:tcW w:w="9065" w:type="dxa"/>
                                  <w:tcBorders/>
                                  <w:vAlign w:val="center"/>
                                </w:tcPr>
                                <w:p>
                                  <w:pPr>
                                    <w:pStyle w:val="TableContents"/>
                                    <w:bidi w:val="0"/>
                                    <w:spacing w:before="0" w:after="283"/>
                                    <w:jc w:val="left"/>
                                    <w:rPr/>
                                  </w:pPr>
                                  <w:hyperlink w:anchor="rtx014050a025">
                                    <w:r>
                                      <w:rPr>
                                        <w:rStyle w:val="InternetLink"/>
                                        <w:b/>
                                        <w:strike w:val="false"/>
                                        <w:dstrike w:val="false"/>
                                        <w:color w:val="000000"/>
                                        <w:u w:val="none"/>
                                        <w:effect w:val="none"/>
                                      </w:rPr>
                                      <w:t>Appendix A: Reconciliation of GAAP Measures to Corresponding Non-GAAP Measures</w:t>
                                    </w:r>
                                  </w:hyperlink>
                                </w:p>
                              </w:tc>
                              <w:tc>
                                <w:tcPr>
                                  <w:tcW w:w="395" w:type="dxa"/>
                                  <w:tcBorders/>
                                  <w:vAlign w:val="center"/>
                                </w:tcPr>
                                <w:p>
                                  <w:pPr>
                                    <w:pStyle w:val="TableContents"/>
                                    <w:bidi w:val="0"/>
                                    <w:spacing w:before="0" w:after="283"/>
                                    <w:jc w:val="right"/>
                                    <w:rPr/>
                                  </w:pPr>
                                  <w:hyperlink w:anchor="rtx014050a025">
                                    <w:r>
                                      <w:rPr>
                                        <w:rStyle w:val="InternetLink"/>
                                        <w:b/>
                                        <w:strike w:val="false"/>
                                        <w:dstrike w:val="false"/>
                                        <w:color w:val="000000"/>
                                        <w:u w:val="none"/>
                                        <w:effect w:val="none"/>
                                      </w:rPr>
                                      <w:t>99</w:t>
                                    </w:r>
                                  </w:hyperlink>
                                </w:p>
                              </w:tc>
                            </w:tr>
                            <w:tr>
                              <w:trPr/>
                              <w:tc>
                                <w:tcPr>
                                  <w:tcW w:w="9065" w:type="dxa"/>
                                  <w:tcBorders/>
                                  <w:vAlign w:val="center"/>
                                </w:tcPr>
                                <w:p>
                                  <w:pPr>
                                    <w:pStyle w:val="TableContents"/>
                                    <w:bidi w:val="0"/>
                                    <w:spacing w:before="0" w:after="283"/>
                                    <w:jc w:val="left"/>
                                    <w:rPr/>
                                  </w:pPr>
                                  <w:hyperlink w:anchor="rtx014050a026">
                                    <w:r>
                                      <w:rPr>
                                        <w:rStyle w:val="InternetLink"/>
                                        <w:b/>
                                        <w:strike w:val="false"/>
                                        <w:dstrike w:val="false"/>
                                        <w:color w:val="000000"/>
                                        <w:u w:val="none"/>
                                        <w:effect w:val="none"/>
                                      </w:rPr>
                                      <w:t>Appendix B: Performance Metrics Used in Incentive Compensation Plans</w:t>
                                    </w:r>
                                  </w:hyperlink>
                                </w:p>
                              </w:tc>
                              <w:tc>
                                <w:tcPr>
                                  <w:tcW w:w="395" w:type="dxa"/>
                                  <w:tcBorders/>
                                  <w:vAlign w:val="center"/>
                                </w:tcPr>
                                <w:p>
                                  <w:pPr>
                                    <w:pStyle w:val="TableContents"/>
                                    <w:bidi w:val="0"/>
                                    <w:spacing w:before="0" w:after="283"/>
                                    <w:jc w:val="right"/>
                                    <w:rPr/>
                                  </w:pPr>
                                  <w:hyperlink w:anchor="rtx014050a026">
                                    <w:r>
                                      <w:rPr>
                                        <w:rStyle w:val="InternetLink"/>
                                        <w:b/>
                                        <w:strike w:val="false"/>
                                        <w:dstrike w:val="false"/>
                                        <w:color w:val="000000"/>
                                        <w:u w:val="none"/>
                                        <w:effect w:val="none"/>
                                      </w:rPr>
                                      <w:t>102</w:t>
                                    </w:r>
                                  </w:hyperlink>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488.6pt;mso-wrap-distance-left:0pt;mso-wrap-distance-right:0pt;mso-wrap-distance-top:0pt;mso-wrap-distance-bottom:0pt;margin-top:0pt;mso-position-vertical:top;mso-position-vertical-relative:text;margin-left:265.35pt;mso-position-horizontal:right;mso-position-horizontal-relative:text">
                <v:textbox>
                  <w:txbxContent>
                    <w:tbl>
                      <w:tblPr>
                        <w:tblW w:w="9460" w:type="dxa"/>
                        <w:jc w:val="left"/>
                        <w:tblInd w:w="0" w:type="dxa"/>
                        <w:tblLayout w:type="fixed"/>
                        <w:tblCellMar>
                          <w:top w:w="0" w:type="dxa"/>
                          <w:left w:w="0" w:type="dxa"/>
                          <w:bottom w:w="0" w:type="dxa"/>
                          <w:right w:w="0" w:type="dxa"/>
                        </w:tblCellMar>
                      </w:tblPr>
                      <w:tblGrid>
                        <w:gridCol w:w="9065"/>
                        <w:gridCol w:w="395"/>
                      </w:tblGrid>
                      <w:tr>
                        <w:trPr/>
                        <w:tc>
                          <w:tcPr>
                            <w:tcW w:w="9065" w:type="dxa"/>
                            <w:tcBorders/>
                            <w:vAlign w:val="center"/>
                          </w:tcPr>
                          <w:p>
                            <w:pPr>
                              <w:pStyle w:val="TableContents"/>
                              <w:bidi w:val="0"/>
                              <w:spacing w:before="0" w:after="283"/>
                              <w:jc w:val="left"/>
                              <w:rPr/>
                            </w:pPr>
                            <w:hyperlink w:anchor="rtx014050a017">
                              <w:r>
                                <w:rPr>
                                  <w:rStyle w:val="InternetLink"/>
                                  <w:b/>
                                  <w:strike w:val="false"/>
                                  <w:dstrike w:val="false"/>
                                  <w:color w:val="000000"/>
                                  <w:u w:val="none"/>
                                  <w:effect w:val="none"/>
                                </w:rPr>
                                <w:t>Report of the Human Capital &amp;</w:t>
                              </w:r>
                            </w:hyperlink>
                            <w:hyperlink w:anchor="rtx014050a017">
                              <w:r>
                                <w:rPr>
                                  <w:rStyle w:val="InternetLink"/>
                                  <w:strike w:val="false"/>
                                  <w:dstrike w:val="false"/>
                                  <w:color w:val="000000"/>
                                  <w:u w:val="none"/>
                                  <w:effect w:val="none"/>
                                </w:rPr>
                                <w:t xml:space="preserve"> </w:t>
                              </w:r>
                            </w:hyperlink>
                            <w:hyperlink w:anchor="rtx014050a017">
                              <w:r>
                                <w:rPr>
                                  <w:rStyle w:val="InternetLink"/>
                                  <w:b/>
                                  <w:strike w:val="false"/>
                                  <w:dstrike w:val="false"/>
                                  <w:color w:val="000000"/>
                                  <w:u w:val="none"/>
                                  <w:effect w:val="none"/>
                                </w:rPr>
                                <w:t>Compensation Committee</w:t>
                              </w:r>
                            </w:hyperlink>
                          </w:p>
                        </w:tc>
                        <w:tc>
                          <w:tcPr>
                            <w:tcW w:w="395" w:type="dxa"/>
                            <w:tcBorders/>
                            <w:vAlign w:val="center"/>
                          </w:tcPr>
                          <w:p>
                            <w:pPr>
                              <w:pStyle w:val="TableContents"/>
                              <w:bidi w:val="0"/>
                              <w:spacing w:before="0" w:after="283"/>
                              <w:jc w:val="right"/>
                              <w:rPr/>
                            </w:pPr>
                            <w:hyperlink w:anchor="rtx014050a017">
                              <w:r>
                                <w:rPr>
                                  <w:rStyle w:val="InternetLink"/>
                                  <w:b/>
                                  <w:strike w:val="false"/>
                                  <w:dstrike w:val="false"/>
                                  <w:color w:val="000000"/>
                                  <w:u w:val="none"/>
                                  <w:effect w:val="none"/>
                                </w:rPr>
                                <w:t>63</w:t>
                              </w:r>
                            </w:hyperlink>
                          </w:p>
                        </w:tc>
                      </w:tr>
                      <w:tr>
                        <w:trPr/>
                        <w:tc>
                          <w:tcPr>
                            <w:tcW w:w="9065" w:type="dxa"/>
                            <w:tcBorders/>
                            <w:vAlign w:val="center"/>
                          </w:tcPr>
                          <w:p>
                            <w:pPr>
                              <w:pStyle w:val="TableContents"/>
                              <w:bidi w:val="0"/>
                              <w:spacing w:before="0" w:after="283"/>
                              <w:jc w:val="left"/>
                              <w:rPr/>
                            </w:pPr>
                            <w:hyperlink w:anchor="rtx014050a018">
                              <w:r>
                                <w:rPr>
                                  <w:rStyle w:val="InternetLink"/>
                                  <w:b/>
                                  <w:strike w:val="false"/>
                                  <w:dstrike w:val="false"/>
                                  <w:color w:val="000000"/>
                                  <w:u w:val="none"/>
                                  <w:effect w:val="none"/>
                                </w:rPr>
                                <w:t>Compensation Tables</w:t>
                              </w:r>
                            </w:hyperlink>
                          </w:p>
                        </w:tc>
                        <w:tc>
                          <w:tcPr>
                            <w:tcW w:w="395" w:type="dxa"/>
                            <w:tcBorders/>
                            <w:vAlign w:val="center"/>
                          </w:tcPr>
                          <w:p>
                            <w:pPr>
                              <w:pStyle w:val="TableContents"/>
                              <w:bidi w:val="0"/>
                              <w:spacing w:before="0" w:after="283"/>
                              <w:jc w:val="right"/>
                              <w:rPr/>
                            </w:pPr>
                            <w:hyperlink w:anchor="rtx014050a018">
                              <w:r>
                                <w:rPr>
                                  <w:rStyle w:val="InternetLink"/>
                                  <w:b/>
                                  <w:strike w:val="false"/>
                                  <w:dstrike w:val="false"/>
                                  <w:color w:val="000000"/>
                                  <w:u w:val="none"/>
                                  <w:effect w:val="none"/>
                                </w:rPr>
                                <w:t>64</w:t>
                              </w:r>
                            </w:hyperlink>
                          </w:p>
                        </w:tc>
                      </w:tr>
                      <w:tr>
                        <w:trPr/>
                        <w:tc>
                          <w:tcPr>
                            <w:tcW w:w="9065" w:type="dxa"/>
                            <w:tcBorders/>
                            <w:vAlign w:val="center"/>
                          </w:tcPr>
                          <w:p>
                            <w:pPr>
                              <w:pStyle w:val="TableContents"/>
                              <w:bidi w:val="0"/>
                              <w:spacing w:before="0" w:after="283"/>
                              <w:jc w:val="left"/>
                              <w:rPr/>
                            </w:pPr>
                            <w:hyperlink w:anchor="rtx014050a019">
                              <w:r>
                                <w:rPr>
                                  <w:rStyle w:val="InternetLink"/>
                                  <w:b/>
                                  <w:strike w:val="false"/>
                                  <w:dstrike w:val="false"/>
                                  <w:color w:val="000000"/>
                                  <w:u w:val="none"/>
                                  <w:effect w:val="none"/>
                                </w:rPr>
                                <w:t>CEO Pay Ratio</w:t>
                              </w:r>
                            </w:hyperlink>
                          </w:p>
                        </w:tc>
                        <w:tc>
                          <w:tcPr>
                            <w:tcW w:w="395" w:type="dxa"/>
                            <w:tcBorders/>
                            <w:vAlign w:val="center"/>
                          </w:tcPr>
                          <w:p>
                            <w:pPr>
                              <w:pStyle w:val="TableContents"/>
                              <w:bidi w:val="0"/>
                              <w:spacing w:before="0" w:after="283"/>
                              <w:jc w:val="right"/>
                              <w:rPr/>
                            </w:pPr>
                            <w:hyperlink w:anchor="rtx014050a019">
                              <w:r>
                                <w:rPr>
                                  <w:rStyle w:val="InternetLink"/>
                                  <w:b/>
                                  <w:strike w:val="false"/>
                                  <w:dstrike w:val="false"/>
                                  <w:color w:val="000000"/>
                                  <w:u w:val="none"/>
                                  <w:effect w:val="none"/>
                                </w:rPr>
                                <w:t>78</w:t>
                              </w:r>
                            </w:hyperlink>
                          </w:p>
                        </w:tc>
                      </w:tr>
                      <w:tr>
                        <w:trPr/>
                        <w:tc>
                          <w:tcPr>
                            <w:tcW w:w="9065" w:type="dxa"/>
                            <w:tcBorders/>
                            <w:vAlign w:val="center"/>
                          </w:tcPr>
                          <w:p>
                            <w:pPr>
                              <w:pStyle w:val="TableContents"/>
                              <w:bidi w:val="0"/>
                              <w:spacing w:before="0" w:after="283"/>
                              <w:jc w:val="left"/>
                              <w:rPr/>
                            </w:pPr>
                            <w:hyperlink w:anchor="rtx014050a020">
                              <w:r>
                                <w:rPr>
                                  <w:rStyle w:val="InternetLink"/>
                                  <w:b/>
                                  <w:strike w:val="false"/>
                                  <w:dstrike w:val="false"/>
                                  <w:color w:val="000000"/>
                                  <w:u w:val="none"/>
                                  <w:effect w:val="none"/>
                                </w:rPr>
                                <w:t>Pay versus Performance</w:t>
                              </w:r>
                            </w:hyperlink>
                          </w:p>
                        </w:tc>
                        <w:tc>
                          <w:tcPr>
                            <w:tcW w:w="395" w:type="dxa"/>
                            <w:tcBorders/>
                            <w:vAlign w:val="center"/>
                          </w:tcPr>
                          <w:p>
                            <w:pPr>
                              <w:pStyle w:val="TableContents"/>
                              <w:bidi w:val="0"/>
                              <w:spacing w:before="0" w:after="283"/>
                              <w:jc w:val="right"/>
                              <w:rPr/>
                            </w:pPr>
                            <w:hyperlink w:anchor="rtx014050a020">
                              <w:r>
                                <w:rPr>
                                  <w:rStyle w:val="InternetLink"/>
                                  <w:b/>
                                  <w:strike w:val="false"/>
                                  <w:dstrike w:val="false"/>
                                  <w:color w:val="000000"/>
                                  <w:u w:val="none"/>
                                  <w:effect w:val="none"/>
                                </w:rPr>
                                <w:t>80</w:t>
                              </w:r>
                            </w:hyperlink>
                          </w:p>
                        </w:tc>
                      </w:tr>
                      <w:tr>
                        <w:trPr/>
                        <w:tc>
                          <w:tcPr>
                            <w:tcW w:w="9065"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 </w:t>
                            </w:r>
                          </w:p>
                        </w:tc>
                      </w:tr>
                      <w:tr>
                        <w:trPr/>
                        <w:tc>
                          <w:tcPr>
                            <w:tcW w:w="9065" w:type="dxa"/>
                            <w:tcBorders/>
                            <w:vAlign w:val="center"/>
                          </w:tcPr>
                          <w:p>
                            <w:pPr>
                              <w:pStyle w:val="TableContents"/>
                              <w:bidi w:val="0"/>
                              <w:spacing w:before="0" w:after="283"/>
                              <w:jc w:val="left"/>
                              <w:rPr>
                                <w:b/>
                              </w:rPr>
                            </w:pPr>
                            <w:r>
                              <w:rPr>
                                <w:b/>
                              </w:rPr>
                              <w:t>AUDIT</w:t>
                            </w:r>
                          </w:p>
                        </w:tc>
                        <w:tc>
                          <w:tcPr>
                            <w:tcW w:w="395" w:type="dxa"/>
                            <w:tcBorders/>
                            <w:vAlign w:val="center"/>
                          </w:tcPr>
                          <w:p>
                            <w:pPr>
                              <w:pStyle w:val="TableContents"/>
                              <w:bidi w:val="0"/>
                              <w:spacing w:before="0" w:after="283"/>
                              <w:jc w:val="right"/>
                              <w:rPr/>
                            </w:pPr>
                            <w:r>
                              <w:rPr/>
                              <w:t> </w:t>
                            </w:r>
                          </w:p>
                        </w:tc>
                      </w:tr>
                      <w:tr>
                        <w:trPr/>
                        <w:tc>
                          <w:tcPr>
                            <w:tcW w:w="9065" w:type="dxa"/>
                            <w:tcBorders/>
                            <w:vAlign w:val="center"/>
                          </w:tcPr>
                          <w:p>
                            <w:pPr>
                              <w:pStyle w:val="TableContents"/>
                              <w:bidi w:val="0"/>
                              <w:spacing w:before="0" w:after="283"/>
                              <w:jc w:val="left"/>
                              <w:rPr/>
                            </w:pPr>
                            <w:hyperlink w:anchor="rtx014050a021">
                              <w:r>
                                <w:rPr>
                                  <w:rStyle w:val="InternetLink"/>
                                  <w:b/>
                                  <w:strike w:val="false"/>
                                  <w:dstrike w:val="false"/>
                                  <w:color w:val="000000"/>
                                  <w:u w:val="none"/>
                                  <w:effect w:val="none"/>
                                </w:rPr>
                                <w:t>Audit Committee Report</w:t>
                              </w:r>
                            </w:hyperlink>
                          </w:p>
                        </w:tc>
                        <w:tc>
                          <w:tcPr>
                            <w:tcW w:w="395" w:type="dxa"/>
                            <w:tcBorders/>
                            <w:vAlign w:val="center"/>
                          </w:tcPr>
                          <w:p>
                            <w:pPr>
                              <w:pStyle w:val="TableContents"/>
                              <w:bidi w:val="0"/>
                              <w:spacing w:before="0" w:after="283"/>
                              <w:jc w:val="right"/>
                              <w:rPr/>
                            </w:pPr>
                            <w:hyperlink w:anchor="rtx014050a021">
                              <w:r>
                                <w:rPr>
                                  <w:rStyle w:val="InternetLink"/>
                                  <w:b/>
                                  <w:strike w:val="false"/>
                                  <w:dstrike w:val="false"/>
                                  <w:color w:val="000000"/>
                                  <w:u w:val="none"/>
                                  <w:effect w:val="none"/>
                                </w:rPr>
                                <w:t>87</w:t>
                              </w:r>
                            </w:hyperlink>
                          </w:p>
                        </w:tc>
                      </w:tr>
                      <w:tr>
                        <w:trPr/>
                        <w:tc>
                          <w:tcPr>
                            <w:tcW w:w="9065" w:type="dxa"/>
                            <w:tcBorders/>
                            <w:vAlign w:val="center"/>
                          </w:tcPr>
                          <w:p>
                            <w:pPr>
                              <w:pStyle w:val="TableContents"/>
                              <w:bidi w:val="0"/>
                              <w:spacing w:before="0" w:after="283"/>
                              <w:jc w:val="left"/>
                              <w:rPr/>
                            </w:pPr>
                            <w:hyperlink w:anchor="rtx014050a022">
                              <w:r>
                                <w:rPr>
                                  <w:rStyle w:val="InternetLink"/>
                                  <w:b/>
                                  <w:strike w:val="false"/>
                                  <w:dstrike w:val="false"/>
                                  <w:color w:val="C12E33"/>
                                  <w:u w:val="none"/>
                                  <w:effect w:val="none"/>
                                </w:rPr>
                                <w:t>Proposal 3</w:t>
                              </w:r>
                            </w:hyperlink>
                            <w:hyperlink w:anchor="rtx014050a022">
                              <w:r>
                                <w:rPr>
                                  <w:rStyle w:val="InternetLink"/>
                                  <w:strike w:val="false"/>
                                  <w:dstrike w:val="false"/>
                                  <w:color w:val="000000"/>
                                  <w:u w:val="none"/>
                                  <w:effect w:val="none"/>
                                </w:rPr>
                                <w:br/>
                              </w:r>
                            </w:hyperlink>
                            <w:hyperlink w:anchor="rtx014050a022">
                              <w:r>
                                <w:rPr>
                                  <w:rStyle w:val="InternetLink"/>
                                  <w:b/>
                                  <w:strike w:val="false"/>
                                  <w:dstrike w:val="false"/>
                                  <w:color w:val="000000"/>
                                  <w:u w:val="none"/>
                                  <w:effect w:val="none"/>
                                </w:rPr>
                                <w:t>Appointment of PricewaterhouseCoopers LLP to Serve as Independent Auditor for 2026</w:t>
                              </w:r>
                            </w:hyperlink>
                          </w:p>
                        </w:tc>
                        <w:tc>
                          <w:tcPr>
                            <w:tcW w:w="395" w:type="dxa"/>
                            <w:tcBorders/>
                            <w:vAlign w:val="center"/>
                          </w:tcPr>
                          <w:p>
                            <w:pPr>
                              <w:pStyle w:val="TableContents"/>
                              <w:bidi w:val="0"/>
                              <w:spacing w:before="0" w:after="283"/>
                              <w:jc w:val="right"/>
                              <w:rPr/>
                            </w:pPr>
                            <w:hyperlink w:anchor="rtx014050a022">
                              <w:r>
                                <w:rPr>
                                  <w:rStyle w:val="InternetLink"/>
                                  <w:b/>
                                  <w:strike w:val="false"/>
                                  <w:dstrike w:val="false"/>
                                  <w:color w:val="000000"/>
                                  <w:u w:val="none"/>
                                  <w:effect w:val="none"/>
                                </w:rPr>
                                <w:t>88</w:t>
                              </w:r>
                            </w:hyperlink>
                          </w:p>
                        </w:tc>
                      </w:tr>
                      <w:tr>
                        <w:trPr/>
                        <w:tc>
                          <w:tcPr>
                            <w:tcW w:w="9065"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 </w:t>
                            </w:r>
                          </w:p>
                        </w:tc>
                      </w:tr>
                      <w:tr>
                        <w:trPr/>
                        <w:tc>
                          <w:tcPr>
                            <w:tcW w:w="9065" w:type="dxa"/>
                            <w:tcBorders/>
                            <w:vAlign w:val="center"/>
                          </w:tcPr>
                          <w:p>
                            <w:pPr>
                              <w:pStyle w:val="TableContents"/>
                              <w:bidi w:val="0"/>
                              <w:spacing w:before="0" w:after="283"/>
                              <w:jc w:val="left"/>
                              <w:rPr>
                                <w:b/>
                              </w:rPr>
                            </w:pPr>
                            <w:r>
                              <w:rPr>
                                <w:b/>
                              </w:rPr>
                              <w:t>OTHER SHAREOWNER INFORMATION</w:t>
                            </w:r>
                          </w:p>
                        </w:tc>
                        <w:tc>
                          <w:tcPr>
                            <w:tcW w:w="395" w:type="dxa"/>
                            <w:tcBorders/>
                            <w:vAlign w:val="center"/>
                          </w:tcPr>
                          <w:p>
                            <w:pPr>
                              <w:pStyle w:val="TableContents"/>
                              <w:bidi w:val="0"/>
                              <w:spacing w:before="0" w:after="283"/>
                              <w:jc w:val="right"/>
                              <w:rPr/>
                            </w:pPr>
                            <w:r>
                              <w:rPr/>
                              <w:t> </w:t>
                            </w:r>
                          </w:p>
                        </w:tc>
                      </w:tr>
                      <w:tr>
                        <w:trPr/>
                        <w:tc>
                          <w:tcPr>
                            <w:tcW w:w="9065" w:type="dxa"/>
                            <w:tcBorders/>
                            <w:vAlign w:val="center"/>
                          </w:tcPr>
                          <w:p>
                            <w:pPr>
                              <w:pStyle w:val="TableContents"/>
                              <w:bidi w:val="0"/>
                              <w:spacing w:before="0" w:after="283"/>
                              <w:jc w:val="left"/>
                              <w:rPr/>
                            </w:pPr>
                            <w:hyperlink w:anchor="rtx014050a023">
                              <w:r>
                                <w:rPr>
                                  <w:rStyle w:val="InternetLink"/>
                                  <w:b/>
                                  <w:strike w:val="false"/>
                                  <w:dstrike w:val="false"/>
                                  <w:color w:val="000000"/>
                                  <w:u w:val="none"/>
                                  <w:effect w:val="none"/>
                                </w:rPr>
                                <w:t>Frequently Asked Questions About the Annual Meeting</w:t>
                              </w:r>
                            </w:hyperlink>
                          </w:p>
                        </w:tc>
                        <w:tc>
                          <w:tcPr>
                            <w:tcW w:w="395" w:type="dxa"/>
                            <w:tcBorders/>
                            <w:vAlign w:val="center"/>
                          </w:tcPr>
                          <w:p>
                            <w:pPr>
                              <w:pStyle w:val="TableContents"/>
                              <w:bidi w:val="0"/>
                              <w:spacing w:before="0" w:after="283"/>
                              <w:jc w:val="right"/>
                              <w:rPr/>
                            </w:pPr>
                            <w:hyperlink w:anchor="rtx014050a023">
                              <w:r>
                                <w:rPr>
                                  <w:rStyle w:val="InternetLink"/>
                                  <w:b/>
                                  <w:strike w:val="false"/>
                                  <w:dstrike w:val="false"/>
                                  <w:color w:val="000000"/>
                                  <w:u w:val="none"/>
                                  <w:effect w:val="none"/>
                                </w:rPr>
                                <w:t>90</w:t>
                              </w:r>
                            </w:hyperlink>
                          </w:p>
                        </w:tc>
                      </w:tr>
                      <w:tr>
                        <w:trPr/>
                        <w:tc>
                          <w:tcPr>
                            <w:tcW w:w="9065" w:type="dxa"/>
                            <w:tcBorders/>
                            <w:vAlign w:val="center"/>
                          </w:tcPr>
                          <w:p>
                            <w:pPr>
                              <w:pStyle w:val="TableContents"/>
                              <w:bidi w:val="0"/>
                              <w:spacing w:before="0" w:after="283"/>
                              <w:jc w:val="left"/>
                              <w:rPr/>
                            </w:pPr>
                            <w:hyperlink w:anchor="rtx014050a024">
                              <w:r>
                                <w:rPr>
                                  <w:rStyle w:val="InternetLink"/>
                                  <w:b/>
                                  <w:strike w:val="false"/>
                                  <w:dstrike w:val="false"/>
                                  <w:color w:val="000000"/>
                                  <w:u w:val="none"/>
                                  <w:effect w:val="none"/>
                                </w:rPr>
                                <w:t>Other Important Information</w:t>
                              </w:r>
                            </w:hyperlink>
                          </w:p>
                        </w:tc>
                        <w:tc>
                          <w:tcPr>
                            <w:tcW w:w="395" w:type="dxa"/>
                            <w:tcBorders/>
                            <w:vAlign w:val="center"/>
                          </w:tcPr>
                          <w:p>
                            <w:pPr>
                              <w:pStyle w:val="TableContents"/>
                              <w:bidi w:val="0"/>
                              <w:spacing w:before="0" w:after="283"/>
                              <w:jc w:val="right"/>
                              <w:rPr/>
                            </w:pPr>
                            <w:hyperlink w:anchor="rtx014050a024">
                              <w:r>
                                <w:rPr>
                                  <w:rStyle w:val="InternetLink"/>
                                  <w:b/>
                                  <w:strike w:val="false"/>
                                  <w:dstrike w:val="false"/>
                                  <w:color w:val="000000"/>
                                  <w:u w:val="none"/>
                                  <w:effect w:val="none"/>
                                </w:rPr>
                                <w:t>96</w:t>
                              </w:r>
                            </w:hyperlink>
                          </w:p>
                        </w:tc>
                      </w:tr>
                      <w:tr>
                        <w:trPr/>
                        <w:tc>
                          <w:tcPr>
                            <w:tcW w:w="9065"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 </w:t>
                            </w:r>
                          </w:p>
                        </w:tc>
                      </w:tr>
                      <w:tr>
                        <w:trPr/>
                        <w:tc>
                          <w:tcPr>
                            <w:tcW w:w="9065" w:type="dxa"/>
                            <w:tcBorders/>
                            <w:vAlign w:val="center"/>
                          </w:tcPr>
                          <w:p>
                            <w:pPr>
                              <w:pStyle w:val="TableContents"/>
                              <w:bidi w:val="0"/>
                              <w:spacing w:before="0" w:after="283"/>
                              <w:jc w:val="left"/>
                              <w:rPr>
                                <w:b/>
                              </w:rPr>
                            </w:pPr>
                            <w:r>
                              <w:rPr>
                                <w:b/>
                              </w:rPr>
                              <w:t>APPENDICES</w:t>
                            </w:r>
                          </w:p>
                        </w:tc>
                        <w:tc>
                          <w:tcPr>
                            <w:tcW w:w="395" w:type="dxa"/>
                            <w:tcBorders/>
                            <w:vAlign w:val="center"/>
                          </w:tcPr>
                          <w:p>
                            <w:pPr>
                              <w:pStyle w:val="TableContents"/>
                              <w:bidi w:val="0"/>
                              <w:spacing w:before="0" w:after="283"/>
                              <w:jc w:val="right"/>
                              <w:rPr/>
                            </w:pPr>
                            <w:r>
                              <w:rPr/>
                              <w:t> </w:t>
                            </w:r>
                          </w:p>
                        </w:tc>
                      </w:tr>
                      <w:tr>
                        <w:trPr/>
                        <w:tc>
                          <w:tcPr>
                            <w:tcW w:w="9065" w:type="dxa"/>
                            <w:tcBorders/>
                            <w:vAlign w:val="center"/>
                          </w:tcPr>
                          <w:p>
                            <w:pPr>
                              <w:pStyle w:val="TableContents"/>
                              <w:bidi w:val="0"/>
                              <w:spacing w:before="0" w:after="283"/>
                              <w:jc w:val="left"/>
                              <w:rPr/>
                            </w:pPr>
                            <w:hyperlink w:anchor="rtx014050a025">
                              <w:r>
                                <w:rPr>
                                  <w:rStyle w:val="InternetLink"/>
                                  <w:b/>
                                  <w:strike w:val="false"/>
                                  <w:dstrike w:val="false"/>
                                  <w:color w:val="000000"/>
                                  <w:u w:val="none"/>
                                  <w:effect w:val="none"/>
                                </w:rPr>
                                <w:t>Appendix A: Reconciliation of GAAP Measures to Corresponding Non-GAAP Measures</w:t>
                              </w:r>
                            </w:hyperlink>
                          </w:p>
                        </w:tc>
                        <w:tc>
                          <w:tcPr>
                            <w:tcW w:w="395" w:type="dxa"/>
                            <w:tcBorders/>
                            <w:vAlign w:val="center"/>
                          </w:tcPr>
                          <w:p>
                            <w:pPr>
                              <w:pStyle w:val="TableContents"/>
                              <w:bidi w:val="0"/>
                              <w:spacing w:before="0" w:after="283"/>
                              <w:jc w:val="right"/>
                              <w:rPr/>
                            </w:pPr>
                            <w:hyperlink w:anchor="rtx014050a025">
                              <w:r>
                                <w:rPr>
                                  <w:rStyle w:val="InternetLink"/>
                                  <w:b/>
                                  <w:strike w:val="false"/>
                                  <w:dstrike w:val="false"/>
                                  <w:color w:val="000000"/>
                                  <w:u w:val="none"/>
                                  <w:effect w:val="none"/>
                                </w:rPr>
                                <w:t>99</w:t>
                              </w:r>
                            </w:hyperlink>
                          </w:p>
                        </w:tc>
                      </w:tr>
                      <w:tr>
                        <w:trPr/>
                        <w:tc>
                          <w:tcPr>
                            <w:tcW w:w="9065" w:type="dxa"/>
                            <w:tcBorders/>
                            <w:vAlign w:val="center"/>
                          </w:tcPr>
                          <w:p>
                            <w:pPr>
                              <w:pStyle w:val="TableContents"/>
                              <w:bidi w:val="0"/>
                              <w:spacing w:before="0" w:after="283"/>
                              <w:jc w:val="left"/>
                              <w:rPr/>
                            </w:pPr>
                            <w:hyperlink w:anchor="rtx014050a026">
                              <w:r>
                                <w:rPr>
                                  <w:rStyle w:val="InternetLink"/>
                                  <w:b/>
                                  <w:strike w:val="false"/>
                                  <w:dstrike w:val="false"/>
                                  <w:color w:val="000000"/>
                                  <w:u w:val="none"/>
                                  <w:effect w:val="none"/>
                                </w:rPr>
                                <w:t>Appendix B: Performance Metrics Used in Incentive Compensation Plans</w:t>
                              </w:r>
                            </w:hyperlink>
                          </w:p>
                        </w:tc>
                        <w:tc>
                          <w:tcPr>
                            <w:tcW w:w="395" w:type="dxa"/>
                            <w:tcBorders/>
                            <w:vAlign w:val="center"/>
                          </w:tcPr>
                          <w:p>
                            <w:pPr>
                              <w:pStyle w:val="TableContents"/>
                              <w:bidi w:val="0"/>
                              <w:spacing w:before="0" w:after="283"/>
                              <w:jc w:val="right"/>
                              <w:rPr/>
                            </w:pPr>
                            <w:hyperlink w:anchor="rtx014050a026">
                              <w:r>
                                <w:rPr>
                                  <w:rStyle w:val="InternetLink"/>
                                  <w:b/>
                                  <w:strike w:val="false"/>
                                  <w:dstrike w:val="false"/>
                                  <w:color w:val="000000"/>
                                  <w:u w:val="none"/>
                                  <w:effect w:val="none"/>
                                </w:rPr>
                                <w:t>102</w:t>
                              </w:r>
                            </w:hyperlink>
                          </w:p>
                        </w:tc>
                      </w:tr>
                    </w:tbl>
                    <w:p>
                      <w:pPr>
                        <w:pStyle w:val="TextBody"/>
                        <w:bidi w:val="0"/>
                        <w:spacing w:before="0" w:after="283"/>
                        <w:jc w:val="left"/>
                        <w:rPr/>
                      </w:pPr>
                      <w:r>
                        <w:rPr/>
                      </w:r>
                    </w:p>
                  </w:txbxContent>
                </v:textbox>
                <w10:wrap type="square" side="left"/>
              </v:rect>
            </w:pict>
          </mc:Fallback>
        </mc:AlternateConten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 xml:space="preserve">Important Notice Regarding the Availability of Proxy Materials for the Annual Meeting of Shareowners to be held on April 30, 2026. </w:t>
      </w:r>
      <w:r>
        <w:rPr>
          <w:rFonts w:ascii="Arial;Helvetica;Sans-Serif" w:hAnsi="Arial;Helvetica;Sans-Serif"/>
          <w:b w:val="false"/>
          <w:i w:val="false"/>
          <w:caps w:val="false"/>
          <w:smallCaps w:val="false"/>
          <w:sz w:val="20"/>
        </w:rPr>
        <w:t xml:space="preserve">This Notice of the 2026 Annual Meeting of Shareowners and Proxy Statement, as well as RTX’s 2025 Annual Report, are available free of charge at </w:t>
      </w:r>
      <w:r>
        <w:rPr>
          <w:rFonts w:ascii="Arial;Helvetica;Sans-Serif" w:hAnsi="Arial;Helvetica;Sans-Serif"/>
          <w:b w:val="false"/>
          <w:i w:val="false"/>
          <w:caps w:val="false"/>
          <w:smallCaps w:val="false"/>
          <w:color w:val="C12E33"/>
          <w:sz w:val="20"/>
          <w:u w:val="single"/>
        </w:rPr>
        <w:t>www.proxyvote.com</w:t>
      </w:r>
      <w:r>
        <w:rPr>
          <w:rFonts w:ascii="Arial;Helvetica;Sans-Serif" w:hAnsi="Arial;Helvetica;Sans-Serif"/>
          <w:b w:val="false"/>
          <w:i w:val="false"/>
          <w:caps w:val="false"/>
          <w:smallCaps w:val="false"/>
          <w:color w:val="C12E33"/>
          <w:sz w:val="20"/>
        </w:rPr>
        <w:t xml:space="preserve"> </w:t>
      </w:r>
      <w:r>
        <w:rPr>
          <w:rFonts w:ascii="Arial;Helvetica;Sans-Serif" w:hAnsi="Arial;Helvetica;Sans-Serif"/>
          <w:b w:val="false"/>
          <w:i w:val="false"/>
          <w:caps w:val="false"/>
          <w:smallCaps w:val="false"/>
          <w:sz w:val="20"/>
        </w:rPr>
        <w:t xml:space="preserve">or at </w:t>
      </w:r>
      <w:r>
        <w:rPr>
          <w:rFonts w:ascii="Arial;Helvetica;Sans-Serif" w:hAnsi="Arial;Helvetica;Sans-Serif"/>
          <w:b w:val="false"/>
          <w:i w:val="false"/>
          <w:caps w:val="false"/>
          <w:smallCaps w:val="false"/>
          <w:color w:val="C12E33"/>
          <w:sz w:val="20"/>
          <w:u w:val="single"/>
        </w:rPr>
        <w:t>www.rtx.com/proxy</w:t>
      </w:r>
      <w:r>
        <w:rPr>
          <w:rFonts w:ascii="Arial;Helvetica;Sans-Serif" w:hAnsi="Arial;Helvetica;Sans-Serif"/>
          <w:b w:val="false"/>
          <w:i w:val="false"/>
          <w:caps w:val="false"/>
          <w:smallCaps w:val="false"/>
          <w:sz w:val="20"/>
        </w:rPr>
        <w:t>. References in either document to our website are for the convenience of readers, and information available at or through our website is not a part of, nor is it incorporated by reference in, the Proxy Statement or Annual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Board of Directors of RTX Corporation (“RTX” or the “Company”) is soliciting proxies to be voted at our 2026 Annual Meeting of Shareowners to be held on April 30, 2026, and at any postponed or reconvened meeting. We expect that the proxy materials or a notice of internet availability will be mailed and made available to shareowners beginning on or about March 9, 2026. At the meeting, votes will be taken on the matters listed in the Notice of 2026 Annual Meeting of Shareowners.</w:t>
      </w:r>
    </w:p>
    <w:p>
      <w:pPr>
        <w:pStyle w:val="TextBody"/>
        <w:bidi w:val="0"/>
        <w:spacing w:before="200" w:after="283"/>
        <w:jc w:val="left"/>
        <w:rPr/>
      </w:pPr>
      <w:r>
        <w:rPr>
          <w:rFonts w:ascii="Arial;Helvetica;Sans-Serif" w:hAnsi="Arial;Helvetica;Sans-Serif"/>
          <w:b/>
          <w:color w:val="000000"/>
          <w:sz w:val="15"/>
        </w:rPr>
        <w:t>ii</w:t>
      </w:r>
      <w:r>
        <w:rPr>
          <w:rFonts w:ascii="Arial;Helvetica;Sans-Serif" w:hAnsi="Arial;Helvetica;Sans-Serif"/>
          <w:color w:val="000000"/>
          <w:sz w:val="15"/>
        </w:rPr>
        <w:t>    </w:t>
      </w:r>
      <w:r>
        <w:rPr>
          <w:rFonts w:ascii="Arial;Helvetica;Sans-Serif" w:hAnsi="Arial;Helvetica;Sans-Serif"/>
          <w:b/>
          <w:sz w:val="15"/>
        </w:rPr>
        <w:t>RTX</w:t>
      </w:r>
      <w:r>
        <w:rPr>
          <w:rFonts w:ascii="Arial;Helvetica;Sans-Serif" w:hAnsi="Arial;Helvetica;Sans-Serif"/>
          <w:sz w:val="15"/>
        </w:rPr>
        <w:t xml:space="preserve"> 2026 PROXY STATEMENT</w:t>
      </w:r>
    </w:p>
    <w:p>
      <w:pPr>
        <w:pStyle w:val="HorizontalLine"/>
        <w:pBdr>
          <w:bottom w:val="double" w:sz="2" w:space="0" w:color="808080"/>
        </w:pBdr>
        <w:bidi w:val="0"/>
        <w:spacing w:before="0" w:after="283"/>
        <w:jc w:val="left"/>
        <w:rPr/>
      </w:pPr>
      <w:r>
        <w:rPr/>
      </w:r>
    </w:p>
    <w:p>
      <w:pPr>
        <w:pStyle w:val="TextBody"/>
        <w:bidi w:val="0"/>
        <w:spacing w:before="200" w:after="200"/>
        <w:jc w:val="left"/>
        <w:rPr/>
      </w:pPr>
      <w:hyperlink w:anchor="toc">
        <w:r>
          <w:rPr>
            <w:rStyle w:val="InternetLink"/>
            <w:rFonts w:ascii="Arial;Helvetica;Sans-Serif" w:hAnsi="Arial;Helvetica;Sans-Serif"/>
            <w:b/>
            <w:i w:val="false"/>
            <w:caps w:val="false"/>
            <w:smallCaps w:val="false"/>
            <w:sz w:val="16"/>
          </w:rPr>
          <w:t>Table of Contents</w:t>
        </w:r>
      </w:hyperlink>
    </w:p>
    <w:tbl>
      <w:tblPr>
        <w:tblW w:w="3995" w:type="dxa"/>
        <w:jc w:val="left"/>
        <w:tblInd w:w="0" w:type="dxa"/>
        <w:tblLayout w:type="fixed"/>
        <w:tblCellMar>
          <w:top w:w="0" w:type="dxa"/>
          <w:left w:w="0" w:type="dxa"/>
          <w:bottom w:w="0" w:type="dxa"/>
          <w:right w:w="0" w:type="dxa"/>
        </w:tblCellMar>
      </w:tblPr>
      <w:tblGrid>
        <w:gridCol w:w="3995"/>
      </w:tblGrid>
      <w:tr>
        <w:trPr/>
        <w:tc>
          <w:tcPr>
            <w:tcW w:w="3995" w:type="dxa"/>
            <w:tcBorders/>
            <w:vAlign w:val="center"/>
          </w:tcPr>
          <w:p>
            <w:pPr>
              <w:pStyle w:val="TableContents"/>
              <w:bidi w:val="0"/>
              <w:spacing w:before="0" w:after="283"/>
              <w:jc w:val="left"/>
              <w:rPr>
                <w:b/>
                <w:color w:val="FFFFFF"/>
                <w:sz w:val="56"/>
              </w:rPr>
            </w:pPr>
            <w:bookmarkStart w:id="6" w:name="rtx014050a002"/>
            <w:bookmarkEnd w:id="6"/>
            <w:r>
              <w:rPr>
                <w:b/>
                <w:color w:val="FFFFFF"/>
                <w:sz w:val="56"/>
              </w:rPr>
              <w:t>Proxy Summary</w:t>
            </w:r>
          </w:p>
        </w:tc>
      </w:tr>
    </w:tbl>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caps w:val="false"/>
                <w:smallCaps w:val="false"/>
                <w:color w:val="FFFFFF"/>
              </w:rPr>
            </w:pPr>
            <w:r>
              <w:rPr>
                <w:caps w:val="false"/>
                <w:smallCaps w:val="false"/>
                <w:color w:val="FFFFFF"/>
              </w:rPr>
              <w:t> </w:t>
            </w:r>
          </w:p>
        </w:tc>
      </w:tr>
      <w:tr>
        <w:trPr/>
        <w:tc>
          <w:tcPr>
            <w:tcW w:w="10205" w:type="dxa"/>
            <w:tcBorders/>
            <w:vAlign w:val="center"/>
          </w:tcPr>
          <w:p>
            <w:pPr>
              <w:pStyle w:val="TableContents"/>
              <w:bidi w:val="0"/>
              <w:spacing w:before="0" w:after="283"/>
              <w:jc w:val="left"/>
              <w:rPr>
                <w:rFonts w:ascii="Arial;Helvetica;Sans-Serif" w:hAnsi="Arial;Helvetica;Sans-Serif"/>
                <w:b/>
                <w:i w:val="false"/>
                <w:caps w:val="false"/>
                <w:smallCaps w:val="false"/>
                <w:color w:val="FFFFFF"/>
                <w:sz w:val="22"/>
              </w:rPr>
            </w:pPr>
            <w:r>
              <w:rPr>
                <w:rFonts w:ascii="Arial;Helvetica;Sans-Serif" w:hAnsi="Arial;Helvetica;Sans-Serif"/>
                <w:b/>
                <w:i w:val="false"/>
                <w:caps w:val="false"/>
                <w:smallCaps w:val="false"/>
                <w:color w:val="FFFFFF"/>
                <w:sz w:val="22"/>
              </w:rPr>
              <w:t>This section highlights selected information in this Proxy Statement. Please review the entire Proxy Statement and our 2025 Annual Report before voting your shares.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34"/>
        </w:rPr>
      </w:pPr>
      <w:r>
        <w:rPr>
          <w:rFonts w:ascii="Arial;Helvetica;Sans-Serif" w:hAnsi="Arial;Helvetica;Sans-Serif"/>
          <w:b/>
          <w:i w:val="false"/>
          <w:caps w:val="false"/>
          <w:smallCaps w:val="false"/>
          <w:sz w:val="34"/>
        </w:rPr>
        <w:t>Annual Meeting Agenda</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40" w:type="dxa"/>
          <w:right w:w="0" w:type="dxa"/>
        </w:tblCellMar>
      </w:tblPr>
      <w:tblGrid>
        <w:gridCol w:w="1147"/>
        <w:gridCol w:w="4937"/>
        <w:gridCol w:w="300"/>
        <w:gridCol w:w="2465"/>
        <w:gridCol w:w="300"/>
        <w:gridCol w:w="1056"/>
      </w:tblGrid>
      <w:tr>
        <w:trPr/>
        <w:tc>
          <w:tcPr>
            <w:tcW w:w="6084" w:type="dxa"/>
            <w:gridSpan w:val="2"/>
            <w:tcBorders>
              <w:bottom w:val="single" w:sz="12" w:space="0" w:color="C12E33"/>
            </w:tcBorders>
            <w:vAlign w:val="center"/>
          </w:tcPr>
          <w:p>
            <w:pPr>
              <w:pStyle w:val="TableContents"/>
              <w:bidi w:val="0"/>
              <w:spacing w:before="0" w:after="283"/>
              <w:jc w:val="left"/>
              <w:rPr/>
            </w:pPr>
            <w:r>
              <w:rPr/>
              <w:t> </w:t>
            </w:r>
          </w:p>
        </w:tc>
        <w:tc>
          <w:tcPr>
            <w:tcW w:w="300" w:type="dxa"/>
            <w:tcBorders>
              <w:bottom w:val="single" w:sz="12" w:space="0" w:color="C12E33"/>
            </w:tcBorders>
            <w:vAlign w:val="center"/>
          </w:tcPr>
          <w:p>
            <w:pPr>
              <w:pStyle w:val="TableContents"/>
              <w:bidi w:val="0"/>
              <w:spacing w:before="0" w:after="283"/>
              <w:jc w:val="right"/>
              <w:rPr/>
            </w:pPr>
            <w:r>
              <w:rPr/>
              <w:t>     </w:t>
            </w:r>
          </w:p>
        </w:tc>
        <w:tc>
          <w:tcPr>
            <w:tcW w:w="2465" w:type="dxa"/>
            <w:tcBorders>
              <w:bottom w:val="single" w:sz="12" w:space="0" w:color="C12E33"/>
            </w:tcBorders>
            <w:vAlign w:val="center"/>
          </w:tcPr>
          <w:p>
            <w:pPr>
              <w:pStyle w:val="TableContents"/>
              <w:bidi w:val="0"/>
              <w:spacing w:before="0" w:after="283"/>
              <w:jc w:val="left"/>
              <w:rPr>
                <w:rFonts w:ascii="Arial;Helvetica;Sans-Serif" w:hAnsi="Arial;Helvetica;Sans-Serif"/>
                <w:b w:val="false"/>
                <w:i w:val="false"/>
                <w:caps w:val="false"/>
                <w:smallCaps w:val="false"/>
                <w:color w:val="636466"/>
                <w:sz w:val="15"/>
              </w:rPr>
            </w:pPr>
            <w:r>
              <w:rPr>
                <w:rFonts w:ascii="Arial;Helvetica;Sans-Serif" w:hAnsi="Arial;Helvetica;Sans-Serif"/>
                <w:b w:val="false"/>
                <w:i w:val="false"/>
                <w:caps w:val="false"/>
                <w:smallCaps w:val="false"/>
                <w:color w:val="636466"/>
                <w:sz w:val="15"/>
              </w:rPr>
              <w:t>Board recommendation</w:t>
            </w:r>
          </w:p>
        </w:tc>
        <w:tc>
          <w:tcPr>
            <w:tcW w:w="300" w:type="dxa"/>
            <w:tcBorders>
              <w:bottom w:val="single" w:sz="12" w:space="0" w:color="C12E33"/>
            </w:tcBorders>
            <w:vAlign w:val="center"/>
          </w:tcPr>
          <w:p>
            <w:pPr>
              <w:pStyle w:val="TableContents"/>
              <w:bidi w:val="0"/>
              <w:spacing w:before="0" w:after="283"/>
              <w:jc w:val="right"/>
              <w:rPr/>
            </w:pPr>
            <w:r>
              <w:rPr/>
              <w:t>     </w:t>
            </w:r>
          </w:p>
        </w:tc>
        <w:tc>
          <w:tcPr>
            <w:tcW w:w="1056" w:type="dxa"/>
            <w:tcBorders>
              <w:bottom w:val="single" w:sz="12" w:space="0" w:color="C12E33"/>
            </w:tcBorders>
            <w:vAlign w:val="center"/>
          </w:tcPr>
          <w:p>
            <w:pPr>
              <w:pStyle w:val="TableContents"/>
              <w:bidi w:val="0"/>
              <w:spacing w:before="0" w:after="283"/>
              <w:jc w:val="right"/>
              <w:rPr>
                <w:rFonts w:ascii="Arial;Helvetica;Sans-Serif" w:hAnsi="Arial;Helvetica;Sans-Serif"/>
                <w:b w:val="false"/>
                <w:i w:val="false"/>
                <w:caps w:val="false"/>
                <w:smallCaps w:val="false"/>
                <w:color w:val="636466"/>
                <w:sz w:val="15"/>
              </w:rPr>
            </w:pPr>
            <w:r>
              <w:rPr>
                <w:rFonts w:ascii="Arial;Helvetica;Sans-Serif" w:hAnsi="Arial;Helvetica;Sans-Serif"/>
                <w:b w:val="false"/>
                <w:i w:val="false"/>
                <w:caps w:val="false"/>
                <w:smallCaps w:val="false"/>
                <w:color w:val="636466"/>
                <w:sz w:val="15"/>
              </w:rPr>
              <w:t>Page numbers</w:t>
            </w:r>
          </w:p>
        </w:tc>
      </w:tr>
      <w:tr>
        <w:trPr/>
        <w:tc>
          <w:tcPr>
            <w:tcW w:w="1147" w:type="dxa"/>
            <w:tcBorders>
              <w:bottom w:val="single" w:sz="8" w:space="0" w:color="000000"/>
            </w:tcBorders>
            <w:vAlign w:val="center"/>
          </w:tcPr>
          <w:p>
            <w:pPr>
              <w:pStyle w:val="TableContents"/>
              <w:bidi w:val="0"/>
              <w:spacing w:before="0" w:after="283"/>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Proposal 1:   </w:t>
            </w:r>
          </w:p>
        </w:tc>
        <w:tc>
          <w:tcPr>
            <w:tcW w:w="4937" w:type="dxa"/>
            <w:tcBorders>
              <w:bottom w:val="single" w:sz="8" w:space="0" w:color="000000"/>
            </w:tcBorders>
            <w:vAlign w:val="center"/>
          </w:tcPr>
          <w:p>
            <w:pPr>
              <w:pStyle w:val="TableContents"/>
              <w:bidi w:val="0"/>
              <w:spacing w:before="0" w:after="283"/>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Election of Directors</w:t>
            </w:r>
          </w:p>
        </w:tc>
        <w:tc>
          <w:tcPr>
            <w:tcW w:w="300" w:type="dxa"/>
            <w:tcBorders>
              <w:bottom w:val="single" w:sz="8" w:space="0" w:color="000000"/>
            </w:tcBorders>
            <w:vAlign w:val="center"/>
          </w:tcPr>
          <w:p>
            <w:pPr>
              <w:pStyle w:val="TableContents"/>
              <w:bidi w:val="0"/>
              <w:spacing w:before="0" w:after="283"/>
              <w:jc w:val="left"/>
              <w:rPr/>
            </w:pPr>
            <w:r>
              <w:rPr/>
              <w:t> </w:t>
            </w:r>
          </w:p>
        </w:tc>
        <w:tc>
          <w:tcPr>
            <w:tcW w:w="2465" w:type="dxa"/>
            <w:tcBorders>
              <w:bottom w:val="single" w:sz="8" w:space="0" w:color="000000"/>
            </w:tcBorders>
            <w:vAlign w:val="center"/>
          </w:tcPr>
          <w:p>
            <w:pPr>
              <w:pStyle w:val="TableContents"/>
              <w:bidi w:val="0"/>
              <w:spacing w:before="0" w:after="283"/>
              <w:jc w:val="left"/>
              <w:rPr/>
            </w:pPr>
            <w:r>
              <w:rPr>
                <w:rFonts w:ascii="Arial;Helvetica;Sans-Serif" w:hAnsi="Arial;Helvetica;Sans-Serif"/>
                <w:b/>
                <w:i w:val="false"/>
                <w:caps w:val="false"/>
                <w:smallCaps w:val="false"/>
                <w:color w:val="C12E33"/>
                <w:sz w:val="20"/>
              </w:rPr>
              <w:t>FOR</w:t>
            </w:r>
            <w:r>
              <w:rPr>
                <w:caps w:val="false"/>
                <w:smallCaps w:val="false"/>
              </w:rPr>
              <w:t> </w:t>
            </w:r>
            <w:r>
              <w:rPr>
                <w:rFonts w:ascii="Arial;Helvetica;Sans-Serif" w:hAnsi="Arial;Helvetica;Sans-Serif"/>
                <w:b w:val="false"/>
                <w:i w:val="false"/>
                <w:caps w:val="false"/>
                <w:smallCaps w:val="false"/>
                <w:sz w:val="20"/>
              </w:rPr>
              <w:t>each director nominee </w:t>
            </w:r>
          </w:p>
        </w:tc>
        <w:tc>
          <w:tcPr>
            <w:tcW w:w="300" w:type="dxa"/>
            <w:tcBorders>
              <w:bottom w:val="single" w:sz="8" w:space="0" w:color="000000"/>
            </w:tcBorders>
            <w:vAlign w:val="center"/>
          </w:tcPr>
          <w:p>
            <w:pPr>
              <w:pStyle w:val="TableContents"/>
              <w:bidi w:val="0"/>
              <w:spacing w:before="0" w:after="283"/>
              <w:jc w:val="left"/>
              <w:rPr/>
            </w:pPr>
            <w:r>
              <w:rPr/>
              <w:t> </w:t>
            </w:r>
          </w:p>
        </w:tc>
        <w:tc>
          <w:tcPr>
            <w:tcW w:w="1056" w:type="dxa"/>
            <w:tcBorders>
              <w:bottom w:val="single" w:sz="8" w:space="0" w:color="000000"/>
            </w:tcBorders>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11-19</w:t>
            </w:r>
          </w:p>
        </w:tc>
      </w:tr>
      <w:tr>
        <w:trPr/>
        <w:tc>
          <w:tcPr>
            <w:tcW w:w="1147" w:type="dxa"/>
            <w:tcBorders>
              <w:bottom w:val="single" w:sz="8" w:space="0" w:color="000000"/>
            </w:tcBorders>
            <w:vAlign w:val="center"/>
          </w:tcPr>
          <w:p>
            <w:pPr>
              <w:pStyle w:val="TableContents"/>
              <w:bidi w:val="0"/>
              <w:spacing w:before="0" w:after="283"/>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 xml:space="preserve">Proposal 2: </w:t>
            </w:r>
          </w:p>
        </w:tc>
        <w:tc>
          <w:tcPr>
            <w:tcW w:w="4937" w:type="dxa"/>
            <w:tcBorders>
              <w:bottom w:val="single" w:sz="8" w:space="0" w:color="000000"/>
            </w:tcBorders>
            <w:vAlign w:val="center"/>
          </w:tcPr>
          <w:p>
            <w:pPr>
              <w:pStyle w:val="TableContents"/>
              <w:bidi w:val="0"/>
              <w:spacing w:before="0" w:after="283"/>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Advisory Vote to Approve Executive Compensation</w:t>
            </w:r>
          </w:p>
        </w:tc>
        <w:tc>
          <w:tcPr>
            <w:tcW w:w="300" w:type="dxa"/>
            <w:tcBorders>
              <w:bottom w:val="single" w:sz="8" w:space="0" w:color="000000"/>
            </w:tcBorders>
            <w:vAlign w:val="center"/>
          </w:tcPr>
          <w:p>
            <w:pPr>
              <w:pStyle w:val="TableContents"/>
              <w:bidi w:val="0"/>
              <w:spacing w:before="0" w:after="283"/>
              <w:jc w:val="left"/>
              <w:rPr/>
            </w:pPr>
            <w:r>
              <w:rPr/>
              <w:t> </w:t>
            </w:r>
          </w:p>
        </w:tc>
        <w:tc>
          <w:tcPr>
            <w:tcW w:w="2465" w:type="dxa"/>
            <w:tcBorders>
              <w:bottom w:val="single" w:sz="8" w:space="0" w:color="000000"/>
            </w:tcBorders>
            <w:vAlign w:val="center"/>
          </w:tcPr>
          <w:p>
            <w:pPr>
              <w:pStyle w:val="TableContents"/>
              <w:bidi w:val="0"/>
              <w:spacing w:before="0" w:after="283"/>
              <w:jc w:val="left"/>
              <w:rPr>
                <w:rFonts w:ascii="Arial;Helvetica;Sans-Serif" w:hAnsi="Arial;Helvetica;Sans-Serif"/>
                <w:b/>
                <w:i w:val="false"/>
                <w:caps w:val="false"/>
                <w:smallCaps w:val="false"/>
                <w:color w:val="C12E33"/>
                <w:sz w:val="20"/>
              </w:rPr>
            </w:pPr>
            <w:r>
              <w:rPr>
                <w:rFonts w:ascii="Arial;Helvetica;Sans-Serif" w:hAnsi="Arial;Helvetica;Sans-Serif"/>
                <w:b/>
                <w:i w:val="false"/>
                <w:caps w:val="false"/>
                <w:smallCaps w:val="false"/>
                <w:color w:val="C12E33"/>
                <w:sz w:val="20"/>
              </w:rPr>
              <w:t>FOR</w:t>
            </w:r>
          </w:p>
        </w:tc>
        <w:tc>
          <w:tcPr>
            <w:tcW w:w="300" w:type="dxa"/>
            <w:tcBorders>
              <w:bottom w:val="single" w:sz="8" w:space="0" w:color="000000"/>
            </w:tcBorders>
            <w:vAlign w:val="center"/>
          </w:tcPr>
          <w:p>
            <w:pPr>
              <w:pStyle w:val="TableContents"/>
              <w:bidi w:val="0"/>
              <w:spacing w:before="0" w:after="283"/>
              <w:jc w:val="left"/>
              <w:rPr/>
            </w:pPr>
            <w:r>
              <w:rPr/>
              <w:t> </w:t>
            </w:r>
          </w:p>
        </w:tc>
        <w:tc>
          <w:tcPr>
            <w:tcW w:w="1056" w:type="dxa"/>
            <w:tcBorders>
              <w:bottom w:val="single" w:sz="8" w:space="0" w:color="000000"/>
            </w:tcBorders>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37-38</w:t>
            </w:r>
          </w:p>
        </w:tc>
      </w:tr>
      <w:tr>
        <w:trPr/>
        <w:tc>
          <w:tcPr>
            <w:tcW w:w="1147" w:type="dxa"/>
            <w:tcBorders>
              <w:bottom w:val="single" w:sz="12" w:space="0" w:color="636466"/>
            </w:tcBorders>
            <w:vAlign w:val="center"/>
          </w:tcPr>
          <w:p>
            <w:pPr>
              <w:pStyle w:val="TableContents"/>
              <w:bidi w:val="0"/>
              <w:spacing w:before="0" w:after="283"/>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 xml:space="preserve">Proposal 3: </w:t>
            </w:r>
          </w:p>
        </w:tc>
        <w:tc>
          <w:tcPr>
            <w:tcW w:w="4937" w:type="dxa"/>
            <w:tcBorders>
              <w:bottom w:val="single" w:sz="12" w:space="0" w:color="636466"/>
            </w:tcBorders>
            <w:vAlign w:val="center"/>
          </w:tcPr>
          <w:p>
            <w:pPr>
              <w:pStyle w:val="TableContents"/>
              <w:bidi w:val="0"/>
              <w:spacing w:before="0" w:after="283"/>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Appointment of PricewaterhouseCoopers LLP to Serve as Independent Auditor for 2026</w:t>
            </w:r>
          </w:p>
        </w:tc>
        <w:tc>
          <w:tcPr>
            <w:tcW w:w="300" w:type="dxa"/>
            <w:tcBorders>
              <w:bottom w:val="single" w:sz="12" w:space="0" w:color="636466"/>
            </w:tcBorders>
            <w:vAlign w:val="center"/>
          </w:tcPr>
          <w:p>
            <w:pPr>
              <w:pStyle w:val="TableContents"/>
              <w:bidi w:val="0"/>
              <w:spacing w:before="0" w:after="283"/>
              <w:jc w:val="left"/>
              <w:rPr/>
            </w:pPr>
            <w:r>
              <w:rPr/>
              <w:t> </w:t>
            </w:r>
          </w:p>
        </w:tc>
        <w:tc>
          <w:tcPr>
            <w:tcW w:w="2465" w:type="dxa"/>
            <w:tcBorders>
              <w:bottom w:val="single" w:sz="12" w:space="0" w:color="636466"/>
            </w:tcBorders>
            <w:vAlign w:val="center"/>
          </w:tcPr>
          <w:p>
            <w:pPr>
              <w:pStyle w:val="TableContents"/>
              <w:bidi w:val="0"/>
              <w:spacing w:before="0" w:after="283"/>
              <w:jc w:val="left"/>
              <w:rPr>
                <w:rFonts w:ascii="Arial;Helvetica;Sans-Serif" w:hAnsi="Arial;Helvetica;Sans-Serif"/>
                <w:b/>
                <w:i w:val="false"/>
                <w:caps w:val="false"/>
                <w:smallCaps w:val="false"/>
                <w:color w:val="C12E33"/>
                <w:sz w:val="20"/>
              </w:rPr>
            </w:pPr>
            <w:r>
              <w:rPr>
                <w:rFonts w:ascii="Arial;Helvetica;Sans-Serif" w:hAnsi="Arial;Helvetica;Sans-Serif"/>
                <w:b/>
                <w:i w:val="false"/>
                <w:caps w:val="false"/>
                <w:smallCaps w:val="false"/>
                <w:color w:val="C12E33"/>
                <w:sz w:val="20"/>
              </w:rPr>
              <w:t>FOR</w:t>
            </w:r>
          </w:p>
        </w:tc>
        <w:tc>
          <w:tcPr>
            <w:tcW w:w="300" w:type="dxa"/>
            <w:tcBorders>
              <w:bottom w:val="single" w:sz="12" w:space="0" w:color="636466"/>
            </w:tcBorders>
            <w:vAlign w:val="center"/>
          </w:tcPr>
          <w:p>
            <w:pPr>
              <w:pStyle w:val="TableContents"/>
              <w:bidi w:val="0"/>
              <w:spacing w:before="0" w:after="283"/>
              <w:jc w:val="left"/>
              <w:rPr/>
            </w:pPr>
            <w:r>
              <w:rPr/>
              <w:t> </w:t>
            </w:r>
          </w:p>
        </w:tc>
        <w:tc>
          <w:tcPr>
            <w:tcW w:w="1056" w:type="dxa"/>
            <w:tcBorders>
              <w:bottom w:val="single" w:sz="12" w:space="0" w:color="636466"/>
            </w:tcBorders>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88-89</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34"/>
        </w:rPr>
      </w:pPr>
      <w:r>
        <w:rPr>
          <w:rFonts w:ascii="Arial;Helvetica;Sans-Serif" w:hAnsi="Arial;Helvetica;Sans-Serif"/>
          <w:b/>
          <w:i w:val="false"/>
          <w:caps w:val="false"/>
          <w:smallCaps w:val="false"/>
          <w:sz w:val="34"/>
        </w:rPr>
        <w:t>2025 Performance Highlights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In 2025, we continued to build momentum across RTX, executing on our strategic priorities to support record demand in both the aerospace and defense markets, delivering on the needs of our customers and investing in manufacturing expansion and innovative technologies for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operational excellence and disciplined execution drove strong financial results in 2025, with robust top- and bottom-line growth across all three of our industry-leading business units—Collins Aerospace, Pratt &amp; Whitney and Raytheon. This performance was enabled through the continued maturity of our CORE operating system, which promotes consistent execution and operational productivity.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4"/>
        </w:rPr>
      </w:pPr>
      <w:r>
        <w:rPr>
          <w:rFonts w:ascii="Arial;Helvetica;Sans-Serif" w:hAnsi="Arial;Helvetica;Sans-Serif"/>
          <w:b w:val="false"/>
          <w:i w:val="false"/>
          <w:caps w:val="false"/>
          <w:smallCaps w:val="false"/>
          <w:sz w:val="20"/>
        </w:rPr>
        <w:t>In 2025, we achieved more than $138 billion in new bookings, increasing our year-over-year backlog by 23% to $268 billion. We exceeded the adjusted net sales, free cash flow (“FCF”) and adjusted earnings per share (“EPS”) goals we communicated to investors for the year and saw adjusted segment margin expansion and organic sales growth from each of our business units. We achieved $10.6 billion in cash flow from operating activities and $7.9 billion in FCF during the year.</w:t>
      </w:r>
      <w:r>
        <w:rPr>
          <w:rFonts w:ascii="Arial;Helvetica;Sans-Serif" w:hAnsi="Arial;Helvetica;Sans-Serif"/>
          <w:b w:val="false"/>
          <w:i w:val="false"/>
          <w:caps w:val="false"/>
          <w:smallCaps w:val="false"/>
          <w:position w:val="5"/>
          <w:sz w:val="12"/>
          <w:sz w:val="15"/>
        </w:rPr>
        <w:t>(1)</w:t>
      </w:r>
    </w:p>
    <w:p>
      <w:pPr>
        <w:pStyle w:val="TextBody"/>
        <w:bidi w:val="0"/>
        <w:spacing w:before="0" w:after="0"/>
        <w:ind w:left="0" w:right="0" w:hanging="0"/>
        <w:jc w:val="left"/>
        <w:rPr>
          <w:caps w:val="false"/>
          <w:smallCaps w:val="false"/>
        </w:rPr>
      </w:pPr>
      <w:r>
        <w:rPr>
          <w:caps w:val="false"/>
          <w:smallCaps w:val="false"/>
        </w:rPr>
        <w:t> </w:t>
      </w:r>
    </w:p>
    <w:tbl>
      <w:tblPr>
        <w:tblW w:w="8420" w:type="dxa"/>
        <w:jc w:val="left"/>
        <w:tblInd w:w="0" w:type="dxa"/>
        <w:tblLayout w:type="fixed"/>
        <w:tblCellMar>
          <w:top w:w="0" w:type="dxa"/>
          <w:left w:w="0" w:type="dxa"/>
          <w:bottom w:w="0" w:type="dxa"/>
          <w:right w:w="0" w:type="dxa"/>
        </w:tblCellMar>
      </w:tblPr>
      <w:tblGrid>
        <w:gridCol w:w="1745"/>
        <w:gridCol w:w="60"/>
        <w:gridCol w:w="2405"/>
        <w:gridCol w:w="60"/>
        <w:gridCol w:w="2315"/>
        <w:gridCol w:w="60"/>
        <w:gridCol w:w="1775"/>
      </w:tblGrid>
      <w:tr>
        <w:trPr/>
        <w:tc>
          <w:tcPr>
            <w:tcW w:w="4210" w:type="dxa"/>
            <w:gridSpan w:val="3"/>
            <w:tcBorders/>
            <w:vAlign w:val="center"/>
          </w:tcPr>
          <w:p>
            <w:pPr>
              <w:pStyle w:val="TableContents"/>
              <w:bidi w:val="0"/>
              <w:spacing w:before="0" w:after="283"/>
              <w:jc w:val="left"/>
              <w:rPr>
                <w:b/>
                <w:sz w:val="22"/>
              </w:rPr>
            </w:pPr>
            <w:r>
              <w:rPr>
                <w:b/>
                <w:sz w:val="22"/>
              </w:rPr>
              <w:t>2025 AT A GLANCE</w:t>
            </w:r>
          </w:p>
        </w:tc>
        <w:tc>
          <w:tcPr>
            <w:tcW w:w="60" w:type="dxa"/>
            <w:tcBorders/>
            <w:vAlign w:val="center"/>
          </w:tcPr>
          <w:p>
            <w:pPr>
              <w:pStyle w:val="TableContents"/>
              <w:bidi w:val="0"/>
              <w:spacing w:before="0" w:after="283"/>
              <w:jc w:val="left"/>
              <w:rPr/>
            </w:pPr>
            <w:r>
              <w:rPr/>
              <w:t> </w:t>
            </w:r>
          </w:p>
        </w:tc>
        <w:tc>
          <w:tcPr>
            <w:tcW w:w="23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left"/>
              <w:rPr/>
            </w:pPr>
            <w:r>
              <w:rPr/>
              <w:t> </w:t>
            </w:r>
          </w:p>
        </w:tc>
      </w:tr>
      <w:tr>
        <w:trPr/>
        <w:tc>
          <w:tcPr>
            <w:tcW w:w="17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left"/>
              <w:rPr/>
            </w:pPr>
            <w:r>
              <w:rPr/>
              <w:t> </w:t>
            </w:r>
          </w:p>
        </w:tc>
      </w:tr>
      <w:tr>
        <w:trPr/>
        <w:tc>
          <w:tcPr>
            <w:tcW w:w="1745" w:type="dxa"/>
            <w:tcBorders/>
            <w:vAlign w:val="center"/>
          </w:tcPr>
          <w:p>
            <w:pPr>
              <w:pStyle w:val="TableContents"/>
              <w:bidi w:val="0"/>
              <w:spacing w:before="0" w:after="283"/>
              <w:jc w:val="left"/>
              <w:rPr>
                <w:b/>
                <w:sz w:val="40"/>
              </w:rPr>
            </w:pPr>
            <w:r>
              <w:rPr>
                <w:b/>
                <w:sz w:val="40"/>
              </w:rPr>
              <w:t>1.56</w:t>
            </w:r>
          </w:p>
        </w:tc>
        <w:tc>
          <w:tcPr>
            <w:tcW w:w="60" w:type="dxa"/>
            <w:tcBorders/>
            <w:vAlign w:val="center"/>
          </w:tcPr>
          <w:p>
            <w:pPr>
              <w:pStyle w:val="TableContents"/>
              <w:bidi w:val="0"/>
              <w:spacing w:before="0" w:after="283"/>
              <w:jc w:val="left"/>
              <w:rPr/>
            </w:pPr>
            <w:r>
              <w:rPr/>
              <w:t> </w:t>
            </w:r>
          </w:p>
        </w:tc>
        <w:tc>
          <w:tcPr>
            <w:tcW w:w="2405" w:type="dxa"/>
            <w:tcBorders/>
            <w:vAlign w:val="center"/>
          </w:tcPr>
          <w:p>
            <w:pPr>
              <w:pStyle w:val="TableContents"/>
              <w:bidi w:val="0"/>
              <w:spacing w:before="0" w:after="283"/>
              <w:jc w:val="left"/>
              <w:rPr/>
            </w:pPr>
            <w:r>
              <w:rPr>
                <w:b/>
                <w:sz w:val="40"/>
              </w:rPr>
              <w:t>7.9%</w:t>
            </w:r>
            <w:r>
              <w:rPr/>
              <w:t> </w:t>
            </w:r>
            <w:r>
              <w:rPr>
                <w:b/>
                <w:sz w:val="30"/>
              </w:rPr>
              <w:t>increase</w:t>
            </w:r>
          </w:p>
        </w:tc>
        <w:tc>
          <w:tcPr>
            <w:tcW w:w="60" w:type="dxa"/>
            <w:tcBorders/>
            <w:vAlign w:val="center"/>
          </w:tcPr>
          <w:p>
            <w:pPr>
              <w:pStyle w:val="TableContents"/>
              <w:bidi w:val="0"/>
              <w:spacing w:before="0" w:after="283"/>
              <w:jc w:val="left"/>
              <w:rPr/>
            </w:pPr>
            <w:r>
              <w:rPr/>
              <w:t> </w:t>
            </w:r>
          </w:p>
        </w:tc>
        <w:tc>
          <w:tcPr>
            <w:tcW w:w="2315" w:type="dxa"/>
            <w:tcBorders/>
            <w:vAlign w:val="center"/>
          </w:tcPr>
          <w:p>
            <w:pPr>
              <w:pStyle w:val="TableContents"/>
              <w:bidi w:val="0"/>
              <w:spacing w:before="0" w:after="283"/>
              <w:jc w:val="left"/>
              <w:rPr/>
            </w:pPr>
            <w:r>
              <w:rPr>
                <w:b/>
                <w:sz w:val="40"/>
              </w:rPr>
              <w:t>$161</w:t>
            </w:r>
            <w:r>
              <w:rPr/>
              <w:t xml:space="preserve"> </w:t>
            </w:r>
            <w:r>
              <w:rPr>
                <w:b/>
                <w:sz w:val="30"/>
              </w:rPr>
              <w:t>billion</w:t>
            </w:r>
          </w:p>
        </w:tc>
        <w:tc>
          <w:tcPr>
            <w:tcW w:w="6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left"/>
              <w:rPr/>
            </w:pPr>
            <w:r>
              <w:rPr>
                <w:b/>
                <w:sz w:val="40"/>
              </w:rPr>
              <w:t>$107</w:t>
            </w:r>
            <w:r>
              <w:rPr/>
              <w:t xml:space="preserve"> </w:t>
            </w:r>
            <w:r>
              <w:rPr>
                <w:b/>
                <w:sz w:val="30"/>
              </w:rPr>
              <w:t>billion</w:t>
            </w:r>
          </w:p>
        </w:tc>
      </w:tr>
      <w:tr>
        <w:trPr/>
        <w:tc>
          <w:tcPr>
            <w:tcW w:w="1745" w:type="dxa"/>
            <w:tcBorders/>
            <w:vAlign w:val="center"/>
          </w:tcPr>
          <w:p>
            <w:pPr>
              <w:pStyle w:val="TableContents"/>
              <w:bidi w:val="0"/>
              <w:spacing w:before="0" w:after="283"/>
              <w:jc w:val="left"/>
              <w:rPr>
                <w:b/>
              </w:rPr>
            </w:pPr>
            <w:r>
              <w:rPr>
                <w:b/>
              </w:rPr>
              <w:t>book-to-bill ratio</w:t>
            </w:r>
          </w:p>
        </w:tc>
        <w:tc>
          <w:tcPr>
            <w:tcW w:w="60" w:type="dxa"/>
            <w:tcBorders/>
            <w:vAlign w:val="center"/>
          </w:tcPr>
          <w:p>
            <w:pPr>
              <w:pStyle w:val="TableContents"/>
              <w:bidi w:val="0"/>
              <w:spacing w:before="0" w:after="283"/>
              <w:jc w:val="left"/>
              <w:rPr/>
            </w:pPr>
            <w:r>
              <w:rPr/>
              <w:t> </w:t>
            </w:r>
          </w:p>
        </w:tc>
        <w:tc>
          <w:tcPr>
            <w:tcW w:w="2405" w:type="dxa"/>
            <w:tcBorders/>
            <w:vAlign w:val="center"/>
          </w:tcPr>
          <w:p>
            <w:pPr>
              <w:pStyle w:val="TableContents"/>
              <w:bidi w:val="0"/>
              <w:spacing w:before="0" w:after="283"/>
              <w:jc w:val="left"/>
              <w:rPr>
                <w:b/>
              </w:rPr>
            </w:pPr>
            <w:r>
              <w:rPr>
                <w:b/>
              </w:rPr>
              <w:t>in dividend per share</w:t>
            </w:r>
            <w:r>
              <w:rPr>
                <w:b/>
                <w:position w:val="8"/>
                <w:sz w:val="19"/>
              </w:rPr>
              <w:t>(2)</w:t>
            </w:r>
          </w:p>
        </w:tc>
        <w:tc>
          <w:tcPr>
            <w:tcW w:w="60" w:type="dxa"/>
            <w:tcBorders/>
            <w:vAlign w:val="center"/>
          </w:tcPr>
          <w:p>
            <w:pPr>
              <w:pStyle w:val="TableContents"/>
              <w:bidi w:val="0"/>
              <w:spacing w:before="0" w:after="283"/>
              <w:jc w:val="left"/>
              <w:rPr/>
            </w:pPr>
            <w:r>
              <w:rPr/>
              <w:t> </w:t>
            </w:r>
          </w:p>
        </w:tc>
        <w:tc>
          <w:tcPr>
            <w:tcW w:w="2315" w:type="dxa"/>
            <w:tcBorders/>
            <w:vAlign w:val="center"/>
          </w:tcPr>
          <w:p>
            <w:pPr>
              <w:pStyle w:val="TableContents"/>
              <w:bidi w:val="0"/>
              <w:spacing w:before="0" w:after="283"/>
              <w:jc w:val="left"/>
              <w:rPr>
                <w:b/>
              </w:rPr>
            </w:pPr>
            <w:r>
              <w:rPr>
                <w:b/>
              </w:rPr>
              <w:t xml:space="preserve">commercial aerospace </w:t>
              <w:br/>
              <w:t>backlog at year-end</w:t>
            </w:r>
          </w:p>
        </w:tc>
        <w:tc>
          <w:tcPr>
            <w:tcW w:w="6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left"/>
              <w:rPr>
                <w:b/>
              </w:rPr>
            </w:pPr>
            <w:r>
              <w:rPr>
                <w:b/>
              </w:rPr>
              <w:t xml:space="preserve">defense backlog </w:t>
              <w:br/>
              <w:t>at year-end</w:t>
            </w:r>
          </w:p>
        </w:tc>
      </w:tr>
      <w:tr>
        <w:trPr/>
        <w:tc>
          <w:tcPr>
            <w:tcW w:w="17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left"/>
              <w:rPr/>
            </w:pPr>
            <w:r>
              <w:rPr/>
              <w:t> </w:t>
            </w:r>
          </w:p>
        </w:tc>
      </w:tr>
    </w:tbl>
    <w:tbl>
      <w:tblPr>
        <w:tblW w:w="8595" w:type="dxa"/>
        <w:jc w:val="left"/>
        <w:tblInd w:w="0" w:type="dxa"/>
        <w:tblLayout w:type="fixed"/>
        <w:tblCellMar>
          <w:top w:w="0" w:type="dxa"/>
          <w:left w:w="0" w:type="dxa"/>
          <w:bottom w:w="0" w:type="dxa"/>
          <w:right w:w="0" w:type="dxa"/>
        </w:tblCellMar>
      </w:tblPr>
      <w:tblGrid>
        <w:gridCol w:w="2465"/>
        <w:gridCol w:w="60"/>
        <w:gridCol w:w="2135"/>
        <w:gridCol w:w="60"/>
        <w:gridCol w:w="3875"/>
      </w:tblGrid>
      <w:tr>
        <w:trPr/>
        <w:tc>
          <w:tcPr>
            <w:tcW w:w="2465" w:type="dxa"/>
            <w:tcBorders/>
            <w:vAlign w:val="center"/>
          </w:tcPr>
          <w:p>
            <w:pPr>
              <w:pStyle w:val="TableContents"/>
              <w:bidi w:val="0"/>
              <w:spacing w:before="0" w:after="283"/>
              <w:jc w:val="left"/>
              <w:rPr>
                <w:b/>
                <w:sz w:val="40"/>
              </w:rPr>
            </w:pPr>
            <w:r>
              <w:rPr>
                <w:b/>
                <w:sz w:val="40"/>
              </w:rPr>
              <w:t>61%</w:t>
            </w:r>
          </w:p>
        </w:tc>
        <w:tc>
          <w:tcPr>
            <w:tcW w:w="60" w:type="dxa"/>
            <w:tcBorders/>
            <w:vAlign w:val="center"/>
          </w:tcPr>
          <w:p>
            <w:pPr>
              <w:pStyle w:val="TableContents"/>
              <w:bidi w:val="0"/>
              <w:spacing w:before="0" w:after="283"/>
              <w:jc w:val="left"/>
              <w:rPr/>
            </w:pPr>
            <w:r>
              <w:rPr/>
              <w:t> </w:t>
            </w:r>
          </w:p>
        </w:tc>
        <w:tc>
          <w:tcPr>
            <w:tcW w:w="2135" w:type="dxa"/>
            <w:tcBorders/>
            <w:vAlign w:val="center"/>
          </w:tcPr>
          <w:p>
            <w:pPr>
              <w:pStyle w:val="TableContents"/>
              <w:bidi w:val="0"/>
              <w:spacing w:before="0" w:after="283"/>
              <w:jc w:val="left"/>
              <w:rPr/>
            </w:pPr>
            <w:r>
              <w:rPr>
                <w:b/>
                <w:sz w:val="40"/>
              </w:rPr>
              <w:t>$3.6</w:t>
            </w:r>
            <w:r>
              <w:rPr/>
              <w:t xml:space="preserve"> </w:t>
            </w:r>
            <w:r>
              <w:rPr>
                <w:b/>
                <w:sz w:val="30"/>
              </w:rPr>
              <w:t>billion</w:t>
            </w:r>
          </w:p>
        </w:tc>
        <w:tc>
          <w:tcPr>
            <w:tcW w:w="60" w:type="dxa"/>
            <w:tcBorders/>
            <w:vAlign w:val="center"/>
          </w:tcPr>
          <w:p>
            <w:pPr>
              <w:pStyle w:val="TableContents"/>
              <w:bidi w:val="0"/>
              <w:spacing w:before="0" w:after="283"/>
              <w:jc w:val="left"/>
              <w:rPr/>
            </w:pPr>
            <w:r>
              <w:rPr/>
              <w:t> </w:t>
            </w:r>
          </w:p>
        </w:tc>
        <w:tc>
          <w:tcPr>
            <w:tcW w:w="3875" w:type="dxa"/>
            <w:tcBorders/>
            <w:vAlign w:val="center"/>
          </w:tcPr>
          <w:p>
            <w:pPr>
              <w:pStyle w:val="TableContents"/>
              <w:bidi w:val="0"/>
              <w:spacing w:before="0" w:after="283"/>
              <w:jc w:val="left"/>
              <w:rPr/>
            </w:pPr>
            <w:r>
              <w:rPr>
                <w:b/>
                <w:sz w:val="40"/>
              </w:rPr>
              <w:t>89</w:t>
            </w:r>
            <w:r>
              <w:rPr>
                <w:b/>
                <w:position w:val="13"/>
                <w:sz w:val="32"/>
                <w:sz w:val="40"/>
              </w:rPr>
              <w:t>th</w:t>
            </w:r>
            <w:r>
              <w:rPr/>
              <w:t> </w:t>
            </w:r>
            <w:r>
              <w:rPr>
                <w:b/>
                <w:sz w:val="30"/>
              </w:rPr>
              <w:t>consecutive year</w:t>
            </w:r>
          </w:p>
        </w:tc>
      </w:tr>
      <w:tr>
        <w:trPr/>
        <w:tc>
          <w:tcPr>
            <w:tcW w:w="2465" w:type="dxa"/>
            <w:tcBorders/>
            <w:vAlign w:val="center"/>
          </w:tcPr>
          <w:p>
            <w:pPr>
              <w:pStyle w:val="TableContents"/>
              <w:bidi w:val="0"/>
              <w:spacing w:before="0" w:after="283"/>
              <w:jc w:val="left"/>
              <w:rPr>
                <w:b/>
              </w:rPr>
            </w:pPr>
            <w:r>
              <w:rPr>
                <w:b/>
              </w:rPr>
              <w:t>total shareowner return</w:t>
            </w:r>
          </w:p>
        </w:tc>
        <w:tc>
          <w:tcPr>
            <w:tcW w:w="60" w:type="dxa"/>
            <w:tcBorders/>
            <w:vAlign w:val="center"/>
          </w:tcPr>
          <w:p>
            <w:pPr>
              <w:pStyle w:val="TableContents"/>
              <w:bidi w:val="0"/>
              <w:spacing w:before="0" w:after="283"/>
              <w:jc w:val="left"/>
              <w:rPr/>
            </w:pPr>
            <w:r>
              <w:rPr/>
              <w:t> </w:t>
            </w:r>
          </w:p>
        </w:tc>
        <w:tc>
          <w:tcPr>
            <w:tcW w:w="2135" w:type="dxa"/>
            <w:tcBorders/>
            <w:vAlign w:val="center"/>
          </w:tcPr>
          <w:p>
            <w:pPr>
              <w:pStyle w:val="TableContents"/>
              <w:bidi w:val="0"/>
              <w:spacing w:before="0" w:after="283"/>
              <w:jc w:val="left"/>
              <w:rPr>
                <w:b/>
              </w:rPr>
            </w:pPr>
            <w:r>
              <w:rPr>
                <w:b/>
              </w:rPr>
              <w:t>returned to investors</w:t>
            </w:r>
          </w:p>
        </w:tc>
        <w:tc>
          <w:tcPr>
            <w:tcW w:w="60" w:type="dxa"/>
            <w:tcBorders/>
            <w:vAlign w:val="center"/>
          </w:tcPr>
          <w:p>
            <w:pPr>
              <w:pStyle w:val="TableContents"/>
              <w:bidi w:val="0"/>
              <w:spacing w:before="0" w:after="283"/>
              <w:jc w:val="left"/>
              <w:rPr/>
            </w:pPr>
            <w:r>
              <w:rPr/>
              <w:t> </w:t>
            </w:r>
          </w:p>
        </w:tc>
        <w:tc>
          <w:tcPr>
            <w:tcW w:w="3875" w:type="dxa"/>
            <w:tcBorders/>
            <w:vAlign w:val="center"/>
          </w:tcPr>
          <w:p>
            <w:pPr>
              <w:pStyle w:val="TableContents"/>
              <w:bidi w:val="0"/>
              <w:spacing w:before="0" w:after="283"/>
              <w:jc w:val="left"/>
              <w:rPr>
                <w:b/>
              </w:rPr>
            </w:pPr>
            <w:r>
              <w:rPr>
                <w:b/>
              </w:rPr>
              <w:t>paying a dividend to our shareowners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6"/>
        <w:gridCol w:w="9999"/>
      </w:tblGrid>
      <w:tr>
        <w:trPr/>
        <w:tc>
          <w:tcPr>
            <w:tcW w:w="206" w:type="dxa"/>
            <w:tcBorders/>
            <w:vAlign w:val="center"/>
          </w:tcPr>
          <w:p>
            <w:pPr>
              <w:pStyle w:val="TableContents"/>
              <w:bidi w:val="0"/>
              <w:spacing w:before="0" w:after="283"/>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(1)</w:t>
            </w:r>
          </w:p>
        </w:tc>
        <w:tc>
          <w:tcPr>
            <w:tcW w:w="9999" w:type="dxa"/>
            <w:tcBorders/>
            <w:vAlign w:val="center"/>
          </w:tcPr>
          <w:p>
            <w:pPr>
              <w:pStyle w:val="TableContents"/>
              <w:bidi w:val="0"/>
              <w:spacing w:before="0" w:after="283"/>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Adjusted net sales, FCF, adjusted EPS, adjusted segment margin and organic sales are non-GAAP financial measures. See Appendix A on pages 99-101 for more information.</w:t>
            </w:r>
          </w:p>
        </w:tc>
      </w:tr>
      <w:tr>
        <w:trPr/>
        <w:tc>
          <w:tcPr>
            <w:tcW w:w="206" w:type="dxa"/>
            <w:tcBorders/>
            <w:vAlign w:val="center"/>
          </w:tcPr>
          <w:p>
            <w:pPr>
              <w:pStyle w:val="TableContents"/>
              <w:bidi w:val="0"/>
              <w:spacing w:before="0" w:after="283"/>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(2)</w:t>
            </w:r>
          </w:p>
        </w:tc>
        <w:tc>
          <w:tcPr>
            <w:tcW w:w="9999" w:type="dxa"/>
            <w:tcBorders/>
            <w:vAlign w:val="center"/>
          </w:tcPr>
          <w:p>
            <w:pPr>
              <w:pStyle w:val="TableContents"/>
              <w:bidi w:val="0"/>
              <w:spacing w:before="0" w:after="283"/>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In the second quarter of 2025, we increased our quarterly dividend from $0.63 per share to $0.68 per share.</w:t>
            </w:r>
          </w:p>
        </w:tc>
      </w:tr>
    </w:tbl>
    <w:p>
      <w:pPr>
        <w:pStyle w:val="TextBody"/>
        <w:bidi w:val="0"/>
        <w:spacing w:before="200" w:after="283"/>
        <w:jc w:val="right"/>
        <w:rPr>
          <w:rFonts w:ascii="Arial;Helvetica;Sans-Serif" w:hAnsi="Arial;Helvetica;Sans-Serif"/>
          <w:sz w:val="15"/>
        </w:rPr>
      </w:pPr>
      <w:r>
        <w:rPr>
          <w:rFonts w:ascii="Arial;Helvetica;Sans-Serif" w:hAnsi="Arial;Helvetica;Sans-Serif"/>
          <w:b/>
          <w:sz w:val="15"/>
        </w:rPr>
        <w:t>RTX</w:t>
      </w:r>
      <w:r>
        <w:rPr>
          <w:rFonts w:ascii="Arial;Helvetica;Sans-Serif" w:hAnsi="Arial;Helvetica;Sans-Serif"/>
          <w:sz w:val="15"/>
        </w:rPr>
        <w:t xml:space="preserve"> 2026 PROXY STATEMENT    </w:t>
      </w:r>
      <w:r>
        <w:rPr>
          <w:rFonts w:ascii="Arial;Helvetica;Sans-Serif" w:hAnsi="Arial;Helvetica;Sans-Serif"/>
          <w:b/>
          <w:sz w:val="15"/>
        </w:rPr>
        <w:t>1</w:t>
      </w:r>
    </w:p>
    <w:p>
      <w:pPr>
        <w:pStyle w:val="HorizontalLine"/>
        <w:pBdr>
          <w:bottom w:val="double" w:sz="2" w:space="0" w:color="808080"/>
        </w:pBdr>
        <w:bidi w:val="0"/>
        <w:spacing w:before="0" w:after="283"/>
        <w:jc w:val="left"/>
        <w:rPr/>
      </w:pPr>
      <w:r>
        <w:rPr/>
      </w:r>
    </w:p>
    <w:p>
      <w:pPr>
        <w:pStyle w:val="TextBody"/>
        <w:bidi w:val="0"/>
        <w:spacing w:before="200" w:after="200"/>
        <w:jc w:val="left"/>
        <w:rPr/>
      </w:pPr>
      <w:hyperlink w:anchor="toc">
        <w:r>
          <w:rPr>
            <w:rStyle w:val="InternetLink"/>
            <w:rFonts w:ascii="Arial;Helvetica;Sans-Serif" w:hAnsi="Arial;Helvetica;Sans-Serif"/>
            <w:b/>
            <w:i w:val="false"/>
            <w:caps w:val="false"/>
            <w:smallCaps w:val="false"/>
            <w:sz w:val="16"/>
          </w:rPr>
          <w:t>Table of Contents</w:t>
        </w:r>
      </w:hyperlink>
    </w:p>
    <w:p>
      <w:pPr>
        <w:pStyle w:val="TextBody"/>
        <w:bidi w:val="0"/>
        <w:jc w:val="left"/>
        <w:rPr>
          <w:shd w:fill="B2B2B0" w:val="clear"/>
        </w:rPr>
      </w:pPr>
      <w:r>
        <w:rPr>
          <w:rFonts w:ascii="Arial;Helvetica;Sans-Serif" w:hAnsi="Arial;Helvetica;Sans-Serif"/>
          <w:b/>
          <w:i w:val="false"/>
          <w:caps w:val="false"/>
          <w:smallCaps w:val="false"/>
          <w:color w:val="FFFFFF"/>
          <w:sz w:val="15"/>
          <w:shd w:fill="B2B2B0" w:val="clear"/>
        </w:rPr>
        <w:t>PROXY SUMMARY</w:t>
      </w:r>
      <w:r>
        <w:rPr>
          <w:color w:val="FFFFFF"/>
          <w:shd w:fill="B2B2B0" w:val="clear"/>
        </w:rPr>
        <w:br/>
      </w:r>
      <w:r>
        <w:rPr>
          <w:rFonts w:ascii="Arial;Helvetica;Sans-Serif" w:hAnsi="Arial;Helvetica;Sans-Serif"/>
          <w:b w:val="false"/>
          <w:i w:val="false"/>
          <w:caps w:val="false"/>
          <w:smallCaps w:val="false"/>
          <w:color w:val="FFFFFF"/>
          <w:sz w:val="15"/>
          <w:shd w:fill="B2B2B0" w:val="clear"/>
        </w:rPr>
        <w:t>2025 PERFORMANCE HIGHLIGHTS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faced ongoing supplier challenges and tariff-related pressures in 2025, but mitigated these headwinds through focused delivery on our customer commitments, cost discipline and increased enterprise-wide productivity. At the same time, we increased our dividend per share during the year by 7.9% and ended the year with a 61% total shareowner return (“TSR”), outpacing the S&amp;P 500 Index’s 18% TSR.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2025 FINANCIAL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The strength of our people and the breadth of our business enabled us to deliver strong financial results in 2025.</w:t>
      </w:r>
    </w:p>
    <w:p>
      <w:pPr>
        <w:pStyle w:val="TextBody"/>
        <w:bidi w:val="0"/>
        <w:spacing w:before="0" w:after="0"/>
        <w:ind w:left="0" w:right="0" w:hanging="0"/>
        <w:jc w:val="left"/>
        <w:rPr>
          <w:caps w:val="false"/>
          <w:smallCaps w:val="false"/>
        </w:rPr>
      </w:pPr>
      <w:r>
        <w:rPr>
          <w:caps w:val="false"/>
          <w:smallCaps w:val="false"/>
        </w:rPr>
        <w:t> </w:t>
      </w:r>
    </w:p>
    <w:tbl>
      <w:tblPr>
        <w:tblW w:w="11715" w:type="dxa"/>
        <w:jc w:val="left"/>
        <w:tblInd w:w="0" w:type="dxa"/>
        <w:tblLayout w:type="fixed"/>
        <w:tblCellMar>
          <w:top w:w="0" w:type="dxa"/>
          <w:left w:w="0" w:type="dxa"/>
          <w:bottom w:w="0" w:type="dxa"/>
          <w:right w:w="0" w:type="dxa"/>
        </w:tblCellMar>
      </w:tblPr>
      <w:tblGrid>
        <w:gridCol w:w="5520"/>
        <w:gridCol w:w="300"/>
        <w:gridCol w:w="5895"/>
      </w:tblGrid>
      <w:tr>
        <w:trPr/>
        <w:tc>
          <w:tcPr>
            <w:tcW w:w="5520" w:type="dxa"/>
            <w:tcBorders/>
            <w:vAlign w:val="center"/>
          </w:tcPr>
          <w:p>
            <w:pPr>
              <w:pStyle w:val="TableContents"/>
              <w:bidi w:val="0"/>
              <w:spacing w:before="0" w:after="283"/>
              <w:jc w:val="left"/>
              <w:rPr/>
            </w:pPr>
            <w:r>
              <w:rPr>
                <w:b/>
                <w:color w:val="C12E33"/>
              </w:rPr>
              <w:t>DILUTED EARNINGS PER SHARE</w:t>
            </w:r>
            <w:r>
              <w:rPr/>
              <w:br/>
            </w:r>
            <w:r>
              <w:rPr>
                <w:sz w:val="15"/>
              </w:rPr>
              <w:t>($ per share)</w:t>
            </w:r>
          </w:p>
        </w:tc>
        <w:tc>
          <w:tcPr>
            <w:tcW w:w="300" w:type="dxa"/>
            <w:tcBorders/>
            <w:vAlign w:val="center"/>
          </w:tcPr>
          <w:p>
            <w:pPr>
              <w:pStyle w:val="TableContents"/>
              <w:bidi w:val="0"/>
              <w:spacing w:before="0" w:after="283"/>
              <w:jc w:val="left"/>
              <w:rPr/>
            </w:pPr>
            <w:r>
              <w:rPr/>
              <w:t>     </w:t>
            </w:r>
          </w:p>
        </w:tc>
        <w:tc>
          <w:tcPr>
            <w:tcW w:w="5895" w:type="dxa"/>
            <w:tcBorders/>
            <w:vAlign w:val="center"/>
          </w:tcPr>
          <w:p>
            <w:pPr>
              <w:pStyle w:val="TableContents"/>
              <w:bidi w:val="0"/>
              <w:spacing w:before="0" w:after="283"/>
              <w:jc w:val="left"/>
              <w:rPr/>
            </w:pPr>
            <w:r>
              <w:rPr>
                <w:b/>
                <w:color w:val="C12E33"/>
              </w:rPr>
              <w:t>CASH FLOW</w:t>
            </w:r>
            <w:r>
              <w:rPr/>
              <w:br/>
            </w:r>
            <w:r>
              <w:rPr>
                <w:sz w:val="15"/>
              </w:rPr>
              <w:t>(in billions)</w:t>
            </w:r>
          </w:p>
        </w:tc>
      </w:tr>
      <w:tr>
        <w:trPr/>
        <w:tc>
          <w:tcPr>
            <w:tcW w:w="5520"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283"/>
              <w:jc w:val="left"/>
              <w:rPr/>
            </w:pPr>
            <w:r>
              <w:rPr/>
              <w:t> </w:t>
            </w:r>
          </w:p>
        </w:tc>
        <w:tc>
          <w:tcPr>
            <w:tcW w:w="5895" w:type="dxa"/>
            <w:tcBorders/>
            <w:vAlign w:val="center"/>
          </w:tcPr>
          <w:p>
            <w:pPr>
              <w:pStyle w:val="TableContents"/>
              <w:bidi w:val="0"/>
              <w:spacing w:before="0" w:after="283"/>
              <w:jc w:val="left"/>
              <w:rPr/>
            </w:pPr>
            <w:r>
              <w:rPr/>
              <w:t> </w:t>
            </w:r>
          </w:p>
        </w:tc>
      </w:tr>
      <w:tr>
        <w:trPr/>
        <w:tc>
          <w:tcPr>
            <w:tcW w:w="5520" w:type="dxa"/>
            <w:tcBorders/>
            <w:vAlign w:val="center"/>
          </w:tcPr>
          <w:p>
            <w:pPr>
              <w:pStyle w:val="TableContents"/>
              <w:bidi w:val="0"/>
              <w:spacing w:before="0" w:after="283"/>
              <w:jc w:val="left"/>
              <w:rPr/>
            </w:pPr>
            <w:r>
              <w:rPr/>
              <w:drawing>
                <wp:inline distT="0" distB="0" distL="0" distR="0">
                  <wp:extent cx="3495675" cy="765175"/>
                  <wp:effectExtent l="0" t="0" r="0" b="0"/>
                  <wp:docPr id="24"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6" descr=""/>
                          <pic:cNvPicPr>
                            <a:picLocks noChangeAspect="1" noChangeArrowheads="1"/>
                          </pic:cNvPicPr>
                        </pic:nvPicPr>
                        <pic:blipFill>
                          <a:blip r:embed="rId21"/>
                          <a:stretch>
                            <a:fillRect/>
                          </a:stretch>
                        </pic:blipFill>
                        <pic:spPr bwMode="auto">
                          <a:xfrm>
                            <a:off x="0" y="0"/>
                            <a:ext cx="3495675" cy="765175"/>
                          </a:xfrm>
                          <a:prstGeom prst="rect">
                            <a:avLst/>
                          </a:prstGeom>
                        </pic:spPr>
                      </pic:pic>
                    </a:graphicData>
                  </a:graphic>
                </wp:inline>
              </w:drawing>
            </w:r>
          </w:p>
        </w:tc>
        <w:tc>
          <w:tcPr>
            <w:tcW w:w="300" w:type="dxa"/>
            <w:tcBorders/>
            <w:vAlign w:val="center"/>
          </w:tcPr>
          <w:p>
            <w:pPr>
              <w:pStyle w:val="TableContents"/>
              <w:bidi w:val="0"/>
              <w:spacing w:before="0" w:after="283"/>
              <w:jc w:val="left"/>
              <w:rPr/>
            </w:pPr>
            <w:r>
              <w:rPr/>
              <w:t> </w:t>
            </w:r>
          </w:p>
        </w:tc>
        <w:tc>
          <w:tcPr>
            <w:tcW w:w="5895" w:type="dxa"/>
            <w:tcBorders/>
            <w:vAlign w:val="center"/>
          </w:tcPr>
          <w:p>
            <w:pPr>
              <w:pStyle w:val="TableContents"/>
              <w:bidi w:val="0"/>
              <w:spacing w:before="0" w:after="283"/>
              <w:jc w:val="left"/>
              <w:rPr/>
            </w:pPr>
            <w:r>
              <w:rPr/>
              <w:drawing>
                <wp:inline distT="0" distB="0" distL="0" distR="0">
                  <wp:extent cx="3457575" cy="765175"/>
                  <wp:effectExtent l="0" t="0" r="0" b="0"/>
                  <wp:docPr id="25"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7" descr=""/>
                          <pic:cNvPicPr>
                            <a:picLocks noChangeAspect="1" noChangeArrowheads="1"/>
                          </pic:cNvPicPr>
                        </pic:nvPicPr>
                        <pic:blipFill>
                          <a:blip r:embed="rId22"/>
                          <a:stretch>
                            <a:fillRect/>
                          </a:stretch>
                        </pic:blipFill>
                        <pic:spPr bwMode="auto">
                          <a:xfrm>
                            <a:off x="0" y="0"/>
                            <a:ext cx="3457575" cy="765175"/>
                          </a:xfrm>
                          <a:prstGeom prst="rect">
                            <a:avLst/>
                          </a:prstGeom>
                        </pic:spPr>
                      </pic:pic>
                    </a:graphicData>
                  </a:graphic>
                </wp:inline>
              </w:drawing>
            </w:r>
          </w:p>
        </w:tc>
      </w:tr>
      <w:tr>
        <w:trPr/>
        <w:tc>
          <w:tcPr>
            <w:tcW w:w="5520"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283"/>
              <w:jc w:val="left"/>
              <w:rPr/>
            </w:pPr>
            <w:r>
              <w:rPr/>
              <w:t> </w:t>
            </w:r>
          </w:p>
        </w:tc>
        <w:tc>
          <w:tcPr>
            <w:tcW w:w="5895" w:type="dxa"/>
            <w:tcBorders/>
            <w:vAlign w:val="center"/>
          </w:tcPr>
          <w:p>
            <w:pPr>
              <w:pStyle w:val="TableContents"/>
              <w:bidi w:val="0"/>
              <w:spacing w:before="0" w:after="283"/>
              <w:jc w:val="left"/>
              <w:rPr/>
            </w:pPr>
            <w:r>
              <w:rPr/>
              <w:t> </w:t>
            </w:r>
          </w:p>
        </w:tc>
      </w:tr>
      <w:tr>
        <w:trPr/>
        <w:tc>
          <w:tcPr>
            <w:tcW w:w="5520" w:type="dxa"/>
            <w:tcBorders/>
            <w:vAlign w:val="center"/>
          </w:tcPr>
          <w:p>
            <w:pPr>
              <w:pStyle w:val="TableContents"/>
              <w:bidi w:val="0"/>
              <w:spacing w:before="0" w:after="283"/>
              <w:jc w:val="left"/>
              <w:rPr/>
            </w:pPr>
            <w:r>
              <w:rPr>
                <w:b/>
                <w:color w:val="C12E33"/>
              </w:rPr>
              <w:t>NET INCOME</w:t>
            </w:r>
            <w:r>
              <w:rPr/>
              <w:br/>
            </w:r>
            <w:r>
              <w:rPr>
                <w:sz w:val="15"/>
              </w:rPr>
              <w:t>(in billions)</w:t>
            </w:r>
          </w:p>
        </w:tc>
        <w:tc>
          <w:tcPr>
            <w:tcW w:w="300" w:type="dxa"/>
            <w:tcBorders/>
            <w:vAlign w:val="center"/>
          </w:tcPr>
          <w:p>
            <w:pPr>
              <w:pStyle w:val="TableContents"/>
              <w:bidi w:val="0"/>
              <w:spacing w:before="0" w:after="283"/>
              <w:jc w:val="left"/>
              <w:rPr/>
            </w:pPr>
            <w:r>
              <w:rPr/>
              <w:t> </w:t>
            </w:r>
          </w:p>
        </w:tc>
        <w:tc>
          <w:tcPr>
            <w:tcW w:w="5895" w:type="dxa"/>
            <w:tcBorders/>
            <w:vAlign w:val="center"/>
          </w:tcPr>
          <w:p>
            <w:pPr>
              <w:pStyle w:val="TableContents"/>
              <w:bidi w:val="0"/>
              <w:spacing w:before="0" w:after="283"/>
              <w:jc w:val="left"/>
              <w:rPr/>
            </w:pPr>
            <w:r>
              <w:rPr>
                <w:b/>
                <w:color w:val="C12E33"/>
              </w:rPr>
              <w:t>NET SALES</w:t>
            </w:r>
            <w:r>
              <w:rPr/>
              <w:br/>
            </w:r>
            <w:r>
              <w:rPr>
                <w:sz w:val="15"/>
              </w:rPr>
              <w:t>(in billions)</w:t>
            </w:r>
          </w:p>
        </w:tc>
      </w:tr>
      <w:tr>
        <w:trPr/>
        <w:tc>
          <w:tcPr>
            <w:tcW w:w="5520"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283"/>
              <w:jc w:val="left"/>
              <w:rPr/>
            </w:pPr>
            <w:r>
              <w:rPr/>
              <w:t> </w:t>
            </w:r>
          </w:p>
        </w:tc>
        <w:tc>
          <w:tcPr>
            <w:tcW w:w="5895" w:type="dxa"/>
            <w:tcBorders/>
            <w:vAlign w:val="center"/>
          </w:tcPr>
          <w:p>
            <w:pPr>
              <w:pStyle w:val="TableContents"/>
              <w:bidi w:val="0"/>
              <w:spacing w:before="0" w:after="283"/>
              <w:jc w:val="left"/>
              <w:rPr/>
            </w:pPr>
            <w:r>
              <w:rPr/>
              <w:t> </w:t>
            </w:r>
          </w:p>
        </w:tc>
      </w:tr>
      <w:tr>
        <w:trPr/>
        <w:tc>
          <w:tcPr>
            <w:tcW w:w="5520" w:type="dxa"/>
            <w:tcBorders/>
            <w:vAlign w:val="center"/>
          </w:tcPr>
          <w:p>
            <w:pPr>
              <w:pStyle w:val="TableContents"/>
              <w:bidi w:val="0"/>
              <w:spacing w:before="0" w:after="283"/>
              <w:jc w:val="left"/>
              <w:rPr/>
            </w:pPr>
            <w:r>
              <w:rPr/>
              <w:drawing>
                <wp:inline distT="0" distB="0" distL="0" distR="0">
                  <wp:extent cx="3371850" cy="1021080"/>
                  <wp:effectExtent l="0" t="0" r="0" b="0"/>
                  <wp:docPr id="26"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8" descr=""/>
                          <pic:cNvPicPr>
                            <a:picLocks noChangeAspect="1" noChangeArrowheads="1"/>
                          </pic:cNvPicPr>
                        </pic:nvPicPr>
                        <pic:blipFill>
                          <a:blip r:embed="rId23"/>
                          <a:stretch>
                            <a:fillRect/>
                          </a:stretch>
                        </pic:blipFill>
                        <pic:spPr bwMode="auto">
                          <a:xfrm>
                            <a:off x="0" y="0"/>
                            <a:ext cx="3371850" cy="1021080"/>
                          </a:xfrm>
                          <a:prstGeom prst="rect">
                            <a:avLst/>
                          </a:prstGeom>
                        </pic:spPr>
                      </pic:pic>
                    </a:graphicData>
                  </a:graphic>
                </wp:inline>
              </w:drawing>
            </w:r>
          </w:p>
        </w:tc>
        <w:tc>
          <w:tcPr>
            <w:tcW w:w="300" w:type="dxa"/>
            <w:tcBorders/>
            <w:vAlign w:val="center"/>
          </w:tcPr>
          <w:p>
            <w:pPr>
              <w:pStyle w:val="TableContents"/>
              <w:bidi w:val="0"/>
              <w:spacing w:before="0" w:after="283"/>
              <w:jc w:val="left"/>
              <w:rPr/>
            </w:pPr>
            <w:r>
              <w:rPr/>
              <w:t> </w:t>
            </w:r>
          </w:p>
        </w:tc>
        <w:tc>
          <w:tcPr>
            <w:tcW w:w="5895" w:type="dxa"/>
            <w:tcBorders/>
            <w:vAlign w:val="center"/>
          </w:tcPr>
          <w:p>
            <w:pPr>
              <w:pStyle w:val="TableContents"/>
              <w:bidi w:val="0"/>
              <w:spacing w:before="0" w:after="283"/>
              <w:jc w:val="left"/>
              <w:rPr/>
            </w:pPr>
            <w:r>
              <w:rPr/>
              <w:drawing>
                <wp:inline distT="0" distB="0" distL="0" distR="0">
                  <wp:extent cx="3733800" cy="1021080"/>
                  <wp:effectExtent l="0" t="0" r="0" b="0"/>
                  <wp:docPr id="27"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9" descr=""/>
                          <pic:cNvPicPr>
                            <a:picLocks noChangeAspect="1" noChangeArrowheads="1"/>
                          </pic:cNvPicPr>
                        </pic:nvPicPr>
                        <pic:blipFill>
                          <a:blip r:embed="rId24"/>
                          <a:stretch>
                            <a:fillRect/>
                          </a:stretch>
                        </pic:blipFill>
                        <pic:spPr bwMode="auto">
                          <a:xfrm>
                            <a:off x="0" y="0"/>
                            <a:ext cx="3733800" cy="1021080"/>
                          </a:xfrm>
                          <a:prstGeom prst="rect">
                            <a:avLst/>
                          </a:prstGeom>
                        </pic:spPr>
                      </pic:pic>
                    </a:graphicData>
                  </a:graphic>
                </wp:inline>
              </w:drawing>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vAlign w:val="center"/>
          </w:tcPr>
          <w:p>
            <w:pPr>
              <w:pStyle w:val="TableContents"/>
              <w:bidi w:val="0"/>
              <w:spacing w:before="0" w:after="283"/>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(1)</w:t>
            </w:r>
          </w:p>
        </w:tc>
        <w:tc>
          <w:tcPr>
            <w:tcW w:w="9994" w:type="dxa"/>
            <w:tcBorders/>
            <w:vAlign w:val="center"/>
          </w:tcPr>
          <w:p>
            <w:pPr>
              <w:pStyle w:val="TableContents"/>
              <w:bidi w:val="0"/>
              <w:spacing w:before="0" w:after="283"/>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Adjusted EPS, FCF, adjusted net income and adjusted net sales are non-GAAP financial measures. See Appendix A on pages 99-101 for more information.</w:t>
            </w:r>
          </w:p>
        </w:tc>
      </w:tr>
    </w:tbl>
    <w:p>
      <w:pPr>
        <w:pStyle w:val="TextBody"/>
        <w:bidi w:val="0"/>
        <w:jc w:val="left"/>
        <w:rPr>
          <w:caps w:val="false"/>
          <w:smallCaps w:val="false"/>
        </w:rPr>
      </w:pPr>
      <w:r>
        <w:rPr>
          <w:caps w:val="false"/>
          <w:smallCaps w:val="false"/>
        </w:rPr>
        <w:t> </w:t>
      </w:r>
    </w:p>
    <w:tbl>
      <w:tblPr>
        <w:tblW w:w="8675" w:type="dxa"/>
        <w:jc w:val="left"/>
        <w:tblInd w:w="0" w:type="dxa"/>
        <w:tblLayout w:type="fixed"/>
        <w:tblCellMar>
          <w:top w:w="0" w:type="dxa"/>
          <w:left w:w="0" w:type="dxa"/>
          <w:bottom w:w="0" w:type="dxa"/>
          <w:right w:w="0" w:type="dxa"/>
        </w:tblCellMar>
      </w:tblPr>
      <w:tblGrid>
        <w:gridCol w:w="8615"/>
        <w:gridCol w:w="60"/>
      </w:tblGrid>
      <w:tr>
        <w:trPr/>
        <w:tc>
          <w:tcPr>
            <w:tcW w:w="8615" w:type="dxa"/>
            <w:tcBorders/>
            <w:vAlign w:val="center"/>
          </w:tcPr>
          <w:p>
            <w:pPr>
              <w:pStyle w:val="TableContents"/>
              <w:bidi w:val="0"/>
              <w:spacing w:before="0" w:after="283"/>
              <w:jc w:val="right"/>
              <w:rPr/>
            </w:pPr>
            <w:r>
              <w:rPr/>
              <w:t>With record backlog, durable demand and momentum across all three of our businesses,</w:t>
              <w:br/>
              <w:t xml:space="preserve">RTX remains well positioned to drive long-term growth in organic sales, earnings and free </w:t>
              <w:br/>
              <w:t>cash flow—creating sustainable value for our shareowners</w:t>
            </w:r>
          </w:p>
        </w:tc>
        <w:tc>
          <w:tcPr>
            <w:tcW w:w="60" w:type="dxa"/>
            <w:tcBorders>
              <w:right w:val="single" w:sz="2" w:space="0" w:color="C12E33"/>
            </w:tcBorders>
            <w:tcMar>
              <w:right w:w="28" w:type="dxa"/>
            </w:tcMar>
            <w:vAlign w:val="center"/>
          </w:tcPr>
          <w:p>
            <w:pPr>
              <w:pStyle w:val="TableContents"/>
              <w:bidi w:val="0"/>
              <w:spacing w:before="0" w:after="283"/>
              <w:jc w:val="left"/>
              <w:rPr/>
            </w:pPr>
            <w:r>
              <w:rPr/>
              <w:t> </w:t>
            </w:r>
          </w:p>
        </w:tc>
      </w:tr>
    </w:tbl>
    <w:p>
      <w:pPr>
        <w:pStyle w:val="TextBody"/>
        <w:bidi w:val="0"/>
        <w:spacing w:before="200" w:after="283"/>
        <w:ind w:left="0" w:right="0" w:hanging="0"/>
        <w:jc w:val="left"/>
        <w:rPr/>
      </w:pPr>
      <w:r>
        <w:rPr>
          <w:rFonts w:ascii="Arial;Helvetica;Sans-Serif" w:hAnsi="Arial;Helvetica;Sans-Serif"/>
          <w:b/>
          <w:color w:val="000000"/>
          <w:sz w:val="15"/>
        </w:rPr>
        <w:t>2</w:t>
      </w:r>
      <w:r>
        <w:rPr>
          <w:rFonts w:ascii="Arial;Helvetica;Sans-Serif" w:hAnsi="Arial;Helvetica;Sans-Serif"/>
          <w:color w:val="000000"/>
          <w:sz w:val="15"/>
        </w:rPr>
        <w:t>    </w:t>
      </w:r>
      <w:r>
        <w:rPr>
          <w:rFonts w:ascii="Arial;Helvetica;Sans-Serif" w:hAnsi="Arial;Helvetica;Sans-Serif"/>
          <w:b/>
          <w:sz w:val="15"/>
        </w:rPr>
        <w:t>RTX</w:t>
      </w:r>
      <w:r>
        <w:rPr>
          <w:rFonts w:ascii="Arial;Helvetica;Sans-Serif" w:hAnsi="Arial;Helvetica;Sans-Serif"/>
          <w:sz w:val="15"/>
        </w:rPr>
        <w:t xml:space="preserve"> 2026 PROXY STATEMENT</w:t>
      </w:r>
    </w:p>
    <w:p>
      <w:pPr>
        <w:pStyle w:val="HorizontalLine"/>
        <w:pBdr>
          <w:bottom w:val="double" w:sz="2" w:space="0" w:color="808080"/>
        </w:pBdr>
        <w:bidi w:val="0"/>
        <w:spacing w:before="0" w:after="283"/>
        <w:jc w:val="left"/>
        <w:rPr/>
      </w:pPr>
      <w:r>
        <w:rPr/>
      </w:r>
    </w:p>
    <w:p>
      <w:pPr>
        <w:pStyle w:val="TextBody"/>
        <w:bidi w:val="0"/>
        <w:spacing w:before="200" w:after="200"/>
        <w:jc w:val="left"/>
        <w:rPr/>
      </w:pPr>
      <w:hyperlink w:anchor="toc">
        <w:r>
          <w:rPr>
            <w:rStyle w:val="InternetLink"/>
            <w:rFonts w:ascii="Arial;Helvetica;Sans-Serif" w:hAnsi="Arial;Helvetica;Sans-Serif"/>
            <w:b/>
            <w:i w:val="false"/>
            <w:caps w:val="false"/>
            <w:smallCaps w:val="false"/>
            <w:sz w:val="16"/>
          </w:rPr>
          <w:t>Table of Contents</w:t>
        </w:r>
      </w:hyperlink>
    </w:p>
    <w:p>
      <w:pPr>
        <w:pStyle w:val="TextBody"/>
        <w:bidi w:val="0"/>
        <w:jc w:val="right"/>
        <w:rPr>
          <w:shd w:fill="B2B2B0" w:val="clear"/>
        </w:rPr>
      </w:pPr>
      <w:r>
        <w:rPr>
          <w:rFonts w:ascii="Arial;Helvetica;Sans-Serif" w:hAnsi="Arial;Helvetica;Sans-Serif"/>
          <w:b/>
          <w:i w:val="false"/>
          <w:caps w:val="false"/>
          <w:smallCaps w:val="false"/>
          <w:color w:val="FFFFFF"/>
          <w:sz w:val="15"/>
          <w:shd w:fill="B2B2B0" w:val="clear"/>
        </w:rPr>
        <w:t>PROXY SUMMARY</w:t>
      </w:r>
      <w:r>
        <w:rPr>
          <w:color w:val="FFFFFF"/>
          <w:shd w:fill="B2B2B0" w:val="clear"/>
        </w:rPr>
        <w:br/>
      </w:r>
      <w:r>
        <w:rPr>
          <w:rFonts w:ascii="Arial;Helvetica;Sans-Serif" w:hAnsi="Arial;Helvetica;Sans-Serif"/>
          <w:b w:val="false"/>
          <w:i w:val="false"/>
          <w:caps w:val="false"/>
          <w:smallCaps w:val="false"/>
          <w:color w:val="FFFFFF"/>
          <w:sz w:val="15"/>
          <w:shd w:fill="B2B2B0" w:val="clear"/>
        </w:rPr>
        <w:t>2025 PERFORMANCE HIGHLIGHTS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PROGRESS ON OUR KEY STRATEGIC PRIORITIES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2025 was defined by execution of our key strategic priorities, positioning RTX for sustained long-term value creation.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0"/>
          <w:bdr w:val="single" w:sz="2" w:space="1" w:color="C12E33"/>
        </w:rPr>
      </w:pPr>
      <w:r>
        <w:rPr>
          <w:rFonts w:ascii="Arial;Helvetica;Sans-Serif" w:hAnsi="Arial;Helvetica;Sans-Serif"/>
          <w:b/>
          <w:i w:val="false"/>
          <w:caps w:val="false"/>
          <w:smallCaps w:val="false"/>
          <w:sz w:val="20"/>
          <w:bdr w:val="single" w:sz="2" w:space="1" w:color="C12E33"/>
        </w:rPr>
        <w:t>Executing on our customer commitments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With our record $268 billion backlog, demand for our products and services continued to shape our operating environment in 2025. To support this growth, we invested over $2.6 billion in capital expenditures, which included expanding our manufacturing capacity and delivering measurable efficiency gains across our portfolio. For example: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Site capacity at Raytheon’s Redstone Missile Integration Facility in Huntsville, Alabama, increased by 50%.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Raytheon designed, developed and tested a new ground-launched demonstrator StormBreaker variant in 50 days, delivering critical new technologies to our customers.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Collins Aerospace increased production rates across commercial platforms.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PW1100G-JM engine Maintenance, Repair &amp; Overall (“MRO”) output saw 26% improvement year-over year.</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Raytheon significantly increased output on Patriot GEM-T and Coyote effectors, and doubled year-over-year production of the Advanced Medium-Range Air-to-Air Missile (“AMRAAM”).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0"/>
          <w:bdr w:val="single" w:sz="2" w:space="1" w:color="C12E33"/>
        </w:rPr>
      </w:pPr>
      <w:r>
        <w:rPr>
          <w:rFonts w:ascii="Arial;Helvetica;Sans-Serif" w:hAnsi="Arial;Helvetica;Sans-Serif"/>
          <w:b/>
          <w:i w:val="false"/>
          <w:caps w:val="false"/>
          <w:smallCaps w:val="false"/>
          <w:sz w:val="20"/>
          <w:bdr w:val="single" w:sz="2" w:space="1" w:color="C12E33"/>
        </w:rPr>
        <w:t>Innovating for future growth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strive to shape the future of flight and to solve our customer’s toughest problems through continuous innovation and transformative technologies. To rise to this challenge in 2025, we deployed $7.7 billion in Company- and customer-funded research and development, and successfully achieved significant technical milestones and substantive advancements across our portfolio. Examples include: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Transitioning the Lower Tier Air and Missile Defense Sensor (“LTAMDS”) program from prototype to production within five years.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Increasing investment in Pratt &amp; Whitney’s hybrid-electric propulsion technologies, which were selected by the European Union’s Clean Aviation program for the design and integration of a hybrid-electric propulsion demonstrator for regional aircraft. The system, which integrates a 250-kilowatt electric motor and advanced propeller technology from Collins Aerospace, is targeting 20% fuel efficiency gains.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Achieving Federal Aviation Administration (“FAA”) and European Aviation Safety Agency (“EASA”) engine certification for the Geared Turbofan (“GTF”) Advantage engine.</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Partnering with non-traditional aerospace &amp; defense (“A&amp;D”) companies to integrate Artificial Intelligence “AI”-based capabilities into select products.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0"/>
          <w:bdr w:val="single" w:sz="2" w:space="1" w:color="C12E33"/>
        </w:rPr>
      </w:pPr>
      <w:r>
        <w:rPr>
          <w:rFonts w:ascii="Arial;Helvetica;Sans-Serif" w:hAnsi="Arial;Helvetica;Sans-Serif"/>
          <w:b/>
          <w:i w:val="false"/>
          <w:caps w:val="false"/>
          <w:smallCaps w:val="false"/>
          <w:sz w:val="20"/>
          <w:bdr w:val="single" w:sz="2" w:space="1" w:color="C12E33"/>
        </w:rPr>
        <w:t>Leveraging our breadth and scale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remain focused on strategically leveraging the breadth and scale of our business segments to drive superior performance. To this end, we continue to implement programs aimed at increasing enterprise-wide productivity, optimizing our cost structure and fostering deeper organizational collaboration to sustain long-term value creation. More specifically:</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Through our investments in an integrated digital infrastructure, which includes connected systems, factories and products, we are converting asset data into actionable intelligence that enables more agile strategic decision-making and drives significant operational efficiencies and sustained innovation.</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Through continued centralization of our supply chain sourcing practices, we contained net product inflation to outperform financial expectations and achieve net product savings.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expanded both commercial and defense manufacturing capacity.</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continued to implement our proprietary data analytics and AI platform that connects our enterprise systems, manufacturing facilities and product data to enable more efficient operations and smarter decision-making.</w:t>
            </w:r>
          </w:p>
        </w:tc>
      </w:tr>
    </w:tbl>
    <w:p>
      <w:pPr>
        <w:pStyle w:val="TextBody"/>
        <w:bidi w:val="0"/>
        <w:spacing w:before="200" w:after="283"/>
        <w:jc w:val="right"/>
        <w:rPr/>
      </w:pPr>
      <w:r>
        <w:rPr>
          <w:rFonts w:ascii="Arial;Helvetica;Sans-Serif" w:hAnsi="Arial;Helvetica;Sans-Serif"/>
          <w:b/>
          <w:sz w:val="15"/>
        </w:rPr>
        <w:t>RTX</w:t>
      </w:r>
      <w:r>
        <w:rPr/>
        <w:t xml:space="preserve"> </w:t>
      </w:r>
      <w:r>
        <w:rPr>
          <w:rFonts w:ascii="Arial;Helvetica;Sans-Serif" w:hAnsi="Arial;Helvetica;Sans-Serif"/>
          <w:sz w:val="15"/>
        </w:rPr>
        <w:t>2026 PROXY STATEMENT    </w:t>
      </w:r>
      <w:r>
        <w:rPr>
          <w:rFonts w:ascii="Arial;Helvetica;Sans-Serif" w:hAnsi="Arial;Helvetica;Sans-Serif"/>
          <w:b/>
          <w:sz w:val="15"/>
        </w:rPr>
        <w:t>3</w:t>
      </w:r>
    </w:p>
    <w:p>
      <w:pPr>
        <w:pStyle w:val="HorizontalLine"/>
        <w:pBdr>
          <w:bottom w:val="double" w:sz="2" w:space="0" w:color="808080"/>
        </w:pBdr>
        <w:bidi w:val="0"/>
        <w:spacing w:before="0" w:after="283"/>
        <w:jc w:val="left"/>
        <w:rPr/>
      </w:pPr>
      <w:r>
        <w:rPr/>
      </w:r>
    </w:p>
    <w:p>
      <w:pPr>
        <w:pStyle w:val="TextBody"/>
        <w:bidi w:val="0"/>
        <w:spacing w:before="200" w:after="200"/>
        <w:jc w:val="left"/>
        <w:rPr/>
      </w:pPr>
      <w:hyperlink w:anchor="toc">
        <w:r>
          <w:rPr>
            <w:rStyle w:val="InternetLink"/>
            <w:rFonts w:ascii="Arial;Helvetica;Sans-Serif" w:hAnsi="Arial;Helvetica;Sans-Serif"/>
            <w:b/>
            <w:i w:val="false"/>
            <w:caps w:val="false"/>
            <w:smallCaps w:val="false"/>
            <w:sz w:val="16"/>
          </w:rPr>
          <w:t>Table of Contents</w:t>
        </w:r>
      </w:hyperlink>
    </w:p>
    <w:p>
      <w:pPr>
        <w:pStyle w:val="TextBody"/>
        <w:bidi w:val="0"/>
        <w:jc w:val="left"/>
        <w:rPr>
          <w:shd w:fill="B2B2B0" w:val="clear"/>
        </w:rPr>
      </w:pPr>
      <w:r>
        <w:rPr>
          <w:rFonts w:ascii="Arial;Helvetica;Sans-Serif" w:hAnsi="Arial;Helvetica;Sans-Serif"/>
          <w:b/>
          <w:i w:val="false"/>
          <w:caps w:val="false"/>
          <w:smallCaps w:val="false"/>
          <w:color w:val="FFFFFF"/>
          <w:sz w:val="15"/>
          <w:shd w:fill="B2B2B0" w:val="clear"/>
        </w:rPr>
        <w:t>PROXY SUMMARY</w:t>
      </w:r>
      <w:r>
        <w:rPr>
          <w:color w:val="FFFFFF"/>
          <w:shd w:fill="B2B2B0" w:val="clear"/>
        </w:rPr>
        <w:br/>
      </w:r>
      <w:r>
        <w:rPr>
          <w:rFonts w:ascii="Arial;Helvetica;Sans-Serif" w:hAnsi="Arial;Helvetica;Sans-Serif"/>
          <w:b w:val="false"/>
          <w:i w:val="false"/>
          <w:caps w:val="false"/>
          <w:smallCaps w:val="false"/>
          <w:color w:val="FFFFFF"/>
          <w:sz w:val="15"/>
          <w:shd w:fill="B2B2B0" w:val="clear"/>
        </w:rPr>
        <w:t>EXECUTIVE COMPENSATION 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rFonts w:ascii="Arial;Helvetica;Sans-Serif" w:hAnsi="Arial;Helvetica;Sans-Serif"/>
          <w:b/>
          <w:i w:val="false"/>
          <w:caps w:val="false"/>
          <w:smallCaps w:val="false"/>
          <w:sz w:val="34"/>
        </w:rPr>
      </w:pPr>
      <w:r>
        <w:rPr>
          <w:rFonts w:ascii="Arial;Helvetica;Sans-Serif" w:hAnsi="Arial;Helvetica;Sans-Serif"/>
          <w:b/>
          <w:i w:val="false"/>
          <w:caps w:val="false"/>
          <w:smallCaps w:val="false"/>
          <w:sz w:val="34"/>
        </w:rPr>
        <w:t>Executive Compensation Overview</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HOW WE ALIGN PAY WITH PERFORMANCE</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Our executive compensation program is structured to advance our fundamental objective: aligning our executives’ compensation with the long-term interests of our shareowners.</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primary goal of the Human Capital &amp; Compensation Committee (the “HCC Committee”) is to design programs that reward financial and operating performance and motivate effective strategic leadership—key elements in building sustainable shareowner value. This pay-for-performance philosophy is embedded in our Guiding Principles (see page 42), which underpin the HCC Committee’s approach to program design.</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How does our executive compensation program align pay with performance?</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pPr>
            <w:r>
              <w:rPr>
                <w:b/>
              </w:rPr>
              <w:t xml:space="preserve">Performance Metrics. </w:t>
            </w:r>
            <w:r>
              <w:rPr/>
              <w:t>We use metrics that are designed to recognize and reward executive actions and decisions that drive long-term strategy, maximize performance and deliver results for our shareowners and customers.</w:t>
            </w:r>
          </w:p>
        </w:tc>
      </w:tr>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pPr>
            <w:r>
              <w:rPr/>
              <w:t>“</w:t>
            </w:r>
            <w:r>
              <w:rPr>
                <w:b/>
              </w:rPr>
              <w:t xml:space="preserve">At-Risk” Compensation. </w:t>
            </w:r>
            <w:r>
              <w:rPr/>
              <w:t>The largest portion of compensation for our Named Executive Officers (“NEOs”) is “at-risk” compensation—annual and long-term incentive (“LTI”) awards that are contingent upon Company performance in our key metrics (see page 5) and our stock price performance.</w:t>
            </w:r>
          </w:p>
        </w:tc>
      </w:tr>
    </w:tbl>
    <w:p>
      <w:pPr>
        <w:pStyle w:val="TextBody"/>
        <w:bidi w:val="0"/>
        <w:jc w:val="left"/>
        <w:rPr>
          <w:caps w:val="false"/>
          <w:smallCaps w:val="false"/>
          <w:color w:val="C12E33"/>
        </w:rPr>
      </w:pPr>
      <w:r>
        <w:rPr>
          <w:caps w:val="false"/>
          <w:smallCaps w:val="false"/>
          <w:color w:val="C12E33"/>
        </w:rPr>
        <w:t> </w:t>
      </w:r>
    </w:p>
    <w:p>
      <w:pPr>
        <w:pStyle w:val="TextBody"/>
        <w:bidi w:val="0"/>
        <w:jc w:val="left"/>
        <w:rPr>
          <w:rFonts w:ascii="Arial;Helvetica;Sans-Serif" w:hAnsi="Arial;Helvetica;Sans-Serif"/>
          <w:b/>
          <w:i w:val="false"/>
          <w:caps w:val="false"/>
          <w:smallCaps w:val="false"/>
          <w:color w:val="C12E33"/>
          <w:sz w:val="20"/>
        </w:rPr>
      </w:pPr>
      <w:r>
        <w:rPr>
          <w:rFonts w:ascii="Arial;Helvetica;Sans-Serif" w:hAnsi="Arial;Helvetica;Sans-Serif"/>
          <w:b/>
          <w:i w:val="false"/>
          <w:caps w:val="false"/>
          <w:smallCaps w:val="false"/>
          <w:color w:val="C12E33"/>
          <w:sz w:val="20"/>
        </w:rPr>
        <w:t>2025 Pay Decisions</w:t>
      </w:r>
    </w:p>
    <w:p>
      <w:pPr>
        <w:pStyle w:val="TextBody"/>
        <w:bidi w:val="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 making annual pay decisions, the HCC Committee focuses primarily on “total direct compensation,” which includes our three principal elements of executive compensation: base salary, annual incentives and LTI. Total direct compensation is set each year to reflect the HCC Committee’s assessment of Company, business unit and individual performance. 2025 total direct compensation for each NEO includes 2025 base salary, 2025 annual incentives paid in the first quarter of 2026 and the LTI grant values approved by the HCC Committee in February 2026, which were based on its assessment of 2025 performance and the competitive market pay for each NEO’s role. The February 2025 LTI award grant date fair values (accounting values at the time of grant) shown in the Summary Compensation Table on page 64 reflect the HCC Committee’s assessment of 2024 performance and the competitive market pay for each NEO’s role at the time of grant. 2025 LTI is, therefore, excluded from 2025 total direct compensation. Total direct compensation, as presented below, also uses year-end salary levels and does not reflect any salary changes that occurred during the year, as the Summary Compensation Table does. For more details on our principal elements of compensation, see pages 47-51, and on total direct compensation, see page 53.</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table below shows 2025 total direct compensation for our NEOs, as described above.</w:t>
      </w:r>
    </w:p>
    <w:p>
      <w:pPr>
        <w:pStyle w:val="TextBody"/>
        <w:bidi w:val="0"/>
        <w:jc w:val="left"/>
        <w:rPr>
          <w:caps w:val="false"/>
          <w:smallCaps w:val="false"/>
          <w:color w:val="C12E33"/>
        </w:rPr>
      </w:pPr>
      <w:r>
        <w:rPr>
          <w:caps w:val="false"/>
          <w:smallCaps w:val="false"/>
          <w:color w:val="C12E33"/>
        </w:rPr>
        <w:t> </w:t>
      </w:r>
    </w:p>
    <w:p>
      <w:pPr>
        <w:pStyle w:val="TextBody"/>
        <w:bidi w:val="0"/>
        <w:jc w:val="left"/>
        <w:rPr>
          <w:rFonts w:ascii="Arial;Helvetica;Sans-Serif" w:hAnsi="Arial;Helvetica;Sans-Serif"/>
          <w:b/>
          <w:i w:val="false"/>
          <w:caps w:val="false"/>
          <w:smallCaps w:val="false"/>
          <w:color w:val="C12E33"/>
          <w:sz w:val="20"/>
        </w:rPr>
      </w:pPr>
      <w:r>
        <w:rPr>
          <w:rFonts w:ascii="Arial;Helvetica;Sans-Serif" w:hAnsi="Arial;Helvetica;Sans-Serif"/>
          <w:b/>
          <w:i w:val="false"/>
          <w:caps w:val="false"/>
          <w:smallCaps w:val="false"/>
          <w:color w:val="C12E33"/>
          <w:sz w:val="20"/>
        </w:rPr>
        <w:t>2025 PAY DECISIONS AND PAY MIX</w:t>
      </w:r>
    </w:p>
    <w:p>
      <w:pPr>
        <w:pStyle w:val="TextBody"/>
        <w:bidi w:val="0"/>
        <w:jc w:val="left"/>
        <w:rPr>
          <w:caps w:val="false"/>
          <w:smallCaps w:val="false"/>
          <w:color w:val="C12E33"/>
        </w:rPr>
      </w:pPr>
      <w:r>
        <w:rPr>
          <w:caps w:val="false"/>
          <w:smallCaps w:val="false"/>
          <w:color w:val="C12E33"/>
        </w:rPr>
        <w:t> </w:t>
      </w:r>
    </w:p>
    <w:tbl>
      <w:tblPr>
        <w:tblW w:w="10205" w:type="dxa"/>
        <w:jc w:val="left"/>
        <w:tblInd w:w="0" w:type="dxa"/>
        <w:tblLayout w:type="fixed"/>
        <w:tblCellMar>
          <w:top w:w="0" w:type="dxa"/>
          <w:left w:w="0" w:type="dxa"/>
          <w:bottom w:w="40" w:type="dxa"/>
          <w:right w:w="0" w:type="dxa"/>
        </w:tblCellMar>
      </w:tblPr>
      <w:tblGrid>
        <w:gridCol w:w="1327"/>
        <w:gridCol w:w="360"/>
        <w:gridCol w:w="1640"/>
        <w:gridCol w:w="1970"/>
        <w:gridCol w:w="965"/>
        <w:gridCol w:w="775"/>
        <w:gridCol w:w="300"/>
        <w:gridCol w:w="1057"/>
        <w:gridCol w:w="300"/>
        <w:gridCol w:w="605"/>
        <w:gridCol w:w="300"/>
        <w:gridCol w:w="606"/>
      </w:tblGrid>
      <w:tr>
        <w:trPr/>
        <w:tc>
          <w:tcPr>
            <w:tcW w:w="1327" w:type="dxa"/>
            <w:tcBorders>
              <w:bottom w:val="single" w:sz="12" w:space="0" w:color="000000"/>
            </w:tcBorders>
            <w:vAlign w:val="center"/>
          </w:tcPr>
          <w:p>
            <w:pPr>
              <w:pStyle w:val="TableContents"/>
              <w:bidi w:val="0"/>
              <w:spacing w:before="0" w:after="283"/>
              <w:jc w:val="left"/>
              <w:rPr/>
            </w:pPr>
            <w:r>
              <w:rPr/>
              <w:t> </w:t>
            </w:r>
          </w:p>
        </w:tc>
        <w:tc>
          <w:tcPr>
            <w:tcW w:w="360" w:type="dxa"/>
            <w:tcBorders>
              <w:bottom w:val="single" w:sz="12" w:space="0" w:color="000000"/>
            </w:tcBorders>
            <w:vAlign w:val="center"/>
          </w:tcPr>
          <w:p>
            <w:pPr>
              <w:pStyle w:val="TableContents"/>
              <w:bidi w:val="0"/>
              <w:spacing w:before="0" w:after="283"/>
              <w:jc w:val="right"/>
              <w:rPr/>
            </w:pPr>
            <w:r>
              <w:rPr/>
              <w:t>      </w:t>
            </w:r>
          </w:p>
        </w:tc>
        <w:tc>
          <w:tcPr>
            <w:tcW w:w="1640" w:type="dxa"/>
            <w:tcBorders>
              <w:bottom w:val="single" w:sz="12" w:space="0" w:color="000000"/>
            </w:tcBorders>
            <w:vAlign w:val="center"/>
          </w:tcPr>
          <w:p>
            <w:pPr>
              <w:pStyle w:val="TableContents"/>
              <w:bidi w:val="0"/>
              <w:spacing w:before="0" w:after="283"/>
              <w:jc w:val="left"/>
              <w:rPr/>
            </w:pPr>
            <w:r>
              <w:rPr/>
              <w:drawing>
                <wp:inline distT="0" distB="0" distL="0" distR="0">
                  <wp:extent cx="95250" cy="95250"/>
                  <wp:effectExtent l="0" t="0" r="0" b="0"/>
                  <wp:docPr id="28"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0" descr=""/>
                          <pic:cNvPicPr>
                            <a:picLocks noChangeAspect="1" noChangeArrowheads="1"/>
                          </pic:cNvPicPr>
                        </pic:nvPicPr>
                        <pic:blipFill>
                          <a:blip r:embed="rId25"/>
                          <a:stretch>
                            <a:fillRect/>
                          </a:stretch>
                        </pic:blipFill>
                        <pic:spPr bwMode="auto">
                          <a:xfrm>
                            <a:off x="0" y="0"/>
                            <a:ext cx="95250" cy="95250"/>
                          </a:xfrm>
                          <a:prstGeom prst="rect">
                            <a:avLst/>
                          </a:prstGeom>
                        </pic:spPr>
                      </pic:pic>
                    </a:graphicData>
                  </a:graphic>
                </wp:inline>
              </w:drawing>
            </w:r>
            <w:r>
              <w:rPr/>
              <w:t>  </w:t>
            </w:r>
            <w:r>
              <w:rPr>
                <w:rFonts w:ascii="Arial;Helvetica;Sans-Serif" w:hAnsi="Arial;Helvetica;Sans-Serif"/>
                <w:b/>
                <w:sz w:val="15"/>
              </w:rPr>
              <w:t>Base Salary          </w:t>
            </w:r>
          </w:p>
        </w:tc>
        <w:tc>
          <w:tcPr>
            <w:tcW w:w="1970" w:type="dxa"/>
            <w:tcBorders>
              <w:bottom w:val="single" w:sz="12" w:space="0" w:color="000000"/>
            </w:tcBorders>
            <w:vAlign w:val="center"/>
          </w:tcPr>
          <w:p>
            <w:pPr>
              <w:pStyle w:val="TableContents"/>
              <w:bidi w:val="0"/>
              <w:spacing w:before="0" w:after="283"/>
              <w:jc w:val="left"/>
              <w:rPr/>
            </w:pPr>
            <w:r>
              <w:rPr/>
              <w:drawing>
                <wp:inline distT="0" distB="0" distL="0" distR="0">
                  <wp:extent cx="95250" cy="95250"/>
                  <wp:effectExtent l="0" t="0" r="0" b="0"/>
                  <wp:docPr id="29"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1" descr=""/>
                          <pic:cNvPicPr>
                            <a:picLocks noChangeAspect="1" noChangeArrowheads="1"/>
                          </pic:cNvPicPr>
                        </pic:nvPicPr>
                        <pic:blipFill>
                          <a:blip r:embed="rId26"/>
                          <a:stretch>
                            <a:fillRect/>
                          </a:stretch>
                        </pic:blipFill>
                        <pic:spPr bwMode="auto">
                          <a:xfrm>
                            <a:off x="0" y="0"/>
                            <a:ext cx="95250" cy="95250"/>
                          </a:xfrm>
                          <a:prstGeom prst="rect">
                            <a:avLst/>
                          </a:prstGeom>
                        </pic:spPr>
                      </pic:pic>
                    </a:graphicData>
                  </a:graphic>
                </wp:inline>
              </w:drawing>
            </w:r>
            <w:r>
              <w:rPr/>
              <w:t>  </w:t>
            </w:r>
            <w:r>
              <w:rPr>
                <w:rFonts w:ascii="Arial;Helvetica;Sans-Serif" w:hAnsi="Arial;Helvetica;Sans-Serif"/>
                <w:b/>
                <w:sz w:val="15"/>
              </w:rPr>
              <w:t>Annual Incentive          </w:t>
            </w:r>
          </w:p>
        </w:tc>
        <w:tc>
          <w:tcPr>
            <w:tcW w:w="965" w:type="dxa"/>
            <w:tcBorders>
              <w:bottom w:val="single" w:sz="12" w:space="0" w:color="000000"/>
            </w:tcBorders>
            <w:vAlign w:val="center"/>
          </w:tcPr>
          <w:p>
            <w:pPr>
              <w:pStyle w:val="TableContents"/>
              <w:bidi w:val="0"/>
              <w:spacing w:before="0" w:after="283"/>
              <w:jc w:val="left"/>
              <w:rPr/>
            </w:pPr>
            <w:r>
              <w:rPr/>
              <w:drawing>
                <wp:inline distT="0" distB="0" distL="0" distR="0">
                  <wp:extent cx="95250" cy="95250"/>
                  <wp:effectExtent l="0" t="0" r="0" b="0"/>
                  <wp:docPr id="30"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2" descr=""/>
                          <pic:cNvPicPr>
                            <a:picLocks noChangeAspect="1" noChangeArrowheads="1"/>
                          </pic:cNvPicPr>
                        </pic:nvPicPr>
                        <pic:blipFill>
                          <a:blip r:embed="rId27"/>
                          <a:stretch>
                            <a:fillRect/>
                          </a:stretch>
                        </pic:blipFill>
                        <pic:spPr bwMode="auto">
                          <a:xfrm>
                            <a:off x="0" y="0"/>
                            <a:ext cx="95250" cy="95250"/>
                          </a:xfrm>
                          <a:prstGeom prst="rect">
                            <a:avLst/>
                          </a:prstGeom>
                        </pic:spPr>
                      </pic:pic>
                    </a:graphicData>
                  </a:graphic>
                </wp:inline>
              </w:drawing>
            </w:r>
            <w:r>
              <w:rPr/>
              <w:t>  </w:t>
            </w:r>
            <w:r>
              <w:rPr>
                <w:rFonts w:ascii="Arial;Helvetica;Sans-Serif" w:hAnsi="Arial;Helvetica;Sans-Serif"/>
                <w:b/>
                <w:sz w:val="15"/>
              </w:rPr>
              <w:t>LTI          </w:t>
            </w:r>
          </w:p>
        </w:tc>
        <w:tc>
          <w:tcPr>
            <w:tcW w:w="775" w:type="dxa"/>
            <w:tcBorders>
              <w:bottom w:val="single" w:sz="12" w:space="0" w:color="000000"/>
            </w:tcBorders>
            <w:vAlign w:val="center"/>
          </w:tcPr>
          <w:p>
            <w:pPr>
              <w:pStyle w:val="TableContents"/>
              <w:bidi w:val="0"/>
              <w:spacing w:before="0" w:after="283"/>
              <w:jc w:val="right"/>
              <w:rPr/>
            </w:pPr>
            <w:r>
              <w:rPr>
                <w:rFonts w:ascii="Arial;Helvetica;Sans-Serif" w:hAnsi="Arial;Helvetica;Sans-Serif"/>
                <w:color w:val="636466"/>
                <w:sz w:val="15"/>
              </w:rPr>
              <w:t>Base Salary</w:t>
            </w:r>
            <w:r>
              <w:rPr>
                <w:rFonts w:ascii="Arial;Helvetica;Sans-Serif" w:hAnsi="Arial;Helvetica;Sans-Serif"/>
                <w:sz w:val="15"/>
              </w:rPr>
              <w:br/>
            </w:r>
            <w:r>
              <w:rPr>
                <w:rFonts w:ascii="Arial;Helvetica;Sans-Serif" w:hAnsi="Arial;Helvetica;Sans-Serif"/>
                <w:color w:val="636466"/>
                <w:sz w:val="15"/>
              </w:rPr>
              <w:t>($K)</w:t>
            </w:r>
          </w:p>
        </w:tc>
        <w:tc>
          <w:tcPr>
            <w:tcW w:w="300" w:type="dxa"/>
            <w:tcBorders>
              <w:bottom w:val="single" w:sz="12" w:space="0" w:color="000000"/>
            </w:tcBorders>
            <w:vAlign w:val="center"/>
          </w:tcPr>
          <w:p>
            <w:pPr>
              <w:pStyle w:val="TableContents"/>
              <w:bidi w:val="0"/>
              <w:spacing w:before="0" w:after="283"/>
              <w:jc w:val="right"/>
              <w:rPr/>
            </w:pPr>
            <w:r>
              <w:rPr/>
              <w:t>     </w:t>
            </w:r>
          </w:p>
        </w:tc>
        <w:tc>
          <w:tcPr>
            <w:tcW w:w="1057" w:type="dxa"/>
            <w:tcBorders>
              <w:bottom w:val="single" w:sz="12" w:space="0" w:color="000000"/>
            </w:tcBorders>
            <w:vAlign w:val="center"/>
          </w:tcPr>
          <w:p>
            <w:pPr>
              <w:pStyle w:val="TableContents"/>
              <w:bidi w:val="0"/>
              <w:spacing w:before="0" w:after="283"/>
              <w:jc w:val="right"/>
              <w:rPr/>
            </w:pPr>
            <w:r>
              <w:rPr>
                <w:rFonts w:ascii="Arial;Helvetica;Sans-Serif" w:hAnsi="Arial;Helvetica;Sans-Serif"/>
                <w:color w:val="636466"/>
                <w:sz w:val="15"/>
              </w:rPr>
              <w:t>Annual Incentive</w:t>
            </w:r>
            <w:r>
              <w:rPr>
                <w:rFonts w:ascii="Arial;Helvetica;Sans-Serif" w:hAnsi="Arial;Helvetica;Sans-Serif"/>
                <w:sz w:val="15"/>
              </w:rPr>
              <w:br/>
            </w:r>
            <w:r>
              <w:rPr>
                <w:rFonts w:ascii="Arial;Helvetica;Sans-Serif" w:hAnsi="Arial;Helvetica;Sans-Serif"/>
                <w:color w:val="636466"/>
                <w:sz w:val="15"/>
              </w:rPr>
              <w:t>($K)</w:t>
            </w:r>
          </w:p>
        </w:tc>
        <w:tc>
          <w:tcPr>
            <w:tcW w:w="300" w:type="dxa"/>
            <w:tcBorders>
              <w:bottom w:val="single" w:sz="12" w:space="0" w:color="000000"/>
            </w:tcBorders>
            <w:vAlign w:val="center"/>
          </w:tcPr>
          <w:p>
            <w:pPr>
              <w:pStyle w:val="TableContents"/>
              <w:bidi w:val="0"/>
              <w:spacing w:before="0" w:after="283"/>
              <w:jc w:val="right"/>
              <w:rPr/>
            </w:pPr>
            <w:r>
              <w:rPr/>
              <w:t>     </w:t>
            </w:r>
          </w:p>
        </w:tc>
        <w:tc>
          <w:tcPr>
            <w:tcW w:w="605" w:type="dxa"/>
            <w:tcBorders>
              <w:bottom w:val="single" w:sz="12" w:space="0" w:color="000000"/>
            </w:tcBorders>
            <w:vAlign w:val="center"/>
          </w:tcPr>
          <w:p>
            <w:pPr>
              <w:pStyle w:val="TableContents"/>
              <w:bidi w:val="0"/>
              <w:spacing w:before="0" w:after="283"/>
              <w:jc w:val="right"/>
              <w:rPr/>
            </w:pPr>
            <w:r>
              <w:rPr>
                <w:rFonts w:ascii="Arial;Helvetica;Sans-Serif" w:hAnsi="Arial;Helvetica;Sans-Serif"/>
                <w:color w:val="636466"/>
                <w:sz w:val="15"/>
              </w:rPr>
              <w:t>LTI</w:t>
            </w:r>
            <w:r>
              <w:rPr>
                <w:rFonts w:ascii="Arial;Helvetica;Sans-Serif" w:hAnsi="Arial;Helvetica;Sans-Serif"/>
                <w:sz w:val="15"/>
              </w:rPr>
              <w:br/>
            </w:r>
            <w:r>
              <w:rPr>
                <w:rFonts w:ascii="Arial;Helvetica;Sans-Serif" w:hAnsi="Arial;Helvetica;Sans-Serif"/>
                <w:color w:val="636466"/>
                <w:sz w:val="15"/>
              </w:rPr>
              <w:t>($K)</w:t>
            </w:r>
            <w:r>
              <w:rPr>
                <w:rFonts w:ascii="Arial;Helvetica;Sans-Serif" w:hAnsi="Arial;Helvetica;Sans-Serif"/>
                <w:color w:val="636466"/>
                <w:position w:val="5"/>
                <w:sz w:val="12"/>
                <w:sz w:val="15"/>
              </w:rPr>
              <w:t>(1)</w:t>
            </w:r>
          </w:p>
        </w:tc>
        <w:tc>
          <w:tcPr>
            <w:tcW w:w="300" w:type="dxa"/>
            <w:tcBorders>
              <w:bottom w:val="single" w:sz="12" w:space="0" w:color="000000"/>
            </w:tcBorders>
            <w:vAlign w:val="center"/>
          </w:tcPr>
          <w:p>
            <w:pPr>
              <w:pStyle w:val="TableContents"/>
              <w:bidi w:val="0"/>
              <w:spacing w:before="0" w:after="283"/>
              <w:jc w:val="right"/>
              <w:rPr/>
            </w:pPr>
            <w:r>
              <w:rPr/>
              <w:t>     </w:t>
            </w:r>
          </w:p>
        </w:tc>
        <w:tc>
          <w:tcPr>
            <w:tcW w:w="606" w:type="dxa"/>
            <w:tcBorders>
              <w:bottom w:val="single" w:sz="12" w:space="0" w:color="000000"/>
            </w:tcBorders>
            <w:vAlign w:val="center"/>
          </w:tcPr>
          <w:p>
            <w:pPr>
              <w:pStyle w:val="TableContents"/>
              <w:bidi w:val="0"/>
              <w:spacing w:before="0" w:after="283"/>
              <w:jc w:val="right"/>
              <w:rPr/>
            </w:pPr>
            <w:r>
              <w:rPr>
                <w:rFonts w:ascii="Arial;Helvetica;Sans-Serif" w:hAnsi="Arial;Helvetica;Sans-Serif"/>
                <w:color w:val="636466"/>
                <w:sz w:val="15"/>
              </w:rPr>
              <w:t>Total</w:t>
            </w:r>
            <w:r>
              <w:rPr>
                <w:rFonts w:ascii="Arial;Helvetica;Sans-Serif" w:hAnsi="Arial;Helvetica;Sans-Serif"/>
                <w:sz w:val="15"/>
              </w:rPr>
              <w:br/>
            </w:r>
            <w:r>
              <w:rPr>
                <w:rFonts w:ascii="Arial;Helvetica;Sans-Serif" w:hAnsi="Arial;Helvetica;Sans-Serif"/>
                <w:color w:val="636466"/>
                <w:sz w:val="15"/>
              </w:rPr>
              <w:t>($K)</w:t>
            </w:r>
          </w:p>
        </w:tc>
      </w:tr>
      <w:tr>
        <w:trPr/>
        <w:tc>
          <w:tcPr>
            <w:tcW w:w="1327" w:type="dxa"/>
            <w:tcBorders>
              <w:bottom w:val="single" w:sz="2" w:space="0" w:color="000000"/>
            </w:tcBorders>
            <w:vAlign w:val="center"/>
          </w:tcPr>
          <w:p>
            <w:pPr>
              <w:pStyle w:val="TableContents"/>
              <w:bidi w:val="0"/>
              <w:spacing w:before="0" w:after="283"/>
              <w:jc w:val="left"/>
              <w:rPr>
                <w:rFonts w:ascii="Arial;Helvetica;Sans-Serif" w:hAnsi="Arial;Helvetica;Sans-Serif"/>
                <w:b/>
                <w:sz w:val="15"/>
              </w:rPr>
            </w:pPr>
            <w:r>
              <w:rPr>
                <w:rFonts w:ascii="Arial;Helvetica;Sans-Serif" w:hAnsi="Arial;Helvetica;Sans-Serif"/>
                <w:b/>
                <w:sz w:val="15"/>
              </w:rPr>
              <w:t>Christopher T. Calio</w:t>
            </w:r>
          </w:p>
        </w:tc>
        <w:tc>
          <w:tcPr>
            <w:tcW w:w="360" w:type="dxa"/>
            <w:tcBorders>
              <w:bottom w:val="single" w:sz="2" w:space="0" w:color="000000"/>
            </w:tcBorders>
            <w:vAlign w:val="center"/>
          </w:tcPr>
          <w:p>
            <w:pPr>
              <w:pStyle w:val="TableContents"/>
              <w:bidi w:val="0"/>
              <w:spacing w:before="0" w:after="283"/>
              <w:jc w:val="right"/>
              <w:rPr/>
            </w:pPr>
            <w:r>
              <w:rPr/>
              <w:t> </w:t>
            </w:r>
          </w:p>
        </w:tc>
        <w:tc>
          <w:tcPr>
            <w:tcW w:w="4575" w:type="dxa"/>
            <w:gridSpan w:val="3"/>
            <w:tcBorders>
              <w:bottom w:val="single" w:sz="2" w:space="0" w:color="000000"/>
            </w:tcBorders>
            <w:vAlign w:val="center"/>
          </w:tcPr>
          <w:p>
            <w:pPr>
              <w:pStyle w:val="TableContents"/>
              <w:bidi w:val="0"/>
              <w:spacing w:before="0" w:after="283"/>
              <w:jc w:val="left"/>
              <w:rPr/>
            </w:pPr>
            <w:r>
              <w:rPr/>
              <w:drawing>
                <wp:inline distT="0" distB="0" distL="0" distR="0">
                  <wp:extent cx="2571750" cy="771525"/>
                  <wp:effectExtent l="0" t="0" r="0" b="0"/>
                  <wp:docPr id="31"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3" descr=""/>
                          <pic:cNvPicPr>
                            <a:picLocks noChangeAspect="1" noChangeArrowheads="1"/>
                          </pic:cNvPicPr>
                        </pic:nvPicPr>
                        <pic:blipFill>
                          <a:blip r:embed="rId28"/>
                          <a:srcRect l="-111" t="-1307" r="-111" b="-1307"/>
                          <a:stretch>
                            <a:fillRect/>
                          </a:stretch>
                        </pic:blipFill>
                        <pic:spPr bwMode="auto">
                          <a:xfrm>
                            <a:off x="0" y="0"/>
                            <a:ext cx="2571750" cy="771525"/>
                          </a:xfrm>
                          <a:prstGeom prst="rect">
                            <a:avLst/>
                          </a:prstGeom>
                          <a:ln w="635">
                            <a:solidFill>
                              <a:srgbClr val="000000"/>
                            </a:solidFill>
                          </a:ln>
                        </pic:spPr>
                      </pic:pic>
                    </a:graphicData>
                  </a:graphic>
                </wp:inline>
              </w:drawing>
            </w:r>
          </w:p>
        </w:tc>
        <w:tc>
          <w:tcPr>
            <w:tcW w:w="775" w:type="dxa"/>
            <w:tcBorders>
              <w:bottom w:val="single" w:sz="2" w:space="0" w:color="000000"/>
            </w:tcBorders>
            <w:vAlign w:val="center"/>
          </w:tcPr>
          <w:p>
            <w:pPr>
              <w:pStyle w:val="TableContents"/>
              <w:bidi w:val="0"/>
              <w:spacing w:before="0" w:after="283"/>
              <w:jc w:val="right"/>
              <w:rPr>
                <w:rFonts w:ascii="Arial;Helvetica;Sans-Serif" w:hAnsi="Arial;Helvetica;Sans-Serif"/>
                <w:sz w:val="15"/>
              </w:rPr>
            </w:pPr>
            <w:r>
              <w:rPr>
                <w:rFonts w:ascii="Arial;Helvetica;Sans-Serif" w:hAnsi="Arial;Helvetica;Sans-Serif"/>
                <w:sz w:val="15"/>
              </w:rPr>
              <w:t>$1,550</w:t>
            </w:r>
          </w:p>
        </w:tc>
        <w:tc>
          <w:tcPr>
            <w:tcW w:w="300" w:type="dxa"/>
            <w:tcBorders>
              <w:bottom w:val="single" w:sz="2" w:space="0" w:color="000000"/>
            </w:tcBorders>
            <w:vAlign w:val="center"/>
          </w:tcPr>
          <w:p>
            <w:pPr>
              <w:pStyle w:val="TableContents"/>
              <w:bidi w:val="0"/>
              <w:spacing w:before="0" w:after="283"/>
              <w:jc w:val="right"/>
              <w:rPr/>
            </w:pPr>
            <w:r>
              <w:rPr/>
              <w:t> </w:t>
            </w:r>
          </w:p>
        </w:tc>
        <w:tc>
          <w:tcPr>
            <w:tcW w:w="1057" w:type="dxa"/>
            <w:tcBorders>
              <w:bottom w:val="single" w:sz="2" w:space="0" w:color="000000"/>
            </w:tcBorders>
            <w:vAlign w:val="center"/>
          </w:tcPr>
          <w:p>
            <w:pPr>
              <w:pStyle w:val="TableContents"/>
              <w:bidi w:val="0"/>
              <w:spacing w:before="0" w:after="283"/>
              <w:jc w:val="right"/>
              <w:rPr>
                <w:rFonts w:ascii="Arial;Helvetica;Sans-Serif" w:hAnsi="Arial;Helvetica;Sans-Serif"/>
                <w:sz w:val="15"/>
              </w:rPr>
            </w:pPr>
            <w:r>
              <w:rPr>
                <w:rFonts w:ascii="Arial;Helvetica;Sans-Serif" w:hAnsi="Arial;Helvetica;Sans-Serif"/>
                <w:sz w:val="15"/>
              </w:rPr>
              <w:t>$5,100</w:t>
            </w:r>
          </w:p>
        </w:tc>
        <w:tc>
          <w:tcPr>
            <w:tcW w:w="300" w:type="dxa"/>
            <w:tcBorders>
              <w:bottom w:val="single" w:sz="2" w:space="0" w:color="000000"/>
            </w:tcBorders>
            <w:vAlign w:val="center"/>
          </w:tcPr>
          <w:p>
            <w:pPr>
              <w:pStyle w:val="TableContents"/>
              <w:bidi w:val="0"/>
              <w:spacing w:before="0" w:after="283"/>
              <w:jc w:val="right"/>
              <w:rPr/>
            </w:pPr>
            <w:r>
              <w:rPr/>
              <w:t> </w:t>
            </w:r>
          </w:p>
        </w:tc>
        <w:tc>
          <w:tcPr>
            <w:tcW w:w="605" w:type="dxa"/>
            <w:tcBorders>
              <w:bottom w:val="single" w:sz="2" w:space="0" w:color="000000"/>
            </w:tcBorders>
            <w:vAlign w:val="center"/>
          </w:tcPr>
          <w:p>
            <w:pPr>
              <w:pStyle w:val="TableContents"/>
              <w:bidi w:val="0"/>
              <w:spacing w:before="0" w:after="283"/>
              <w:jc w:val="right"/>
              <w:rPr>
                <w:rFonts w:ascii="Arial;Helvetica;Sans-Serif" w:hAnsi="Arial;Helvetica;Sans-Serif"/>
                <w:sz w:val="15"/>
              </w:rPr>
            </w:pPr>
            <w:r>
              <w:rPr>
                <w:rFonts w:ascii="Arial;Helvetica;Sans-Serif" w:hAnsi="Arial;Helvetica;Sans-Serif"/>
                <w:sz w:val="15"/>
              </w:rPr>
              <w:t>$21,000</w:t>
            </w:r>
          </w:p>
        </w:tc>
        <w:tc>
          <w:tcPr>
            <w:tcW w:w="300" w:type="dxa"/>
            <w:tcBorders>
              <w:bottom w:val="single" w:sz="2" w:space="0" w:color="000000"/>
            </w:tcBorders>
            <w:vAlign w:val="center"/>
          </w:tcPr>
          <w:p>
            <w:pPr>
              <w:pStyle w:val="TableContents"/>
              <w:bidi w:val="0"/>
              <w:spacing w:before="0" w:after="283"/>
              <w:jc w:val="right"/>
              <w:rPr/>
            </w:pPr>
            <w:r>
              <w:rPr/>
              <w:t> </w:t>
            </w:r>
          </w:p>
        </w:tc>
        <w:tc>
          <w:tcPr>
            <w:tcW w:w="606" w:type="dxa"/>
            <w:tcBorders>
              <w:bottom w:val="single" w:sz="2" w:space="0" w:color="000000"/>
            </w:tcBorders>
            <w:vAlign w:val="center"/>
          </w:tcPr>
          <w:p>
            <w:pPr>
              <w:pStyle w:val="TableContents"/>
              <w:bidi w:val="0"/>
              <w:spacing w:before="0" w:after="283"/>
              <w:jc w:val="right"/>
              <w:rPr>
                <w:rFonts w:ascii="Arial;Helvetica;Sans-Serif" w:hAnsi="Arial;Helvetica;Sans-Serif"/>
                <w:b/>
                <w:sz w:val="15"/>
              </w:rPr>
            </w:pPr>
            <w:r>
              <w:rPr>
                <w:rFonts w:ascii="Arial;Helvetica;Sans-Serif" w:hAnsi="Arial;Helvetica;Sans-Serif"/>
                <w:b/>
                <w:sz w:val="15"/>
              </w:rPr>
              <w:t>$27,650</w:t>
            </w:r>
          </w:p>
        </w:tc>
      </w:tr>
      <w:tr>
        <w:trPr/>
        <w:tc>
          <w:tcPr>
            <w:tcW w:w="1327" w:type="dxa"/>
            <w:tcBorders>
              <w:bottom w:val="single" w:sz="2" w:space="0" w:color="000000"/>
            </w:tcBorders>
            <w:vAlign w:val="center"/>
          </w:tcPr>
          <w:p>
            <w:pPr>
              <w:pStyle w:val="TableContents"/>
              <w:bidi w:val="0"/>
              <w:spacing w:before="0" w:after="283"/>
              <w:jc w:val="left"/>
              <w:rPr>
                <w:rFonts w:ascii="Arial;Helvetica;Sans-Serif" w:hAnsi="Arial;Helvetica;Sans-Serif"/>
                <w:b/>
                <w:sz w:val="15"/>
              </w:rPr>
            </w:pPr>
            <w:r>
              <w:rPr>
                <w:rFonts w:ascii="Arial;Helvetica;Sans-Serif" w:hAnsi="Arial;Helvetica;Sans-Serif"/>
                <w:b/>
                <w:sz w:val="15"/>
              </w:rPr>
              <w:t>Neil G. Mitchill, Jr.</w:t>
            </w:r>
          </w:p>
        </w:tc>
        <w:tc>
          <w:tcPr>
            <w:tcW w:w="360" w:type="dxa"/>
            <w:tcBorders>
              <w:bottom w:val="single" w:sz="2" w:space="0" w:color="000000"/>
            </w:tcBorders>
            <w:vAlign w:val="center"/>
          </w:tcPr>
          <w:p>
            <w:pPr>
              <w:pStyle w:val="TableContents"/>
              <w:bidi w:val="0"/>
              <w:spacing w:before="0" w:after="283"/>
              <w:jc w:val="right"/>
              <w:rPr/>
            </w:pPr>
            <w:r>
              <w:rPr/>
              <w:t> </w:t>
            </w:r>
          </w:p>
        </w:tc>
        <w:tc>
          <w:tcPr>
            <w:tcW w:w="4575" w:type="dxa"/>
            <w:gridSpan w:val="3"/>
            <w:tcBorders>
              <w:bottom w:val="single" w:sz="2" w:space="0" w:color="000000"/>
            </w:tcBorders>
            <w:vAlign w:val="center"/>
          </w:tcPr>
          <w:p>
            <w:pPr>
              <w:pStyle w:val="TableContents"/>
              <w:bidi w:val="0"/>
              <w:spacing w:before="0" w:after="283"/>
              <w:jc w:val="left"/>
              <w:rPr/>
            </w:pPr>
            <w:r>
              <w:rPr/>
              <w:drawing>
                <wp:inline distT="0" distB="0" distL="0" distR="0">
                  <wp:extent cx="2571750" cy="238125"/>
                  <wp:effectExtent l="0" t="0" r="0" b="0"/>
                  <wp:docPr id="32"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4" descr=""/>
                          <pic:cNvPicPr>
                            <a:picLocks noChangeAspect="1" noChangeArrowheads="1"/>
                          </pic:cNvPicPr>
                        </pic:nvPicPr>
                        <pic:blipFill>
                          <a:blip r:embed="rId29"/>
                          <a:srcRect l="-111" t="-1290" r="-111" b="-1290"/>
                          <a:stretch>
                            <a:fillRect/>
                          </a:stretch>
                        </pic:blipFill>
                        <pic:spPr bwMode="auto">
                          <a:xfrm>
                            <a:off x="0" y="0"/>
                            <a:ext cx="2571750" cy="238125"/>
                          </a:xfrm>
                          <a:prstGeom prst="rect">
                            <a:avLst/>
                          </a:prstGeom>
                          <a:ln w="635">
                            <a:solidFill>
                              <a:srgbClr val="000000"/>
                            </a:solidFill>
                          </a:ln>
                        </pic:spPr>
                      </pic:pic>
                    </a:graphicData>
                  </a:graphic>
                </wp:inline>
              </w:drawing>
            </w:r>
          </w:p>
        </w:tc>
        <w:tc>
          <w:tcPr>
            <w:tcW w:w="775" w:type="dxa"/>
            <w:tcBorders>
              <w:bottom w:val="single" w:sz="2" w:space="0" w:color="000000"/>
            </w:tcBorders>
            <w:vAlign w:val="center"/>
          </w:tcPr>
          <w:p>
            <w:pPr>
              <w:pStyle w:val="TableContents"/>
              <w:bidi w:val="0"/>
              <w:spacing w:before="0" w:after="283"/>
              <w:jc w:val="right"/>
              <w:rPr>
                <w:rFonts w:ascii="Arial;Helvetica;Sans-Serif" w:hAnsi="Arial;Helvetica;Sans-Serif"/>
                <w:sz w:val="15"/>
              </w:rPr>
            </w:pPr>
            <w:r>
              <w:rPr>
                <w:rFonts w:ascii="Arial;Helvetica;Sans-Serif" w:hAnsi="Arial;Helvetica;Sans-Serif"/>
                <w:sz w:val="15"/>
              </w:rPr>
              <w:t>$1,100</w:t>
            </w:r>
          </w:p>
        </w:tc>
        <w:tc>
          <w:tcPr>
            <w:tcW w:w="300" w:type="dxa"/>
            <w:tcBorders>
              <w:bottom w:val="single" w:sz="2" w:space="0" w:color="000000"/>
            </w:tcBorders>
            <w:vAlign w:val="center"/>
          </w:tcPr>
          <w:p>
            <w:pPr>
              <w:pStyle w:val="TableContents"/>
              <w:bidi w:val="0"/>
              <w:spacing w:before="0" w:after="283"/>
              <w:jc w:val="right"/>
              <w:rPr/>
            </w:pPr>
            <w:r>
              <w:rPr/>
              <w:t> </w:t>
            </w:r>
          </w:p>
        </w:tc>
        <w:tc>
          <w:tcPr>
            <w:tcW w:w="1057" w:type="dxa"/>
            <w:tcBorders>
              <w:bottom w:val="single" w:sz="2" w:space="0" w:color="000000"/>
            </w:tcBorders>
            <w:vAlign w:val="center"/>
          </w:tcPr>
          <w:p>
            <w:pPr>
              <w:pStyle w:val="TableContents"/>
              <w:bidi w:val="0"/>
              <w:spacing w:before="0" w:after="283"/>
              <w:jc w:val="right"/>
              <w:rPr>
                <w:rFonts w:ascii="Arial;Helvetica;Sans-Serif" w:hAnsi="Arial;Helvetica;Sans-Serif"/>
                <w:sz w:val="15"/>
              </w:rPr>
            </w:pPr>
            <w:r>
              <w:rPr>
                <w:rFonts w:ascii="Arial;Helvetica;Sans-Serif" w:hAnsi="Arial;Helvetica;Sans-Serif"/>
                <w:sz w:val="15"/>
              </w:rPr>
              <w:t>$2,525</w:t>
            </w:r>
          </w:p>
        </w:tc>
        <w:tc>
          <w:tcPr>
            <w:tcW w:w="300" w:type="dxa"/>
            <w:tcBorders>
              <w:bottom w:val="single" w:sz="2" w:space="0" w:color="000000"/>
            </w:tcBorders>
            <w:vAlign w:val="center"/>
          </w:tcPr>
          <w:p>
            <w:pPr>
              <w:pStyle w:val="TableContents"/>
              <w:bidi w:val="0"/>
              <w:spacing w:before="0" w:after="283"/>
              <w:jc w:val="right"/>
              <w:rPr/>
            </w:pPr>
            <w:r>
              <w:rPr/>
              <w:t> </w:t>
            </w:r>
          </w:p>
        </w:tc>
        <w:tc>
          <w:tcPr>
            <w:tcW w:w="605" w:type="dxa"/>
            <w:tcBorders>
              <w:bottom w:val="single" w:sz="2" w:space="0" w:color="000000"/>
            </w:tcBorders>
            <w:vAlign w:val="center"/>
          </w:tcPr>
          <w:p>
            <w:pPr>
              <w:pStyle w:val="TableContents"/>
              <w:bidi w:val="0"/>
              <w:spacing w:before="0" w:after="283"/>
              <w:jc w:val="right"/>
              <w:rPr>
                <w:rFonts w:ascii="Arial;Helvetica;Sans-Serif" w:hAnsi="Arial;Helvetica;Sans-Serif"/>
                <w:sz w:val="15"/>
              </w:rPr>
            </w:pPr>
            <w:r>
              <w:rPr>
                <w:rFonts w:ascii="Arial;Helvetica;Sans-Serif" w:hAnsi="Arial;Helvetica;Sans-Serif"/>
                <w:sz w:val="15"/>
              </w:rPr>
              <w:t>$7,500</w:t>
            </w:r>
          </w:p>
        </w:tc>
        <w:tc>
          <w:tcPr>
            <w:tcW w:w="300" w:type="dxa"/>
            <w:tcBorders>
              <w:bottom w:val="single" w:sz="2" w:space="0" w:color="000000"/>
            </w:tcBorders>
            <w:vAlign w:val="center"/>
          </w:tcPr>
          <w:p>
            <w:pPr>
              <w:pStyle w:val="TableContents"/>
              <w:bidi w:val="0"/>
              <w:spacing w:before="0" w:after="283"/>
              <w:jc w:val="right"/>
              <w:rPr/>
            </w:pPr>
            <w:r>
              <w:rPr/>
              <w:t> </w:t>
            </w:r>
          </w:p>
        </w:tc>
        <w:tc>
          <w:tcPr>
            <w:tcW w:w="606" w:type="dxa"/>
            <w:tcBorders>
              <w:bottom w:val="single" w:sz="2" w:space="0" w:color="000000"/>
            </w:tcBorders>
            <w:vAlign w:val="center"/>
          </w:tcPr>
          <w:p>
            <w:pPr>
              <w:pStyle w:val="TableContents"/>
              <w:bidi w:val="0"/>
              <w:spacing w:before="0" w:after="283"/>
              <w:jc w:val="right"/>
              <w:rPr>
                <w:rFonts w:ascii="Arial;Helvetica;Sans-Serif" w:hAnsi="Arial;Helvetica;Sans-Serif"/>
                <w:b/>
                <w:sz w:val="15"/>
              </w:rPr>
            </w:pPr>
            <w:r>
              <w:rPr>
                <w:rFonts w:ascii="Arial;Helvetica;Sans-Serif" w:hAnsi="Arial;Helvetica;Sans-Serif"/>
                <w:b/>
                <w:sz w:val="15"/>
              </w:rPr>
              <w:t>$11,125</w:t>
            </w:r>
          </w:p>
        </w:tc>
      </w:tr>
      <w:tr>
        <w:trPr/>
        <w:tc>
          <w:tcPr>
            <w:tcW w:w="1327" w:type="dxa"/>
            <w:tcBorders>
              <w:bottom w:val="single" w:sz="2" w:space="0" w:color="000000"/>
            </w:tcBorders>
            <w:vAlign w:val="center"/>
          </w:tcPr>
          <w:p>
            <w:pPr>
              <w:pStyle w:val="TableContents"/>
              <w:bidi w:val="0"/>
              <w:spacing w:before="0" w:after="283"/>
              <w:jc w:val="left"/>
              <w:rPr>
                <w:rFonts w:ascii="Arial;Helvetica;Sans-Serif" w:hAnsi="Arial;Helvetica;Sans-Serif"/>
                <w:b/>
                <w:i w:val="false"/>
                <w:caps w:val="false"/>
                <w:smallCaps w:val="false"/>
                <w:sz w:val="15"/>
              </w:rPr>
            </w:pPr>
            <w:r>
              <w:rPr>
                <w:rFonts w:ascii="Arial;Helvetica;Sans-Serif" w:hAnsi="Arial;Helvetica;Sans-Serif"/>
                <w:b/>
                <w:i w:val="false"/>
                <w:caps w:val="false"/>
                <w:smallCaps w:val="false"/>
                <w:sz w:val="15"/>
              </w:rPr>
              <w:t>Philip J. Jasper</w:t>
            </w:r>
          </w:p>
        </w:tc>
        <w:tc>
          <w:tcPr>
            <w:tcW w:w="360" w:type="dxa"/>
            <w:tcBorders>
              <w:bottom w:val="single" w:sz="2" w:space="0" w:color="000000"/>
            </w:tcBorders>
            <w:vAlign w:val="center"/>
          </w:tcPr>
          <w:p>
            <w:pPr>
              <w:pStyle w:val="TableContents"/>
              <w:bidi w:val="0"/>
              <w:spacing w:before="0" w:after="283"/>
              <w:jc w:val="right"/>
              <w:rPr/>
            </w:pPr>
            <w:r>
              <w:rPr/>
              <w:t> </w:t>
            </w:r>
          </w:p>
        </w:tc>
        <w:tc>
          <w:tcPr>
            <w:tcW w:w="4575" w:type="dxa"/>
            <w:gridSpan w:val="3"/>
            <w:tcBorders>
              <w:bottom w:val="single" w:sz="2" w:space="0" w:color="000000"/>
            </w:tcBorders>
            <w:vAlign w:val="center"/>
          </w:tcPr>
          <w:p>
            <w:pPr>
              <w:pStyle w:val="TableContents"/>
              <w:bidi w:val="0"/>
              <w:spacing w:before="0" w:after="283"/>
              <w:jc w:val="left"/>
              <w:rPr/>
            </w:pPr>
            <w:r>
              <w:rPr/>
              <w:drawing>
                <wp:inline distT="0" distB="0" distL="0" distR="0">
                  <wp:extent cx="2571750" cy="781050"/>
                  <wp:effectExtent l="0" t="0" r="0" b="0"/>
                  <wp:docPr id="33"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25" descr=""/>
                          <pic:cNvPicPr>
                            <a:picLocks noChangeAspect="1" noChangeArrowheads="1"/>
                          </pic:cNvPicPr>
                        </pic:nvPicPr>
                        <pic:blipFill>
                          <a:blip r:embed="rId30"/>
                          <a:srcRect l="-111" t="-1290" r="-111" b="-1290"/>
                          <a:stretch>
                            <a:fillRect/>
                          </a:stretch>
                        </pic:blipFill>
                        <pic:spPr bwMode="auto">
                          <a:xfrm>
                            <a:off x="0" y="0"/>
                            <a:ext cx="2571750" cy="781050"/>
                          </a:xfrm>
                          <a:prstGeom prst="rect">
                            <a:avLst/>
                          </a:prstGeom>
                          <a:ln w="635">
                            <a:solidFill>
                              <a:srgbClr val="000000"/>
                            </a:solidFill>
                          </a:ln>
                        </pic:spPr>
                      </pic:pic>
                    </a:graphicData>
                  </a:graphic>
                </wp:inline>
              </w:drawing>
            </w:r>
          </w:p>
        </w:tc>
        <w:tc>
          <w:tcPr>
            <w:tcW w:w="775" w:type="dxa"/>
            <w:tcBorders>
              <w:bottom w:val="single" w:sz="2" w:space="0" w:color="000000"/>
            </w:tcBorders>
            <w:vAlign w:val="center"/>
          </w:tcPr>
          <w:p>
            <w:pPr>
              <w:pStyle w:val="TableContents"/>
              <w:bidi w:val="0"/>
              <w:spacing w:before="0" w:after="283"/>
              <w:jc w:val="right"/>
              <w:rPr>
                <w:rFonts w:ascii="Arial;Helvetica;Sans-Serif" w:hAnsi="Arial;Helvetica;Sans-Serif"/>
                <w:sz w:val="15"/>
              </w:rPr>
            </w:pPr>
            <w:r>
              <w:rPr>
                <w:rFonts w:ascii="Arial;Helvetica;Sans-Serif" w:hAnsi="Arial;Helvetica;Sans-Serif"/>
                <w:sz w:val="15"/>
              </w:rPr>
              <w:t>$835</w:t>
            </w:r>
          </w:p>
        </w:tc>
        <w:tc>
          <w:tcPr>
            <w:tcW w:w="300" w:type="dxa"/>
            <w:tcBorders>
              <w:bottom w:val="single" w:sz="2" w:space="0" w:color="000000"/>
            </w:tcBorders>
            <w:vAlign w:val="center"/>
          </w:tcPr>
          <w:p>
            <w:pPr>
              <w:pStyle w:val="TableContents"/>
              <w:bidi w:val="0"/>
              <w:spacing w:before="0" w:after="283"/>
              <w:jc w:val="right"/>
              <w:rPr/>
            </w:pPr>
            <w:r>
              <w:rPr/>
              <w:t> </w:t>
            </w:r>
          </w:p>
        </w:tc>
        <w:tc>
          <w:tcPr>
            <w:tcW w:w="1057" w:type="dxa"/>
            <w:tcBorders>
              <w:bottom w:val="single" w:sz="2" w:space="0" w:color="000000"/>
            </w:tcBorders>
            <w:vAlign w:val="center"/>
          </w:tcPr>
          <w:p>
            <w:pPr>
              <w:pStyle w:val="TableContents"/>
              <w:bidi w:val="0"/>
              <w:spacing w:before="0" w:after="283"/>
              <w:jc w:val="right"/>
              <w:rPr>
                <w:rFonts w:ascii="Arial;Helvetica;Sans-Serif" w:hAnsi="Arial;Helvetica;Sans-Serif"/>
                <w:sz w:val="15"/>
              </w:rPr>
            </w:pPr>
            <w:r>
              <w:rPr>
                <w:rFonts w:ascii="Arial;Helvetica;Sans-Serif" w:hAnsi="Arial;Helvetica;Sans-Serif"/>
                <w:sz w:val="15"/>
              </w:rPr>
              <w:t>$1,540</w:t>
            </w:r>
          </w:p>
        </w:tc>
        <w:tc>
          <w:tcPr>
            <w:tcW w:w="300" w:type="dxa"/>
            <w:tcBorders>
              <w:bottom w:val="single" w:sz="2" w:space="0" w:color="000000"/>
            </w:tcBorders>
            <w:vAlign w:val="center"/>
          </w:tcPr>
          <w:p>
            <w:pPr>
              <w:pStyle w:val="TableContents"/>
              <w:bidi w:val="0"/>
              <w:spacing w:before="0" w:after="283"/>
              <w:jc w:val="right"/>
              <w:rPr/>
            </w:pPr>
            <w:r>
              <w:rPr/>
              <w:t> </w:t>
            </w:r>
          </w:p>
        </w:tc>
        <w:tc>
          <w:tcPr>
            <w:tcW w:w="605" w:type="dxa"/>
            <w:tcBorders>
              <w:bottom w:val="single" w:sz="2" w:space="0" w:color="000000"/>
            </w:tcBorders>
            <w:vAlign w:val="center"/>
          </w:tcPr>
          <w:p>
            <w:pPr>
              <w:pStyle w:val="TableContents"/>
              <w:bidi w:val="0"/>
              <w:spacing w:before="0" w:after="283"/>
              <w:jc w:val="right"/>
              <w:rPr>
                <w:rFonts w:ascii="Arial;Helvetica;Sans-Serif" w:hAnsi="Arial;Helvetica;Sans-Serif"/>
                <w:sz w:val="15"/>
              </w:rPr>
            </w:pPr>
            <w:r>
              <w:rPr>
                <w:rFonts w:ascii="Arial;Helvetica;Sans-Serif" w:hAnsi="Arial;Helvetica;Sans-Serif"/>
                <w:sz w:val="15"/>
              </w:rPr>
              <w:t>$4,750</w:t>
            </w:r>
          </w:p>
        </w:tc>
        <w:tc>
          <w:tcPr>
            <w:tcW w:w="300" w:type="dxa"/>
            <w:tcBorders>
              <w:bottom w:val="single" w:sz="2" w:space="0" w:color="000000"/>
            </w:tcBorders>
            <w:vAlign w:val="center"/>
          </w:tcPr>
          <w:p>
            <w:pPr>
              <w:pStyle w:val="TableContents"/>
              <w:bidi w:val="0"/>
              <w:spacing w:before="0" w:after="283"/>
              <w:jc w:val="right"/>
              <w:rPr/>
            </w:pPr>
            <w:r>
              <w:rPr/>
              <w:t> </w:t>
            </w:r>
          </w:p>
        </w:tc>
        <w:tc>
          <w:tcPr>
            <w:tcW w:w="606" w:type="dxa"/>
            <w:tcBorders>
              <w:bottom w:val="single" w:sz="2" w:space="0" w:color="000000"/>
            </w:tcBorders>
            <w:vAlign w:val="center"/>
          </w:tcPr>
          <w:p>
            <w:pPr>
              <w:pStyle w:val="TableContents"/>
              <w:bidi w:val="0"/>
              <w:spacing w:before="0" w:after="283"/>
              <w:jc w:val="right"/>
              <w:rPr>
                <w:rFonts w:ascii="Arial;Helvetica;Sans-Serif" w:hAnsi="Arial;Helvetica;Sans-Serif"/>
                <w:b/>
                <w:sz w:val="15"/>
              </w:rPr>
            </w:pPr>
            <w:r>
              <w:rPr>
                <w:rFonts w:ascii="Arial;Helvetica;Sans-Serif" w:hAnsi="Arial;Helvetica;Sans-Serif"/>
                <w:b/>
                <w:sz w:val="15"/>
              </w:rPr>
              <w:t>$7,125</w:t>
            </w:r>
          </w:p>
        </w:tc>
      </w:tr>
      <w:tr>
        <w:trPr/>
        <w:tc>
          <w:tcPr>
            <w:tcW w:w="1327" w:type="dxa"/>
            <w:tcBorders>
              <w:bottom w:val="single" w:sz="2" w:space="0" w:color="000000"/>
            </w:tcBorders>
            <w:vAlign w:val="center"/>
          </w:tcPr>
          <w:p>
            <w:pPr>
              <w:pStyle w:val="TableContents"/>
              <w:bidi w:val="0"/>
              <w:spacing w:before="0" w:after="283"/>
              <w:jc w:val="left"/>
              <w:rPr>
                <w:rFonts w:ascii="Arial;Helvetica;Sans-Serif" w:hAnsi="Arial;Helvetica;Sans-Serif"/>
                <w:b/>
                <w:sz w:val="15"/>
              </w:rPr>
            </w:pPr>
            <w:r>
              <w:rPr>
                <w:rFonts w:ascii="Arial;Helvetica;Sans-Serif" w:hAnsi="Arial;Helvetica;Sans-Serif"/>
                <w:b/>
                <w:sz w:val="15"/>
              </w:rPr>
              <w:t>Shane G. Eddy</w:t>
            </w:r>
          </w:p>
        </w:tc>
        <w:tc>
          <w:tcPr>
            <w:tcW w:w="360" w:type="dxa"/>
            <w:tcBorders>
              <w:bottom w:val="single" w:sz="2" w:space="0" w:color="000000"/>
            </w:tcBorders>
            <w:vAlign w:val="center"/>
          </w:tcPr>
          <w:p>
            <w:pPr>
              <w:pStyle w:val="TableContents"/>
              <w:bidi w:val="0"/>
              <w:spacing w:before="0" w:after="283"/>
              <w:jc w:val="right"/>
              <w:rPr/>
            </w:pPr>
            <w:r>
              <w:rPr/>
              <w:t> </w:t>
            </w:r>
          </w:p>
        </w:tc>
        <w:tc>
          <w:tcPr>
            <w:tcW w:w="4575" w:type="dxa"/>
            <w:gridSpan w:val="3"/>
            <w:tcBorders>
              <w:bottom w:val="single" w:sz="2" w:space="0" w:color="000000"/>
            </w:tcBorders>
            <w:vAlign w:val="center"/>
          </w:tcPr>
          <w:p>
            <w:pPr>
              <w:pStyle w:val="TableContents"/>
              <w:bidi w:val="0"/>
              <w:spacing w:before="0" w:after="283"/>
              <w:jc w:val="left"/>
              <w:rPr/>
            </w:pPr>
            <w:r>
              <w:rPr/>
              <w:drawing>
                <wp:inline distT="0" distB="0" distL="0" distR="0">
                  <wp:extent cx="2571750" cy="781050"/>
                  <wp:effectExtent l="0" t="0" r="0" b="0"/>
                  <wp:docPr id="34"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26" descr=""/>
                          <pic:cNvPicPr>
                            <a:picLocks noChangeAspect="1" noChangeArrowheads="1"/>
                          </pic:cNvPicPr>
                        </pic:nvPicPr>
                        <pic:blipFill>
                          <a:blip r:embed="rId31"/>
                          <a:srcRect l="-111" t="-1290" r="-111" b="-1290"/>
                          <a:stretch>
                            <a:fillRect/>
                          </a:stretch>
                        </pic:blipFill>
                        <pic:spPr bwMode="auto">
                          <a:xfrm>
                            <a:off x="0" y="0"/>
                            <a:ext cx="2571750" cy="781050"/>
                          </a:xfrm>
                          <a:prstGeom prst="rect">
                            <a:avLst/>
                          </a:prstGeom>
                          <a:ln w="635">
                            <a:solidFill>
                              <a:srgbClr val="000000"/>
                            </a:solidFill>
                          </a:ln>
                        </pic:spPr>
                      </pic:pic>
                    </a:graphicData>
                  </a:graphic>
                </wp:inline>
              </w:drawing>
            </w:r>
          </w:p>
        </w:tc>
        <w:tc>
          <w:tcPr>
            <w:tcW w:w="775" w:type="dxa"/>
            <w:tcBorders>
              <w:bottom w:val="single" w:sz="2" w:space="0" w:color="000000"/>
            </w:tcBorders>
            <w:vAlign w:val="center"/>
          </w:tcPr>
          <w:p>
            <w:pPr>
              <w:pStyle w:val="TableContents"/>
              <w:bidi w:val="0"/>
              <w:spacing w:before="0" w:after="283"/>
              <w:jc w:val="right"/>
              <w:rPr>
                <w:rFonts w:ascii="Arial;Helvetica;Sans-Serif" w:hAnsi="Arial;Helvetica;Sans-Serif"/>
                <w:sz w:val="15"/>
              </w:rPr>
            </w:pPr>
            <w:r>
              <w:rPr>
                <w:rFonts w:ascii="Arial;Helvetica;Sans-Serif" w:hAnsi="Arial;Helvetica;Sans-Serif"/>
                <w:sz w:val="15"/>
              </w:rPr>
              <w:t>$840</w:t>
            </w:r>
          </w:p>
        </w:tc>
        <w:tc>
          <w:tcPr>
            <w:tcW w:w="300" w:type="dxa"/>
            <w:tcBorders>
              <w:bottom w:val="single" w:sz="2" w:space="0" w:color="000000"/>
            </w:tcBorders>
            <w:vAlign w:val="center"/>
          </w:tcPr>
          <w:p>
            <w:pPr>
              <w:pStyle w:val="TableContents"/>
              <w:bidi w:val="0"/>
              <w:spacing w:before="0" w:after="283"/>
              <w:jc w:val="right"/>
              <w:rPr/>
            </w:pPr>
            <w:r>
              <w:rPr/>
              <w:t> </w:t>
            </w:r>
          </w:p>
        </w:tc>
        <w:tc>
          <w:tcPr>
            <w:tcW w:w="1057" w:type="dxa"/>
            <w:tcBorders>
              <w:bottom w:val="single" w:sz="2" w:space="0" w:color="000000"/>
            </w:tcBorders>
            <w:vAlign w:val="center"/>
          </w:tcPr>
          <w:p>
            <w:pPr>
              <w:pStyle w:val="TableContents"/>
              <w:bidi w:val="0"/>
              <w:spacing w:before="0" w:after="283"/>
              <w:jc w:val="right"/>
              <w:rPr>
                <w:rFonts w:ascii="Arial;Helvetica;Sans-Serif" w:hAnsi="Arial;Helvetica;Sans-Serif"/>
                <w:sz w:val="15"/>
              </w:rPr>
            </w:pPr>
            <w:r>
              <w:rPr>
                <w:rFonts w:ascii="Arial;Helvetica;Sans-Serif" w:hAnsi="Arial;Helvetica;Sans-Serif"/>
                <w:sz w:val="15"/>
              </w:rPr>
              <w:t>$1,425</w:t>
            </w:r>
          </w:p>
        </w:tc>
        <w:tc>
          <w:tcPr>
            <w:tcW w:w="300" w:type="dxa"/>
            <w:tcBorders>
              <w:bottom w:val="single" w:sz="2" w:space="0" w:color="000000"/>
            </w:tcBorders>
            <w:vAlign w:val="center"/>
          </w:tcPr>
          <w:p>
            <w:pPr>
              <w:pStyle w:val="TableContents"/>
              <w:bidi w:val="0"/>
              <w:spacing w:before="0" w:after="283"/>
              <w:jc w:val="right"/>
              <w:rPr/>
            </w:pPr>
            <w:r>
              <w:rPr/>
              <w:t> </w:t>
            </w:r>
          </w:p>
        </w:tc>
        <w:tc>
          <w:tcPr>
            <w:tcW w:w="605" w:type="dxa"/>
            <w:tcBorders>
              <w:bottom w:val="single" w:sz="2" w:space="0" w:color="000000"/>
            </w:tcBorders>
            <w:vAlign w:val="center"/>
          </w:tcPr>
          <w:p>
            <w:pPr>
              <w:pStyle w:val="TableContents"/>
              <w:bidi w:val="0"/>
              <w:spacing w:before="0" w:after="283"/>
              <w:jc w:val="right"/>
              <w:rPr>
                <w:rFonts w:ascii="Arial;Helvetica;Sans-Serif" w:hAnsi="Arial;Helvetica;Sans-Serif"/>
                <w:sz w:val="15"/>
              </w:rPr>
            </w:pPr>
            <w:r>
              <w:rPr>
                <w:rFonts w:ascii="Arial;Helvetica;Sans-Serif" w:hAnsi="Arial;Helvetica;Sans-Serif"/>
                <w:sz w:val="15"/>
              </w:rPr>
              <w:t>$4,500</w:t>
            </w:r>
          </w:p>
        </w:tc>
        <w:tc>
          <w:tcPr>
            <w:tcW w:w="300" w:type="dxa"/>
            <w:tcBorders>
              <w:bottom w:val="single" w:sz="2" w:space="0" w:color="000000"/>
            </w:tcBorders>
            <w:vAlign w:val="center"/>
          </w:tcPr>
          <w:p>
            <w:pPr>
              <w:pStyle w:val="TableContents"/>
              <w:bidi w:val="0"/>
              <w:spacing w:before="0" w:after="283"/>
              <w:jc w:val="right"/>
              <w:rPr/>
            </w:pPr>
            <w:r>
              <w:rPr/>
              <w:t> </w:t>
            </w:r>
          </w:p>
        </w:tc>
        <w:tc>
          <w:tcPr>
            <w:tcW w:w="606" w:type="dxa"/>
            <w:tcBorders>
              <w:bottom w:val="single" w:sz="2" w:space="0" w:color="000000"/>
            </w:tcBorders>
            <w:vAlign w:val="center"/>
          </w:tcPr>
          <w:p>
            <w:pPr>
              <w:pStyle w:val="TableContents"/>
              <w:bidi w:val="0"/>
              <w:spacing w:before="0" w:after="283"/>
              <w:jc w:val="right"/>
              <w:rPr>
                <w:rFonts w:ascii="Arial;Helvetica;Sans-Serif" w:hAnsi="Arial;Helvetica;Sans-Serif"/>
                <w:b/>
                <w:sz w:val="15"/>
              </w:rPr>
            </w:pPr>
            <w:r>
              <w:rPr>
                <w:rFonts w:ascii="Arial;Helvetica;Sans-Serif" w:hAnsi="Arial;Helvetica;Sans-Serif"/>
                <w:b/>
                <w:sz w:val="15"/>
              </w:rPr>
              <w:t>$6,765</w:t>
            </w:r>
          </w:p>
        </w:tc>
      </w:tr>
      <w:tr>
        <w:trPr/>
        <w:tc>
          <w:tcPr>
            <w:tcW w:w="1327" w:type="dxa"/>
            <w:tcBorders>
              <w:bottom w:val="single" w:sz="12" w:space="0" w:color="000000"/>
            </w:tcBorders>
            <w:vAlign w:val="center"/>
          </w:tcPr>
          <w:p>
            <w:pPr>
              <w:pStyle w:val="TableContents"/>
              <w:bidi w:val="0"/>
              <w:spacing w:before="0" w:after="283"/>
              <w:jc w:val="left"/>
              <w:rPr>
                <w:rFonts w:ascii="Arial;Helvetica;Sans-Serif" w:hAnsi="Arial;Helvetica;Sans-Serif"/>
                <w:b/>
                <w:sz w:val="15"/>
              </w:rPr>
            </w:pPr>
            <w:r>
              <w:rPr>
                <w:rFonts w:ascii="Arial;Helvetica;Sans-Serif" w:hAnsi="Arial;Helvetica;Sans-Serif"/>
                <w:b/>
                <w:sz w:val="15"/>
              </w:rPr>
              <w:t>Troy D. Brunk</w:t>
            </w:r>
          </w:p>
        </w:tc>
        <w:tc>
          <w:tcPr>
            <w:tcW w:w="360" w:type="dxa"/>
            <w:tcBorders>
              <w:bottom w:val="single" w:sz="12" w:space="0" w:color="000000"/>
            </w:tcBorders>
            <w:vAlign w:val="center"/>
          </w:tcPr>
          <w:p>
            <w:pPr>
              <w:pStyle w:val="TableContents"/>
              <w:bidi w:val="0"/>
              <w:spacing w:before="0" w:after="283"/>
              <w:jc w:val="right"/>
              <w:rPr/>
            </w:pPr>
            <w:r>
              <w:rPr/>
              <w:t> </w:t>
            </w:r>
          </w:p>
        </w:tc>
        <w:tc>
          <w:tcPr>
            <w:tcW w:w="4575" w:type="dxa"/>
            <w:gridSpan w:val="3"/>
            <w:tcBorders>
              <w:bottom w:val="single" w:sz="12" w:space="0" w:color="000000"/>
            </w:tcBorders>
            <w:vAlign w:val="center"/>
          </w:tcPr>
          <w:p>
            <w:pPr>
              <w:pStyle w:val="TableContents"/>
              <w:bidi w:val="0"/>
              <w:spacing w:before="0" w:after="283"/>
              <w:jc w:val="left"/>
              <w:rPr/>
            </w:pPr>
            <w:r>
              <w:rPr/>
              <w:drawing>
                <wp:inline distT="0" distB="0" distL="0" distR="0">
                  <wp:extent cx="2571750" cy="790575"/>
                  <wp:effectExtent l="0" t="0" r="0" b="0"/>
                  <wp:docPr id="35"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27" descr=""/>
                          <pic:cNvPicPr>
                            <a:picLocks noChangeAspect="1" noChangeArrowheads="1"/>
                          </pic:cNvPicPr>
                        </pic:nvPicPr>
                        <pic:blipFill>
                          <a:blip r:embed="rId32"/>
                          <a:srcRect l="-111" t="-1275" r="-111" b="-1275"/>
                          <a:stretch>
                            <a:fillRect/>
                          </a:stretch>
                        </pic:blipFill>
                        <pic:spPr bwMode="auto">
                          <a:xfrm>
                            <a:off x="0" y="0"/>
                            <a:ext cx="2571750" cy="790575"/>
                          </a:xfrm>
                          <a:prstGeom prst="rect">
                            <a:avLst/>
                          </a:prstGeom>
                          <a:ln w="635">
                            <a:solidFill>
                              <a:srgbClr val="000000"/>
                            </a:solidFill>
                          </a:ln>
                        </pic:spPr>
                      </pic:pic>
                    </a:graphicData>
                  </a:graphic>
                </wp:inline>
              </w:drawing>
            </w:r>
          </w:p>
        </w:tc>
        <w:tc>
          <w:tcPr>
            <w:tcW w:w="775" w:type="dxa"/>
            <w:tcBorders>
              <w:bottom w:val="single" w:sz="12" w:space="0" w:color="000000"/>
            </w:tcBorders>
            <w:vAlign w:val="center"/>
          </w:tcPr>
          <w:p>
            <w:pPr>
              <w:pStyle w:val="TableContents"/>
              <w:bidi w:val="0"/>
              <w:spacing w:before="0" w:after="283"/>
              <w:jc w:val="right"/>
              <w:rPr>
                <w:rFonts w:ascii="Arial;Helvetica;Sans-Serif" w:hAnsi="Arial;Helvetica;Sans-Serif"/>
                <w:sz w:val="15"/>
              </w:rPr>
            </w:pPr>
            <w:r>
              <w:rPr>
                <w:rFonts w:ascii="Arial;Helvetica;Sans-Serif" w:hAnsi="Arial;Helvetica;Sans-Serif"/>
                <w:sz w:val="15"/>
              </w:rPr>
              <w:t>$790</w:t>
            </w:r>
          </w:p>
        </w:tc>
        <w:tc>
          <w:tcPr>
            <w:tcW w:w="300" w:type="dxa"/>
            <w:tcBorders>
              <w:bottom w:val="single" w:sz="12" w:space="0" w:color="000000"/>
            </w:tcBorders>
            <w:vAlign w:val="center"/>
          </w:tcPr>
          <w:p>
            <w:pPr>
              <w:pStyle w:val="TableContents"/>
              <w:bidi w:val="0"/>
              <w:spacing w:before="0" w:after="283"/>
              <w:jc w:val="right"/>
              <w:rPr/>
            </w:pPr>
            <w:r>
              <w:rPr/>
              <w:t> </w:t>
            </w:r>
          </w:p>
        </w:tc>
        <w:tc>
          <w:tcPr>
            <w:tcW w:w="1057" w:type="dxa"/>
            <w:tcBorders>
              <w:bottom w:val="single" w:sz="12" w:space="0" w:color="000000"/>
            </w:tcBorders>
            <w:vAlign w:val="center"/>
          </w:tcPr>
          <w:p>
            <w:pPr>
              <w:pStyle w:val="TableContents"/>
              <w:bidi w:val="0"/>
              <w:spacing w:before="0" w:after="283"/>
              <w:jc w:val="right"/>
              <w:rPr>
                <w:rFonts w:ascii="Arial;Helvetica;Sans-Serif" w:hAnsi="Arial;Helvetica;Sans-Serif"/>
                <w:sz w:val="15"/>
              </w:rPr>
            </w:pPr>
            <w:r>
              <w:rPr>
                <w:rFonts w:ascii="Arial;Helvetica;Sans-Serif" w:hAnsi="Arial;Helvetica;Sans-Serif"/>
                <w:sz w:val="15"/>
              </w:rPr>
              <w:t>$1,320</w:t>
            </w:r>
          </w:p>
        </w:tc>
        <w:tc>
          <w:tcPr>
            <w:tcW w:w="300" w:type="dxa"/>
            <w:tcBorders>
              <w:bottom w:val="single" w:sz="12" w:space="0" w:color="000000"/>
            </w:tcBorders>
            <w:vAlign w:val="center"/>
          </w:tcPr>
          <w:p>
            <w:pPr>
              <w:pStyle w:val="TableContents"/>
              <w:bidi w:val="0"/>
              <w:spacing w:before="0" w:after="283"/>
              <w:jc w:val="right"/>
              <w:rPr/>
            </w:pPr>
            <w:r>
              <w:rPr/>
              <w:t> </w:t>
            </w:r>
          </w:p>
        </w:tc>
        <w:tc>
          <w:tcPr>
            <w:tcW w:w="605" w:type="dxa"/>
            <w:tcBorders>
              <w:bottom w:val="single" w:sz="12" w:space="0" w:color="000000"/>
            </w:tcBorders>
            <w:vAlign w:val="center"/>
          </w:tcPr>
          <w:p>
            <w:pPr>
              <w:pStyle w:val="TableContents"/>
              <w:bidi w:val="0"/>
              <w:spacing w:before="0" w:after="283"/>
              <w:jc w:val="right"/>
              <w:rPr>
                <w:rFonts w:ascii="Arial;Helvetica;Sans-Serif" w:hAnsi="Arial;Helvetica;Sans-Serif"/>
                <w:sz w:val="15"/>
              </w:rPr>
            </w:pPr>
            <w:r>
              <w:rPr>
                <w:rFonts w:ascii="Arial;Helvetica;Sans-Serif" w:hAnsi="Arial;Helvetica;Sans-Serif"/>
                <w:sz w:val="15"/>
              </w:rPr>
              <w:t>$4,500</w:t>
            </w:r>
          </w:p>
        </w:tc>
        <w:tc>
          <w:tcPr>
            <w:tcW w:w="300" w:type="dxa"/>
            <w:tcBorders>
              <w:bottom w:val="single" w:sz="12" w:space="0" w:color="000000"/>
            </w:tcBorders>
            <w:vAlign w:val="center"/>
          </w:tcPr>
          <w:p>
            <w:pPr>
              <w:pStyle w:val="TableContents"/>
              <w:bidi w:val="0"/>
              <w:spacing w:before="0" w:after="283"/>
              <w:jc w:val="right"/>
              <w:rPr/>
            </w:pPr>
            <w:r>
              <w:rPr/>
              <w:t> </w:t>
            </w:r>
          </w:p>
        </w:tc>
        <w:tc>
          <w:tcPr>
            <w:tcW w:w="606" w:type="dxa"/>
            <w:tcBorders>
              <w:bottom w:val="single" w:sz="12" w:space="0" w:color="000000"/>
            </w:tcBorders>
            <w:vAlign w:val="center"/>
          </w:tcPr>
          <w:p>
            <w:pPr>
              <w:pStyle w:val="TableContents"/>
              <w:bidi w:val="0"/>
              <w:spacing w:before="0" w:after="283"/>
              <w:jc w:val="right"/>
              <w:rPr>
                <w:rFonts w:ascii="Arial;Helvetica;Sans-Serif" w:hAnsi="Arial;Helvetica;Sans-Serif"/>
                <w:b/>
                <w:sz w:val="15"/>
              </w:rPr>
            </w:pPr>
            <w:r>
              <w:rPr>
                <w:rFonts w:ascii="Arial;Helvetica;Sans-Serif" w:hAnsi="Arial;Helvetica;Sans-Serif"/>
                <w:b/>
                <w:sz w:val="15"/>
              </w:rPr>
              <w:t>$6,610</w:t>
            </w:r>
          </w:p>
        </w:tc>
      </w:tr>
      <w:tr>
        <w:trPr/>
        <w:tc>
          <w:tcPr>
            <w:tcW w:w="1327" w:type="dxa"/>
            <w:tcBorders/>
            <w:tcMar>
              <w:bottom w:w="0" w:type="dxa"/>
            </w:tcMar>
            <w:vAlign w:val="center"/>
          </w:tcPr>
          <w:p>
            <w:pPr>
              <w:pStyle w:val="TableContents"/>
              <w:bidi w:val="0"/>
              <w:spacing w:before="0" w:after="283"/>
              <w:jc w:val="left"/>
              <w:rPr/>
            </w:pPr>
            <w:r>
              <w:rPr/>
              <w:t> </w:t>
            </w:r>
          </w:p>
        </w:tc>
        <w:tc>
          <w:tcPr>
            <w:tcW w:w="360" w:type="dxa"/>
            <w:tcBorders/>
            <w:tcMar>
              <w:bottom w:w="0" w:type="dxa"/>
            </w:tcMar>
            <w:vAlign w:val="center"/>
          </w:tcPr>
          <w:p>
            <w:pPr>
              <w:pStyle w:val="TableContents"/>
              <w:bidi w:val="0"/>
              <w:spacing w:before="0" w:after="283"/>
              <w:jc w:val="right"/>
              <w:rPr/>
            </w:pPr>
            <w:r>
              <w:rPr/>
              <w:t> </w:t>
            </w:r>
          </w:p>
        </w:tc>
        <w:tc>
          <w:tcPr>
            <w:tcW w:w="4575" w:type="dxa"/>
            <w:gridSpan w:val="3"/>
            <w:tcBorders/>
            <w:tcMar>
              <w:bottom w:w="0" w:type="dxa"/>
            </w:tcMar>
            <w:vAlign w:val="center"/>
          </w:tcPr>
          <w:p>
            <w:pPr>
              <w:pStyle w:val="TableContents"/>
              <w:bidi w:val="0"/>
              <w:spacing w:before="40" w:after="283"/>
              <w:ind w:left="480" w:right="0" w:hanging="0"/>
              <w:jc w:val="center"/>
              <w:rPr>
                <w:bdr w:val="single" w:sz="12" w:space="10" w:color="C12E33"/>
              </w:rPr>
            </w:pPr>
            <w:r>
              <w:rPr>
                <w:color w:val="C12E33"/>
                <w:bdr w:val="single" w:sz="12" w:space="10" w:color="C12E33"/>
              </w:rPr>
              <w:t>“</w:t>
            </w:r>
            <w:r>
              <w:rPr>
                <w:rFonts w:ascii="Arial;Helvetica;Sans-Serif" w:hAnsi="Arial;Helvetica;Sans-Serif"/>
                <w:b/>
                <w:color w:val="C12E33"/>
                <w:sz w:val="15"/>
                <w:bdr w:val="single" w:sz="12" w:space="10" w:color="C12E33"/>
              </w:rPr>
              <w:t>At-Risk”</w:t>
            </w:r>
            <w:r>
              <w:rPr>
                <w:bdr w:val="single" w:sz="12" w:space="10" w:color="C12E33"/>
              </w:rPr>
              <w:t xml:space="preserve"> </w:t>
            </w:r>
          </w:p>
        </w:tc>
        <w:tc>
          <w:tcPr>
            <w:tcW w:w="775" w:type="dxa"/>
            <w:tcBorders/>
            <w:tcMar>
              <w:bottom w:w="0" w:type="dxa"/>
            </w:tcMar>
            <w:vAlign w:val="center"/>
          </w:tcPr>
          <w:p>
            <w:pPr>
              <w:pStyle w:val="TableContents"/>
              <w:bidi w:val="0"/>
              <w:spacing w:before="0" w:after="283"/>
              <w:jc w:val="left"/>
              <w:rPr/>
            </w:pPr>
            <w:r>
              <w:rPr/>
              <w:t> </w:t>
            </w:r>
          </w:p>
        </w:tc>
        <w:tc>
          <w:tcPr>
            <w:tcW w:w="300" w:type="dxa"/>
            <w:tcBorders/>
            <w:tcMar>
              <w:bottom w:w="0" w:type="dxa"/>
            </w:tcMar>
            <w:vAlign w:val="center"/>
          </w:tcPr>
          <w:p>
            <w:pPr>
              <w:pStyle w:val="TableContents"/>
              <w:bidi w:val="0"/>
              <w:spacing w:before="0" w:after="283"/>
              <w:jc w:val="right"/>
              <w:rPr/>
            </w:pPr>
            <w:r>
              <w:rPr/>
              <w:t> </w:t>
            </w:r>
          </w:p>
        </w:tc>
        <w:tc>
          <w:tcPr>
            <w:tcW w:w="1057" w:type="dxa"/>
            <w:tcBorders/>
            <w:tcMar>
              <w:bottom w:w="0" w:type="dxa"/>
            </w:tcMar>
            <w:vAlign w:val="center"/>
          </w:tcPr>
          <w:p>
            <w:pPr>
              <w:pStyle w:val="TableContents"/>
              <w:bidi w:val="0"/>
              <w:spacing w:before="0" w:after="283"/>
              <w:jc w:val="left"/>
              <w:rPr/>
            </w:pPr>
            <w:r>
              <w:rPr/>
              <w:t> </w:t>
            </w:r>
          </w:p>
        </w:tc>
        <w:tc>
          <w:tcPr>
            <w:tcW w:w="300" w:type="dxa"/>
            <w:tcBorders/>
            <w:tcMar>
              <w:bottom w:w="0" w:type="dxa"/>
            </w:tcMar>
            <w:vAlign w:val="center"/>
          </w:tcPr>
          <w:p>
            <w:pPr>
              <w:pStyle w:val="TableContents"/>
              <w:bidi w:val="0"/>
              <w:spacing w:before="0" w:after="283"/>
              <w:jc w:val="right"/>
              <w:rPr/>
            </w:pPr>
            <w:r>
              <w:rPr/>
              <w:t> </w:t>
            </w:r>
          </w:p>
        </w:tc>
        <w:tc>
          <w:tcPr>
            <w:tcW w:w="605" w:type="dxa"/>
            <w:tcBorders/>
            <w:tcMar>
              <w:bottom w:w="0" w:type="dxa"/>
            </w:tcMar>
            <w:vAlign w:val="center"/>
          </w:tcPr>
          <w:p>
            <w:pPr>
              <w:pStyle w:val="TableContents"/>
              <w:bidi w:val="0"/>
              <w:spacing w:before="0" w:after="283"/>
              <w:jc w:val="left"/>
              <w:rPr/>
            </w:pPr>
            <w:r>
              <w:rPr/>
              <w:t> </w:t>
            </w:r>
          </w:p>
        </w:tc>
        <w:tc>
          <w:tcPr>
            <w:tcW w:w="300" w:type="dxa"/>
            <w:tcBorders/>
            <w:tcMar>
              <w:bottom w:w="0" w:type="dxa"/>
            </w:tcMar>
            <w:vAlign w:val="center"/>
          </w:tcPr>
          <w:p>
            <w:pPr>
              <w:pStyle w:val="TableContents"/>
              <w:bidi w:val="0"/>
              <w:spacing w:before="0" w:after="283"/>
              <w:jc w:val="right"/>
              <w:rPr/>
            </w:pPr>
            <w:r>
              <w:rPr/>
              <w:t> </w:t>
            </w:r>
          </w:p>
        </w:tc>
        <w:tc>
          <w:tcPr>
            <w:tcW w:w="606" w:type="dxa"/>
            <w:tcBorders/>
            <w:tcMar>
              <w:bottom w:w="0" w:type="dxa"/>
            </w:tcMar>
            <w:vAlign w:val="center"/>
          </w:tcPr>
          <w:p>
            <w:pPr>
              <w:pStyle w:val="TableContents"/>
              <w:bidi w:val="0"/>
              <w:spacing w:before="0" w:after="283"/>
              <w:jc w:val="left"/>
              <w:rPr/>
            </w:pPr>
            <w:r>
              <w:rPr/>
              <w:t> </w:t>
            </w:r>
          </w:p>
        </w:tc>
      </w:tr>
    </w:tbl>
    <w:p>
      <w:pPr>
        <w:pStyle w:val="TextBody"/>
        <w:bidi w:val="0"/>
        <w:jc w:val="left"/>
        <w:rPr>
          <w:caps w:val="false"/>
          <w:smallCaps w:val="false"/>
          <w:color w:val="C12E33"/>
        </w:rPr>
      </w:pPr>
      <w:r>
        <w:rPr>
          <w:caps w:val="false"/>
          <w:smallCaps w:val="false"/>
          <w:color w:val="C12E33"/>
        </w:rPr>
        <w:t> </w:t>
      </w:r>
    </w:p>
    <w:tbl>
      <w:tblPr>
        <w:tblW w:w="10205" w:type="dxa"/>
        <w:jc w:val="left"/>
        <w:tblInd w:w="0" w:type="dxa"/>
        <w:tblLayout w:type="fixed"/>
        <w:tblCellMar>
          <w:top w:w="0" w:type="dxa"/>
          <w:left w:w="0" w:type="dxa"/>
          <w:bottom w:w="0" w:type="dxa"/>
          <w:right w:w="0" w:type="dxa"/>
        </w:tblCellMar>
      </w:tblPr>
      <w:tblGrid>
        <w:gridCol w:w="233"/>
        <w:gridCol w:w="9972"/>
      </w:tblGrid>
      <w:tr>
        <w:trPr/>
        <w:tc>
          <w:tcPr>
            <w:tcW w:w="233" w:type="dxa"/>
            <w:tcBorders/>
            <w:vAlign w:val="center"/>
          </w:tcPr>
          <w:p>
            <w:pPr>
              <w:pStyle w:val="TableContents"/>
              <w:bidi w:val="0"/>
              <w:spacing w:before="0" w:after="283"/>
              <w:jc w:val="left"/>
              <w:rPr/>
            </w:pPr>
            <w:r>
              <w:rPr/>
              <w:t>(1)</w:t>
            </w:r>
          </w:p>
        </w:tc>
        <w:tc>
          <w:tcPr>
            <w:tcW w:w="9972" w:type="dxa"/>
            <w:tcBorders/>
            <w:vAlign w:val="center"/>
          </w:tcPr>
          <w:p>
            <w:pPr>
              <w:pStyle w:val="TableContents"/>
              <w:bidi w:val="0"/>
              <w:spacing w:before="0" w:after="283"/>
              <w:jc w:val="left"/>
              <w:rPr/>
            </w:pPr>
            <w:r>
              <w:rPr/>
              <w:t>Reflects values approved by the HCC Committee for the LTI award granted on February 11, 2026. These values differ from those that will be reported in the Summary Compensation Table in 2027, which will be calculated in accordance with Financial Accounting Standards Board (FASB) Accounting Standards Codification (ASC) Topic 718, Compensation—Stock Compensation.</w:t>
            </w:r>
          </w:p>
        </w:tc>
      </w:tr>
    </w:tbl>
    <w:p>
      <w:pPr>
        <w:pStyle w:val="TextBody"/>
        <w:bidi w:val="0"/>
        <w:spacing w:before="200" w:after="283"/>
        <w:jc w:val="left"/>
        <w:rPr/>
      </w:pPr>
      <w:r>
        <w:rPr>
          <w:rFonts w:ascii="Arial;Helvetica;Sans-Serif" w:hAnsi="Arial;Helvetica;Sans-Serif"/>
          <w:b/>
          <w:color w:val="000000"/>
          <w:sz w:val="15"/>
        </w:rPr>
        <w:t>4</w:t>
      </w:r>
      <w:r>
        <w:rPr>
          <w:rFonts w:ascii="Arial;Helvetica;Sans-Serif" w:hAnsi="Arial;Helvetica;Sans-Serif"/>
          <w:color w:val="000000"/>
          <w:sz w:val="15"/>
        </w:rPr>
        <w:t>    </w:t>
      </w:r>
      <w:r>
        <w:rPr>
          <w:rFonts w:ascii="Arial;Helvetica;Sans-Serif" w:hAnsi="Arial;Helvetica;Sans-Serif"/>
          <w:b/>
          <w:sz w:val="15"/>
        </w:rPr>
        <w:t>RTX</w:t>
      </w:r>
      <w:r>
        <w:rPr>
          <w:rFonts w:ascii="Arial;Helvetica;Sans-Serif" w:hAnsi="Arial;Helvetica;Sans-Serif"/>
          <w:sz w:val="15"/>
        </w:rPr>
        <w:t xml:space="preserve"> 2026 PROXY STATEMENT</w:t>
      </w:r>
    </w:p>
    <w:p>
      <w:pPr>
        <w:pStyle w:val="HorizontalLine"/>
        <w:pBdr>
          <w:bottom w:val="double" w:sz="2" w:space="0" w:color="808080"/>
        </w:pBdr>
        <w:bidi w:val="0"/>
        <w:spacing w:before="0" w:after="283"/>
        <w:jc w:val="left"/>
        <w:rPr/>
      </w:pPr>
      <w:r>
        <w:rPr/>
      </w:r>
    </w:p>
    <w:p>
      <w:pPr>
        <w:pStyle w:val="TextBody"/>
        <w:bidi w:val="0"/>
        <w:spacing w:before="200" w:after="200"/>
        <w:jc w:val="left"/>
        <w:rPr/>
      </w:pPr>
      <w:hyperlink w:anchor="toc">
        <w:r>
          <w:rPr>
            <w:rStyle w:val="InternetLink"/>
            <w:rFonts w:ascii="Arial;Helvetica;Sans-Serif" w:hAnsi="Arial;Helvetica;Sans-Serif"/>
            <w:b/>
            <w:i w:val="false"/>
            <w:caps w:val="false"/>
            <w:smallCaps w:val="false"/>
            <w:sz w:val="16"/>
          </w:rPr>
          <w:t>Table of Contents</w:t>
        </w:r>
      </w:hyperlink>
    </w:p>
    <w:p>
      <w:pPr>
        <w:pStyle w:val="TextBody"/>
        <w:bidi w:val="0"/>
        <w:jc w:val="right"/>
        <w:rPr>
          <w:shd w:fill="B2B2B0" w:val="clear"/>
        </w:rPr>
      </w:pPr>
      <w:r>
        <w:rPr>
          <w:rFonts w:ascii="Arial;Helvetica;Sans-Serif" w:hAnsi="Arial;Helvetica;Sans-Serif"/>
          <w:b/>
          <w:i w:val="false"/>
          <w:caps w:val="false"/>
          <w:smallCaps w:val="false"/>
          <w:color w:val="FFFFFF"/>
          <w:sz w:val="15"/>
          <w:shd w:fill="B2B2B0" w:val="clear"/>
        </w:rPr>
        <w:t>PROXY SUMMARY</w:t>
      </w:r>
      <w:r>
        <w:rPr>
          <w:color w:val="FFFFFF"/>
          <w:shd w:fill="B2B2B0" w:val="clear"/>
        </w:rPr>
        <w:br/>
      </w:r>
      <w:r>
        <w:rPr>
          <w:rFonts w:ascii="Arial;Helvetica;Sans-Serif" w:hAnsi="Arial;Helvetica;Sans-Serif"/>
          <w:b w:val="false"/>
          <w:i w:val="false"/>
          <w:caps w:val="false"/>
          <w:smallCaps w:val="false"/>
          <w:color w:val="FFFFFF"/>
          <w:sz w:val="15"/>
          <w:shd w:fill="B2B2B0" w:val="clear"/>
        </w:rPr>
        <w:t>EXECUTIVE COMPENSATION OVERVIEW</w:t>
      </w:r>
    </w:p>
    <w:p>
      <w:pPr>
        <w:pStyle w:val="TextBody"/>
        <w:bidi w:val="0"/>
        <w:spacing w:before="0" w:after="0"/>
        <w:ind w:left="0" w:right="0" w:hanging="0"/>
        <w:jc w:val="left"/>
        <w:rPr>
          <w:caps w:val="false"/>
          <w:smallCaps w:val="false"/>
          <w:color w:val="C12E33"/>
        </w:rPr>
      </w:pPr>
      <w:r>
        <w:rPr>
          <w:caps w:val="false"/>
          <w:smallCaps w:val="false"/>
          <w:color w:val="C12E33"/>
        </w:rPr>
        <w:t> </w:t>
      </w:r>
    </w:p>
    <w:p>
      <w:pPr>
        <w:pStyle w:val="TextBody"/>
        <w:bidi w:val="0"/>
        <w:spacing w:before="0" w:after="0"/>
        <w:ind w:left="0" w:right="0" w:hanging="0"/>
        <w:jc w:val="left"/>
        <w:rPr>
          <w:rFonts w:ascii="Arial;Helvetica;Sans-Serif" w:hAnsi="Arial;Helvetica;Sans-Serif"/>
          <w:b/>
          <w:i w:val="false"/>
          <w:caps w:val="false"/>
          <w:smallCaps w:val="false"/>
          <w:color w:val="C12E33"/>
          <w:sz w:val="22"/>
        </w:rPr>
      </w:pPr>
      <w:r>
        <w:rPr>
          <w:rFonts w:ascii="Arial;Helvetica;Sans-Serif" w:hAnsi="Arial;Helvetica;Sans-Serif"/>
          <w:b/>
          <w:i w:val="false"/>
          <w:caps w:val="false"/>
          <w:smallCaps w:val="false"/>
          <w:color w:val="C12E33"/>
          <w:sz w:val="22"/>
        </w:rPr>
        <w:t>2025 Performance Metrics</w:t>
      </w:r>
    </w:p>
    <w:p>
      <w:pPr>
        <w:pStyle w:val="TextBody"/>
        <w:bidi w:val="0"/>
        <w:spacing w:before="0" w:after="0"/>
        <w:ind w:left="0" w:right="0" w:hanging="0"/>
        <w:jc w:val="left"/>
        <w:rPr>
          <w:caps w:val="false"/>
          <w:smallCaps w:val="false"/>
          <w:color w:val="C12E33"/>
        </w:rPr>
      </w:pPr>
      <w:r>
        <w:rPr>
          <w:caps w:val="false"/>
          <w:smallCaps w:val="false"/>
          <w:color w:val="C12E33"/>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HCC Committee believes that the metrics used for our annual and LTI plans are strong indicators of the long-term health of the Company and measure particularly important aspects of Company performance, therefore serving the fundamental objective of our executive compensation program.</w:t>
      </w:r>
    </w:p>
    <w:p>
      <w:pPr>
        <w:pStyle w:val="TextBody"/>
        <w:bidi w:val="0"/>
        <w:spacing w:before="0" w:after="0"/>
        <w:ind w:left="0" w:right="0" w:hanging="0"/>
        <w:jc w:val="left"/>
        <w:rPr>
          <w:caps w:val="false"/>
          <w:smallCaps w:val="false"/>
        </w:rPr>
      </w:pPr>
      <w:r>
        <w:rPr>
          <w:caps w:val="false"/>
          <w:smallCaps w:val="false"/>
        </w:rPr>
        <w:t> </w:t>
      </w:r>
    </w:p>
    <w:tbl>
      <w:tblPr>
        <w:tblW w:w="5045" w:type="dxa"/>
        <w:jc w:val="left"/>
        <w:tblInd w:w="0" w:type="dxa"/>
        <w:tblLayout w:type="fixed"/>
        <w:tblCellMar>
          <w:top w:w="0" w:type="dxa"/>
          <w:left w:w="0" w:type="dxa"/>
          <w:bottom w:w="40" w:type="dxa"/>
          <w:right w:w="0" w:type="dxa"/>
        </w:tblCellMar>
      </w:tblPr>
      <w:tblGrid>
        <w:gridCol w:w="4970"/>
        <w:gridCol w:w="75"/>
      </w:tblGrid>
      <w:tr>
        <w:trPr/>
        <w:tc>
          <w:tcPr>
            <w:tcW w:w="4970" w:type="dxa"/>
            <w:tcBorders>
              <w:bottom w:val="single" w:sz="2" w:space="0" w:color="C12E33"/>
            </w:tcBorders>
            <w:vAlign w:val="center"/>
          </w:tcPr>
          <w:p>
            <w:pPr>
              <w:pStyle w:val="TableContents"/>
              <w:bidi w:val="0"/>
              <w:spacing w:before="0" w:after="283"/>
              <w:jc w:val="left"/>
              <w:rPr>
                <w:b/>
              </w:rPr>
            </w:pPr>
            <w:r>
              <w:rPr>
                <w:b/>
              </w:rPr>
              <w:t>Metrics for the Annual Incentive Plan (“AIP”)</w:t>
            </w:r>
            <w:r>
              <w:rPr>
                <w:b/>
                <w:position w:val="8"/>
                <w:sz w:val="19"/>
              </w:rPr>
              <w:t>(1)</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 xml:space="preserve">Earnings </w:t>
      </w:r>
      <w:r>
        <w:rPr>
          <w:rFonts w:ascii="Arial;Helvetica;Sans-Serif" w:hAnsi="Arial;Helvetica;Sans-Serif"/>
          <w:b w:val="false"/>
          <w:i w:val="false"/>
          <w:caps w:val="false"/>
          <w:smallCaps w:val="false"/>
          <w:sz w:val="20"/>
        </w:rPr>
        <w:t>measure the immediate impact of operating decisions on the Company’s annual performance. For our Corporate executives, we use adjusted net income as our RTX-wide earnings metric. For our business units, we use adjusted segment operating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 xml:space="preserve">Free Cash Flow (“FCF”) </w:t>
      </w:r>
      <w:r>
        <w:rPr>
          <w:rFonts w:ascii="Arial;Helvetica;Sans-Serif" w:hAnsi="Arial;Helvetica;Sans-Serif"/>
          <w:b w:val="false"/>
          <w:i w:val="false"/>
          <w:caps w:val="false"/>
          <w:smallCaps w:val="false"/>
          <w:sz w:val="20"/>
        </w:rPr>
        <w:t>measures our ability to generate cash to fund our operations and key business investments—such as funding critical research and development, strategic acquisitions, paying down debt or distributing earnings to our shareowners.</w:t>
      </w:r>
    </w:p>
    <w:p>
      <w:pPr>
        <w:pStyle w:val="TextBody"/>
        <w:bidi w:val="0"/>
        <w:spacing w:before="0" w:after="0"/>
        <w:ind w:left="0" w:right="0" w:hanging="0"/>
        <w:jc w:val="left"/>
        <w:rPr>
          <w:caps w:val="false"/>
          <w:smallCaps w:val="false"/>
        </w:rPr>
      </w:pPr>
      <w:r>
        <w:rPr>
          <w:caps w:val="false"/>
          <w:smallCaps w:val="false"/>
        </w:rPr>
        <w:t> </w:t>
      </w:r>
    </w:p>
    <w:tbl>
      <w:tblPr>
        <w:tblW w:w="5105" w:type="dxa"/>
        <w:jc w:val="left"/>
        <w:tblInd w:w="0" w:type="dxa"/>
        <w:tblLayout w:type="fixed"/>
        <w:tblCellMar>
          <w:top w:w="0" w:type="dxa"/>
          <w:left w:w="0" w:type="dxa"/>
          <w:bottom w:w="40" w:type="dxa"/>
          <w:right w:w="0" w:type="dxa"/>
        </w:tblCellMar>
      </w:tblPr>
      <w:tblGrid>
        <w:gridCol w:w="5030"/>
        <w:gridCol w:w="75"/>
      </w:tblGrid>
      <w:tr>
        <w:trPr/>
        <w:tc>
          <w:tcPr>
            <w:tcW w:w="5030" w:type="dxa"/>
            <w:tcBorders>
              <w:bottom w:val="single" w:sz="2" w:space="0" w:color="C12E33"/>
            </w:tcBorders>
            <w:vAlign w:val="center"/>
          </w:tcPr>
          <w:p>
            <w:pPr>
              <w:pStyle w:val="TableContents"/>
              <w:bidi w:val="0"/>
              <w:spacing w:before="0" w:after="283"/>
              <w:jc w:val="left"/>
              <w:rPr>
                <w:b/>
              </w:rPr>
            </w:pPr>
            <w:r>
              <w:rPr>
                <w:b/>
              </w:rPr>
              <w:t>Metrics for Performance Share Units (“PSUs”)</w:t>
            </w:r>
            <w:r>
              <w:rPr>
                <w:b/>
                <w:position w:val="8"/>
                <w:sz w:val="19"/>
              </w:rPr>
              <w:t>(1)</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Adjusted Earnings Per Share (“EPS”)</w:t>
      </w:r>
      <w:r>
        <w:rPr>
          <w:rFonts w:ascii="Arial;Helvetica;Sans-Serif" w:hAnsi="Arial;Helvetica;Sans-Serif"/>
          <w:b w:val="false"/>
          <w:i w:val="false"/>
          <w:caps w:val="false"/>
          <w:smallCaps w:val="false"/>
          <w:sz w:val="20"/>
        </w:rPr>
        <w:t> measures our ability to create long-term, sustainable earnings that will ultimately drive TSR.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Return on Invested Capital (“ROIC”)</w:t>
      </w:r>
      <w:r>
        <w:rPr>
          <w:rFonts w:ascii="Arial;Helvetica;Sans-Serif" w:hAnsi="Arial;Helvetica;Sans-Serif"/>
          <w:b w:val="false"/>
          <w:i w:val="false"/>
          <w:caps w:val="false"/>
          <w:smallCaps w:val="false"/>
          <w:sz w:val="20"/>
        </w:rPr>
        <w:t> measures the efficiency with which we allocate capital resources, considering not just the quantity of earnings but also the quality of earnings and investments that drive sustainable growth.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Relative Total Shareowner Return (“TSR”)</w:t>
      </w:r>
      <w:r>
        <w:rPr>
          <w:rFonts w:ascii="Arial;Helvetica;Sans-Serif" w:hAnsi="Arial;Helvetica;Sans-Serif"/>
          <w:b w:val="false"/>
          <w:i w:val="false"/>
          <w:caps w:val="false"/>
          <w:smallCaps w:val="false"/>
          <w:sz w:val="20"/>
        </w:rPr>
        <w:t> measures our ability to return value to our shareowners compared to competing investment opportunities like the S&amp;P 500 Index and our Core A&amp;D Peers</w:t>
      </w:r>
      <w:r>
        <w:rPr>
          <w:rFonts w:ascii="Arial;Helvetica;Sans-Serif" w:hAnsi="Arial;Helvetica;Sans-Serif"/>
          <w:b w:val="false"/>
          <w:i w:val="false"/>
          <w:caps w:val="false"/>
          <w:smallCaps w:val="false"/>
          <w:position w:val="7"/>
          <w:sz w:val="16"/>
          <w:sz w:val="20"/>
        </w:rPr>
        <w:t>(2)</w:t>
      </w:r>
      <w:r>
        <w:rPr>
          <w:rFonts w:ascii="Arial;Helvetica;Sans-Serif" w:hAnsi="Arial;Helvetica;Sans-Serif"/>
          <w:b w:val="false"/>
          <w:i w:val="false"/>
          <w:caps w:val="false"/>
          <w:smallCaps w:val="false"/>
          <w:sz w:val="20"/>
        </w:rPr>
        <w:t xml:space="preserve"> and reinforces our program’s pay-for-performance objectives.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2"/>
        <w:gridCol w:w="9933"/>
      </w:tblGrid>
      <w:tr>
        <w:trPr/>
        <w:tc>
          <w:tcPr>
            <w:tcW w:w="272" w:type="dxa"/>
            <w:tcBorders/>
            <w:vAlign w:val="center"/>
          </w:tcPr>
          <w:p>
            <w:pPr>
              <w:pStyle w:val="TableContents"/>
              <w:bidi w:val="0"/>
              <w:spacing w:before="0" w:after="283"/>
              <w:jc w:val="left"/>
              <w:rPr/>
            </w:pPr>
            <w:r>
              <w:rPr/>
              <w:t>(1)</w:t>
            </w:r>
          </w:p>
        </w:tc>
        <w:tc>
          <w:tcPr>
            <w:tcW w:w="9933" w:type="dxa"/>
            <w:tcBorders/>
            <w:vAlign w:val="center"/>
          </w:tcPr>
          <w:p>
            <w:pPr>
              <w:pStyle w:val="TableContents"/>
              <w:bidi w:val="0"/>
              <w:spacing w:before="0" w:after="283"/>
              <w:jc w:val="left"/>
              <w:rPr/>
            </w:pPr>
            <w:r>
              <w:rPr/>
              <w:t>See Appendix B on page 102 for definitions of financial metrics used for AIP and PSU purposes.</w:t>
            </w:r>
          </w:p>
        </w:tc>
      </w:tr>
      <w:tr>
        <w:trPr/>
        <w:tc>
          <w:tcPr>
            <w:tcW w:w="272" w:type="dxa"/>
            <w:tcBorders/>
            <w:vAlign w:val="center"/>
          </w:tcPr>
          <w:p>
            <w:pPr>
              <w:pStyle w:val="TableContents"/>
              <w:bidi w:val="0"/>
              <w:spacing w:before="0" w:after="283"/>
              <w:jc w:val="left"/>
              <w:rPr/>
            </w:pPr>
            <w:r>
              <w:rPr/>
              <w:t>(2)</w:t>
            </w:r>
          </w:p>
        </w:tc>
        <w:tc>
          <w:tcPr>
            <w:tcW w:w="9933" w:type="dxa"/>
            <w:tcBorders/>
            <w:vAlign w:val="center"/>
          </w:tcPr>
          <w:p>
            <w:pPr>
              <w:pStyle w:val="TableContents"/>
              <w:bidi w:val="0"/>
              <w:spacing w:before="0" w:after="283"/>
              <w:jc w:val="left"/>
              <w:rPr/>
            </w:pPr>
            <w:r>
              <w:rPr/>
              <w:t>For the 2025 PSUs, Core A&amp;D Peers consist of Airbus, Boeing, GE Aerospace, General Dynamics, Honeywell, L3Harris, Lockheed Martin, Northrop Grumman and Safran.</w:t>
            </w:r>
          </w:p>
        </w:tc>
      </w:tr>
    </w:tbl>
    <w:p>
      <w:pPr>
        <w:pStyle w:val="TextBody"/>
        <w:bidi w:val="0"/>
        <w:spacing w:before="0" w:after="0"/>
        <w:ind w:left="0" w:right="0" w:hanging="0"/>
        <w:jc w:val="left"/>
        <w:rPr>
          <w:caps w:val="false"/>
          <w:smallCaps w:val="false"/>
          <w:color w:val="C12E33"/>
        </w:rPr>
      </w:pPr>
      <w:r>
        <w:rPr>
          <w:caps w:val="false"/>
          <w:smallCaps w:val="false"/>
          <w:color w:val="C12E33"/>
        </w:rPr>
        <w:t> </w:t>
      </w:r>
    </w:p>
    <w:p>
      <w:pPr>
        <w:pStyle w:val="TextBody"/>
        <w:bidi w:val="0"/>
        <w:spacing w:before="0" w:after="0"/>
        <w:ind w:left="0" w:right="0" w:hanging="0"/>
        <w:jc w:val="left"/>
        <w:rPr>
          <w:rFonts w:ascii="Arial;Helvetica;Sans-Serif" w:hAnsi="Arial;Helvetica;Sans-Serif"/>
          <w:b/>
          <w:i w:val="false"/>
          <w:caps w:val="false"/>
          <w:smallCaps w:val="false"/>
          <w:color w:val="C12E33"/>
          <w:sz w:val="22"/>
        </w:rPr>
      </w:pPr>
      <w:r>
        <w:rPr>
          <w:rFonts w:ascii="Arial;Helvetica;Sans-Serif" w:hAnsi="Arial;Helvetica;Sans-Serif"/>
          <w:b/>
          <w:i w:val="false"/>
          <w:caps w:val="false"/>
          <w:smallCaps w:val="false"/>
          <w:color w:val="C12E33"/>
          <w:sz w:val="22"/>
        </w:rPr>
        <w:t>How 2025 Performance Affected Incentive Payouts</w:t>
      </w:r>
    </w:p>
    <w:p>
      <w:pPr>
        <w:pStyle w:val="TextBody"/>
        <w:bidi w:val="0"/>
        <w:spacing w:before="0" w:after="0"/>
        <w:ind w:left="0" w:right="0" w:hanging="0"/>
        <w:jc w:val="left"/>
        <w:rPr>
          <w:caps w:val="false"/>
          <w:smallCaps w:val="false"/>
          <w:color w:val="C12E33"/>
        </w:rPr>
      </w:pPr>
      <w:r>
        <w:rPr>
          <w:caps w:val="false"/>
          <w:smallCaps w:val="false"/>
          <w:color w:val="C12E33"/>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 xml:space="preserve">2025 Annual Incentives. </w:t>
      </w:r>
      <w:r>
        <w:rPr>
          <w:rFonts w:ascii="Arial;Helvetica;Sans-Serif" w:hAnsi="Arial;Helvetica;Sans-Serif"/>
          <w:b w:val="false"/>
          <w:i w:val="false"/>
          <w:caps w:val="false"/>
          <w:smallCaps w:val="false"/>
          <w:sz w:val="20"/>
        </w:rPr>
        <w:t>The table below shows the RTX-wide goals established by the HCC Committee for AIP purposes, our 2025 performance relative to these goals, and how these results translated into the 2025 RTX performance factor.</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40" w:type="dxa"/>
          <w:right w:w="0" w:type="dxa"/>
        </w:tblCellMar>
      </w:tblPr>
      <w:tblGrid>
        <w:gridCol w:w="4055"/>
        <w:gridCol w:w="300"/>
        <w:gridCol w:w="545"/>
        <w:gridCol w:w="300"/>
        <w:gridCol w:w="755"/>
        <w:gridCol w:w="300"/>
        <w:gridCol w:w="680"/>
        <w:gridCol w:w="300"/>
        <w:gridCol w:w="710"/>
        <w:gridCol w:w="300"/>
        <w:gridCol w:w="680"/>
        <w:gridCol w:w="300"/>
        <w:gridCol w:w="980"/>
      </w:tblGrid>
      <w:tr>
        <w:trPr/>
        <w:tc>
          <w:tcPr>
            <w:tcW w:w="4055" w:type="dxa"/>
            <w:tcBorders>
              <w:bottom w:val="single" w:sz="12" w:space="0" w:color="000000"/>
            </w:tcBorders>
            <w:vAlign w:val="center"/>
          </w:tcPr>
          <w:p>
            <w:pPr>
              <w:pStyle w:val="TableContents"/>
              <w:bidi w:val="0"/>
              <w:spacing w:before="0" w:after="283"/>
              <w:jc w:val="left"/>
              <w:rPr>
                <w:rFonts w:ascii="Arial;Helvetica;Sans-Serif" w:hAnsi="Arial;Helvetica;Sans-Serif"/>
                <w:color w:val="636466"/>
                <w:sz w:val="15"/>
              </w:rPr>
            </w:pPr>
            <w:r>
              <w:rPr>
                <w:rFonts w:ascii="Arial;Helvetica;Sans-Serif" w:hAnsi="Arial;Helvetica;Sans-Serif"/>
                <w:color w:val="636466"/>
                <w:sz w:val="15"/>
              </w:rPr>
              <w:t>Metric</w:t>
            </w:r>
            <w:r>
              <w:rPr>
                <w:rFonts w:ascii="Arial;Helvetica;Sans-Serif" w:hAnsi="Arial;Helvetica;Sans-Serif"/>
                <w:color w:val="636466"/>
                <w:position w:val="5"/>
                <w:sz w:val="12"/>
                <w:sz w:val="15"/>
              </w:rPr>
              <w:t>(1)</w:t>
            </w:r>
          </w:p>
        </w:tc>
        <w:tc>
          <w:tcPr>
            <w:tcW w:w="300" w:type="dxa"/>
            <w:tcBorders>
              <w:bottom w:val="single" w:sz="12" w:space="0" w:color="000000"/>
            </w:tcBorders>
            <w:vAlign w:val="center"/>
          </w:tcPr>
          <w:p>
            <w:pPr>
              <w:pStyle w:val="TableContents"/>
              <w:bidi w:val="0"/>
              <w:spacing w:before="0" w:after="283"/>
              <w:jc w:val="right"/>
              <w:rPr/>
            </w:pPr>
            <w:r>
              <w:rPr/>
              <w:t>     </w:t>
            </w:r>
          </w:p>
        </w:tc>
        <w:tc>
          <w:tcPr>
            <w:tcW w:w="545" w:type="dxa"/>
            <w:tcBorders>
              <w:bottom w:val="single" w:sz="12" w:space="0" w:color="000000"/>
            </w:tcBorders>
            <w:vAlign w:val="center"/>
          </w:tcPr>
          <w:p>
            <w:pPr>
              <w:pStyle w:val="TableContents"/>
              <w:bidi w:val="0"/>
              <w:spacing w:before="0" w:after="283"/>
              <w:jc w:val="right"/>
              <w:rPr>
                <w:rFonts w:ascii="Arial;Helvetica;Sans-Serif" w:hAnsi="Arial;Helvetica;Sans-Serif"/>
                <w:color w:val="636466"/>
                <w:sz w:val="15"/>
              </w:rPr>
            </w:pPr>
            <w:r>
              <w:rPr>
                <w:rFonts w:ascii="Arial;Helvetica;Sans-Serif" w:hAnsi="Arial;Helvetica;Sans-Serif"/>
                <w:color w:val="636466"/>
                <w:sz w:val="15"/>
              </w:rPr>
              <w:t>Weight </w:t>
            </w:r>
          </w:p>
        </w:tc>
        <w:tc>
          <w:tcPr>
            <w:tcW w:w="300" w:type="dxa"/>
            <w:tcBorders>
              <w:bottom w:val="single" w:sz="12" w:space="0" w:color="000000"/>
            </w:tcBorders>
            <w:vAlign w:val="center"/>
          </w:tcPr>
          <w:p>
            <w:pPr>
              <w:pStyle w:val="TableContents"/>
              <w:bidi w:val="0"/>
              <w:spacing w:before="0" w:after="283"/>
              <w:jc w:val="right"/>
              <w:rPr/>
            </w:pPr>
            <w:r>
              <w:rPr/>
              <w:t>     </w:t>
            </w:r>
          </w:p>
        </w:tc>
        <w:tc>
          <w:tcPr>
            <w:tcW w:w="755" w:type="dxa"/>
            <w:tcBorders>
              <w:bottom w:val="single" w:sz="12" w:space="0" w:color="000000"/>
            </w:tcBorders>
            <w:vAlign w:val="center"/>
          </w:tcPr>
          <w:p>
            <w:pPr>
              <w:pStyle w:val="TableContents"/>
              <w:bidi w:val="0"/>
              <w:spacing w:before="0" w:after="283"/>
              <w:jc w:val="right"/>
              <w:rPr>
                <w:rFonts w:ascii="Arial;Helvetica;Sans-Serif" w:hAnsi="Arial;Helvetica;Sans-Serif"/>
                <w:color w:val="636466"/>
                <w:sz w:val="15"/>
              </w:rPr>
            </w:pPr>
            <w:r>
              <w:rPr>
                <w:rFonts w:ascii="Arial;Helvetica;Sans-Serif" w:hAnsi="Arial;Helvetica;Sans-Serif"/>
                <w:color w:val="636466"/>
                <w:sz w:val="15"/>
              </w:rPr>
              <w:t>Threshold </w:t>
            </w:r>
          </w:p>
        </w:tc>
        <w:tc>
          <w:tcPr>
            <w:tcW w:w="300" w:type="dxa"/>
            <w:tcBorders>
              <w:bottom w:val="single" w:sz="12" w:space="0" w:color="000000"/>
            </w:tcBorders>
            <w:vAlign w:val="center"/>
          </w:tcPr>
          <w:p>
            <w:pPr>
              <w:pStyle w:val="TableContents"/>
              <w:bidi w:val="0"/>
              <w:spacing w:before="0" w:after="283"/>
              <w:jc w:val="right"/>
              <w:rPr/>
            </w:pPr>
            <w:r>
              <w:rPr/>
              <w:t>     </w:t>
            </w:r>
          </w:p>
        </w:tc>
        <w:tc>
          <w:tcPr>
            <w:tcW w:w="680" w:type="dxa"/>
            <w:tcBorders>
              <w:bottom w:val="single" w:sz="12" w:space="0" w:color="000000"/>
            </w:tcBorders>
            <w:vAlign w:val="center"/>
          </w:tcPr>
          <w:p>
            <w:pPr>
              <w:pStyle w:val="TableContents"/>
              <w:bidi w:val="0"/>
              <w:spacing w:before="0" w:after="283"/>
              <w:jc w:val="right"/>
              <w:rPr>
                <w:rFonts w:ascii="Arial;Helvetica;Sans-Serif" w:hAnsi="Arial;Helvetica;Sans-Serif"/>
                <w:b/>
                <w:color w:val="636466"/>
                <w:sz w:val="15"/>
              </w:rPr>
            </w:pPr>
            <w:r>
              <w:rPr>
                <w:rFonts w:ascii="Arial;Helvetica;Sans-Serif" w:hAnsi="Arial;Helvetica;Sans-Serif"/>
                <w:b/>
                <w:color w:val="636466"/>
                <w:sz w:val="15"/>
              </w:rPr>
              <w:t>Target</w:t>
            </w:r>
          </w:p>
        </w:tc>
        <w:tc>
          <w:tcPr>
            <w:tcW w:w="300" w:type="dxa"/>
            <w:tcBorders>
              <w:bottom w:val="single" w:sz="12" w:space="0" w:color="000000"/>
            </w:tcBorders>
            <w:vAlign w:val="center"/>
          </w:tcPr>
          <w:p>
            <w:pPr>
              <w:pStyle w:val="TableContents"/>
              <w:bidi w:val="0"/>
              <w:spacing w:before="0" w:after="283"/>
              <w:jc w:val="right"/>
              <w:rPr/>
            </w:pPr>
            <w:r>
              <w:rPr/>
              <w:t>     </w:t>
            </w:r>
          </w:p>
        </w:tc>
        <w:tc>
          <w:tcPr>
            <w:tcW w:w="710" w:type="dxa"/>
            <w:tcBorders>
              <w:bottom w:val="single" w:sz="12" w:space="0" w:color="000000"/>
            </w:tcBorders>
            <w:vAlign w:val="center"/>
          </w:tcPr>
          <w:p>
            <w:pPr>
              <w:pStyle w:val="TableContents"/>
              <w:bidi w:val="0"/>
              <w:spacing w:before="0" w:after="283"/>
              <w:jc w:val="right"/>
              <w:rPr>
                <w:rFonts w:ascii="Arial;Helvetica;Sans-Serif" w:hAnsi="Arial;Helvetica;Sans-Serif"/>
                <w:color w:val="636466"/>
                <w:sz w:val="15"/>
              </w:rPr>
            </w:pPr>
            <w:r>
              <w:rPr>
                <w:rFonts w:ascii="Arial;Helvetica;Sans-Serif" w:hAnsi="Arial;Helvetica;Sans-Serif"/>
                <w:color w:val="636466"/>
                <w:sz w:val="15"/>
              </w:rPr>
              <w:t>Maximum </w:t>
            </w:r>
          </w:p>
        </w:tc>
        <w:tc>
          <w:tcPr>
            <w:tcW w:w="300" w:type="dxa"/>
            <w:tcBorders>
              <w:bottom w:val="single" w:sz="12" w:space="0" w:color="000000"/>
            </w:tcBorders>
            <w:vAlign w:val="center"/>
          </w:tcPr>
          <w:p>
            <w:pPr>
              <w:pStyle w:val="TableContents"/>
              <w:bidi w:val="0"/>
              <w:spacing w:before="0" w:after="283"/>
              <w:jc w:val="right"/>
              <w:rPr/>
            </w:pPr>
            <w:r>
              <w:rPr/>
              <w:t>     </w:t>
            </w:r>
          </w:p>
        </w:tc>
        <w:tc>
          <w:tcPr>
            <w:tcW w:w="680" w:type="dxa"/>
            <w:tcBorders>
              <w:bottom w:val="single" w:sz="12" w:space="0" w:color="000000"/>
            </w:tcBorders>
            <w:vAlign w:val="center"/>
          </w:tcPr>
          <w:p>
            <w:pPr>
              <w:pStyle w:val="TableContents"/>
              <w:bidi w:val="0"/>
              <w:spacing w:before="0" w:after="283"/>
              <w:jc w:val="right"/>
              <w:rPr>
                <w:rFonts w:ascii="Arial;Helvetica;Sans-Serif" w:hAnsi="Arial;Helvetica;Sans-Serif"/>
                <w:color w:val="636466"/>
                <w:sz w:val="15"/>
              </w:rPr>
            </w:pPr>
            <w:r>
              <w:rPr>
                <w:rFonts w:ascii="Arial;Helvetica;Sans-Serif" w:hAnsi="Arial;Helvetica;Sans-Serif"/>
                <w:color w:val="636466"/>
                <w:sz w:val="15"/>
              </w:rPr>
              <w:t>Actual</w:t>
            </w:r>
          </w:p>
        </w:tc>
        <w:tc>
          <w:tcPr>
            <w:tcW w:w="300" w:type="dxa"/>
            <w:tcBorders>
              <w:bottom w:val="single" w:sz="12" w:space="0" w:color="000000"/>
            </w:tcBorders>
            <w:vAlign w:val="center"/>
          </w:tcPr>
          <w:p>
            <w:pPr>
              <w:pStyle w:val="TableContents"/>
              <w:bidi w:val="0"/>
              <w:spacing w:before="0" w:after="283"/>
              <w:jc w:val="right"/>
              <w:rPr/>
            </w:pPr>
            <w:r>
              <w:rPr/>
              <w:t>     </w:t>
            </w:r>
          </w:p>
        </w:tc>
        <w:tc>
          <w:tcPr>
            <w:tcW w:w="980" w:type="dxa"/>
            <w:tcBorders>
              <w:bottom w:val="single" w:sz="12" w:space="0" w:color="000000"/>
            </w:tcBorders>
            <w:vAlign w:val="center"/>
          </w:tcPr>
          <w:p>
            <w:pPr>
              <w:pStyle w:val="TableContents"/>
              <w:bidi w:val="0"/>
              <w:spacing w:before="0" w:after="283"/>
              <w:jc w:val="right"/>
              <w:rPr>
                <w:rFonts w:ascii="Arial;Helvetica;Sans-Serif" w:hAnsi="Arial;Helvetica;Sans-Serif"/>
                <w:b/>
                <w:color w:val="636466"/>
                <w:sz w:val="15"/>
              </w:rPr>
            </w:pPr>
            <w:r>
              <w:rPr>
                <w:rFonts w:ascii="Arial;Helvetica;Sans-Serif" w:hAnsi="Arial;Helvetica;Sans-Serif"/>
                <w:b/>
                <w:color w:val="636466"/>
                <w:sz w:val="15"/>
              </w:rPr>
              <w:t>Performance</w:t>
              <w:br/>
              <w:t>Factor</w:t>
            </w:r>
          </w:p>
        </w:tc>
      </w:tr>
      <w:tr>
        <w:trPr/>
        <w:tc>
          <w:tcPr>
            <w:tcW w:w="4055" w:type="dxa"/>
            <w:tcBorders>
              <w:bottom w:val="single" w:sz="2" w:space="0" w:color="000000"/>
            </w:tcBorders>
            <w:vAlign w:val="center"/>
          </w:tcPr>
          <w:p>
            <w:pPr>
              <w:pStyle w:val="TableContents"/>
              <w:bidi w:val="0"/>
              <w:spacing w:before="0" w:after="283"/>
              <w:jc w:val="left"/>
              <w:rPr>
                <w:b/>
              </w:rPr>
            </w:pPr>
            <w:r>
              <w:rPr>
                <w:b/>
              </w:rPr>
              <w:t>RTX Earnings—Adjusted Net Income ($M)</w:t>
            </w:r>
          </w:p>
        </w:tc>
        <w:tc>
          <w:tcPr>
            <w:tcW w:w="300" w:type="dxa"/>
            <w:tcBorders>
              <w:bottom w:val="single" w:sz="2" w:space="0" w:color="000000"/>
            </w:tcBorders>
            <w:vAlign w:val="center"/>
          </w:tcPr>
          <w:p>
            <w:pPr>
              <w:pStyle w:val="TableContents"/>
              <w:bidi w:val="0"/>
              <w:spacing w:before="0" w:after="283"/>
              <w:jc w:val="right"/>
              <w:rPr/>
            </w:pPr>
            <w:r>
              <w:rPr/>
              <w:t> </w:t>
            </w:r>
          </w:p>
        </w:tc>
        <w:tc>
          <w:tcPr>
            <w:tcW w:w="545" w:type="dxa"/>
            <w:tcBorders>
              <w:bottom w:val="single" w:sz="2" w:space="0" w:color="000000"/>
            </w:tcBorders>
            <w:vAlign w:val="center"/>
          </w:tcPr>
          <w:p>
            <w:pPr>
              <w:pStyle w:val="TableContents"/>
              <w:bidi w:val="0"/>
              <w:spacing w:before="0" w:after="283"/>
              <w:jc w:val="right"/>
              <w:rPr/>
            </w:pPr>
            <w:r>
              <w:rPr/>
              <w:t>50%</w:t>
            </w:r>
          </w:p>
        </w:tc>
        <w:tc>
          <w:tcPr>
            <w:tcW w:w="300" w:type="dxa"/>
            <w:tcBorders>
              <w:bottom w:val="single" w:sz="2" w:space="0" w:color="000000"/>
            </w:tcBorders>
            <w:vAlign w:val="center"/>
          </w:tcPr>
          <w:p>
            <w:pPr>
              <w:pStyle w:val="TableContents"/>
              <w:bidi w:val="0"/>
              <w:spacing w:before="0" w:after="283"/>
              <w:jc w:val="right"/>
              <w:rPr/>
            </w:pPr>
            <w:r>
              <w:rPr/>
              <w:t> </w:t>
            </w:r>
          </w:p>
        </w:tc>
        <w:tc>
          <w:tcPr>
            <w:tcW w:w="755" w:type="dxa"/>
            <w:tcBorders>
              <w:bottom w:val="single" w:sz="2" w:space="0" w:color="000000"/>
            </w:tcBorders>
            <w:vAlign w:val="center"/>
          </w:tcPr>
          <w:p>
            <w:pPr>
              <w:pStyle w:val="TableContents"/>
              <w:bidi w:val="0"/>
              <w:spacing w:before="0" w:after="283"/>
              <w:jc w:val="right"/>
              <w:rPr/>
            </w:pPr>
            <w:r>
              <w:rPr/>
              <w:t>$7,090</w:t>
            </w:r>
          </w:p>
        </w:tc>
        <w:tc>
          <w:tcPr>
            <w:tcW w:w="300" w:type="dxa"/>
            <w:tcBorders>
              <w:bottom w:val="single" w:sz="2" w:space="0" w:color="000000"/>
            </w:tcBorders>
            <w:vAlign w:val="center"/>
          </w:tcPr>
          <w:p>
            <w:pPr>
              <w:pStyle w:val="TableContents"/>
              <w:bidi w:val="0"/>
              <w:spacing w:before="0" w:after="283"/>
              <w:jc w:val="right"/>
              <w:rPr/>
            </w:pPr>
            <w:r>
              <w:rPr/>
              <w:t> </w:t>
            </w:r>
          </w:p>
        </w:tc>
        <w:tc>
          <w:tcPr>
            <w:tcW w:w="680" w:type="dxa"/>
            <w:tcBorders>
              <w:bottom w:val="single" w:sz="2" w:space="0" w:color="000000"/>
            </w:tcBorders>
            <w:vAlign w:val="center"/>
          </w:tcPr>
          <w:p>
            <w:pPr>
              <w:pStyle w:val="TableContents"/>
              <w:bidi w:val="0"/>
              <w:spacing w:before="0" w:after="283"/>
              <w:jc w:val="right"/>
              <w:rPr/>
            </w:pPr>
            <w:r>
              <w:rPr/>
              <w:t>$8,340</w:t>
            </w:r>
          </w:p>
        </w:tc>
        <w:tc>
          <w:tcPr>
            <w:tcW w:w="300" w:type="dxa"/>
            <w:tcBorders>
              <w:bottom w:val="single" w:sz="2" w:space="0" w:color="000000"/>
            </w:tcBorders>
            <w:vAlign w:val="center"/>
          </w:tcPr>
          <w:p>
            <w:pPr>
              <w:pStyle w:val="TableContents"/>
              <w:bidi w:val="0"/>
              <w:spacing w:before="0" w:after="283"/>
              <w:jc w:val="right"/>
              <w:rPr/>
            </w:pPr>
            <w:r>
              <w:rPr/>
              <w:t> </w:t>
            </w:r>
          </w:p>
        </w:tc>
        <w:tc>
          <w:tcPr>
            <w:tcW w:w="710" w:type="dxa"/>
            <w:tcBorders>
              <w:bottom w:val="single" w:sz="2" w:space="0" w:color="000000"/>
            </w:tcBorders>
            <w:vAlign w:val="center"/>
          </w:tcPr>
          <w:p>
            <w:pPr>
              <w:pStyle w:val="TableContents"/>
              <w:bidi w:val="0"/>
              <w:spacing w:before="0" w:after="283"/>
              <w:jc w:val="right"/>
              <w:rPr/>
            </w:pPr>
            <w:r>
              <w:rPr/>
              <w:t>$9,590</w:t>
            </w:r>
          </w:p>
        </w:tc>
        <w:tc>
          <w:tcPr>
            <w:tcW w:w="300" w:type="dxa"/>
            <w:tcBorders>
              <w:bottom w:val="single" w:sz="2" w:space="0" w:color="000000"/>
            </w:tcBorders>
            <w:vAlign w:val="center"/>
          </w:tcPr>
          <w:p>
            <w:pPr>
              <w:pStyle w:val="TableContents"/>
              <w:bidi w:val="0"/>
              <w:spacing w:before="0" w:after="283"/>
              <w:jc w:val="right"/>
              <w:rPr/>
            </w:pPr>
            <w:r>
              <w:rPr/>
              <w:t> </w:t>
            </w:r>
          </w:p>
        </w:tc>
        <w:tc>
          <w:tcPr>
            <w:tcW w:w="680" w:type="dxa"/>
            <w:tcBorders>
              <w:bottom w:val="single" w:sz="2" w:space="0" w:color="000000"/>
            </w:tcBorders>
            <w:vAlign w:val="center"/>
          </w:tcPr>
          <w:p>
            <w:pPr>
              <w:pStyle w:val="TableContents"/>
              <w:bidi w:val="0"/>
              <w:spacing w:before="0" w:after="283"/>
              <w:jc w:val="right"/>
              <w:rPr/>
            </w:pPr>
            <w:r>
              <w:rPr/>
              <w:t>$9,115</w:t>
            </w:r>
          </w:p>
        </w:tc>
        <w:tc>
          <w:tcPr>
            <w:tcW w:w="300" w:type="dxa"/>
            <w:tcBorders>
              <w:bottom w:val="single" w:sz="2" w:space="0" w:color="000000"/>
            </w:tcBorders>
            <w:vAlign w:val="center"/>
          </w:tcPr>
          <w:p>
            <w:pPr>
              <w:pStyle w:val="TableContents"/>
              <w:bidi w:val="0"/>
              <w:spacing w:before="0" w:after="283"/>
              <w:jc w:val="right"/>
              <w:rPr/>
            </w:pPr>
            <w:r>
              <w:rPr/>
              <w:t> </w:t>
            </w:r>
          </w:p>
        </w:tc>
        <w:tc>
          <w:tcPr>
            <w:tcW w:w="980" w:type="dxa"/>
            <w:tcBorders>
              <w:bottom w:val="single" w:sz="2" w:space="0" w:color="000000"/>
            </w:tcBorders>
            <w:vAlign w:val="center"/>
          </w:tcPr>
          <w:p>
            <w:pPr>
              <w:pStyle w:val="TableContents"/>
              <w:bidi w:val="0"/>
              <w:spacing w:before="0" w:after="283"/>
              <w:jc w:val="right"/>
              <w:rPr>
                <w:b/>
              </w:rPr>
            </w:pPr>
            <w:r>
              <w:rPr>
                <w:b/>
              </w:rPr>
              <w:t>162%</w:t>
            </w:r>
          </w:p>
        </w:tc>
      </w:tr>
      <w:tr>
        <w:trPr/>
        <w:tc>
          <w:tcPr>
            <w:tcW w:w="4055" w:type="dxa"/>
            <w:tcBorders>
              <w:bottom w:val="single" w:sz="12" w:space="0" w:color="000000"/>
            </w:tcBorders>
            <w:vAlign w:val="center"/>
          </w:tcPr>
          <w:p>
            <w:pPr>
              <w:pStyle w:val="TableContents"/>
              <w:bidi w:val="0"/>
              <w:spacing w:before="0" w:after="283"/>
              <w:jc w:val="left"/>
              <w:rPr>
                <w:b/>
              </w:rPr>
            </w:pPr>
            <w:r>
              <w:rPr>
                <w:b/>
              </w:rPr>
              <w:t>RTX Free Cash Flow ($M)</w:t>
            </w:r>
          </w:p>
        </w:tc>
        <w:tc>
          <w:tcPr>
            <w:tcW w:w="300" w:type="dxa"/>
            <w:tcBorders>
              <w:bottom w:val="single" w:sz="12" w:space="0" w:color="000000"/>
            </w:tcBorders>
            <w:vAlign w:val="center"/>
          </w:tcPr>
          <w:p>
            <w:pPr>
              <w:pStyle w:val="TableContents"/>
              <w:bidi w:val="0"/>
              <w:spacing w:before="0" w:after="283"/>
              <w:jc w:val="right"/>
              <w:rPr/>
            </w:pPr>
            <w:r>
              <w:rPr/>
              <w:t> </w:t>
            </w:r>
          </w:p>
        </w:tc>
        <w:tc>
          <w:tcPr>
            <w:tcW w:w="545" w:type="dxa"/>
            <w:tcBorders>
              <w:bottom w:val="single" w:sz="12" w:space="0" w:color="000000"/>
            </w:tcBorders>
            <w:vAlign w:val="center"/>
          </w:tcPr>
          <w:p>
            <w:pPr>
              <w:pStyle w:val="TableContents"/>
              <w:bidi w:val="0"/>
              <w:spacing w:before="0" w:after="283"/>
              <w:jc w:val="right"/>
              <w:rPr/>
            </w:pPr>
            <w:r>
              <w:rPr/>
              <w:t>50%</w:t>
            </w:r>
          </w:p>
        </w:tc>
        <w:tc>
          <w:tcPr>
            <w:tcW w:w="300" w:type="dxa"/>
            <w:tcBorders>
              <w:bottom w:val="single" w:sz="12" w:space="0" w:color="000000"/>
            </w:tcBorders>
            <w:vAlign w:val="center"/>
          </w:tcPr>
          <w:p>
            <w:pPr>
              <w:pStyle w:val="TableContents"/>
              <w:bidi w:val="0"/>
              <w:spacing w:before="0" w:after="283"/>
              <w:jc w:val="right"/>
              <w:rPr/>
            </w:pPr>
            <w:r>
              <w:rPr/>
              <w:t> </w:t>
            </w:r>
          </w:p>
        </w:tc>
        <w:tc>
          <w:tcPr>
            <w:tcW w:w="755" w:type="dxa"/>
            <w:tcBorders>
              <w:bottom w:val="single" w:sz="12" w:space="0" w:color="000000"/>
            </w:tcBorders>
            <w:vAlign w:val="center"/>
          </w:tcPr>
          <w:p>
            <w:pPr>
              <w:pStyle w:val="TableContents"/>
              <w:bidi w:val="0"/>
              <w:spacing w:before="0" w:after="283"/>
              <w:jc w:val="right"/>
              <w:rPr/>
            </w:pPr>
            <w:r>
              <w:rPr/>
              <w:t>$6,065</w:t>
            </w:r>
          </w:p>
        </w:tc>
        <w:tc>
          <w:tcPr>
            <w:tcW w:w="300" w:type="dxa"/>
            <w:tcBorders>
              <w:bottom w:val="single" w:sz="12" w:space="0" w:color="000000"/>
            </w:tcBorders>
            <w:vAlign w:val="center"/>
          </w:tcPr>
          <w:p>
            <w:pPr>
              <w:pStyle w:val="TableContents"/>
              <w:bidi w:val="0"/>
              <w:spacing w:before="0" w:after="283"/>
              <w:jc w:val="right"/>
              <w:rPr/>
            </w:pPr>
            <w:r>
              <w:rPr/>
              <w:t> </w:t>
            </w:r>
          </w:p>
        </w:tc>
        <w:tc>
          <w:tcPr>
            <w:tcW w:w="680" w:type="dxa"/>
            <w:tcBorders>
              <w:bottom w:val="single" w:sz="12" w:space="0" w:color="000000"/>
            </w:tcBorders>
            <w:vAlign w:val="center"/>
          </w:tcPr>
          <w:p>
            <w:pPr>
              <w:pStyle w:val="TableContents"/>
              <w:bidi w:val="0"/>
              <w:spacing w:before="0" w:after="283"/>
              <w:jc w:val="right"/>
              <w:rPr/>
            </w:pPr>
            <w:r>
              <w:rPr/>
              <w:t>$7,500</w:t>
            </w:r>
          </w:p>
        </w:tc>
        <w:tc>
          <w:tcPr>
            <w:tcW w:w="300" w:type="dxa"/>
            <w:tcBorders>
              <w:bottom w:val="single" w:sz="12" w:space="0" w:color="000000"/>
            </w:tcBorders>
            <w:vAlign w:val="center"/>
          </w:tcPr>
          <w:p>
            <w:pPr>
              <w:pStyle w:val="TableContents"/>
              <w:bidi w:val="0"/>
              <w:spacing w:before="0" w:after="283"/>
              <w:jc w:val="right"/>
              <w:rPr/>
            </w:pPr>
            <w:r>
              <w:rPr/>
              <w:t> </w:t>
            </w:r>
          </w:p>
        </w:tc>
        <w:tc>
          <w:tcPr>
            <w:tcW w:w="710" w:type="dxa"/>
            <w:tcBorders>
              <w:bottom w:val="single" w:sz="12" w:space="0" w:color="000000"/>
            </w:tcBorders>
            <w:vAlign w:val="center"/>
          </w:tcPr>
          <w:p>
            <w:pPr>
              <w:pStyle w:val="TableContents"/>
              <w:bidi w:val="0"/>
              <w:spacing w:before="0" w:after="283"/>
              <w:jc w:val="right"/>
              <w:rPr/>
            </w:pPr>
            <w:r>
              <w:rPr/>
              <w:t>$8,935</w:t>
            </w:r>
          </w:p>
        </w:tc>
        <w:tc>
          <w:tcPr>
            <w:tcW w:w="300" w:type="dxa"/>
            <w:tcBorders>
              <w:bottom w:val="single" w:sz="12" w:space="0" w:color="000000"/>
            </w:tcBorders>
            <w:vAlign w:val="center"/>
          </w:tcPr>
          <w:p>
            <w:pPr>
              <w:pStyle w:val="TableContents"/>
              <w:bidi w:val="0"/>
              <w:spacing w:before="0" w:after="283"/>
              <w:jc w:val="right"/>
              <w:rPr/>
            </w:pPr>
            <w:r>
              <w:rPr/>
              <w:t> </w:t>
            </w:r>
          </w:p>
        </w:tc>
        <w:tc>
          <w:tcPr>
            <w:tcW w:w="680" w:type="dxa"/>
            <w:tcBorders>
              <w:bottom w:val="single" w:sz="12" w:space="0" w:color="000000"/>
            </w:tcBorders>
            <w:vAlign w:val="center"/>
          </w:tcPr>
          <w:p>
            <w:pPr>
              <w:pStyle w:val="TableContents"/>
              <w:bidi w:val="0"/>
              <w:spacing w:before="0" w:after="283"/>
              <w:jc w:val="right"/>
              <w:rPr/>
            </w:pPr>
            <w:r>
              <w:rPr/>
              <w:t>$8,448</w:t>
            </w:r>
          </w:p>
        </w:tc>
        <w:tc>
          <w:tcPr>
            <w:tcW w:w="300" w:type="dxa"/>
            <w:tcBorders>
              <w:bottom w:val="single" w:sz="12" w:space="0" w:color="000000"/>
            </w:tcBorders>
            <w:vAlign w:val="center"/>
          </w:tcPr>
          <w:p>
            <w:pPr>
              <w:pStyle w:val="TableContents"/>
              <w:bidi w:val="0"/>
              <w:spacing w:before="0" w:after="283"/>
              <w:jc w:val="right"/>
              <w:rPr/>
            </w:pPr>
            <w:r>
              <w:rPr/>
              <w:t> </w:t>
            </w:r>
          </w:p>
        </w:tc>
        <w:tc>
          <w:tcPr>
            <w:tcW w:w="980" w:type="dxa"/>
            <w:tcBorders>
              <w:bottom w:val="single" w:sz="12" w:space="0" w:color="000000"/>
            </w:tcBorders>
            <w:vAlign w:val="center"/>
          </w:tcPr>
          <w:p>
            <w:pPr>
              <w:pStyle w:val="TableContents"/>
              <w:bidi w:val="0"/>
              <w:spacing w:before="0" w:after="283"/>
              <w:jc w:val="right"/>
              <w:rPr>
                <w:b/>
              </w:rPr>
            </w:pPr>
            <w:r>
              <w:rPr>
                <w:b/>
              </w:rPr>
              <w:t>166%</w:t>
            </w:r>
          </w:p>
        </w:tc>
      </w:tr>
      <w:tr>
        <w:trPr/>
        <w:tc>
          <w:tcPr>
            <w:tcW w:w="4055" w:type="dxa"/>
            <w:tcBorders>
              <w:bottom w:val="single" w:sz="12" w:space="0" w:color="000000"/>
            </w:tcBorders>
            <w:vAlign w:val="center"/>
          </w:tcPr>
          <w:p>
            <w:pPr>
              <w:pStyle w:val="TableContents"/>
              <w:bidi w:val="0"/>
              <w:spacing w:before="0" w:after="283"/>
              <w:jc w:val="left"/>
              <w:rPr/>
            </w:pPr>
            <w:r>
              <w:rPr>
                <w:b/>
                <w:color w:val="C12E33"/>
              </w:rPr>
              <w:t>2025 RTX Performance Factor</w:t>
            </w:r>
            <w:r>
              <w:rPr/>
              <w:t> </w:t>
            </w:r>
          </w:p>
        </w:tc>
        <w:tc>
          <w:tcPr>
            <w:tcW w:w="300" w:type="dxa"/>
            <w:tcBorders>
              <w:bottom w:val="single" w:sz="12" w:space="0" w:color="000000"/>
            </w:tcBorders>
            <w:vAlign w:val="center"/>
          </w:tcPr>
          <w:p>
            <w:pPr>
              <w:pStyle w:val="TableContents"/>
              <w:bidi w:val="0"/>
              <w:spacing w:before="0" w:after="283"/>
              <w:jc w:val="right"/>
              <w:rPr/>
            </w:pPr>
            <w:r>
              <w:rPr/>
              <w:t> </w:t>
            </w:r>
          </w:p>
        </w:tc>
        <w:tc>
          <w:tcPr>
            <w:tcW w:w="545" w:type="dxa"/>
            <w:tcBorders>
              <w:bottom w:val="single" w:sz="12" w:space="0" w:color="000000"/>
            </w:tcBorders>
            <w:vAlign w:val="center"/>
          </w:tcPr>
          <w:p>
            <w:pPr>
              <w:pStyle w:val="TableContents"/>
              <w:bidi w:val="0"/>
              <w:spacing w:before="0" w:after="283"/>
              <w:jc w:val="left"/>
              <w:rPr/>
            </w:pPr>
            <w:r>
              <w:rPr/>
              <w:t> </w:t>
            </w:r>
          </w:p>
        </w:tc>
        <w:tc>
          <w:tcPr>
            <w:tcW w:w="300" w:type="dxa"/>
            <w:tcBorders>
              <w:bottom w:val="single" w:sz="12" w:space="0" w:color="000000"/>
            </w:tcBorders>
            <w:vAlign w:val="center"/>
          </w:tcPr>
          <w:p>
            <w:pPr>
              <w:pStyle w:val="TableContents"/>
              <w:bidi w:val="0"/>
              <w:spacing w:before="0" w:after="283"/>
              <w:jc w:val="right"/>
              <w:rPr/>
            </w:pPr>
            <w:r>
              <w:rPr/>
              <w:t> </w:t>
            </w:r>
          </w:p>
        </w:tc>
        <w:tc>
          <w:tcPr>
            <w:tcW w:w="755" w:type="dxa"/>
            <w:tcBorders>
              <w:bottom w:val="single" w:sz="12" w:space="0" w:color="000000"/>
            </w:tcBorders>
            <w:vAlign w:val="center"/>
          </w:tcPr>
          <w:p>
            <w:pPr>
              <w:pStyle w:val="TableContents"/>
              <w:bidi w:val="0"/>
              <w:spacing w:before="0" w:after="283"/>
              <w:jc w:val="left"/>
              <w:rPr/>
            </w:pPr>
            <w:r>
              <w:rPr/>
              <w:t> </w:t>
            </w:r>
          </w:p>
        </w:tc>
        <w:tc>
          <w:tcPr>
            <w:tcW w:w="300" w:type="dxa"/>
            <w:tcBorders>
              <w:bottom w:val="single" w:sz="12" w:space="0" w:color="000000"/>
            </w:tcBorders>
            <w:vAlign w:val="center"/>
          </w:tcPr>
          <w:p>
            <w:pPr>
              <w:pStyle w:val="TableContents"/>
              <w:bidi w:val="0"/>
              <w:spacing w:before="0" w:after="283"/>
              <w:jc w:val="right"/>
              <w:rPr/>
            </w:pPr>
            <w:r>
              <w:rPr/>
              <w:t> </w:t>
            </w:r>
          </w:p>
        </w:tc>
        <w:tc>
          <w:tcPr>
            <w:tcW w:w="680" w:type="dxa"/>
            <w:tcBorders>
              <w:bottom w:val="single" w:sz="12" w:space="0" w:color="000000"/>
            </w:tcBorders>
            <w:vAlign w:val="center"/>
          </w:tcPr>
          <w:p>
            <w:pPr>
              <w:pStyle w:val="TableContents"/>
              <w:bidi w:val="0"/>
              <w:spacing w:before="0" w:after="283"/>
              <w:jc w:val="left"/>
              <w:rPr/>
            </w:pPr>
            <w:r>
              <w:rPr/>
              <w:t> </w:t>
            </w:r>
          </w:p>
        </w:tc>
        <w:tc>
          <w:tcPr>
            <w:tcW w:w="300" w:type="dxa"/>
            <w:tcBorders>
              <w:bottom w:val="single" w:sz="12" w:space="0" w:color="000000"/>
            </w:tcBorders>
            <w:vAlign w:val="center"/>
          </w:tcPr>
          <w:p>
            <w:pPr>
              <w:pStyle w:val="TableContents"/>
              <w:bidi w:val="0"/>
              <w:spacing w:before="0" w:after="283"/>
              <w:jc w:val="right"/>
              <w:rPr/>
            </w:pPr>
            <w:r>
              <w:rPr/>
              <w:t> </w:t>
            </w:r>
          </w:p>
        </w:tc>
        <w:tc>
          <w:tcPr>
            <w:tcW w:w="710" w:type="dxa"/>
            <w:tcBorders>
              <w:bottom w:val="single" w:sz="12" w:space="0" w:color="000000"/>
            </w:tcBorders>
            <w:vAlign w:val="center"/>
          </w:tcPr>
          <w:p>
            <w:pPr>
              <w:pStyle w:val="TableContents"/>
              <w:bidi w:val="0"/>
              <w:spacing w:before="0" w:after="283"/>
              <w:jc w:val="left"/>
              <w:rPr/>
            </w:pPr>
            <w:r>
              <w:rPr/>
              <w:t> </w:t>
            </w:r>
          </w:p>
        </w:tc>
        <w:tc>
          <w:tcPr>
            <w:tcW w:w="300" w:type="dxa"/>
            <w:tcBorders>
              <w:bottom w:val="single" w:sz="12" w:space="0" w:color="000000"/>
            </w:tcBorders>
            <w:vAlign w:val="center"/>
          </w:tcPr>
          <w:p>
            <w:pPr>
              <w:pStyle w:val="TableContents"/>
              <w:bidi w:val="0"/>
              <w:spacing w:before="0" w:after="283"/>
              <w:jc w:val="right"/>
              <w:rPr/>
            </w:pPr>
            <w:r>
              <w:rPr/>
              <w:t> </w:t>
            </w:r>
          </w:p>
        </w:tc>
        <w:tc>
          <w:tcPr>
            <w:tcW w:w="680" w:type="dxa"/>
            <w:tcBorders>
              <w:bottom w:val="single" w:sz="12" w:space="0" w:color="000000"/>
            </w:tcBorders>
            <w:vAlign w:val="center"/>
          </w:tcPr>
          <w:p>
            <w:pPr>
              <w:pStyle w:val="TableContents"/>
              <w:bidi w:val="0"/>
              <w:spacing w:before="0" w:after="283"/>
              <w:jc w:val="left"/>
              <w:rPr/>
            </w:pPr>
            <w:r>
              <w:rPr/>
              <w:t> </w:t>
            </w:r>
          </w:p>
        </w:tc>
        <w:tc>
          <w:tcPr>
            <w:tcW w:w="300" w:type="dxa"/>
            <w:tcBorders>
              <w:bottom w:val="single" w:sz="12" w:space="0" w:color="000000"/>
            </w:tcBorders>
            <w:vAlign w:val="center"/>
          </w:tcPr>
          <w:p>
            <w:pPr>
              <w:pStyle w:val="TableContents"/>
              <w:bidi w:val="0"/>
              <w:spacing w:before="0" w:after="283"/>
              <w:jc w:val="right"/>
              <w:rPr/>
            </w:pPr>
            <w:r>
              <w:rPr/>
              <w:t> </w:t>
            </w:r>
          </w:p>
        </w:tc>
        <w:tc>
          <w:tcPr>
            <w:tcW w:w="980" w:type="dxa"/>
            <w:tcBorders>
              <w:bottom w:val="single" w:sz="12" w:space="0" w:color="000000"/>
            </w:tcBorders>
            <w:vAlign w:val="center"/>
          </w:tcPr>
          <w:p>
            <w:pPr>
              <w:pStyle w:val="TableContents"/>
              <w:bidi w:val="0"/>
              <w:spacing w:before="0" w:after="283"/>
              <w:jc w:val="right"/>
              <w:rPr>
                <w:b/>
                <w:color w:val="C12E33"/>
              </w:rPr>
            </w:pPr>
            <w:r>
              <w:rPr>
                <w:b/>
                <w:color w:val="C12E33"/>
              </w:rPr>
              <w:t>164%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2023–2025 PSUs</w:t>
      </w:r>
      <w:r>
        <w:rPr>
          <w:rFonts w:ascii="Arial;Helvetica;Sans-Serif" w:hAnsi="Arial;Helvetica;Sans-Serif"/>
          <w:b w:val="false"/>
          <w:i w:val="false"/>
          <w:caps w:val="false"/>
          <w:smallCaps w:val="false"/>
          <w:sz w:val="20"/>
        </w:rPr>
        <w:t>. The table below shows RTX’s performance for each of the four metrics used for the PSUs granted in 2023, which resulted in a PSU vesting factor of 146%.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40" w:type="dxa"/>
          <w:right w:w="0" w:type="dxa"/>
        </w:tblCellMar>
      </w:tblPr>
      <w:tblGrid>
        <w:gridCol w:w="2291"/>
        <w:gridCol w:w="300"/>
        <w:gridCol w:w="500"/>
        <w:gridCol w:w="300"/>
        <w:gridCol w:w="1138"/>
        <w:gridCol w:w="300"/>
        <w:gridCol w:w="1138"/>
        <w:gridCol w:w="300"/>
        <w:gridCol w:w="1138"/>
        <w:gridCol w:w="300"/>
        <w:gridCol w:w="1219"/>
        <w:gridCol w:w="300"/>
        <w:gridCol w:w="981"/>
      </w:tblGrid>
      <w:tr>
        <w:trPr/>
        <w:tc>
          <w:tcPr>
            <w:tcW w:w="2291" w:type="dxa"/>
            <w:tcBorders>
              <w:bottom w:val="single" w:sz="12" w:space="0" w:color="000000"/>
            </w:tcBorders>
            <w:vAlign w:val="center"/>
          </w:tcPr>
          <w:p>
            <w:pPr>
              <w:pStyle w:val="TableContents"/>
              <w:bidi w:val="0"/>
              <w:spacing w:before="0" w:after="283"/>
              <w:jc w:val="left"/>
              <w:rPr>
                <w:rFonts w:ascii="Arial;Helvetica;Sans-Serif" w:hAnsi="Arial;Helvetica;Sans-Serif"/>
                <w:color w:val="636466"/>
                <w:sz w:val="15"/>
              </w:rPr>
            </w:pPr>
            <w:r>
              <w:rPr>
                <w:rFonts w:ascii="Arial;Helvetica;Sans-Serif" w:hAnsi="Arial;Helvetica;Sans-Serif"/>
                <w:color w:val="636466"/>
                <w:sz w:val="15"/>
              </w:rPr>
              <w:t>Metric</w:t>
            </w:r>
            <w:r>
              <w:rPr>
                <w:rFonts w:ascii="Arial;Helvetica;Sans-Serif" w:hAnsi="Arial;Helvetica;Sans-Serif"/>
                <w:color w:val="636466"/>
                <w:position w:val="5"/>
                <w:sz w:val="12"/>
                <w:sz w:val="15"/>
              </w:rPr>
              <w:t>(2)</w:t>
            </w:r>
          </w:p>
        </w:tc>
        <w:tc>
          <w:tcPr>
            <w:tcW w:w="300" w:type="dxa"/>
            <w:tcBorders>
              <w:bottom w:val="single" w:sz="12" w:space="0" w:color="000000"/>
            </w:tcBorders>
            <w:vAlign w:val="center"/>
          </w:tcPr>
          <w:p>
            <w:pPr>
              <w:pStyle w:val="TableContents"/>
              <w:bidi w:val="0"/>
              <w:spacing w:before="0" w:after="283"/>
              <w:jc w:val="left"/>
              <w:rPr/>
            </w:pPr>
            <w:r>
              <w:rPr/>
              <w:t>     </w:t>
            </w:r>
          </w:p>
        </w:tc>
        <w:tc>
          <w:tcPr>
            <w:tcW w:w="500" w:type="dxa"/>
            <w:tcBorders>
              <w:bottom w:val="single" w:sz="12" w:space="0" w:color="000000"/>
            </w:tcBorders>
            <w:vAlign w:val="center"/>
          </w:tcPr>
          <w:p>
            <w:pPr>
              <w:pStyle w:val="TableContents"/>
              <w:bidi w:val="0"/>
              <w:spacing w:before="0" w:after="283"/>
              <w:jc w:val="right"/>
              <w:rPr>
                <w:rFonts w:ascii="Arial;Helvetica;Sans-Serif" w:hAnsi="Arial;Helvetica;Sans-Serif"/>
                <w:color w:val="636466"/>
                <w:sz w:val="15"/>
              </w:rPr>
            </w:pPr>
            <w:r>
              <w:rPr>
                <w:rFonts w:ascii="Arial;Helvetica;Sans-Serif" w:hAnsi="Arial;Helvetica;Sans-Serif"/>
                <w:color w:val="636466"/>
                <w:sz w:val="15"/>
              </w:rPr>
              <w:t>Weight</w:t>
            </w:r>
          </w:p>
        </w:tc>
        <w:tc>
          <w:tcPr>
            <w:tcW w:w="300" w:type="dxa"/>
            <w:tcBorders>
              <w:bottom w:val="single" w:sz="12" w:space="0" w:color="000000"/>
            </w:tcBorders>
            <w:vAlign w:val="center"/>
          </w:tcPr>
          <w:p>
            <w:pPr>
              <w:pStyle w:val="TableContents"/>
              <w:bidi w:val="0"/>
              <w:spacing w:before="0" w:after="283"/>
              <w:jc w:val="left"/>
              <w:rPr/>
            </w:pPr>
            <w:r>
              <w:rPr/>
              <w:t>     </w:t>
            </w:r>
          </w:p>
        </w:tc>
        <w:tc>
          <w:tcPr>
            <w:tcW w:w="1138" w:type="dxa"/>
            <w:tcBorders>
              <w:bottom w:val="single" w:sz="12" w:space="0" w:color="000000"/>
            </w:tcBorders>
            <w:vAlign w:val="center"/>
          </w:tcPr>
          <w:p>
            <w:pPr>
              <w:pStyle w:val="TableContents"/>
              <w:bidi w:val="0"/>
              <w:spacing w:before="0" w:after="283"/>
              <w:jc w:val="right"/>
              <w:rPr>
                <w:rFonts w:ascii="Arial;Helvetica;Sans-Serif" w:hAnsi="Arial;Helvetica;Sans-Serif"/>
                <w:color w:val="636466"/>
                <w:sz w:val="15"/>
              </w:rPr>
            </w:pPr>
            <w:r>
              <w:rPr>
                <w:rFonts w:ascii="Arial;Helvetica;Sans-Serif" w:hAnsi="Arial;Helvetica;Sans-Serif"/>
                <w:color w:val="636466"/>
                <w:sz w:val="15"/>
              </w:rPr>
              <w:t>Threshold</w:t>
            </w:r>
          </w:p>
        </w:tc>
        <w:tc>
          <w:tcPr>
            <w:tcW w:w="300" w:type="dxa"/>
            <w:tcBorders>
              <w:bottom w:val="single" w:sz="12" w:space="0" w:color="000000"/>
            </w:tcBorders>
            <w:vAlign w:val="center"/>
          </w:tcPr>
          <w:p>
            <w:pPr>
              <w:pStyle w:val="TableContents"/>
              <w:bidi w:val="0"/>
              <w:spacing w:before="0" w:after="283"/>
              <w:jc w:val="left"/>
              <w:rPr/>
            </w:pPr>
            <w:r>
              <w:rPr/>
              <w:t>     </w:t>
            </w:r>
          </w:p>
        </w:tc>
        <w:tc>
          <w:tcPr>
            <w:tcW w:w="1138" w:type="dxa"/>
            <w:tcBorders>
              <w:bottom w:val="single" w:sz="12" w:space="0" w:color="000000"/>
            </w:tcBorders>
            <w:vAlign w:val="center"/>
          </w:tcPr>
          <w:p>
            <w:pPr>
              <w:pStyle w:val="TableContents"/>
              <w:bidi w:val="0"/>
              <w:spacing w:before="0" w:after="283"/>
              <w:jc w:val="right"/>
              <w:rPr>
                <w:rFonts w:ascii="Arial;Helvetica;Sans-Serif" w:hAnsi="Arial;Helvetica;Sans-Serif"/>
                <w:b/>
                <w:color w:val="636466"/>
                <w:sz w:val="15"/>
              </w:rPr>
            </w:pPr>
            <w:r>
              <w:rPr>
                <w:rFonts w:ascii="Arial;Helvetica;Sans-Serif" w:hAnsi="Arial;Helvetica;Sans-Serif"/>
                <w:b/>
                <w:color w:val="636466"/>
                <w:sz w:val="15"/>
              </w:rPr>
              <w:t>Target</w:t>
            </w:r>
          </w:p>
        </w:tc>
        <w:tc>
          <w:tcPr>
            <w:tcW w:w="300" w:type="dxa"/>
            <w:tcBorders>
              <w:bottom w:val="single" w:sz="12" w:space="0" w:color="000000"/>
            </w:tcBorders>
            <w:vAlign w:val="center"/>
          </w:tcPr>
          <w:p>
            <w:pPr>
              <w:pStyle w:val="TableContents"/>
              <w:bidi w:val="0"/>
              <w:spacing w:before="0" w:after="283"/>
              <w:jc w:val="left"/>
              <w:rPr/>
            </w:pPr>
            <w:r>
              <w:rPr/>
              <w:t>     </w:t>
            </w:r>
          </w:p>
        </w:tc>
        <w:tc>
          <w:tcPr>
            <w:tcW w:w="1138" w:type="dxa"/>
            <w:tcBorders>
              <w:bottom w:val="single" w:sz="12" w:space="0" w:color="000000"/>
            </w:tcBorders>
            <w:vAlign w:val="center"/>
          </w:tcPr>
          <w:p>
            <w:pPr>
              <w:pStyle w:val="TableContents"/>
              <w:bidi w:val="0"/>
              <w:spacing w:before="0" w:after="283"/>
              <w:jc w:val="right"/>
              <w:rPr>
                <w:rFonts w:ascii="Arial;Helvetica;Sans-Serif" w:hAnsi="Arial;Helvetica;Sans-Serif"/>
                <w:color w:val="636466"/>
                <w:sz w:val="15"/>
              </w:rPr>
            </w:pPr>
            <w:r>
              <w:rPr>
                <w:rFonts w:ascii="Arial;Helvetica;Sans-Serif" w:hAnsi="Arial;Helvetica;Sans-Serif"/>
                <w:color w:val="636466"/>
                <w:sz w:val="15"/>
              </w:rPr>
              <w:t>Maximum</w:t>
            </w:r>
          </w:p>
        </w:tc>
        <w:tc>
          <w:tcPr>
            <w:tcW w:w="300" w:type="dxa"/>
            <w:tcBorders>
              <w:bottom w:val="single" w:sz="12" w:space="0" w:color="000000"/>
            </w:tcBorders>
            <w:vAlign w:val="center"/>
          </w:tcPr>
          <w:p>
            <w:pPr>
              <w:pStyle w:val="TableContents"/>
              <w:bidi w:val="0"/>
              <w:spacing w:before="0" w:after="283"/>
              <w:jc w:val="left"/>
              <w:rPr/>
            </w:pPr>
            <w:r>
              <w:rPr/>
              <w:t>     </w:t>
            </w:r>
          </w:p>
        </w:tc>
        <w:tc>
          <w:tcPr>
            <w:tcW w:w="1219" w:type="dxa"/>
            <w:tcBorders>
              <w:bottom w:val="single" w:sz="12" w:space="0" w:color="000000"/>
            </w:tcBorders>
            <w:vAlign w:val="center"/>
          </w:tcPr>
          <w:p>
            <w:pPr>
              <w:pStyle w:val="TableContents"/>
              <w:bidi w:val="0"/>
              <w:spacing w:before="0" w:after="283"/>
              <w:jc w:val="right"/>
              <w:rPr>
                <w:rFonts w:ascii="Arial;Helvetica;Sans-Serif" w:hAnsi="Arial;Helvetica;Sans-Serif"/>
                <w:color w:val="636466"/>
                <w:sz w:val="15"/>
              </w:rPr>
            </w:pPr>
            <w:r>
              <w:rPr>
                <w:rFonts w:ascii="Arial;Helvetica;Sans-Serif" w:hAnsi="Arial;Helvetica;Sans-Serif"/>
                <w:color w:val="636466"/>
                <w:sz w:val="15"/>
              </w:rPr>
              <w:t>Actual</w:t>
            </w:r>
          </w:p>
        </w:tc>
        <w:tc>
          <w:tcPr>
            <w:tcW w:w="300" w:type="dxa"/>
            <w:tcBorders>
              <w:bottom w:val="single" w:sz="12" w:space="0" w:color="000000"/>
            </w:tcBorders>
            <w:vAlign w:val="center"/>
          </w:tcPr>
          <w:p>
            <w:pPr>
              <w:pStyle w:val="TableContents"/>
              <w:bidi w:val="0"/>
              <w:spacing w:before="0" w:after="283"/>
              <w:jc w:val="left"/>
              <w:rPr/>
            </w:pPr>
            <w:r>
              <w:rPr/>
              <w:t>     </w:t>
            </w:r>
          </w:p>
        </w:tc>
        <w:tc>
          <w:tcPr>
            <w:tcW w:w="981" w:type="dxa"/>
            <w:tcBorders>
              <w:bottom w:val="single" w:sz="12" w:space="0" w:color="000000"/>
            </w:tcBorders>
            <w:vAlign w:val="center"/>
          </w:tcPr>
          <w:p>
            <w:pPr>
              <w:pStyle w:val="TableContents"/>
              <w:bidi w:val="0"/>
              <w:spacing w:before="0" w:after="283"/>
              <w:jc w:val="right"/>
              <w:rPr>
                <w:rFonts w:ascii="Arial;Helvetica;Sans-Serif" w:hAnsi="Arial;Helvetica;Sans-Serif"/>
                <w:b/>
                <w:color w:val="636466"/>
                <w:sz w:val="15"/>
              </w:rPr>
            </w:pPr>
            <w:r>
              <w:rPr>
                <w:rFonts w:ascii="Arial;Helvetica;Sans-Serif" w:hAnsi="Arial;Helvetica;Sans-Serif"/>
                <w:b/>
                <w:color w:val="636466"/>
                <w:sz w:val="15"/>
              </w:rPr>
              <w:t>Performance</w:t>
              <w:br/>
              <w:t>Factor</w:t>
            </w:r>
          </w:p>
        </w:tc>
      </w:tr>
      <w:tr>
        <w:trPr/>
        <w:tc>
          <w:tcPr>
            <w:tcW w:w="2291" w:type="dxa"/>
            <w:tcBorders>
              <w:bottom w:val="single" w:sz="2" w:space="0" w:color="000000"/>
            </w:tcBorders>
            <w:vAlign w:val="center"/>
          </w:tcPr>
          <w:p>
            <w:pPr>
              <w:pStyle w:val="TableContents"/>
              <w:bidi w:val="0"/>
              <w:spacing w:before="0" w:after="283"/>
              <w:jc w:val="left"/>
              <w:rPr>
                <w:b/>
              </w:rPr>
            </w:pPr>
            <w:r>
              <w:rPr>
                <w:b/>
              </w:rPr>
              <w:t>Adjusted EPS</w:t>
            </w:r>
          </w:p>
        </w:tc>
        <w:tc>
          <w:tcPr>
            <w:tcW w:w="300" w:type="dxa"/>
            <w:tcBorders>
              <w:bottom w:val="single" w:sz="2" w:space="0" w:color="000000"/>
            </w:tcBorders>
            <w:vAlign w:val="center"/>
          </w:tcPr>
          <w:p>
            <w:pPr>
              <w:pStyle w:val="TableContents"/>
              <w:bidi w:val="0"/>
              <w:spacing w:before="0" w:after="283"/>
              <w:jc w:val="left"/>
              <w:rPr/>
            </w:pPr>
            <w:r>
              <w:rPr/>
              <w:t> </w:t>
            </w:r>
          </w:p>
        </w:tc>
        <w:tc>
          <w:tcPr>
            <w:tcW w:w="500" w:type="dxa"/>
            <w:tcBorders>
              <w:bottom w:val="single" w:sz="2" w:space="0" w:color="000000"/>
            </w:tcBorders>
            <w:vAlign w:val="center"/>
          </w:tcPr>
          <w:p>
            <w:pPr>
              <w:pStyle w:val="TableContents"/>
              <w:bidi w:val="0"/>
              <w:spacing w:before="0" w:after="283"/>
              <w:jc w:val="right"/>
              <w:rPr/>
            </w:pPr>
            <w:r>
              <w:rPr/>
              <w:t>35%</w:t>
            </w:r>
          </w:p>
        </w:tc>
        <w:tc>
          <w:tcPr>
            <w:tcW w:w="300" w:type="dxa"/>
            <w:tcBorders>
              <w:bottom w:val="single" w:sz="2" w:space="0" w:color="000000"/>
            </w:tcBorders>
            <w:vAlign w:val="center"/>
          </w:tcPr>
          <w:p>
            <w:pPr>
              <w:pStyle w:val="TableContents"/>
              <w:bidi w:val="0"/>
              <w:spacing w:before="0" w:after="283"/>
              <w:jc w:val="left"/>
              <w:rPr/>
            </w:pPr>
            <w:r>
              <w:rPr/>
              <w:t> </w:t>
            </w:r>
          </w:p>
        </w:tc>
        <w:tc>
          <w:tcPr>
            <w:tcW w:w="1138" w:type="dxa"/>
            <w:tcBorders>
              <w:bottom w:val="single" w:sz="2" w:space="0" w:color="000000"/>
            </w:tcBorders>
            <w:vAlign w:val="center"/>
          </w:tcPr>
          <w:p>
            <w:pPr>
              <w:pStyle w:val="TableContents"/>
              <w:bidi w:val="0"/>
              <w:spacing w:before="0" w:after="283"/>
              <w:jc w:val="right"/>
              <w:rPr/>
            </w:pPr>
            <w:r>
              <w:rPr/>
              <w:t>5.7%</w:t>
            </w:r>
          </w:p>
        </w:tc>
        <w:tc>
          <w:tcPr>
            <w:tcW w:w="300" w:type="dxa"/>
            <w:tcBorders>
              <w:bottom w:val="single" w:sz="2" w:space="0" w:color="000000"/>
            </w:tcBorders>
            <w:vAlign w:val="center"/>
          </w:tcPr>
          <w:p>
            <w:pPr>
              <w:pStyle w:val="TableContents"/>
              <w:bidi w:val="0"/>
              <w:spacing w:before="0" w:after="283"/>
              <w:jc w:val="left"/>
              <w:rPr/>
            </w:pPr>
            <w:r>
              <w:rPr/>
              <w:t> </w:t>
            </w:r>
          </w:p>
        </w:tc>
        <w:tc>
          <w:tcPr>
            <w:tcW w:w="1138" w:type="dxa"/>
            <w:tcBorders>
              <w:bottom w:val="single" w:sz="2" w:space="0" w:color="000000"/>
            </w:tcBorders>
            <w:vAlign w:val="center"/>
          </w:tcPr>
          <w:p>
            <w:pPr>
              <w:pStyle w:val="TableContents"/>
              <w:bidi w:val="0"/>
              <w:spacing w:before="0" w:after="283"/>
              <w:jc w:val="right"/>
              <w:rPr/>
            </w:pPr>
            <w:r>
              <w:rPr/>
              <w:t>11.6%</w:t>
            </w:r>
          </w:p>
        </w:tc>
        <w:tc>
          <w:tcPr>
            <w:tcW w:w="300" w:type="dxa"/>
            <w:tcBorders>
              <w:bottom w:val="single" w:sz="2" w:space="0" w:color="000000"/>
            </w:tcBorders>
            <w:vAlign w:val="center"/>
          </w:tcPr>
          <w:p>
            <w:pPr>
              <w:pStyle w:val="TableContents"/>
              <w:bidi w:val="0"/>
              <w:spacing w:before="0" w:after="283"/>
              <w:jc w:val="left"/>
              <w:rPr/>
            </w:pPr>
            <w:r>
              <w:rPr/>
              <w:t> </w:t>
            </w:r>
          </w:p>
        </w:tc>
        <w:tc>
          <w:tcPr>
            <w:tcW w:w="1138" w:type="dxa"/>
            <w:tcBorders>
              <w:bottom w:val="single" w:sz="2" w:space="0" w:color="000000"/>
            </w:tcBorders>
            <w:vAlign w:val="center"/>
          </w:tcPr>
          <w:p>
            <w:pPr>
              <w:pStyle w:val="TableContents"/>
              <w:bidi w:val="0"/>
              <w:spacing w:before="0" w:after="283"/>
              <w:jc w:val="right"/>
              <w:rPr/>
            </w:pPr>
            <w:r>
              <w:rPr/>
              <w:t>15.1%</w:t>
            </w:r>
          </w:p>
        </w:tc>
        <w:tc>
          <w:tcPr>
            <w:tcW w:w="300" w:type="dxa"/>
            <w:tcBorders>
              <w:bottom w:val="single" w:sz="2" w:space="0" w:color="000000"/>
            </w:tcBorders>
            <w:vAlign w:val="center"/>
          </w:tcPr>
          <w:p>
            <w:pPr>
              <w:pStyle w:val="TableContents"/>
              <w:bidi w:val="0"/>
              <w:spacing w:before="0" w:after="283"/>
              <w:jc w:val="left"/>
              <w:rPr/>
            </w:pPr>
            <w:r>
              <w:rPr/>
              <w:t> </w:t>
            </w:r>
          </w:p>
        </w:tc>
        <w:tc>
          <w:tcPr>
            <w:tcW w:w="1219" w:type="dxa"/>
            <w:tcBorders>
              <w:bottom w:val="single" w:sz="2" w:space="0" w:color="000000"/>
            </w:tcBorders>
            <w:vAlign w:val="center"/>
          </w:tcPr>
          <w:p>
            <w:pPr>
              <w:pStyle w:val="TableContents"/>
              <w:bidi w:val="0"/>
              <w:spacing w:before="0" w:after="283"/>
              <w:jc w:val="right"/>
              <w:rPr/>
            </w:pPr>
            <w:r>
              <w:rPr/>
              <w:t>12.9%</w:t>
            </w:r>
          </w:p>
        </w:tc>
        <w:tc>
          <w:tcPr>
            <w:tcW w:w="300" w:type="dxa"/>
            <w:tcBorders>
              <w:bottom w:val="single" w:sz="2" w:space="0" w:color="000000"/>
            </w:tcBorders>
            <w:vAlign w:val="center"/>
          </w:tcPr>
          <w:p>
            <w:pPr>
              <w:pStyle w:val="TableContents"/>
              <w:bidi w:val="0"/>
              <w:spacing w:before="0" w:after="283"/>
              <w:jc w:val="left"/>
              <w:rPr/>
            </w:pPr>
            <w:r>
              <w:rPr/>
              <w:t> </w:t>
            </w:r>
          </w:p>
        </w:tc>
        <w:tc>
          <w:tcPr>
            <w:tcW w:w="981" w:type="dxa"/>
            <w:tcBorders>
              <w:bottom w:val="single" w:sz="2" w:space="0" w:color="000000"/>
            </w:tcBorders>
            <w:vAlign w:val="center"/>
          </w:tcPr>
          <w:p>
            <w:pPr>
              <w:pStyle w:val="TableContents"/>
              <w:bidi w:val="0"/>
              <w:spacing w:before="0" w:after="283"/>
              <w:jc w:val="right"/>
              <w:rPr>
                <w:b/>
              </w:rPr>
            </w:pPr>
            <w:r>
              <w:rPr>
                <w:b/>
              </w:rPr>
              <w:t>137%</w:t>
            </w:r>
          </w:p>
        </w:tc>
      </w:tr>
      <w:tr>
        <w:trPr/>
        <w:tc>
          <w:tcPr>
            <w:tcW w:w="2291" w:type="dxa"/>
            <w:tcBorders>
              <w:bottom w:val="single" w:sz="2" w:space="0" w:color="000000"/>
            </w:tcBorders>
            <w:vAlign w:val="center"/>
          </w:tcPr>
          <w:p>
            <w:pPr>
              <w:pStyle w:val="TableContents"/>
              <w:bidi w:val="0"/>
              <w:spacing w:before="0" w:after="283"/>
              <w:jc w:val="left"/>
              <w:rPr>
                <w:b/>
              </w:rPr>
            </w:pPr>
            <w:r>
              <w:rPr>
                <w:b/>
              </w:rPr>
              <w:t>Return on Invested Capital</w:t>
            </w:r>
          </w:p>
        </w:tc>
        <w:tc>
          <w:tcPr>
            <w:tcW w:w="300" w:type="dxa"/>
            <w:tcBorders>
              <w:bottom w:val="single" w:sz="2" w:space="0" w:color="000000"/>
            </w:tcBorders>
            <w:vAlign w:val="center"/>
          </w:tcPr>
          <w:p>
            <w:pPr>
              <w:pStyle w:val="TableContents"/>
              <w:bidi w:val="0"/>
              <w:spacing w:before="0" w:after="283"/>
              <w:jc w:val="left"/>
              <w:rPr/>
            </w:pPr>
            <w:r>
              <w:rPr/>
              <w:t> </w:t>
            </w:r>
          </w:p>
        </w:tc>
        <w:tc>
          <w:tcPr>
            <w:tcW w:w="500" w:type="dxa"/>
            <w:tcBorders>
              <w:bottom w:val="single" w:sz="2" w:space="0" w:color="000000"/>
            </w:tcBorders>
            <w:vAlign w:val="center"/>
          </w:tcPr>
          <w:p>
            <w:pPr>
              <w:pStyle w:val="TableContents"/>
              <w:bidi w:val="0"/>
              <w:spacing w:before="0" w:after="283"/>
              <w:jc w:val="right"/>
              <w:rPr/>
            </w:pPr>
            <w:r>
              <w:rPr/>
              <w:t>35%</w:t>
            </w:r>
          </w:p>
        </w:tc>
        <w:tc>
          <w:tcPr>
            <w:tcW w:w="300" w:type="dxa"/>
            <w:tcBorders>
              <w:bottom w:val="single" w:sz="2" w:space="0" w:color="000000"/>
            </w:tcBorders>
            <w:vAlign w:val="center"/>
          </w:tcPr>
          <w:p>
            <w:pPr>
              <w:pStyle w:val="TableContents"/>
              <w:bidi w:val="0"/>
              <w:spacing w:before="0" w:after="283"/>
              <w:jc w:val="left"/>
              <w:rPr/>
            </w:pPr>
            <w:r>
              <w:rPr/>
              <w:t> </w:t>
            </w:r>
          </w:p>
        </w:tc>
        <w:tc>
          <w:tcPr>
            <w:tcW w:w="1138" w:type="dxa"/>
            <w:tcBorders>
              <w:bottom w:val="single" w:sz="2" w:space="0" w:color="000000"/>
            </w:tcBorders>
            <w:vAlign w:val="center"/>
          </w:tcPr>
          <w:p>
            <w:pPr>
              <w:pStyle w:val="TableContents"/>
              <w:bidi w:val="0"/>
              <w:spacing w:before="0" w:after="283"/>
              <w:jc w:val="right"/>
              <w:rPr/>
            </w:pPr>
            <w:r>
              <w:rPr/>
              <w:t>6.5%</w:t>
            </w:r>
          </w:p>
        </w:tc>
        <w:tc>
          <w:tcPr>
            <w:tcW w:w="300" w:type="dxa"/>
            <w:tcBorders>
              <w:bottom w:val="single" w:sz="2" w:space="0" w:color="000000"/>
            </w:tcBorders>
            <w:vAlign w:val="center"/>
          </w:tcPr>
          <w:p>
            <w:pPr>
              <w:pStyle w:val="TableContents"/>
              <w:bidi w:val="0"/>
              <w:spacing w:before="0" w:after="283"/>
              <w:jc w:val="left"/>
              <w:rPr/>
            </w:pPr>
            <w:r>
              <w:rPr/>
              <w:t> </w:t>
            </w:r>
          </w:p>
        </w:tc>
        <w:tc>
          <w:tcPr>
            <w:tcW w:w="1138" w:type="dxa"/>
            <w:tcBorders>
              <w:bottom w:val="single" w:sz="2" w:space="0" w:color="000000"/>
            </w:tcBorders>
            <w:vAlign w:val="center"/>
          </w:tcPr>
          <w:p>
            <w:pPr>
              <w:pStyle w:val="TableContents"/>
              <w:bidi w:val="0"/>
              <w:spacing w:before="0" w:after="283"/>
              <w:jc w:val="right"/>
              <w:rPr/>
            </w:pPr>
            <w:r>
              <w:rPr/>
              <w:t>7.5%</w:t>
            </w:r>
          </w:p>
        </w:tc>
        <w:tc>
          <w:tcPr>
            <w:tcW w:w="300" w:type="dxa"/>
            <w:tcBorders>
              <w:bottom w:val="single" w:sz="2" w:space="0" w:color="000000"/>
            </w:tcBorders>
            <w:vAlign w:val="center"/>
          </w:tcPr>
          <w:p>
            <w:pPr>
              <w:pStyle w:val="TableContents"/>
              <w:bidi w:val="0"/>
              <w:spacing w:before="0" w:after="283"/>
              <w:jc w:val="left"/>
              <w:rPr/>
            </w:pPr>
            <w:r>
              <w:rPr/>
              <w:t> </w:t>
            </w:r>
          </w:p>
        </w:tc>
        <w:tc>
          <w:tcPr>
            <w:tcW w:w="1138" w:type="dxa"/>
            <w:tcBorders>
              <w:bottom w:val="single" w:sz="2" w:space="0" w:color="000000"/>
            </w:tcBorders>
            <w:vAlign w:val="center"/>
          </w:tcPr>
          <w:p>
            <w:pPr>
              <w:pStyle w:val="TableContents"/>
              <w:bidi w:val="0"/>
              <w:spacing w:before="0" w:after="283"/>
              <w:jc w:val="right"/>
              <w:rPr/>
            </w:pPr>
            <w:r>
              <w:rPr/>
              <w:t>8.3%</w:t>
            </w:r>
          </w:p>
        </w:tc>
        <w:tc>
          <w:tcPr>
            <w:tcW w:w="300" w:type="dxa"/>
            <w:tcBorders>
              <w:bottom w:val="single" w:sz="2" w:space="0" w:color="000000"/>
            </w:tcBorders>
            <w:vAlign w:val="center"/>
          </w:tcPr>
          <w:p>
            <w:pPr>
              <w:pStyle w:val="TableContents"/>
              <w:bidi w:val="0"/>
              <w:spacing w:before="0" w:after="283"/>
              <w:jc w:val="left"/>
              <w:rPr/>
            </w:pPr>
            <w:r>
              <w:rPr/>
              <w:t> </w:t>
            </w:r>
          </w:p>
        </w:tc>
        <w:tc>
          <w:tcPr>
            <w:tcW w:w="1219" w:type="dxa"/>
            <w:tcBorders>
              <w:bottom w:val="single" w:sz="2" w:space="0" w:color="000000"/>
            </w:tcBorders>
            <w:vAlign w:val="center"/>
          </w:tcPr>
          <w:p>
            <w:pPr>
              <w:pStyle w:val="TableContents"/>
              <w:bidi w:val="0"/>
              <w:spacing w:before="0" w:after="283"/>
              <w:jc w:val="right"/>
              <w:rPr/>
            </w:pPr>
            <w:r>
              <w:rPr/>
              <w:t>7.6%</w:t>
            </w:r>
          </w:p>
        </w:tc>
        <w:tc>
          <w:tcPr>
            <w:tcW w:w="300" w:type="dxa"/>
            <w:tcBorders>
              <w:bottom w:val="single" w:sz="2" w:space="0" w:color="000000"/>
            </w:tcBorders>
            <w:vAlign w:val="center"/>
          </w:tcPr>
          <w:p>
            <w:pPr>
              <w:pStyle w:val="TableContents"/>
              <w:bidi w:val="0"/>
              <w:spacing w:before="0" w:after="283"/>
              <w:jc w:val="left"/>
              <w:rPr/>
            </w:pPr>
            <w:r>
              <w:rPr/>
              <w:t> </w:t>
            </w:r>
          </w:p>
        </w:tc>
        <w:tc>
          <w:tcPr>
            <w:tcW w:w="981" w:type="dxa"/>
            <w:tcBorders>
              <w:bottom w:val="single" w:sz="2" w:space="0" w:color="000000"/>
            </w:tcBorders>
            <w:vAlign w:val="center"/>
          </w:tcPr>
          <w:p>
            <w:pPr>
              <w:pStyle w:val="TableContents"/>
              <w:bidi w:val="0"/>
              <w:spacing w:before="0" w:after="283"/>
              <w:jc w:val="right"/>
              <w:rPr>
                <w:b/>
              </w:rPr>
            </w:pPr>
            <w:r>
              <w:rPr>
                <w:b/>
              </w:rPr>
              <w:t>109%</w:t>
            </w:r>
          </w:p>
        </w:tc>
      </w:tr>
      <w:tr>
        <w:trPr/>
        <w:tc>
          <w:tcPr>
            <w:tcW w:w="2291" w:type="dxa"/>
            <w:tcBorders>
              <w:bottom w:val="single" w:sz="2" w:space="0" w:color="000000"/>
            </w:tcBorders>
            <w:vAlign w:val="center"/>
          </w:tcPr>
          <w:p>
            <w:pPr>
              <w:pStyle w:val="TableContents"/>
              <w:bidi w:val="0"/>
              <w:spacing w:before="0" w:after="283"/>
              <w:jc w:val="left"/>
              <w:rPr>
                <w:b/>
              </w:rPr>
            </w:pPr>
            <w:r>
              <w:rPr>
                <w:b/>
              </w:rPr>
              <w:t>TSR vs. S&amp;P 500 Index Companies</w:t>
            </w:r>
          </w:p>
        </w:tc>
        <w:tc>
          <w:tcPr>
            <w:tcW w:w="300" w:type="dxa"/>
            <w:tcBorders>
              <w:bottom w:val="single" w:sz="2" w:space="0" w:color="000000"/>
            </w:tcBorders>
            <w:vAlign w:val="center"/>
          </w:tcPr>
          <w:p>
            <w:pPr>
              <w:pStyle w:val="TableContents"/>
              <w:bidi w:val="0"/>
              <w:spacing w:before="0" w:after="283"/>
              <w:jc w:val="left"/>
              <w:rPr/>
            </w:pPr>
            <w:r>
              <w:rPr/>
              <w:t> </w:t>
            </w:r>
          </w:p>
        </w:tc>
        <w:tc>
          <w:tcPr>
            <w:tcW w:w="500" w:type="dxa"/>
            <w:tcBorders>
              <w:bottom w:val="single" w:sz="2" w:space="0" w:color="000000"/>
            </w:tcBorders>
            <w:vAlign w:val="center"/>
          </w:tcPr>
          <w:p>
            <w:pPr>
              <w:pStyle w:val="TableContents"/>
              <w:bidi w:val="0"/>
              <w:spacing w:before="0" w:after="283"/>
              <w:jc w:val="right"/>
              <w:rPr/>
            </w:pPr>
            <w:r>
              <w:rPr/>
              <w:t>15%</w:t>
            </w:r>
          </w:p>
        </w:tc>
        <w:tc>
          <w:tcPr>
            <w:tcW w:w="300" w:type="dxa"/>
            <w:tcBorders>
              <w:bottom w:val="single" w:sz="2" w:space="0" w:color="000000"/>
            </w:tcBorders>
            <w:vAlign w:val="center"/>
          </w:tcPr>
          <w:p>
            <w:pPr>
              <w:pStyle w:val="TableContents"/>
              <w:bidi w:val="0"/>
              <w:spacing w:before="0" w:after="283"/>
              <w:jc w:val="left"/>
              <w:rPr/>
            </w:pPr>
            <w:r>
              <w:rPr/>
              <w:t> </w:t>
            </w:r>
          </w:p>
        </w:tc>
        <w:tc>
          <w:tcPr>
            <w:tcW w:w="1138" w:type="dxa"/>
            <w:tcBorders>
              <w:bottom w:val="single" w:sz="2" w:space="0" w:color="000000"/>
            </w:tcBorders>
            <w:vAlign w:val="center"/>
          </w:tcPr>
          <w:p>
            <w:pPr>
              <w:pStyle w:val="TableContents"/>
              <w:bidi w:val="0"/>
              <w:spacing w:before="0" w:after="283"/>
              <w:jc w:val="right"/>
              <w:rPr/>
            </w:pPr>
            <w:r>
              <w:rPr/>
              <w:t>25</w:t>
            </w:r>
            <w:r>
              <w:rPr>
                <w:position w:val="8"/>
                <w:sz w:val="19"/>
              </w:rPr>
              <w:t xml:space="preserve">th </w:t>
            </w:r>
            <w:r>
              <w:rPr/>
              <w:t>percentile</w:t>
            </w:r>
          </w:p>
        </w:tc>
        <w:tc>
          <w:tcPr>
            <w:tcW w:w="300" w:type="dxa"/>
            <w:tcBorders>
              <w:bottom w:val="single" w:sz="2" w:space="0" w:color="000000"/>
            </w:tcBorders>
            <w:vAlign w:val="center"/>
          </w:tcPr>
          <w:p>
            <w:pPr>
              <w:pStyle w:val="TableContents"/>
              <w:bidi w:val="0"/>
              <w:spacing w:before="0" w:after="283"/>
              <w:jc w:val="left"/>
              <w:rPr/>
            </w:pPr>
            <w:r>
              <w:rPr/>
              <w:t> </w:t>
            </w:r>
          </w:p>
        </w:tc>
        <w:tc>
          <w:tcPr>
            <w:tcW w:w="1138" w:type="dxa"/>
            <w:tcBorders>
              <w:bottom w:val="single" w:sz="2" w:space="0" w:color="000000"/>
            </w:tcBorders>
            <w:vAlign w:val="center"/>
          </w:tcPr>
          <w:p>
            <w:pPr>
              <w:pStyle w:val="TableContents"/>
              <w:bidi w:val="0"/>
              <w:spacing w:before="0" w:after="283"/>
              <w:jc w:val="right"/>
              <w:rPr/>
            </w:pPr>
            <w:r>
              <w:rPr/>
              <w:t>50</w:t>
            </w:r>
            <w:r>
              <w:rPr>
                <w:position w:val="8"/>
                <w:sz w:val="19"/>
              </w:rPr>
              <w:t xml:space="preserve">th </w:t>
            </w:r>
            <w:r>
              <w:rPr/>
              <w:t>percentile</w:t>
            </w:r>
          </w:p>
        </w:tc>
        <w:tc>
          <w:tcPr>
            <w:tcW w:w="300" w:type="dxa"/>
            <w:tcBorders>
              <w:bottom w:val="single" w:sz="2" w:space="0" w:color="000000"/>
            </w:tcBorders>
            <w:vAlign w:val="center"/>
          </w:tcPr>
          <w:p>
            <w:pPr>
              <w:pStyle w:val="TableContents"/>
              <w:bidi w:val="0"/>
              <w:spacing w:before="0" w:after="283"/>
              <w:jc w:val="left"/>
              <w:rPr/>
            </w:pPr>
            <w:r>
              <w:rPr/>
              <w:t> </w:t>
            </w:r>
          </w:p>
        </w:tc>
        <w:tc>
          <w:tcPr>
            <w:tcW w:w="1138" w:type="dxa"/>
            <w:tcBorders>
              <w:bottom w:val="single" w:sz="2" w:space="0" w:color="000000"/>
            </w:tcBorders>
            <w:vAlign w:val="center"/>
          </w:tcPr>
          <w:p>
            <w:pPr>
              <w:pStyle w:val="TableContents"/>
              <w:bidi w:val="0"/>
              <w:spacing w:before="0" w:after="283"/>
              <w:jc w:val="right"/>
              <w:rPr/>
            </w:pPr>
            <w:r>
              <w:rPr/>
              <w:t>75</w:t>
            </w:r>
            <w:r>
              <w:rPr>
                <w:position w:val="8"/>
                <w:sz w:val="19"/>
              </w:rPr>
              <w:t xml:space="preserve">th </w:t>
            </w:r>
            <w:r>
              <w:rPr/>
              <w:t>percentile</w:t>
            </w:r>
          </w:p>
        </w:tc>
        <w:tc>
          <w:tcPr>
            <w:tcW w:w="300" w:type="dxa"/>
            <w:tcBorders>
              <w:bottom w:val="single" w:sz="2" w:space="0" w:color="000000"/>
            </w:tcBorders>
            <w:vAlign w:val="center"/>
          </w:tcPr>
          <w:p>
            <w:pPr>
              <w:pStyle w:val="TableContents"/>
              <w:bidi w:val="0"/>
              <w:spacing w:before="0" w:after="283"/>
              <w:jc w:val="left"/>
              <w:rPr/>
            </w:pPr>
            <w:r>
              <w:rPr/>
              <w:t> </w:t>
            </w:r>
          </w:p>
        </w:tc>
        <w:tc>
          <w:tcPr>
            <w:tcW w:w="1219" w:type="dxa"/>
            <w:tcBorders>
              <w:bottom w:val="single" w:sz="2" w:space="0" w:color="000000"/>
            </w:tcBorders>
            <w:vAlign w:val="center"/>
          </w:tcPr>
          <w:p>
            <w:pPr>
              <w:pStyle w:val="TableContents"/>
              <w:bidi w:val="0"/>
              <w:spacing w:before="0" w:after="283"/>
              <w:jc w:val="right"/>
              <w:rPr/>
            </w:pPr>
            <w:r>
              <w:rPr/>
              <w:t>82.7</w:t>
            </w:r>
            <w:r>
              <w:rPr>
                <w:position w:val="8"/>
                <w:sz w:val="19"/>
              </w:rPr>
              <w:t xml:space="preserve">th </w:t>
            </w:r>
            <w:r>
              <w:rPr/>
              <w:t>percentile</w:t>
            </w:r>
          </w:p>
        </w:tc>
        <w:tc>
          <w:tcPr>
            <w:tcW w:w="300" w:type="dxa"/>
            <w:tcBorders>
              <w:bottom w:val="single" w:sz="2" w:space="0" w:color="000000"/>
            </w:tcBorders>
            <w:vAlign w:val="center"/>
          </w:tcPr>
          <w:p>
            <w:pPr>
              <w:pStyle w:val="TableContents"/>
              <w:bidi w:val="0"/>
              <w:spacing w:before="0" w:after="283"/>
              <w:jc w:val="left"/>
              <w:rPr/>
            </w:pPr>
            <w:r>
              <w:rPr/>
              <w:t> </w:t>
            </w:r>
          </w:p>
        </w:tc>
        <w:tc>
          <w:tcPr>
            <w:tcW w:w="981" w:type="dxa"/>
            <w:tcBorders>
              <w:bottom w:val="single" w:sz="2" w:space="0" w:color="000000"/>
            </w:tcBorders>
            <w:vAlign w:val="center"/>
          </w:tcPr>
          <w:p>
            <w:pPr>
              <w:pStyle w:val="TableContents"/>
              <w:bidi w:val="0"/>
              <w:spacing w:before="0" w:after="283"/>
              <w:jc w:val="right"/>
              <w:rPr>
                <w:b/>
              </w:rPr>
            </w:pPr>
            <w:r>
              <w:rPr>
                <w:b/>
              </w:rPr>
              <w:t>200%</w:t>
            </w:r>
          </w:p>
        </w:tc>
      </w:tr>
      <w:tr>
        <w:trPr/>
        <w:tc>
          <w:tcPr>
            <w:tcW w:w="2291" w:type="dxa"/>
            <w:tcBorders>
              <w:bottom w:val="single" w:sz="12" w:space="0" w:color="000000"/>
            </w:tcBorders>
            <w:vAlign w:val="center"/>
          </w:tcPr>
          <w:p>
            <w:pPr>
              <w:pStyle w:val="TableContents"/>
              <w:bidi w:val="0"/>
              <w:spacing w:before="0" w:after="283"/>
              <w:jc w:val="left"/>
              <w:rPr>
                <w:b/>
              </w:rPr>
            </w:pPr>
            <w:r>
              <w:rPr>
                <w:b/>
              </w:rPr>
              <w:t>TSR vs. Core A&amp;D Peers</w:t>
            </w:r>
            <w:r>
              <w:rPr>
                <w:b/>
                <w:position w:val="8"/>
                <w:sz w:val="19"/>
              </w:rPr>
              <w:t>(3)</w:t>
            </w:r>
          </w:p>
        </w:tc>
        <w:tc>
          <w:tcPr>
            <w:tcW w:w="300" w:type="dxa"/>
            <w:tcBorders>
              <w:bottom w:val="single" w:sz="12" w:space="0" w:color="000000"/>
            </w:tcBorders>
            <w:vAlign w:val="center"/>
          </w:tcPr>
          <w:p>
            <w:pPr>
              <w:pStyle w:val="TableContents"/>
              <w:bidi w:val="0"/>
              <w:spacing w:before="0" w:after="283"/>
              <w:jc w:val="left"/>
              <w:rPr/>
            </w:pPr>
            <w:r>
              <w:rPr/>
              <w:t> </w:t>
            </w:r>
          </w:p>
        </w:tc>
        <w:tc>
          <w:tcPr>
            <w:tcW w:w="500" w:type="dxa"/>
            <w:tcBorders>
              <w:bottom w:val="single" w:sz="12" w:space="0" w:color="000000"/>
            </w:tcBorders>
            <w:vAlign w:val="center"/>
          </w:tcPr>
          <w:p>
            <w:pPr>
              <w:pStyle w:val="TableContents"/>
              <w:bidi w:val="0"/>
              <w:spacing w:before="0" w:after="283"/>
              <w:jc w:val="right"/>
              <w:rPr/>
            </w:pPr>
            <w:r>
              <w:rPr/>
              <w:t>15%</w:t>
            </w:r>
          </w:p>
        </w:tc>
        <w:tc>
          <w:tcPr>
            <w:tcW w:w="300" w:type="dxa"/>
            <w:tcBorders>
              <w:bottom w:val="single" w:sz="12" w:space="0" w:color="000000"/>
            </w:tcBorders>
            <w:vAlign w:val="center"/>
          </w:tcPr>
          <w:p>
            <w:pPr>
              <w:pStyle w:val="TableContents"/>
              <w:bidi w:val="0"/>
              <w:spacing w:before="0" w:after="283"/>
              <w:jc w:val="left"/>
              <w:rPr/>
            </w:pPr>
            <w:r>
              <w:rPr/>
              <w:t> </w:t>
            </w:r>
          </w:p>
        </w:tc>
        <w:tc>
          <w:tcPr>
            <w:tcW w:w="1138" w:type="dxa"/>
            <w:tcBorders>
              <w:bottom w:val="single" w:sz="12" w:space="0" w:color="000000"/>
            </w:tcBorders>
            <w:vAlign w:val="center"/>
          </w:tcPr>
          <w:p>
            <w:pPr>
              <w:pStyle w:val="TableContents"/>
              <w:bidi w:val="0"/>
              <w:spacing w:before="0" w:after="283"/>
              <w:jc w:val="right"/>
              <w:rPr/>
            </w:pPr>
            <w:r>
              <w:rPr/>
              <w:t>25</w:t>
            </w:r>
            <w:r>
              <w:rPr>
                <w:position w:val="8"/>
                <w:sz w:val="19"/>
              </w:rPr>
              <w:t xml:space="preserve">th </w:t>
            </w:r>
            <w:r>
              <w:rPr/>
              <w:t>percentile</w:t>
            </w:r>
          </w:p>
        </w:tc>
        <w:tc>
          <w:tcPr>
            <w:tcW w:w="300" w:type="dxa"/>
            <w:tcBorders>
              <w:bottom w:val="single" w:sz="12" w:space="0" w:color="000000"/>
            </w:tcBorders>
            <w:vAlign w:val="center"/>
          </w:tcPr>
          <w:p>
            <w:pPr>
              <w:pStyle w:val="TableContents"/>
              <w:bidi w:val="0"/>
              <w:spacing w:before="0" w:after="283"/>
              <w:jc w:val="left"/>
              <w:rPr/>
            </w:pPr>
            <w:r>
              <w:rPr/>
              <w:t> </w:t>
            </w:r>
          </w:p>
        </w:tc>
        <w:tc>
          <w:tcPr>
            <w:tcW w:w="1138" w:type="dxa"/>
            <w:tcBorders>
              <w:bottom w:val="single" w:sz="12" w:space="0" w:color="000000"/>
            </w:tcBorders>
            <w:vAlign w:val="center"/>
          </w:tcPr>
          <w:p>
            <w:pPr>
              <w:pStyle w:val="TableContents"/>
              <w:bidi w:val="0"/>
              <w:spacing w:before="0" w:after="283"/>
              <w:jc w:val="right"/>
              <w:rPr/>
            </w:pPr>
            <w:r>
              <w:rPr/>
              <w:t>50</w:t>
            </w:r>
            <w:r>
              <w:rPr>
                <w:position w:val="8"/>
                <w:sz w:val="19"/>
              </w:rPr>
              <w:t xml:space="preserve">th </w:t>
            </w:r>
            <w:r>
              <w:rPr/>
              <w:t>percentile</w:t>
            </w:r>
          </w:p>
        </w:tc>
        <w:tc>
          <w:tcPr>
            <w:tcW w:w="300" w:type="dxa"/>
            <w:tcBorders>
              <w:bottom w:val="single" w:sz="12" w:space="0" w:color="000000"/>
            </w:tcBorders>
            <w:vAlign w:val="center"/>
          </w:tcPr>
          <w:p>
            <w:pPr>
              <w:pStyle w:val="TableContents"/>
              <w:bidi w:val="0"/>
              <w:spacing w:before="0" w:after="283"/>
              <w:jc w:val="left"/>
              <w:rPr/>
            </w:pPr>
            <w:r>
              <w:rPr/>
              <w:t> </w:t>
            </w:r>
          </w:p>
        </w:tc>
        <w:tc>
          <w:tcPr>
            <w:tcW w:w="1138" w:type="dxa"/>
            <w:tcBorders>
              <w:bottom w:val="single" w:sz="12" w:space="0" w:color="000000"/>
            </w:tcBorders>
            <w:vAlign w:val="center"/>
          </w:tcPr>
          <w:p>
            <w:pPr>
              <w:pStyle w:val="TableContents"/>
              <w:bidi w:val="0"/>
              <w:spacing w:before="0" w:after="283"/>
              <w:jc w:val="right"/>
              <w:rPr/>
            </w:pPr>
            <w:r>
              <w:rPr/>
              <w:t>75</w:t>
            </w:r>
            <w:r>
              <w:rPr>
                <w:position w:val="8"/>
                <w:sz w:val="19"/>
              </w:rPr>
              <w:t xml:space="preserve">th </w:t>
            </w:r>
            <w:r>
              <w:rPr/>
              <w:t>percentile</w:t>
            </w:r>
          </w:p>
        </w:tc>
        <w:tc>
          <w:tcPr>
            <w:tcW w:w="300" w:type="dxa"/>
            <w:tcBorders>
              <w:bottom w:val="single" w:sz="12" w:space="0" w:color="000000"/>
            </w:tcBorders>
            <w:vAlign w:val="center"/>
          </w:tcPr>
          <w:p>
            <w:pPr>
              <w:pStyle w:val="TableContents"/>
              <w:bidi w:val="0"/>
              <w:spacing w:before="0" w:after="283"/>
              <w:jc w:val="left"/>
              <w:rPr/>
            </w:pPr>
            <w:r>
              <w:rPr/>
              <w:t> </w:t>
            </w:r>
          </w:p>
        </w:tc>
        <w:tc>
          <w:tcPr>
            <w:tcW w:w="1219" w:type="dxa"/>
            <w:tcBorders>
              <w:bottom w:val="single" w:sz="12" w:space="0" w:color="000000"/>
            </w:tcBorders>
            <w:vAlign w:val="center"/>
          </w:tcPr>
          <w:p>
            <w:pPr>
              <w:pStyle w:val="TableContents"/>
              <w:bidi w:val="0"/>
              <w:spacing w:before="0" w:after="283"/>
              <w:jc w:val="right"/>
              <w:rPr/>
            </w:pPr>
            <w:r>
              <w:rPr/>
              <w:t>77.7</w:t>
            </w:r>
            <w:r>
              <w:rPr>
                <w:position w:val="8"/>
                <w:sz w:val="19"/>
              </w:rPr>
              <w:t xml:space="preserve">th </w:t>
            </w:r>
            <w:r>
              <w:rPr/>
              <w:t>percentile</w:t>
            </w:r>
          </w:p>
        </w:tc>
        <w:tc>
          <w:tcPr>
            <w:tcW w:w="300" w:type="dxa"/>
            <w:tcBorders>
              <w:bottom w:val="single" w:sz="12" w:space="0" w:color="000000"/>
            </w:tcBorders>
            <w:vAlign w:val="center"/>
          </w:tcPr>
          <w:p>
            <w:pPr>
              <w:pStyle w:val="TableContents"/>
              <w:bidi w:val="0"/>
              <w:spacing w:before="0" w:after="283"/>
              <w:jc w:val="left"/>
              <w:rPr/>
            </w:pPr>
            <w:r>
              <w:rPr/>
              <w:t> </w:t>
            </w:r>
          </w:p>
        </w:tc>
        <w:tc>
          <w:tcPr>
            <w:tcW w:w="981" w:type="dxa"/>
            <w:tcBorders>
              <w:bottom w:val="single" w:sz="12" w:space="0" w:color="000000"/>
            </w:tcBorders>
            <w:vAlign w:val="center"/>
          </w:tcPr>
          <w:p>
            <w:pPr>
              <w:pStyle w:val="TableContents"/>
              <w:bidi w:val="0"/>
              <w:spacing w:before="0" w:after="283"/>
              <w:jc w:val="right"/>
              <w:rPr>
                <w:b/>
              </w:rPr>
            </w:pPr>
            <w:r>
              <w:rPr>
                <w:b/>
              </w:rPr>
              <w:t>200%</w:t>
            </w:r>
          </w:p>
        </w:tc>
      </w:tr>
      <w:tr>
        <w:trPr/>
        <w:tc>
          <w:tcPr>
            <w:tcW w:w="2291" w:type="dxa"/>
            <w:tcBorders>
              <w:bottom w:val="single" w:sz="12" w:space="0" w:color="000000"/>
            </w:tcBorders>
            <w:vAlign w:val="center"/>
          </w:tcPr>
          <w:p>
            <w:pPr>
              <w:pStyle w:val="TableContents"/>
              <w:bidi w:val="0"/>
              <w:spacing w:before="0" w:after="283"/>
              <w:jc w:val="left"/>
              <w:rPr>
                <w:b/>
                <w:color w:val="C12E33"/>
              </w:rPr>
            </w:pPr>
            <w:r>
              <w:rPr>
                <w:b/>
                <w:color w:val="C12E33"/>
              </w:rPr>
              <w:t>Final PSU Vesting Factor</w:t>
            </w:r>
          </w:p>
        </w:tc>
        <w:tc>
          <w:tcPr>
            <w:tcW w:w="300" w:type="dxa"/>
            <w:tcBorders>
              <w:bottom w:val="single" w:sz="12" w:space="0" w:color="000000"/>
            </w:tcBorders>
            <w:vAlign w:val="center"/>
          </w:tcPr>
          <w:p>
            <w:pPr>
              <w:pStyle w:val="TableContents"/>
              <w:bidi w:val="0"/>
              <w:spacing w:before="0" w:after="283"/>
              <w:jc w:val="left"/>
              <w:rPr/>
            </w:pPr>
            <w:r>
              <w:rPr/>
              <w:t> </w:t>
            </w:r>
          </w:p>
        </w:tc>
        <w:tc>
          <w:tcPr>
            <w:tcW w:w="500" w:type="dxa"/>
            <w:tcBorders>
              <w:bottom w:val="single" w:sz="12" w:space="0" w:color="000000"/>
            </w:tcBorders>
            <w:vAlign w:val="center"/>
          </w:tcPr>
          <w:p>
            <w:pPr>
              <w:pStyle w:val="TableContents"/>
              <w:bidi w:val="0"/>
              <w:spacing w:before="0" w:after="283"/>
              <w:jc w:val="left"/>
              <w:rPr/>
            </w:pPr>
            <w:r>
              <w:rPr/>
              <w:t> </w:t>
            </w:r>
          </w:p>
        </w:tc>
        <w:tc>
          <w:tcPr>
            <w:tcW w:w="300" w:type="dxa"/>
            <w:tcBorders>
              <w:bottom w:val="single" w:sz="12" w:space="0" w:color="000000"/>
            </w:tcBorders>
            <w:vAlign w:val="center"/>
          </w:tcPr>
          <w:p>
            <w:pPr>
              <w:pStyle w:val="TableContents"/>
              <w:bidi w:val="0"/>
              <w:spacing w:before="0" w:after="283"/>
              <w:jc w:val="left"/>
              <w:rPr/>
            </w:pPr>
            <w:r>
              <w:rPr/>
              <w:t> </w:t>
            </w:r>
          </w:p>
        </w:tc>
        <w:tc>
          <w:tcPr>
            <w:tcW w:w="1138" w:type="dxa"/>
            <w:tcBorders>
              <w:bottom w:val="single" w:sz="12" w:space="0" w:color="000000"/>
            </w:tcBorders>
            <w:vAlign w:val="center"/>
          </w:tcPr>
          <w:p>
            <w:pPr>
              <w:pStyle w:val="TableContents"/>
              <w:bidi w:val="0"/>
              <w:spacing w:before="0" w:after="283"/>
              <w:jc w:val="left"/>
              <w:rPr/>
            </w:pPr>
            <w:r>
              <w:rPr/>
              <w:t> </w:t>
            </w:r>
          </w:p>
        </w:tc>
        <w:tc>
          <w:tcPr>
            <w:tcW w:w="300" w:type="dxa"/>
            <w:tcBorders>
              <w:bottom w:val="single" w:sz="12" w:space="0" w:color="000000"/>
            </w:tcBorders>
            <w:vAlign w:val="center"/>
          </w:tcPr>
          <w:p>
            <w:pPr>
              <w:pStyle w:val="TableContents"/>
              <w:bidi w:val="0"/>
              <w:spacing w:before="0" w:after="283"/>
              <w:jc w:val="left"/>
              <w:rPr/>
            </w:pPr>
            <w:r>
              <w:rPr/>
              <w:t> </w:t>
            </w:r>
          </w:p>
        </w:tc>
        <w:tc>
          <w:tcPr>
            <w:tcW w:w="1138" w:type="dxa"/>
            <w:tcBorders>
              <w:bottom w:val="single" w:sz="12" w:space="0" w:color="000000"/>
            </w:tcBorders>
            <w:vAlign w:val="center"/>
          </w:tcPr>
          <w:p>
            <w:pPr>
              <w:pStyle w:val="TableContents"/>
              <w:bidi w:val="0"/>
              <w:spacing w:before="0" w:after="283"/>
              <w:jc w:val="left"/>
              <w:rPr/>
            </w:pPr>
            <w:r>
              <w:rPr/>
              <w:t> </w:t>
            </w:r>
          </w:p>
        </w:tc>
        <w:tc>
          <w:tcPr>
            <w:tcW w:w="300" w:type="dxa"/>
            <w:tcBorders>
              <w:bottom w:val="single" w:sz="12" w:space="0" w:color="000000"/>
            </w:tcBorders>
            <w:vAlign w:val="center"/>
          </w:tcPr>
          <w:p>
            <w:pPr>
              <w:pStyle w:val="TableContents"/>
              <w:bidi w:val="0"/>
              <w:spacing w:before="0" w:after="283"/>
              <w:jc w:val="left"/>
              <w:rPr/>
            </w:pPr>
            <w:r>
              <w:rPr/>
              <w:t> </w:t>
            </w:r>
          </w:p>
        </w:tc>
        <w:tc>
          <w:tcPr>
            <w:tcW w:w="1138" w:type="dxa"/>
            <w:tcBorders>
              <w:bottom w:val="single" w:sz="12" w:space="0" w:color="000000"/>
            </w:tcBorders>
            <w:vAlign w:val="center"/>
          </w:tcPr>
          <w:p>
            <w:pPr>
              <w:pStyle w:val="TableContents"/>
              <w:bidi w:val="0"/>
              <w:spacing w:before="0" w:after="283"/>
              <w:jc w:val="left"/>
              <w:rPr/>
            </w:pPr>
            <w:r>
              <w:rPr/>
              <w:t> </w:t>
            </w:r>
          </w:p>
        </w:tc>
        <w:tc>
          <w:tcPr>
            <w:tcW w:w="300" w:type="dxa"/>
            <w:tcBorders>
              <w:bottom w:val="single" w:sz="12" w:space="0" w:color="000000"/>
            </w:tcBorders>
            <w:vAlign w:val="center"/>
          </w:tcPr>
          <w:p>
            <w:pPr>
              <w:pStyle w:val="TableContents"/>
              <w:bidi w:val="0"/>
              <w:spacing w:before="0" w:after="283"/>
              <w:jc w:val="left"/>
              <w:rPr/>
            </w:pPr>
            <w:r>
              <w:rPr/>
              <w:t> </w:t>
            </w:r>
          </w:p>
        </w:tc>
        <w:tc>
          <w:tcPr>
            <w:tcW w:w="1219" w:type="dxa"/>
            <w:tcBorders>
              <w:bottom w:val="single" w:sz="12" w:space="0" w:color="000000"/>
            </w:tcBorders>
            <w:vAlign w:val="center"/>
          </w:tcPr>
          <w:p>
            <w:pPr>
              <w:pStyle w:val="TableContents"/>
              <w:bidi w:val="0"/>
              <w:spacing w:before="0" w:after="283"/>
              <w:jc w:val="left"/>
              <w:rPr/>
            </w:pPr>
            <w:r>
              <w:rPr/>
              <w:t> </w:t>
            </w:r>
          </w:p>
        </w:tc>
        <w:tc>
          <w:tcPr>
            <w:tcW w:w="300" w:type="dxa"/>
            <w:tcBorders>
              <w:bottom w:val="single" w:sz="12" w:space="0" w:color="000000"/>
            </w:tcBorders>
            <w:vAlign w:val="center"/>
          </w:tcPr>
          <w:p>
            <w:pPr>
              <w:pStyle w:val="TableContents"/>
              <w:bidi w:val="0"/>
              <w:spacing w:before="0" w:after="283"/>
              <w:jc w:val="left"/>
              <w:rPr/>
            </w:pPr>
            <w:r>
              <w:rPr/>
              <w:t> </w:t>
            </w:r>
          </w:p>
        </w:tc>
        <w:tc>
          <w:tcPr>
            <w:tcW w:w="981" w:type="dxa"/>
            <w:tcBorders>
              <w:bottom w:val="single" w:sz="12" w:space="0" w:color="000000"/>
            </w:tcBorders>
            <w:vAlign w:val="center"/>
          </w:tcPr>
          <w:p>
            <w:pPr>
              <w:pStyle w:val="TableContents"/>
              <w:bidi w:val="0"/>
              <w:spacing w:before="0" w:after="283"/>
              <w:jc w:val="right"/>
              <w:rPr>
                <w:b/>
                <w:color w:val="C12E33"/>
              </w:rPr>
            </w:pPr>
            <w:r>
              <w:rPr>
                <w:b/>
                <w:color w:val="C12E33"/>
              </w:rPr>
              <w:t>146%</w:t>
            </w:r>
          </w:p>
        </w:tc>
      </w:tr>
    </w:tbl>
    <w:tbl>
      <w:tblPr>
        <w:tblW w:w="10205" w:type="dxa"/>
        <w:jc w:val="left"/>
        <w:tblInd w:w="0" w:type="dxa"/>
        <w:tblLayout w:type="fixed"/>
        <w:tblCellMar>
          <w:top w:w="0" w:type="dxa"/>
          <w:left w:w="0" w:type="dxa"/>
          <w:bottom w:w="0" w:type="dxa"/>
          <w:right w:w="0" w:type="dxa"/>
        </w:tblCellMar>
      </w:tblPr>
      <w:tblGrid>
        <w:gridCol w:w="251"/>
        <w:gridCol w:w="9954"/>
      </w:tblGrid>
      <w:tr>
        <w:trPr/>
        <w:tc>
          <w:tcPr>
            <w:tcW w:w="251" w:type="dxa"/>
            <w:tcBorders/>
            <w:vAlign w:val="center"/>
          </w:tcPr>
          <w:p>
            <w:pPr>
              <w:pStyle w:val="TableContents"/>
              <w:bidi w:val="0"/>
              <w:spacing w:before="0" w:after="283"/>
              <w:jc w:val="left"/>
              <w:rPr/>
            </w:pPr>
            <w:r>
              <w:rPr/>
              <w:t>(1)</w:t>
            </w:r>
          </w:p>
        </w:tc>
        <w:tc>
          <w:tcPr>
            <w:tcW w:w="9954" w:type="dxa"/>
            <w:tcBorders/>
            <w:vAlign w:val="center"/>
          </w:tcPr>
          <w:p>
            <w:pPr>
              <w:pStyle w:val="TableContents"/>
              <w:bidi w:val="0"/>
              <w:spacing w:before="0" w:after="283"/>
              <w:jc w:val="left"/>
              <w:rPr/>
            </w:pPr>
            <w:r>
              <w:rPr/>
              <w:t>AIP financial results for our business units differ from the above table (see page 49 for details). Adjusted net income and free cash flow are financial metrics used solely for AIP purposes and are defined in Appendix B on page 102. These metrics differ from other non-GAAP metrics used and described in Appendix A on pages 99-101. </w:t>
            </w:r>
          </w:p>
        </w:tc>
      </w:tr>
      <w:tr>
        <w:trPr/>
        <w:tc>
          <w:tcPr>
            <w:tcW w:w="251" w:type="dxa"/>
            <w:tcBorders/>
            <w:vAlign w:val="center"/>
          </w:tcPr>
          <w:p>
            <w:pPr>
              <w:pStyle w:val="TableContents"/>
              <w:bidi w:val="0"/>
              <w:spacing w:before="0" w:after="283"/>
              <w:jc w:val="left"/>
              <w:rPr/>
            </w:pPr>
            <w:r>
              <w:rPr/>
              <w:t>(2)</w:t>
            </w:r>
          </w:p>
        </w:tc>
        <w:tc>
          <w:tcPr>
            <w:tcW w:w="9954" w:type="dxa"/>
            <w:tcBorders/>
            <w:vAlign w:val="center"/>
          </w:tcPr>
          <w:p>
            <w:pPr>
              <w:pStyle w:val="TableContents"/>
              <w:bidi w:val="0"/>
              <w:spacing w:before="0" w:after="283"/>
              <w:jc w:val="left"/>
              <w:rPr/>
            </w:pPr>
            <w:r>
              <w:rPr/>
              <w:t>See Appendix B on page 102 for a definition of PSU metrics. Adjusted EPS and ROIC metrics are used solely for PSU purposes and differ from other non-GAAP metrics used and described in Appendix A on pages 99-101.</w:t>
            </w:r>
          </w:p>
        </w:tc>
      </w:tr>
      <w:tr>
        <w:trPr/>
        <w:tc>
          <w:tcPr>
            <w:tcW w:w="251" w:type="dxa"/>
            <w:tcBorders/>
            <w:vAlign w:val="center"/>
          </w:tcPr>
          <w:p>
            <w:pPr>
              <w:pStyle w:val="TableContents"/>
              <w:bidi w:val="0"/>
              <w:spacing w:before="0" w:after="283"/>
              <w:jc w:val="left"/>
              <w:rPr/>
            </w:pPr>
            <w:r>
              <w:rPr/>
              <w:t>(3)</w:t>
            </w:r>
          </w:p>
        </w:tc>
        <w:tc>
          <w:tcPr>
            <w:tcW w:w="9954" w:type="dxa"/>
            <w:tcBorders/>
            <w:vAlign w:val="center"/>
          </w:tcPr>
          <w:p>
            <w:pPr>
              <w:pStyle w:val="TableContents"/>
              <w:bidi w:val="0"/>
              <w:spacing w:before="0" w:after="283"/>
              <w:jc w:val="left"/>
              <w:rPr/>
            </w:pPr>
            <w:r>
              <w:rPr/>
              <w:t>For the 2023 PSUs, Core A&amp;D Peers consist of Airbus, Boeing, GE Aerospace, General Dynamics, Honeywell, L3Harris, Lockheed Martin, Northrop Grumman and Safran.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right"/>
        <w:rPr>
          <w:rFonts w:ascii="Arial;Helvetica;Sans-Serif" w:hAnsi="Arial;Helvetica;Sans-Serif"/>
          <w:sz w:val="15"/>
        </w:rPr>
      </w:pPr>
      <w:r>
        <w:rPr>
          <w:rFonts w:ascii="Arial;Helvetica;Sans-Serif" w:hAnsi="Arial;Helvetica;Sans-Serif"/>
          <w:b/>
          <w:sz w:val="15"/>
        </w:rPr>
        <w:t>RTX</w:t>
      </w:r>
      <w:r>
        <w:rPr>
          <w:rFonts w:ascii="Arial;Helvetica;Sans-Serif" w:hAnsi="Arial;Helvetica;Sans-Serif"/>
          <w:sz w:val="15"/>
        </w:rPr>
        <w:t xml:space="preserve"> 2026 PROXY STATEMENT    </w:t>
      </w:r>
      <w:r>
        <w:rPr>
          <w:rFonts w:ascii="Arial;Helvetica;Sans-Serif" w:hAnsi="Arial;Helvetica;Sans-Serif"/>
          <w:b/>
          <w:sz w:val="15"/>
        </w:rPr>
        <w:t>5</w:t>
      </w:r>
    </w:p>
    <w:p>
      <w:pPr>
        <w:pStyle w:val="HorizontalLine"/>
        <w:pBdr>
          <w:bottom w:val="double" w:sz="2" w:space="0" w:color="808080"/>
        </w:pBdr>
        <w:bidi w:val="0"/>
        <w:spacing w:before="0" w:after="283"/>
        <w:jc w:val="left"/>
        <w:rPr/>
      </w:pPr>
      <w:r>
        <w:rPr/>
      </w:r>
    </w:p>
    <w:p>
      <w:pPr>
        <w:pStyle w:val="TextBody"/>
        <w:bidi w:val="0"/>
        <w:spacing w:before="200" w:after="200"/>
        <w:jc w:val="left"/>
        <w:rPr/>
      </w:pPr>
      <w:hyperlink w:anchor="toc">
        <w:r>
          <w:rPr>
            <w:rStyle w:val="InternetLink"/>
            <w:rFonts w:ascii="Arial;Helvetica;Sans-Serif" w:hAnsi="Arial;Helvetica;Sans-Serif"/>
            <w:b/>
            <w:i w:val="false"/>
            <w:caps w:val="false"/>
            <w:smallCaps w:val="false"/>
            <w:sz w:val="16"/>
          </w:rPr>
          <w:t>Table of Contents</w:t>
        </w:r>
      </w:hyperlink>
    </w:p>
    <w:p>
      <w:pPr>
        <w:pStyle w:val="TextBody"/>
        <w:bidi w:val="0"/>
        <w:jc w:val="left"/>
        <w:rPr>
          <w:shd w:fill="B2B2B0" w:val="clear"/>
        </w:rPr>
      </w:pPr>
      <w:r>
        <w:rPr>
          <w:rFonts w:ascii="Arial;Helvetica;Sans-Serif" w:hAnsi="Arial;Helvetica;Sans-Serif"/>
          <w:b/>
          <w:i w:val="false"/>
          <w:caps w:val="false"/>
          <w:smallCaps w:val="false"/>
          <w:color w:val="FFFFFF"/>
          <w:sz w:val="15"/>
          <w:shd w:fill="B2B2B0" w:val="clear"/>
        </w:rPr>
        <w:t>PROXY SUMMARY</w:t>
      </w:r>
      <w:r>
        <w:rPr>
          <w:color w:val="FFFFFF"/>
          <w:shd w:fill="B2B2B0" w:val="clear"/>
        </w:rPr>
        <w:br/>
      </w:r>
      <w:r>
        <w:rPr>
          <w:rFonts w:ascii="Arial;Helvetica;Sans-Serif" w:hAnsi="Arial;Helvetica;Sans-Serif"/>
          <w:b w:val="false"/>
          <w:i w:val="false"/>
          <w:caps w:val="false"/>
          <w:smallCaps w:val="false"/>
          <w:color w:val="FFFFFF"/>
          <w:sz w:val="15"/>
          <w:shd w:fill="B2B2B0" w:val="clear"/>
        </w:rPr>
        <w:t>EXECUTIVE COMPENSATION 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HCC Committee believes that these final performance factors—164% for Corporate AIP and 146% for the 2023-2025 PSUs—demonstrate that our program is driving strong financial performance and achieving its fundamental objective of aligning executive pay with the interests of our shareowners.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CHANGES IN COMPENSATION DESIGN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HCC Committee continuously evaluates RTX’s compensation programs and makes enhancements that align with our evolving business and strategic priorities. Based on its evaluation, the HCC Committee approved these changes: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40" w:type="dxa"/>
          <w:right w:w="0" w:type="dxa"/>
        </w:tblCellMar>
      </w:tblPr>
      <w:tblGrid>
        <w:gridCol w:w="3743"/>
        <w:gridCol w:w="375"/>
        <w:gridCol w:w="6087"/>
      </w:tblGrid>
      <w:tr>
        <w:trPr/>
        <w:tc>
          <w:tcPr>
            <w:tcW w:w="3743" w:type="dxa"/>
            <w:tcBorders>
              <w:bottom w:val="single" w:sz="12" w:space="0" w:color="000000"/>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What we changed </w:t>
            </w:r>
          </w:p>
        </w:tc>
        <w:tc>
          <w:tcPr>
            <w:tcW w:w="375" w:type="dxa"/>
            <w:tcBorders>
              <w:bottom w:val="single" w:sz="12" w:space="0" w:color="000000"/>
            </w:tcBorders>
            <w:vAlign w:val="center"/>
          </w:tcPr>
          <w:p>
            <w:pPr>
              <w:pStyle w:val="TableContents"/>
              <w:bidi w:val="0"/>
              <w:spacing w:before="0" w:after="283"/>
              <w:jc w:val="center"/>
              <w:rPr/>
            </w:pPr>
            <w:r>
              <w:rPr/>
              <w:t> </w:t>
            </w:r>
          </w:p>
        </w:tc>
        <w:tc>
          <w:tcPr>
            <w:tcW w:w="6087" w:type="dxa"/>
            <w:tcBorders>
              <w:bottom w:val="single" w:sz="12" w:space="0" w:color="000000"/>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Why we changed it</w:t>
            </w:r>
          </w:p>
        </w:tc>
      </w:tr>
      <w:tr>
        <w:trPr/>
        <w:tc>
          <w:tcPr>
            <w:tcW w:w="3743" w:type="dxa"/>
            <w:tcBorders>
              <w:bottom w:val="single" w:sz="2" w:space="0" w:color="C12E33"/>
            </w:tcBorders>
            <w:vAlign w:val="center"/>
          </w:tcPr>
          <w:p>
            <w:pPr>
              <w:pStyle w:val="TableContents"/>
              <w:bidi w:val="0"/>
              <w:spacing w:before="0" w:after="283"/>
              <w:jc w:val="left"/>
              <w:rPr>
                <w:b/>
                <w:sz w:val="20"/>
              </w:rPr>
            </w:pPr>
            <w:r>
              <w:rPr>
                <w:b/>
                <w:sz w:val="20"/>
              </w:rPr>
              <w:t>COMPENSATION PEER GROUP</w:t>
            </w:r>
          </w:p>
        </w:tc>
        <w:tc>
          <w:tcPr>
            <w:tcW w:w="375" w:type="dxa"/>
            <w:tcBorders>
              <w:bottom w:val="single" w:sz="2" w:space="0" w:color="C12E33"/>
            </w:tcBorders>
            <w:vAlign w:val="center"/>
          </w:tcPr>
          <w:p>
            <w:pPr>
              <w:pStyle w:val="TableContents"/>
              <w:bidi w:val="0"/>
              <w:spacing w:before="0" w:after="283"/>
              <w:jc w:val="center"/>
              <w:rPr/>
            </w:pPr>
            <w:r>
              <w:rPr/>
              <w:t> </w:t>
            </w:r>
          </w:p>
        </w:tc>
        <w:tc>
          <w:tcPr>
            <w:tcW w:w="6087" w:type="dxa"/>
            <w:tcBorders>
              <w:bottom w:val="single" w:sz="2" w:space="0" w:color="C12E33"/>
            </w:tcBorders>
            <w:vAlign w:val="center"/>
          </w:tcPr>
          <w:p>
            <w:pPr>
              <w:pStyle w:val="TableContents"/>
              <w:bidi w:val="0"/>
              <w:spacing w:before="0" w:after="283"/>
              <w:jc w:val="left"/>
              <w:rPr/>
            </w:pPr>
            <w:r>
              <w:rPr/>
              <w:t> </w:t>
            </w:r>
          </w:p>
        </w:tc>
      </w:tr>
      <w:tr>
        <w:trPr/>
        <w:tc>
          <w:tcPr>
            <w:tcW w:w="3743" w:type="dxa"/>
            <w:tcBorders>
              <w:bottom w:val="single" w:sz="12" w:space="0" w:color="000000"/>
            </w:tcBorders>
            <w:vAlign w:val="center"/>
          </w:tcPr>
          <w:p>
            <w:pPr>
              <w:pStyle w:val="TableContents"/>
              <w:bidi w:val="0"/>
              <w:spacing w:before="0" w:after="283"/>
              <w:jc w:val="left"/>
              <w:rPr/>
            </w:pPr>
            <w:r>
              <w:rPr>
                <w:b/>
              </w:rPr>
              <w:t xml:space="preserve">We modified our Compensation Peer Group (“CPG”). </w:t>
            </w:r>
            <w:r>
              <w:rPr/>
              <w:t>In 2025, we added Ford, Microsoft and Nvidia and removed 3M and L3Harris Technologies from the CPG.</w:t>
            </w:r>
          </w:p>
        </w:tc>
        <w:tc>
          <w:tcPr>
            <w:tcW w:w="375" w:type="dxa"/>
            <w:tcBorders>
              <w:bottom w:val="single" w:sz="12" w:space="0" w:color="000000"/>
            </w:tcBorders>
            <w:vAlign w:val="center"/>
          </w:tcPr>
          <w:p>
            <w:pPr>
              <w:pStyle w:val="TableContents"/>
              <w:bidi w:val="0"/>
              <w:spacing w:before="0" w:after="283"/>
              <w:jc w:val="center"/>
              <w:rPr/>
            </w:pPr>
            <w:r>
              <w:rPr/>
              <w:drawing>
                <wp:inline distT="0" distB="0" distL="0" distR="0">
                  <wp:extent cx="238125" cy="414655"/>
                  <wp:effectExtent l="0" t="0" r="0" b="0"/>
                  <wp:docPr id="36"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28" descr=""/>
                          <pic:cNvPicPr>
                            <a:picLocks noChangeAspect="1" noChangeArrowheads="1"/>
                          </pic:cNvPicPr>
                        </pic:nvPicPr>
                        <pic:blipFill>
                          <a:blip r:embed="rId33"/>
                          <a:stretch>
                            <a:fillRect/>
                          </a:stretch>
                        </pic:blipFill>
                        <pic:spPr bwMode="auto">
                          <a:xfrm>
                            <a:off x="0" y="0"/>
                            <a:ext cx="238125" cy="414655"/>
                          </a:xfrm>
                          <a:prstGeom prst="rect">
                            <a:avLst/>
                          </a:prstGeom>
                        </pic:spPr>
                      </pic:pic>
                    </a:graphicData>
                  </a:graphic>
                </wp:inline>
              </w:drawing>
            </w:r>
          </w:p>
        </w:tc>
        <w:tc>
          <w:tcPr>
            <w:tcW w:w="6087" w:type="dxa"/>
            <w:tcBorders>
              <w:bottom w:val="single" w:sz="12" w:space="0" w:color="000000"/>
            </w:tcBorders>
            <w:vAlign w:val="center"/>
          </w:tcPr>
          <w:p>
            <w:pPr>
              <w:pStyle w:val="TableContents"/>
              <w:bidi w:val="0"/>
              <w:jc w:val="left"/>
              <w:rPr/>
            </w:pPr>
            <w:r>
              <w:rPr/>
              <w:t>As part of its ongoing process, the HCC Committee regularly reviews each company included in the CPG and the CPG’s overall composition. Since the previous CPG was established in 2020, RTX has grown, while several CPG companies have sold or spun-off portions of their businesses. These 2025 changes were made to ensure the CPG reflects an appropriate composite of companies comparable to RTX in size and complexity, while also keeping our pay programs competitive for the high-technology talent we need in the future.</w:t>
            </w:r>
          </w:p>
          <w:p>
            <w:pPr>
              <w:pStyle w:val="TableContents"/>
              <w:bidi w:val="0"/>
              <w:spacing w:before="0" w:after="283"/>
              <w:jc w:val="left"/>
              <w:rPr/>
            </w:pPr>
            <w:r>
              <w:rPr/>
              <w:t> </w:t>
            </w:r>
          </w:p>
        </w:tc>
      </w:tr>
      <w:tr>
        <w:trPr/>
        <w:tc>
          <w:tcPr>
            <w:tcW w:w="3743" w:type="dxa"/>
            <w:tcBorders>
              <w:bottom w:val="single" w:sz="2" w:space="0" w:color="C12E33"/>
            </w:tcBorders>
            <w:vAlign w:val="center"/>
          </w:tcPr>
          <w:p>
            <w:pPr>
              <w:pStyle w:val="TableContents"/>
              <w:bidi w:val="0"/>
              <w:spacing w:before="0" w:after="283"/>
              <w:jc w:val="left"/>
              <w:rPr>
                <w:b/>
                <w:sz w:val="20"/>
              </w:rPr>
            </w:pPr>
            <w:r>
              <w:rPr>
                <w:b/>
                <w:sz w:val="20"/>
              </w:rPr>
              <w:t>ANNUAL INCENTIVES</w:t>
            </w:r>
          </w:p>
        </w:tc>
        <w:tc>
          <w:tcPr>
            <w:tcW w:w="375" w:type="dxa"/>
            <w:tcBorders>
              <w:bottom w:val="single" w:sz="2" w:space="0" w:color="C12E33"/>
            </w:tcBorders>
            <w:vAlign w:val="center"/>
          </w:tcPr>
          <w:p>
            <w:pPr>
              <w:pStyle w:val="TableContents"/>
              <w:bidi w:val="0"/>
              <w:spacing w:before="0" w:after="283"/>
              <w:jc w:val="center"/>
              <w:rPr/>
            </w:pPr>
            <w:r>
              <w:rPr/>
              <w:t> </w:t>
            </w:r>
          </w:p>
        </w:tc>
        <w:tc>
          <w:tcPr>
            <w:tcW w:w="6087" w:type="dxa"/>
            <w:tcBorders>
              <w:bottom w:val="single" w:sz="2" w:space="0" w:color="C12E33"/>
            </w:tcBorders>
            <w:vAlign w:val="center"/>
          </w:tcPr>
          <w:p>
            <w:pPr>
              <w:pStyle w:val="TableContents"/>
              <w:bidi w:val="0"/>
              <w:spacing w:before="0" w:after="283"/>
              <w:jc w:val="left"/>
              <w:rPr/>
            </w:pPr>
            <w:r>
              <w:rPr/>
              <w:t> </w:t>
            </w:r>
          </w:p>
        </w:tc>
      </w:tr>
      <w:tr>
        <w:trPr/>
        <w:tc>
          <w:tcPr>
            <w:tcW w:w="3743" w:type="dxa"/>
            <w:tcBorders>
              <w:bottom w:val="single" w:sz="12" w:space="0" w:color="000000"/>
            </w:tcBorders>
            <w:vAlign w:val="center"/>
          </w:tcPr>
          <w:p>
            <w:pPr>
              <w:pStyle w:val="TableContents"/>
              <w:bidi w:val="0"/>
              <w:spacing w:before="0" w:after="0"/>
              <w:ind w:left="0" w:right="0" w:hanging="0"/>
              <w:jc w:val="left"/>
              <w:rPr>
                <w:b/>
              </w:rPr>
            </w:pPr>
            <w:r>
              <w:rPr>
                <w:b/>
              </w:rPr>
              <w:t>We eliminated the non-financial component of our AIP design (the “Corporate Responsibility Scorecard”), instead allocating 100% of weighting to financial performance.</w:t>
            </w:r>
          </w:p>
          <w:p>
            <w:pPr>
              <w:pStyle w:val="TableContents"/>
              <w:bidi w:val="0"/>
              <w:spacing w:before="0" w:after="0"/>
              <w:ind w:left="0" w:right="0" w:hanging="0"/>
              <w:jc w:val="left"/>
              <w:rPr/>
            </w:pPr>
            <w:r>
              <w:rPr/>
              <w:t>Beginning in 2025, performance for our Corporate executives is measured 50% on earnings and 50% on free cash flow. For our business unit executives, earnings and free cash flow are measured at both the RTX- and business unit-level—each weighted at 25%.</w:t>
            </w:r>
          </w:p>
          <w:p>
            <w:pPr>
              <w:pStyle w:val="TableContents"/>
              <w:bidi w:val="0"/>
              <w:spacing w:before="0" w:after="0"/>
              <w:ind w:left="0" w:right="0" w:hanging="0"/>
              <w:jc w:val="left"/>
              <w:rPr/>
            </w:pPr>
            <w:r>
              <w:rPr/>
              <w:t> </w:t>
            </w:r>
          </w:p>
        </w:tc>
        <w:tc>
          <w:tcPr>
            <w:tcW w:w="375" w:type="dxa"/>
            <w:tcBorders>
              <w:bottom w:val="single" w:sz="12" w:space="0" w:color="000000"/>
            </w:tcBorders>
            <w:vAlign w:val="center"/>
          </w:tcPr>
          <w:p>
            <w:pPr>
              <w:pStyle w:val="TableContents"/>
              <w:bidi w:val="0"/>
              <w:spacing w:before="0" w:after="283"/>
              <w:jc w:val="center"/>
              <w:rPr/>
            </w:pPr>
            <w:r>
              <w:rPr/>
              <w:drawing>
                <wp:inline distT="0" distB="0" distL="0" distR="0">
                  <wp:extent cx="238125" cy="414655"/>
                  <wp:effectExtent l="0" t="0" r="0" b="0"/>
                  <wp:docPr id="37"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29" descr=""/>
                          <pic:cNvPicPr>
                            <a:picLocks noChangeAspect="1" noChangeArrowheads="1"/>
                          </pic:cNvPicPr>
                        </pic:nvPicPr>
                        <pic:blipFill>
                          <a:blip r:embed="rId34"/>
                          <a:stretch>
                            <a:fillRect/>
                          </a:stretch>
                        </pic:blipFill>
                        <pic:spPr bwMode="auto">
                          <a:xfrm>
                            <a:off x="0" y="0"/>
                            <a:ext cx="238125" cy="414655"/>
                          </a:xfrm>
                          <a:prstGeom prst="rect">
                            <a:avLst/>
                          </a:prstGeom>
                        </pic:spPr>
                      </pic:pic>
                    </a:graphicData>
                  </a:graphic>
                </wp:inline>
              </w:drawing>
            </w:r>
          </w:p>
        </w:tc>
        <w:tc>
          <w:tcPr>
            <w:tcW w:w="6087" w:type="dxa"/>
            <w:tcBorders>
              <w:bottom w:val="single" w:sz="12" w:space="0" w:color="000000"/>
            </w:tcBorders>
            <w:vAlign w:val="center"/>
          </w:tcPr>
          <w:p>
            <w:pPr>
              <w:pStyle w:val="TableContents"/>
              <w:bidi w:val="0"/>
              <w:spacing w:before="0" w:after="283"/>
              <w:jc w:val="left"/>
              <w:rPr/>
            </w:pPr>
            <w:r>
              <w:rPr/>
              <w:t>To better align with the Company’s focus on meeting our financial commitments to our investors, the HCC Committee determined that the funding formula for the AIP would be solely based on the financial performance of the Company and our business units.</w:t>
            </w:r>
          </w:p>
        </w:tc>
      </w:tr>
      <w:tr>
        <w:trPr/>
        <w:tc>
          <w:tcPr>
            <w:tcW w:w="3743" w:type="dxa"/>
            <w:tcBorders>
              <w:bottom w:val="single" w:sz="2" w:space="0" w:color="C12E33"/>
            </w:tcBorders>
            <w:vAlign w:val="center"/>
          </w:tcPr>
          <w:p>
            <w:pPr>
              <w:pStyle w:val="TableContents"/>
              <w:bidi w:val="0"/>
              <w:spacing w:before="0" w:after="283"/>
              <w:jc w:val="left"/>
              <w:rPr>
                <w:b/>
                <w:sz w:val="20"/>
              </w:rPr>
            </w:pPr>
            <w:r>
              <w:rPr>
                <w:b/>
                <w:sz w:val="20"/>
              </w:rPr>
              <w:t>LONG-TERM INCENTIVES</w:t>
            </w:r>
          </w:p>
        </w:tc>
        <w:tc>
          <w:tcPr>
            <w:tcW w:w="375" w:type="dxa"/>
            <w:tcBorders>
              <w:bottom w:val="single" w:sz="2" w:space="0" w:color="C12E33"/>
            </w:tcBorders>
            <w:vAlign w:val="center"/>
          </w:tcPr>
          <w:p>
            <w:pPr>
              <w:pStyle w:val="TableContents"/>
              <w:bidi w:val="0"/>
              <w:spacing w:before="0" w:after="283"/>
              <w:jc w:val="center"/>
              <w:rPr/>
            </w:pPr>
            <w:r>
              <w:rPr/>
              <w:t> </w:t>
            </w:r>
          </w:p>
        </w:tc>
        <w:tc>
          <w:tcPr>
            <w:tcW w:w="6087" w:type="dxa"/>
            <w:tcBorders>
              <w:bottom w:val="single" w:sz="2" w:space="0" w:color="C12E33"/>
            </w:tcBorders>
            <w:vAlign w:val="center"/>
          </w:tcPr>
          <w:p>
            <w:pPr>
              <w:pStyle w:val="TableContents"/>
              <w:bidi w:val="0"/>
              <w:spacing w:before="0" w:after="283"/>
              <w:jc w:val="left"/>
              <w:rPr/>
            </w:pPr>
            <w:r>
              <w:rPr/>
              <w:t> </w:t>
            </w:r>
          </w:p>
        </w:tc>
      </w:tr>
      <w:tr>
        <w:trPr/>
        <w:tc>
          <w:tcPr>
            <w:tcW w:w="3743" w:type="dxa"/>
            <w:tcBorders>
              <w:bottom w:val="single" w:sz="2" w:space="0" w:color="C12E33"/>
            </w:tcBorders>
            <w:vAlign w:val="center"/>
          </w:tcPr>
          <w:p>
            <w:pPr>
              <w:pStyle w:val="TableContents"/>
              <w:bidi w:val="0"/>
              <w:spacing w:before="0" w:after="0"/>
              <w:ind w:left="0" w:right="0" w:hanging="0"/>
              <w:jc w:val="left"/>
              <w:rPr>
                <w:b/>
              </w:rPr>
            </w:pPr>
            <w:r>
              <w:rPr>
                <w:b/>
              </w:rPr>
              <w:t xml:space="preserve">We increased the weighting of TSR in the 2026 PSUs. </w:t>
            </w:r>
          </w:p>
          <w:p>
            <w:pPr>
              <w:pStyle w:val="TableContents"/>
              <w:bidi w:val="0"/>
              <w:spacing w:before="0" w:after="0"/>
              <w:ind w:left="0" w:right="0" w:hanging="0"/>
              <w:jc w:val="left"/>
              <w:rPr/>
            </w:pPr>
            <w:r>
              <w:rPr/>
              <w:t>Beginning with the February 2026 grant, PSUs will vest based on RTX’s performance relative to the following metrics and weightings: EPS (30%), ROIC (30%), TSR vs. Core A&amp;D Peers (20%), and TSR vs. S&amp;P 500 Index companies (20%).</w:t>
            </w:r>
          </w:p>
          <w:p>
            <w:pPr>
              <w:pStyle w:val="TableContents"/>
              <w:bidi w:val="0"/>
              <w:spacing w:before="0" w:after="0"/>
              <w:ind w:left="0" w:right="0" w:hanging="0"/>
              <w:jc w:val="left"/>
              <w:rPr/>
            </w:pPr>
            <w:r>
              <w:rPr/>
              <w:t> </w:t>
            </w:r>
          </w:p>
        </w:tc>
        <w:tc>
          <w:tcPr>
            <w:tcW w:w="375" w:type="dxa"/>
            <w:tcBorders>
              <w:bottom w:val="single" w:sz="2" w:space="0" w:color="C12E33"/>
            </w:tcBorders>
            <w:vAlign w:val="center"/>
          </w:tcPr>
          <w:p>
            <w:pPr>
              <w:pStyle w:val="TableContents"/>
              <w:bidi w:val="0"/>
              <w:spacing w:before="0" w:after="283"/>
              <w:jc w:val="center"/>
              <w:rPr/>
            </w:pPr>
            <w:r>
              <w:rPr/>
              <w:drawing>
                <wp:inline distT="0" distB="0" distL="0" distR="0">
                  <wp:extent cx="238125" cy="414655"/>
                  <wp:effectExtent l="0" t="0" r="0" b="0"/>
                  <wp:docPr id="38"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0" descr=""/>
                          <pic:cNvPicPr>
                            <a:picLocks noChangeAspect="1" noChangeArrowheads="1"/>
                          </pic:cNvPicPr>
                        </pic:nvPicPr>
                        <pic:blipFill>
                          <a:blip r:embed="rId35"/>
                          <a:stretch>
                            <a:fillRect/>
                          </a:stretch>
                        </pic:blipFill>
                        <pic:spPr bwMode="auto">
                          <a:xfrm>
                            <a:off x="0" y="0"/>
                            <a:ext cx="238125" cy="414655"/>
                          </a:xfrm>
                          <a:prstGeom prst="rect">
                            <a:avLst/>
                          </a:prstGeom>
                        </pic:spPr>
                      </pic:pic>
                    </a:graphicData>
                  </a:graphic>
                </wp:inline>
              </w:drawing>
            </w:r>
          </w:p>
        </w:tc>
        <w:tc>
          <w:tcPr>
            <w:tcW w:w="6087" w:type="dxa"/>
            <w:tcBorders>
              <w:bottom w:val="single" w:sz="2" w:space="0" w:color="C12E33"/>
            </w:tcBorders>
            <w:vAlign w:val="center"/>
          </w:tcPr>
          <w:p>
            <w:pPr>
              <w:pStyle w:val="TableContents"/>
              <w:bidi w:val="0"/>
              <w:spacing w:before="0" w:after="283"/>
              <w:jc w:val="left"/>
              <w:rPr/>
            </w:pPr>
            <w:r>
              <w:rPr/>
              <w:t>The HCC Committee determined that increasing the weight of each TSR metric by 5% would more closely align PSU payouts with our shareowner experience.</w:t>
            </w:r>
          </w:p>
        </w:tc>
      </w:tr>
      <w:tr>
        <w:trPr/>
        <w:tc>
          <w:tcPr>
            <w:tcW w:w="3743" w:type="dxa"/>
            <w:tcBorders/>
            <w:tcMar>
              <w:bottom w:w="0" w:type="dxa"/>
            </w:tcMar>
            <w:vAlign w:val="center"/>
          </w:tcPr>
          <w:p>
            <w:pPr>
              <w:pStyle w:val="TableContents"/>
              <w:bidi w:val="0"/>
              <w:spacing w:before="0" w:after="0"/>
              <w:ind w:left="0" w:right="0" w:hanging="0"/>
              <w:jc w:val="left"/>
              <w:rPr>
                <w:b/>
              </w:rPr>
            </w:pPr>
            <w:r>
              <w:rPr>
                <w:b/>
              </w:rPr>
              <w:t xml:space="preserve">We refined the composition of our Core A&amp;D Peer group used to measure TSR for our PSUs. </w:t>
            </w:r>
          </w:p>
          <w:p>
            <w:pPr>
              <w:pStyle w:val="TableContents"/>
              <w:bidi w:val="0"/>
              <w:spacing w:before="0" w:after="0"/>
              <w:ind w:left="0" w:right="0" w:hanging="0"/>
              <w:jc w:val="left"/>
              <w:rPr/>
            </w:pPr>
            <w:r>
              <w:rPr/>
              <w:t>For the 2026 PSU award, Textron replaced Safran in our Core A&amp;D Peer group, while all other existing peers remained the same.</w:t>
            </w:r>
          </w:p>
          <w:p>
            <w:pPr>
              <w:pStyle w:val="TableContents"/>
              <w:bidi w:val="0"/>
              <w:spacing w:before="0" w:after="0"/>
              <w:ind w:left="0" w:right="0" w:hanging="0"/>
              <w:jc w:val="left"/>
              <w:rPr/>
            </w:pPr>
            <w:r>
              <w:rPr/>
              <w:t> </w:t>
            </w:r>
          </w:p>
        </w:tc>
        <w:tc>
          <w:tcPr>
            <w:tcW w:w="375" w:type="dxa"/>
            <w:tcBorders/>
            <w:tcMar>
              <w:bottom w:w="0" w:type="dxa"/>
            </w:tcMar>
            <w:vAlign w:val="center"/>
          </w:tcPr>
          <w:p>
            <w:pPr>
              <w:pStyle w:val="TableContents"/>
              <w:bidi w:val="0"/>
              <w:spacing w:before="0" w:after="283"/>
              <w:jc w:val="center"/>
              <w:rPr/>
            </w:pPr>
            <w:r>
              <w:rPr/>
              <w:drawing>
                <wp:inline distT="0" distB="0" distL="0" distR="0">
                  <wp:extent cx="238125" cy="414655"/>
                  <wp:effectExtent l="0" t="0" r="0" b="0"/>
                  <wp:docPr id="39"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1" descr=""/>
                          <pic:cNvPicPr>
                            <a:picLocks noChangeAspect="1" noChangeArrowheads="1"/>
                          </pic:cNvPicPr>
                        </pic:nvPicPr>
                        <pic:blipFill>
                          <a:blip r:embed="rId36"/>
                          <a:stretch>
                            <a:fillRect/>
                          </a:stretch>
                        </pic:blipFill>
                        <pic:spPr bwMode="auto">
                          <a:xfrm>
                            <a:off x="0" y="0"/>
                            <a:ext cx="238125" cy="414655"/>
                          </a:xfrm>
                          <a:prstGeom prst="rect">
                            <a:avLst/>
                          </a:prstGeom>
                        </pic:spPr>
                      </pic:pic>
                    </a:graphicData>
                  </a:graphic>
                </wp:inline>
              </w:drawing>
            </w:r>
          </w:p>
        </w:tc>
        <w:tc>
          <w:tcPr>
            <w:tcW w:w="6087" w:type="dxa"/>
            <w:tcBorders/>
            <w:tcMar>
              <w:bottom w:w="0" w:type="dxa"/>
            </w:tcMar>
            <w:vAlign w:val="center"/>
          </w:tcPr>
          <w:p>
            <w:pPr>
              <w:pStyle w:val="TableContents"/>
              <w:bidi w:val="0"/>
              <w:spacing w:before="0" w:after="283"/>
              <w:jc w:val="left"/>
              <w:rPr/>
            </w:pPr>
            <w:r>
              <w:rPr/>
              <w:t>The HCC Committee concluded that replacing Safran with Textron improves peer group diversification and replaces a non-U.S.-based company with a U.S.-based company that is more likely to operate under similar macroeconomic conditions as RTX.</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rFonts w:ascii="Arial;Helvetica;Sans-Serif" w:hAnsi="Arial;Helvetica;Sans-Serif"/>
          <w:b/>
          <w:color w:val="000000"/>
          <w:sz w:val="15"/>
        </w:rPr>
        <w:t>6</w:t>
      </w:r>
      <w:r>
        <w:rPr>
          <w:rFonts w:ascii="Arial;Helvetica;Sans-Serif" w:hAnsi="Arial;Helvetica;Sans-Serif"/>
          <w:color w:val="000000"/>
          <w:sz w:val="15"/>
        </w:rPr>
        <w:t>    </w:t>
      </w:r>
      <w:r>
        <w:rPr>
          <w:rFonts w:ascii="Arial;Helvetica;Sans-Serif" w:hAnsi="Arial;Helvetica;Sans-Serif"/>
          <w:b/>
          <w:sz w:val="15"/>
        </w:rPr>
        <w:t>RTX</w:t>
      </w:r>
      <w:r>
        <w:rPr>
          <w:rFonts w:ascii="Arial;Helvetica;Sans-Serif" w:hAnsi="Arial;Helvetica;Sans-Serif"/>
          <w:sz w:val="15"/>
        </w:rPr>
        <w:t xml:space="preserve"> 2026 PROXY STATEMENT</w:t>
      </w:r>
    </w:p>
    <w:p>
      <w:pPr>
        <w:pStyle w:val="HorizontalLine"/>
        <w:pBdr>
          <w:bottom w:val="double" w:sz="2" w:space="0" w:color="808080"/>
        </w:pBdr>
        <w:bidi w:val="0"/>
        <w:spacing w:before="0" w:after="283"/>
        <w:jc w:val="left"/>
        <w:rPr/>
      </w:pPr>
      <w:r>
        <w:rPr/>
      </w:r>
    </w:p>
    <w:p>
      <w:pPr>
        <w:pStyle w:val="TextBody"/>
        <w:bidi w:val="0"/>
        <w:spacing w:before="200" w:after="200"/>
        <w:jc w:val="left"/>
        <w:rPr/>
      </w:pPr>
      <w:hyperlink w:anchor="toc">
        <w:r>
          <w:rPr>
            <w:rStyle w:val="InternetLink"/>
            <w:rFonts w:ascii="Arial;Helvetica;Sans-Serif" w:hAnsi="Arial;Helvetica;Sans-Serif"/>
            <w:b/>
            <w:i w:val="false"/>
            <w:caps w:val="false"/>
            <w:smallCaps w:val="false"/>
            <w:sz w:val="16"/>
          </w:rPr>
          <w:t>Table of Contents</w:t>
        </w:r>
      </w:hyperlink>
    </w:p>
    <w:p>
      <w:pPr>
        <w:pStyle w:val="TextBody"/>
        <w:bidi w:val="0"/>
        <w:jc w:val="right"/>
        <w:rPr>
          <w:shd w:fill="B2B2B0" w:val="clear"/>
        </w:rPr>
      </w:pPr>
      <w:r>
        <w:rPr>
          <w:rFonts w:ascii="Arial;Helvetica;Sans-Serif" w:hAnsi="Arial;Helvetica;Sans-Serif"/>
          <w:b/>
          <w:i w:val="false"/>
          <w:caps w:val="false"/>
          <w:smallCaps w:val="false"/>
          <w:color w:val="FFFFFF"/>
          <w:sz w:val="15"/>
          <w:shd w:fill="B2B2B0" w:val="clear"/>
        </w:rPr>
        <w:t>PROXY SUMMARY</w:t>
      </w:r>
      <w:r>
        <w:rPr>
          <w:color w:val="FFFFFF"/>
          <w:shd w:fill="B2B2B0" w:val="clear"/>
        </w:rPr>
        <w:br/>
      </w:r>
      <w:r>
        <w:rPr>
          <w:rFonts w:ascii="Arial;Helvetica;Sans-Serif" w:hAnsi="Arial;Helvetica;Sans-Serif"/>
          <w:b w:val="false"/>
          <w:i w:val="false"/>
          <w:caps w:val="false"/>
          <w:smallCaps w:val="false"/>
          <w:color w:val="FFFFFF"/>
          <w:sz w:val="15"/>
          <w:shd w:fill="B2B2B0" w:val="clear"/>
        </w:rPr>
        <w:t>GOVERNANCE AND BOARD OVERVIEW</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34"/>
        </w:rPr>
      </w:pPr>
      <w:r>
        <w:rPr>
          <w:rFonts w:ascii="Arial;Helvetica;Sans-Serif" w:hAnsi="Arial;Helvetica;Sans-Serif"/>
          <w:b/>
          <w:i w:val="false"/>
          <w:caps w:val="false"/>
          <w:smallCaps w:val="false"/>
          <w:sz w:val="34"/>
        </w:rPr>
        <w:t>Governance and Board 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BOARD NOMINEES</w:t>
      </w:r>
    </w:p>
    <w:p>
      <w:pPr>
        <w:pStyle w:val="TextBody"/>
        <w:bidi w:val="0"/>
        <w:spacing w:before="0" w:after="0"/>
        <w:ind w:left="0" w:right="0" w:hanging="0"/>
        <w:jc w:val="left"/>
        <w:rPr>
          <w:caps w:val="false"/>
          <w:smallCaps w:val="false"/>
        </w:rPr>
      </w:pPr>
      <w:r>
        <w:rPr>
          <w:caps w:val="false"/>
          <w:smallCaps w:val="false"/>
        </w:rPr>
        <w:t> </w:t>
      </w:r>
    </w:p>
    <w:tbl>
      <w:tblPr>
        <w:tblW w:w="8170" w:type="dxa"/>
        <w:jc w:val="left"/>
        <w:tblInd w:w="0" w:type="dxa"/>
        <w:tblLayout w:type="fixed"/>
        <w:tblCellMar>
          <w:top w:w="0" w:type="dxa"/>
          <w:left w:w="0" w:type="dxa"/>
          <w:bottom w:w="0" w:type="dxa"/>
          <w:right w:w="0" w:type="dxa"/>
        </w:tblCellMar>
      </w:tblPr>
      <w:tblGrid>
        <w:gridCol w:w="5465"/>
        <w:gridCol w:w="500"/>
        <w:gridCol w:w="165"/>
        <w:gridCol w:w="196"/>
        <w:gridCol w:w="179"/>
        <w:gridCol w:w="179"/>
        <w:gridCol w:w="212"/>
        <w:gridCol w:w="212"/>
        <w:gridCol w:w="212"/>
        <w:gridCol w:w="229"/>
        <w:gridCol w:w="229"/>
        <w:gridCol w:w="392"/>
      </w:tblGrid>
      <w:tr>
        <w:trPr/>
        <w:tc>
          <w:tcPr>
            <w:tcW w:w="5465" w:type="dxa"/>
            <w:tcBorders/>
            <w:vAlign w:val="center"/>
          </w:tcPr>
          <w:p>
            <w:pPr>
              <w:pStyle w:val="TableContents"/>
              <w:bidi w:val="0"/>
              <w:spacing w:before="0" w:after="283"/>
              <w:jc w:val="center"/>
              <w:rPr/>
            </w:pPr>
            <w:r>
              <w:rPr/>
              <w:t> </w:t>
            </w:r>
          </w:p>
        </w:tc>
        <w:tc>
          <w:tcPr>
            <w:tcW w:w="500" w:type="dxa"/>
            <w:tcBorders/>
            <w:vAlign w:val="center"/>
          </w:tcPr>
          <w:p>
            <w:pPr>
              <w:pStyle w:val="TableContents"/>
              <w:bidi w:val="0"/>
              <w:spacing w:before="0" w:after="283"/>
              <w:jc w:val="center"/>
              <w:rPr/>
            </w:pPr>
            <w:r>
              <w:rPr/>
              <w:t> </w:t>
            </w:r>
          </w:p>
        </w:tc>
        <w:tc>
          <w:tcPr>
            <w:tcW w:w="165" w:type="dxa"/>
            <w:tcBorders/>
            <w:vAlign w:val="center"/>
          </w:tcPr>
          <w:p>
            <w:pPr>
              <w:pStyle w:val="TableContents"/>
              <w:bidi w:val="0"/>
              <w:spacing w:before="0" w:after="283"/>
              <w:jc w:val="center"/>
              <w:rPr/>
            </w:pPr>
            <w:r>
              <w:rPr/>
              <w:t> </w:t>
            </w:r>
          </w:p>
        </w:tc>
        <w:tc>
          <w:tcPr>
            <w:tcW w:w="2040" w:type="dxa"/>
            <w:gridSpan w:val="9"/>
            <w:tcBorders>
              <w:bottom w:val="single" w:sz="12" w:space="0" w:color="C12E33"/>
            </w:tcBorders>
            <w:tcMar>
              <w:bottom w:w="40" w:type="dxa"/>
            </w:tcMar>
            <w:vAlign w:val="center"/>
          </w:tcPr>
          <w:p>
            <w:pPr>
              <w:pStyle w:val="TableContents"/>
              <w:bidi w:val="0"/>
              <w:spacing w:before="0" w:after="283"/>
              <w:jc w:val="center"/>
              <w:rPr>
                <w:b/>
                <w:color w:val="636466"/>
              </w:rPr>
            </w:pPr>
            <w:r>
              <w:rPr>
                <w:b/>
                <w:color w:val="636466"/>
              </w:rPr>
              <w:t>Skills and Expertise</w:t>
            </w:r>
          </w:p>
        </w:tc>
      </w:tr>
      <w:tr>
        <w:trPr/>
        <w:tc>
          <w:tcPr>
            <w:tcW w:w="5465" w:type="dxa"/>
            <w:tcBorders>
              <w:bottom w:val="single" w:sz="12" w:space="0" w:color="C12E33"/>
            </w:tcBorders>
            <w:tcMar>
              <w:bottom w:w="40" w:type="dxa"/>
            </w:tcMar>
            <w:vAlign w:val="center"/>
          </w:tcPr>
          <w:p>
            <w:pPr>
              <w:pStyle w:val="TableContents"/>
              <w:bidi w:val="0"/>
              <w:spacing w:before="0" w:after="283"/>
              <w:jc w:val="center"/>
              <w:rPr/>
            </w:pPr>
            <w:r>
              <w:rPr/>
              <w:t> </w:t>
            </w:r>
          </w:p>
        </w:tc>
        <w:tc>
          <w:tcPr>
            <w:tcW w:w="500" w:type="dxa"/>
            <w:tcBorders>
              <w:bottom w:val="single" w:sz="12" w:space="0" w:color="C12E33"/>
            </w:tcBorders>
            <w:tcMar>
              <w:bottom w:w="40" w:type="dxa"/>
            </w:tcMar>
            <w:vAlign w:val="center"/>
          </w:tcPr>
          <w:p>
            <w:pPr>
              <w:pStyle w:val="TableContents"/>
              <w:bidi w:val="0"/>
              <w:spacing w:before="0" w:after="283"/>
              <w:jc w:val="center"/>
              <w:rPr/>
            </w:pPr>
            <w:r>
              <w:rPr/>
              <w:drawing>
                <wp:inline distT="0" distB="0" distL="0" distR="0">
                  <wp:extent cx="152400" cy="4286250"/>
                  <wp:effectExtent l="0" t="0" r="0" b="0"/>
                  <wp:docPr id="40"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32" descr=""/>
                          <pic:cNvPicPr>
                            <a:picLocks noChangeAspect="1" noChangeArrowheads="1"/>
                          </pic:cNvPicPr>
                        </pic:nvPicPr>
                        <pic:blipFill>
                          <a:blip r:embed="rId37"/>
                          <a:stretch>
                            <a:fillRect/>
                          </a:stretch>
                        </pic:blipFill>
                        <pic:spPr bwMode="auto">
                          <a:xfrm>
                            <a:off x="0" y="0"/>
                            <a:ext cx="152400" cy="4286250"/>
                          </a:xfrm>
                          <a:prstGeom prst="rect">
                            <a:avLst/>
                          </a:prstGeom>
                        </pic:spPr>
                      </pic:pic>
                    </a:graphicData>
                  </a:graphic>
                </wp:inline>
              </w:drawing>
            </w:r>
          </w:p>
        </w:tc>
        <w:tc>
          <w:tcPr>
            <w:tcW w:w="165" w:type="dxa"/>
            <w:tcBorders>
              <w:bottom w:val="single" w:sz="12" w:space="0" w:color="C12E33"/>
            </w:tcBorders>
            <w:tcMar>
              <w:bottom w:w="40" w:type="dxa"/>
            </w:tcMar>
            <w:vAlign w:val="center"/>
          </w:tcPr>
          <w:p>
            <w:pPr>
              <w:pStyle w:val="TableContents"/>
              <w:bidi w:val="0"/>
              <w:spacing w:before="0" w:after="283"/>
              <w:jc w:val="center"/>
              <w:rPr/>
            </w:pPr>
            <w:r>
              <w:rPr/>
              <w:drawing>
                <wp:inline distT="0" distB="0" distL="0" distR="0">
                  <wp:extent cx="104775" cy="4286250"/>
                  <wp:effectExtent l="0" t="0" r="0" b="0"/>
                  <wp:docPr id="41"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33" descr=""/>
                          <pic:cNvPicPr>
                            <a:picLocks noChangeAspect="1" noChangeArrowheads="1"/>
                          </pic:cNvPicPr>
                        </pic:nvPicPr>
                        <pic:blipFill>
                          <a:blip r:embed="rId38"/>
                          <a:stretch>
                            <a:fillRect/>
                          </a:stretch>
                        </pic:blipFill>
                        <pic:spPr bwMode="auto">
                          <a:xfrm>
                            <a:off x="0" y="0"/>
                            <a:ext cx="104775" cy="4286250"/>
                          </a:xfrm>
                          <a:prstGeom prst="rect">
                            <a:avLst/>
                          </a:prstGeom>
                        </pic:spPr>
                      </pic:pic>
                    </a:graphicData>
                  </a:graphic>
                </wp:inline>
              </w:drawing>
            </w:r>
          </w:p>
        </w:tc>
        <w:tc>
          <w:tcPr>
            <w:tcW w:w="196" w:type="dxa"/>
            <w:tcBorders>
              <w:bottom w:val="single" w:sz="12" w:space="0" w:color="C12E33"/>
            </w:tcBorders>
            <w:shd w:fill="EDEDEE" w:val="clear"/>
            <w:tcMar>
              <w:bottom w:w="40" w:type="dxa"/>
            </w:tcMar>
            <w:vAlign w:val="center"/>
          </w:tcPr>
          <w:p>
            <w:pPr>
              <w:pStyle w:val="TableContents"/>
              <w:bidi w:val="0"/>
              <w:spacing w:before="0" w:after="283"/>
              <w:jc w:val="center"/>
              <w:rPr/>
            </w:pPr>
            <w:r>
              <w:rPr/>
              <w:drawing>
                <wp:inline distT="0" distB="0" distL="0" distR="0">
                  <wp:extent cx="114300" cy="4286250"/>
                  <wp:effectExtent l="0" t="0" r="0" b="0"/>
                  <wp:docPr id="42"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34" descr=""/>
                          <pic:cNvPicPr>
                            <a:picLocks noChangeAspect="1" noChangeArrowheads="1"/>
                          </pic:cNvPicPr>
                        </pic:nvPicPr>
                        <pic:blipFill>
                          <a:blip r:embed="rId39"/>
                          <a:stretch>
                            <a:fillRect/>
                          </a:stretch>
                        </pic:blipFill>
                        <pic:spPr bwMode="auto">
                          <a:xfrm>
                            <a:off x="0" y="0"/>
                            <a:ext cx="114300" cy="4286250"/>
                          </a:xfrm>
                          <a:prstGeom prst="rect">
                            <a:avLst/>
                          </a:prstGeom>
                        </pic:spPr>
                      </pic:pic>
                    </a:graphicData>
                  </a:graphic>
                </wp:inline>
              </w:drawing>
            </w:r>
          </w:p>
        </w:tc>
        <w:tc>
          <w:tcPr>
            <w:tcW w:w="179" w:type="dxa"/>
            <w:tcBorders>
              <w:bottom w:val="single" w:sz="12" w:space="0" w:color="C12E33"/>
            </w:tcBorders>
            <w:shd w:fill="EDEDEE" w:val="clear"/>
            <w:tcMar>
              <w:bottom w:w="40" w:type="dxa"/>
            </w:tcMar>
            <w:vAlign w:val="center"/>
          </w:tcPr>
          <w:p>
            <w:pPr>
              <w:pStyle w:val="TableContents"/>
              <w:bidi w:val="0"/>
              <w:spacing w:before="0" w:after="283"/>
              <w:jc w:val="center"/>
              <w:rPr/>
            </w:pPr>
            <w:r>
              <w:rPr/>
              <w:drawing>
                <wp:inline distT="0" distB="0" distL="0" distR="0">
                  <wp:extent cx="104775" cy="4286250"/>
                  <wp:effectExtent l="0" t="0" r="0" b="0"/>
                  <wp:docPr id="43"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35" descr=""/>
                          <pic:cNvPicPr>
                            <a:picLocks noChangeAspect="1" noChangeArrowheads="1"/>
                          </pic:cNvPicPr>
                        </pic:nvPicPr>
                        <pic:blipFill>
                          <a:blip r:embed="rId40"/>
                          <a:stretch>
                            <a:fillRect/>
                          </a:stretch>
                        </pic:blipFill>
                        <pic:spPr bwMode="auto">
                          <a:xfrm>
                            <a:off x="0" y="0"/>
                            <a:ext cx="104775" cy="4286250"/>
                          </a:xfrm>
                          <a:prstGeom prst="rect">
                            <a:avLst/>
                          </a:prstGeom>
                        </pic:spPr>
                      </pic:pic>
                    </a:graphicData>
                  </a:graphic>
                </wp:inline>
              </w:drawing>
            </w:r>
          </w:p>
        </w:tc>
        <w:tc>
          <w:tcPr>
            <w:tcW w:w="179" w:type="dxa"/>
            <w:tcBorders>
              <w:bottom w:val="single" w:sz="12" w:space="0" w:color="C12E33"/>
            </w:tcBorders>
            <w:shd w:fill="EDEDEE" w:val="clear"/>
            <w:tcMar>
              <w:bottom w:w="40" w:type="dxa"/>
            </w:tcMar>
            <w:vAlign w:val="center"/>
          </w:tcPr>
          <w:p>
            <w:pPr>
              <w:pStyle w:val="TableContents"/>
              <w:bidi w:val="0"/>
              <w:spacing w:before="0" w:after="283"/>
              <w:jc w:val="center"/>
              <w:rPr/>
            </w:pPr>
            <w:r>
              <w:rPr/>
              <w:drawing>
                <wp:inline distT="0" distB="0" distL="0" distR="0">
                  <wp:extent cx="104775" cy="4286250"/>
                  <wp:effectExtent l="0" t="0" r="0" b="0"/>
                  <wp:docPr id="44"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36" descr=""/>
                          <pic:cNvPicPr>
                            <a:picLocks noChangeAspect="1" noChangeArrowheads="1"/>
                          </pic:cNvPicPr>
                        </pic:nvPicPr>
                        <pic:blipFill>
                          <a:blip r:embed="rId41"/>
                          <a:stretch>
                            <a:fillRect/>
                          </a:stretch>
                        </pic:blipFill>
                        <pic:spPr bwMode="auto">
                          <a:xfrm>
                            <a:off x="0" y="0"/>
                            <a:ext cx="104775" cy="4286250"/>
                          </a:xfrm>
                          <a:prstGeom prst="rect">
                            <a:avLst/>
                          </a:prstGeom>
                        </pic:spPr>
                      </pic:pic>
                    </a:graphicData>
                  </a:graphic>
                </wp:inline>
              </w:drawing>
            </w:r>
          </w:p>
        </w:tc>
        <w:tc>
          <w:tcPr>
            <w:tcW w:w="212" w:type="dxa"/>
            <w:tcBorders>
              <w:bottom w:val="single" w:sz="12" w:space="0" w:color="C12E33"/>
            </w:tcBorders>
            <w:shd w:fill="EDEDEE" w:val="clear"/>
            <w:tcMar>
              <w:bottom w:w="40" w:type="dxa"/>
            </w:tcMar>
            <w:vAlign w:val="center"/>
          </w:tcPr>
          <w:p>
            <w:pPr>
              <w:pStyle w:val="TableContents"/>
              <w:bidi w:val="0"/>
              <w:spacing w:before="0" w:after="283"/>
              <w:jc w:val="center"/>
              <w:rPr/>
            </w:pPr>
            <w:r>
              <w:rPr/>
              <w:drawing>
                <wp:inline distT="0" distB="0" distL="0" distR="0">
                  <wp:extent cx="123825" cy="4286250"/>
                  <wp:effectExtent l="0" t="0" r="0" b="0"/>
                  <wp:docPr id="45"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37" descr=""/>
                          <pic:cNvPicPr>
                            <a:picLocks noChangeAspect="1" noChangeArrowheads="1"/>
                          </pic:cNvPicPr>
                        </pic:nvPicPr>
                        <pic:blipFill>
                          <a:blip r:embed="rId42"/>
                          <a:stretch>
                            <a:fillRect/>
                          </a:stretch>
                        </pic:blipFill>
                        <pic:spPr bwMode="auto">
                          <a:xfrm>
                            <a:off x="0" y="0"/>
                            <a:ext cx="123825" cy="4286250"/>
                          </a:xfrm>
                          <a:prstGeom prst="rect">
                            <a:avLst/>
                          </a:prstGeom>
                        </pic:spPr>
                      </pic:pic>
                    </a:graphicData>
                  </a:graphic>
                </wp:inline>
              </w:drawing>
            </w:r>
          </w:p>
        </w:tc>
        <w:tc>
          <w:tcPr>
            <w:tcW w:w="212" w:type="dxa"/>
            <w:tcBorders>
              <w:bottom w:val="single" w:sz="12" w:space="0" w:color="C12E33"/>
            </w:tcBorders>
            <w:shd w:fill="EDEDEE" w:val="clear"/>
            <w:tcMar>
              <w:bottom w:w="40" w:type="dxa"/>
            </w:tcMar>
            <w:vAlign w:val="center"/>
          </w:tcPr>
          <w:p>
            <w:pPr>
              <w:pStyle w:val="TableContents"/>
              <w:bidi w:val="0"/>
              <w:spacing w:before="0" w:after="283"/>
              <w:jc w:val="center"/>
              <w:rPr/>
            </w:pPr>
            <w:r>
              <w:rPr/>
              <w:drawing>
                <wp:inline distT="0" distB="0" distL="0" distR="0">
                  <wp:extent cx="123825" cy="4286250"/>
                  <wp:effectExtent l="0" t="0" r="0" b="0"/>
                  <wp:docPr id="46"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38" descr=""/>
                          <pic:cNvPicPr>
                            <a:picLocks noChangeAspect="1" noChangeArrowheads="1"/>
                          </pic:cNvPicPr>
                        </pic:nvPicPr>
                        <pic:blipFill>
                          <a:blip r:embed="rId43"/>
                          <a:stretch>
                            <a:fillRect/>
                          </a:stretch>
                        </pic:blipFill>
                        <pic:spPr bwMode="auto">
                          <a:xfrm>
                            <a:off x="0" y="0"/>
                            <a:ext cx="123825" cy="4286250"/>
                          </a:xfrm>
                          <a:prstGeom prst="rect">
                            <a:avLst/>
                          </a:prstGeom>
                        </pic:spPr>
                      </pic:pic>
                    </a:graphicData>
                  </a:graphic>
                </wp:inline>
              </w:drawing>
            </w:r>
          </w:p>
        </w:tc>
        <w:tc>
          <w:tcPr>
            <w:tcW w:w="212" w:type="dxa"/>
            <w:tcBorders>
              <w:bottom w:val="single" w:sz="12" w:space="0" w:color="C12E33"/>
            </w:tcBorders>
            <w:shd w:fill="EDEDEE" w:val="clear"/>
            <w:tcMar>
              <w:bottom w:w="40" w:type="dxa"/>
            </w:tcMar>
            <w:vAlign w:val="center"/>
          </w:tcPr>
          <w:p>
            <w:pPr>
              <w:pStyle w:val="TableContents"/>
              <w:bidi w:val="0"/>
              <w:spacing w:before="0" w:after="283"/>
              <w:jc w:val="center"/>
              <w:rPr/>
            </w:pPr>
            <w:r>
              <w:rPr/>
              <w:drawing>
                <wp:inline distT="0" distB="0" distL="0" distR="0">
                  <wp:extent cx="123825" cy="4286250"/>
                  <wp:effectExtent l="0" t="0" r="0" b="0"/>
                  <wp:docPr id="47"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39" descr=""/>
                          <pic:cNvPicPr>
                            <a:picLocks noChangeAspect="1" noChangeArrowheads="1"/>
                          </pic:cNvPicPr>
                        </pic:nvPicPr>
                        <pic:blipFill>
                          <a:blip r:embed="rId44"/>
                          <a:stretch>
                            <a:fillRect/>
                          </a:stretch>
                        </pic:blipFill>
                        <pic:spPr bwMode="auto">
                          <a:xfrm>
                            <a:off x="0" y="0"/>
                            <a:ext cx="123825" cy="4286250"/>
                          </a:xfrm>
                          <a:prstGeom prst="rect">
                            <a:avLst/>
                          </a:prstGeom>
                        </pic:spPr>
                      </pic:pic>
                    </a:graphicData>
                  </a:graphic>
                </wp:inline>
              </w:drawing>
            </w:r>
          </w:p>
        </w:tc>
        <w:tc>
          <w:tcPr>
            <w:tcW w:w="229" w:type="dxa"/>
            <w:tcBorders>
              <w:bottom w:val="single" w:sz="12" w:space="0" w:color="C12E33"/>
            </w:tcBorders>
            <w:shd w:fill="EDEDEE" w:val="clear"/>
            <w:tcMar>
              <w:bottom w:w="40" w:type="dxa"/>
            </w:tcMar>
            <w:vAlign w:val="center"/>
          </w:tcPr>
          <w:p>
            <w:pPr>
              <w:pStyle w:val="TableContents"/>
              <w:bidi w:val="0"/>
              <w:spacing w:before="0" w:after="283"/>
              <w:jc w:val="center"/>
              <w:rPr/>
            </w:pPr>
            <w:r>
              <w:rPr/>
              <w:drawing>
                <wp:inline distT="0" distB="0" distL="0" distR="0">
                  <wp:extent cx="133350" cy="4286250"/>
                  <wp:effectExtent l="0" t="0" r="0" b="0"/>
                  <wp:docPr id="48"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0" descr=""/>
                          <pic:cNvPicPr>
                            <a:picLocks noChangeAspect="1" noChangeArrowheads="1"/>
                          </pic:cNvPicPr>
                        </pic:nvPicPr>
                        <pic:blipFill>
                          <a:blip r:embed="rId45"/>
                          <a:stretch>
                            <a:fillRect/>
                          </a:stretch>
                        </pic:blipFill>
                        <pic:spPr bwMode="auto">
                          <a:xfrm>
                            <a:off x="0" y="0"/>
                            <a:ext cx="133350" cy="4286250"/>
                          </a:xfrm>
                          <a:prstGeom prst="rect">
                            <a:avLst/>
                          </a:prstGeom>
                        </pic:spPr>
                      </pic:pic>
                    </a:graphicData>
                  </a:graphic>
                </wp:inline>
              </w:drawing>
            </w:r>
          </w:p>
        </w:tc>
        <w:tc>
          <w:tcPr>
            <w:tcW w:w="229" w:type="dxa"/>
            <w:tcBorders>
              <w:bottom w:val="single" w:sz="12" w:space="0" w:color="C12E33"/>
            </w:tcBorders>
            <w:shd w:fill="EDEDEE" w:val="clear"/>
            <w:tcMar>
              <w:bottom w:w="40" w:type="dxa"/>
            </w:tcMar>
            <w:vAlign w:val="center"/>
          </w:tcPr>
          <w:p>
            <w:pPr>
              <w:pStyle w:val="TableContents"/>
              <w:bidi w:val="0"/>
              <w:spacing w:before="0" w:after="283"/>
              <w:jc w:val="center"/>
              <w:rPr/>
            </w:pPr>
            <w:r>
              <w:rPr/>
              <w:drawing>
                <wp:inline distT="0" distB="0" distL="0" distR="0">
                  <wp:extent cx="133350" cy="4286250"/>
                  <wp:effectExtent l="0" t="0" r="0" b="0"/>
                  <wp:docPr id="49"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1" descr=""/>
                          <pic:cNvPicPr>
                            <a:picLocks noChangeAspect="1" noChangeArrowheads="1"/>
                          </pic:cNvPicPr>
                        </pic:nvPicPr>
                        <pic:blipFill>
                          <a:blip r:embed="rId46"/>
                          <a:stretch>
                            <a:fillRect/>
                          </a:stretch>
                        </pic:blipFill>
                        <pic:spPr bwMode="auto">
                          <a:xfrm>
                            <a:off x="0" y="0"/>
                            <a:ext cx="133350" cy="4286250"/>
                          </a:xfrm>
                          <a:prstGeom prst="rect">
                            <a:avLst/>
                          </a:prstGeom>
                        </pic:spPr>
                      </pic:pic>
                    </a:graphicData>
                  </a:graphic>
                </wp:inline>
              </w:drawing>
            </w:r>
          </w:p>
        </w:tc>
        <w:tc>
          <w:tcPr>
            <w:tcW w:w="392" w:type="dxa"/>
            <w:tcBorders>
              <w:bottom w:val="single" w:sz="12" w:space="0" w:color="C12E33"/>
            </w:tcBorders>
            <w:shd w:fill="EDEDEE" w:val="clear"/>
            <w:tcMar>
              <w:bottom w:w="40" w:type="dxa"/>
            </w:tcMar>
            <w:vAlign w:val="center"/>
          </w:tcPr>
          <w:p>
            <w:pPr>
              <w:pStyle w:val="TableContents"/>
              <w:bidi w:val="0"/>
              <w:spacing w:before="0" w:after="283"/>
              <w:jc w:val="center"/>
              <w:rPr/>
            </w:pPr>
            <w:r>
              <w:rPr/>
              <w:drawing>
                <wp:inline distT="0" distB="0" distL="0" distR="0">
                  <wp:extent cx="219075" cy="4286250"/>
                  <wp:effectExtent l="0" t="0" r="0" b="0"/>
                  <wp:docPr id="50"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42" descr=""/>
                          <pic:cNvPicPr>
                            <a:picLocks noChangeAspect="1" noChangeArrowheads="1"/>
                          </pic:cNvPicPr>
                        </pic:nvPicPr>
                        <pic:blipFill>
                          <a:blip r:embed="rId47"/>
                          <a:stretch>
                            <a:fillRect/>
                          </a:stretch>
                        </pic:blipFill>
                        <pic:spPr bwMode="auto">
                          <a:xfrm>
                            <a:off x="0" y="0"/>
                            <a:ext cx="219075" cy="4286250"/>
                          </a:xfrm>
                          <a:prstGeom prst="rect">
                            <a:avLst/>
                          </a:prstGeom>
                        </pic:spPr>
                      </pic:pic>
                    </a:graphicData>
                  </a:graphic>
                </wp:inline>
              </w:drawing>
            </w:r>
          </w:p>
        </w:tc>
      </w:tr>
      <w:tr>
        <w:trPr/>
        <w:tc>
          <w:tcPr>
            <w:tcW w:w="5465" w:type="dxa"/>
            <w:tcBorders>
              <w:bottom w:val="single" w:sz="2" w:space="0" w:color="000000"/>
            </w:tcBorders>
            <w:tcMar>
              <w:bottom w:w="40" w:type="dxa"/>
            </w:tcMar>
            <w:vAlign w:val="center"/>
          </w:tcPr>
          <w:p>
            <w:pPr>
              <w:pStyle w:val="TableContents"/>
              <w:bidi w:val="0"/>
              <w:spacing w:before="0" w:after="0"/>
              <w:ind w:left="0" w:right="0" w:hanging="0"/>
              <w:jc w:val="left"/>
              <w:rPr>
                <w:b/>
              </w:rPr>
            </w:pPr>
            <w:r>
              <w:rPr>
                <w:b/>
              </w:rPr>
              <w:t>Tracy A. Atkinson</w:t>
            </w:r>
          </w:p>
          <w:p>
            <w:pPr>
              <w:pStyle w:val="TableContents"/>
              <w:bidi w:val="0"/>
              <w:spacing w:before="100" w:after="0"/>
              <w:ind w:left="0" w:right="0" w:hanging="0"/>
              <w:jc w:val="left"/>
              <w:rPr/>
            </w:pPr>
            <w:r>
              <w:rPr/>
              <w:t xml:space="preserve">Retired Executive Vice President &amp; Chief </w:t>
              <w:br/>
              <w:t>Administrative Officer, State Street Corporation</w:t>
            </w:r>
          </w:p>
        </w:tc>
        <w:tc>
          <w:tcPr>
            <w:tcW w:w="500" w:type="dxa"/>
            <w:tcBorders>
              <w:bottom w:val="single" w:sz="2" w:space="0" w:color="000000"/>
            </w:tcBorders>
            <w:tcMar>
              <w:bottom w:w="40" w:type="dxa"/>
            </w:tcMar>
            <w:vAlign w:val="center"/>
          </w:tcPr>
          <w:p>
            <w:pPr>
              <w:pStyle w:val="TableContents"/>
              <w:bidi w:val="0"/>
              <w:spacing w:before="0" w:after="283"/>
              <w:jc w:val="center"/>
              <w:rPr/>
            </w:pPr>
            <w:r>
              <w:rPr/>
              <w:t>2020</w:t>
            </w:r>
          </w:p>
        </w:tc>
        <w:tc>
          <w:tcPr>
            <w:tcW w:w="165" w:type="dxa"/>
            <w:tcBorders>
              <w:bottom w:val="single" w:sz="2" w:space="0" w:color="000000"/>
            </w:tcBorders>
            <w:tcMar>
              <w:bottom w:w="40" w:type="dxa"/>
            </w:tcMar>
            <w:vAlign w:val="center"/>
          </w:tcPr>
          <w:p>
            <w:pPr>
              <w:pStyle w:val="TableContents"/>
              <w:bidi w:val="0"/>
              <w:spacing w:before="0" w:after="283"/>
              <w:jc w:val="center"/>
              <w:rPr/>
            </w:pPr>
            <w:r>
              <w:rPr/>
              <w:t>1</w:t>
            </w:r>
          </w:p>
        </w:tc>
        <w:tc>
          <w:tcPr>
            <w:tcW w:w="196" w:type="dxa"/>
            <w:tcBorders>
              <w:bottom w:val="single" w:sz="2" w:space="0" w:color="000000"/>
            </w:tcBorders>
            <w:shd w:fill="EDEDEE" w:val="clear"/>
            <w:tcMar>
              <w:bottom w:w="40" w:type="dxa"/>
            </w:tcMar>
            <w:vAlign w:val="center"/>
          </w:tcPr>
          <w:p>
            <w:pPr>
              <w:pStyle w:val="TableContents"/>
              <w:bidi w:val="0"/>
              <w:spacing w:before="0" w:after="283"/>
              <w:jc w:val="center"/>
              <w:rPr/>
            </w:pPr>
            <w:r>
              <w:rPr/>
              <w:drawing>
                <wp:inline distT="0" distB="0" distL="0" distR="0">
                  <wp:extent cx="76200" cy="76200"/>
                  <wp:effectExtent l="0" t="0" r="0" b="0"/>
                  <wp:docPr id="51"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43" descr=""/>
                          <pic:cNvPicPr>
                            <a:picLocks noChangeAspect="1" noChangeArrowheads="1"/>
                          </pic:cNvPicPr>
                        </pic:nvPicPr>
                        <pic:blipFill>
                          <a:blip r:embed="rId48"/>
                          <a:stretch>
                            <a:fillRect/>
                          </a:stretch>
                        </pic:blipFill>
                        <pic:spPr bwMode="auto">
                          <a:xfrm>
                            <a:off x="0" y="0"/>
                            <a:ext cx="76200" cy="76200"/>
                          </a:xfrm>
                          <a:prstGeom prst="rect">
                            <a:avLst/>
                          </a:prstGeom>
                        </pic:spPr>
                      </pic:pic>
                    </a:graphicData>
                  </a:graphic>
                </wp:inline>
              </w:drawing>
            </w:r>
          </w:p>
        </w:tc>
        <w:tc>
          <w:tcPr>
            <w:tcW w:w="179" w:type="dxa"/>
            <w:tcBorders>
              <w:bottom w:val="single" w:sz="2" w:space="0" w:color="000000"/>
            </w:tcBorders>
            <w:shd w:fill="EDEDEE" w:val="clear"/>
            <w:tcMar>
              <w:bottom w:w="40" w:type="dxa"/>
            </w:tcMar>
            <w:vAlign w:val="center"/>
          </w:tcPr>
          <w:p>
            <w:pPr>
              <w:pStyle w:val="TableContents"/>
              <w:bidi w:val="0"/>
              <w:spacing w:before="0" w:after="283"/>
              <w:jc w:val="center"/>
              <w:rPr/>
            </w:pPr>
            <w:r>
              <w:rPr/>
              <w:t> </w:t>
            </w:r>
          </w:p>
        </w:tc>
        <w:tc>
          <w:tcPr>
            <w:tcW w:w="179" w:type="dxa"/>
            <w:tcBorders>
              <w:bottom w:val="single" w:sz="2" w:space="0" w:color="000000"/>
            </w:tcBorders>
            <w:shd w:fill="EDEDEE" w:val="clear"/>
            <w:tcMar>
              <w:bottom w:w="40" w:type="dxa"/>
            </w:tcMar>
            <w:vAlign w:val="center"/>
          </w:tcPr>
          <w:p>
            <w:pPr>
              <w:pStyle w:val="TableContents"/>
              <w:bidi w:val="0"/>
              <w:spacing w:before="0" w:after="283"/>
              <w:jc w:val="center"/>
              <w:rPr/>
            </w:pPr>
            <w:r>
              <w:rPr/>
              <w:drawing>
                <wp:inline distT="0" distB="0" distL="0" distR="0">
                  <wp:extent cx="76200" cy="76200"/>
                  <wp:effectExtent l="0" t="0" r="0" b="0"/>
                  <wp:docPr id="52"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44" descr=""/>
                          <pic:cNvPicPr>
                            <a:picLocks noChangeAspect="1" noChangeArrowheads="1"/>
                          </pic:cNvPicPr>
                        </pic:nvPicPr>
                        <pic:blipFill>
                          <a:blip r:embed="rId49"/>
                          <a:stretch>
                            <a:fillRect/>
                          </a:stretch>
                        </pic:blipFill>
                        <pic:spPr bwMode="auto">
                          <a:xfrm>
                            <a:off x="0" y="0"/>
                            <a:ext cx="76200" cy="76200"/>
                          </a:xfrm>
                          <a:prstGeom prst="rect">
                            <a:avLst/>
                          </a:prstGeom>
                        </pic:spPr>
                      </pic:pic>
                    </a:graphicData>
                  </a:graphic>
                </wp:inline>
              </w:drawing>
            </w:r>
          </w:p>
        </w:tc>
        <w:tc>
          <w:tcPr>
            <w:tcW w:w="212" w:type="dxa"/>
            <w:tcBorders>
              <w:bottom w:val="single" w:sz="2" w:space="0" w:color="000000"/>
            </w:tcBorders>
            <w:shd w:fill="EDEDEE" w:val="clear"/>
            <w:tcMar>
              <w:bottom w:w="40" w:type="dxa"/>
            </w:tcMar>
            <w:vAlign w:val="center"/>
          </w:tcPr>
          <w:p>
            <w:pPr>
              <w:pStyle w:val="TableContents"/>
              <w:bidi w:val="0"/>
              <w:spacing w:before="0" w:after="283"/>
              <w:jc w:val="center"/>
              <w:rPr/>
            </w:pPr>
            <w:r>
              <w:rPr/>
              <w:t> </w:t>
            </w:r>
          </w:p>
        </w:tc>
        <w:tc>
          <w:tcPr>
            <w:tcW w:w="212" w:type="dxa"/>
            <w:tcBorders>
              <w:bottom w:val="single" w:sz="2" w:space="0" w:color="000000"/>
            </w:tcBorders>
            <w:shd w:fill="EDEDEE" w:val="clear"/>
            <w:tcMar>
              <w:bottom w:w="40" w:type="dxa"/>
            </w:tcMar>
            <w:vAlign w:val="center"/>
          </w:tcPr>
          <w:p>
            <w:pPr>
              <w:pStyle w:val="TableContents"/>
              <w:bidi w:val="0"/>
              <w:spacing w:before="0" w:after="283"/>
              <w:jc w:val="center"/>
              <w:rPr/>
            </w:pPr>
            <w:r>
              <w:rPr/>
              <w:drawing>
                <wp:inline distT="0" distB="0" distL="0" distR="0">
                  <wp:extent cx="76200" cy="76200"/>
                  <wp:effectExtent l="0" t="0" r="0" b="0"/>
                  <wp:docPr id="53"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45" descr=""/>
                          <pic:cNvPicPr>
                            <a:picLocks noChangeAspect="1" noChangeArrowheads="1"/>
                          </pic:cNvPicPr>
                        </pic:nvPicPr>
                        <pic:blipFill>
                          <a:blip r:embed="rId50"/>
                          <a:stretch>
                            <a:fillRect/>
                          </a:stretch>
                        </pic:blipFill>
                        <pic:spPr bwMode="auto">
                          <a:xfrm>
                            <a:off x="0" y="0"/>
                            <a:ext cx="76200" cy="76200"/>
                          </a:xfrm>
                          <a:prstGeom prst="rect">
                            <a:avLst/>
                          </a:prstGeom>
                        </pic:spPr>
                      </pic:pic>
                    </a:graphicData>
                  </a:graphic>
                </wp:inline>
              </w:drawing>
            </w:r>
          </w:p>
        </w:tc>
        <w:tc>
          <w:tcPr>
            <w:tcW w:w="212" w:type="dxa"/>
            <w:tcBorders>
              <w:bottom w:val="single" w:sz="2" w:space="0" w:color="000000"/>
            </w:tcBorders>
            <w:shd w:fill="EDEDEE" w:val="clear"/>
            <w:tcMar>
              <w:bottom w:w="40" w:type="dxa"/>
            </w:tcMar>
            <w:vAlign w:val="center"/>
          </w:tcPr>
          <w:p>
            <w:pPr>
              <w:pStyle w:val="TableContents"/>
              <w:bidi w:val="0"/>
              <w:spacing w:before="0" w:after="283"/>
              <w:jc w:val="center"/>
              <w:rPr/>
            </w:pPr>
            <w:r>
              <w:rPr/>
              <w:drawing>
                <wp:inline distT="0" distB="0" distL="0" distR="0">
                  <wp:extent cx="76200" cy="76200"/>
                  <wp:effectExtent l="0" t="0" r="0" b="0"/>
                  <wp:docPr id="54"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46" descr=""/>
                          <pic:cNvPicPr>
                            <a:picLocks noChangeAspect="1" noChangeArrowheads="1"/>
                          </pic:cNvPicPr>
                        </pic:nvPicPr>
                        <pic:blipFill>
                          <a:blip r:embed="rId51"/>
                          <a:stretch>
                            <a:fillRect/>
                          </a:stretch>
                        </pic:blipFill>
                        <pic:spPr bwMode="auto">
                          <a:xfrm>
                            <a:off x="0" y="0"/>
                            <a:ext cx="76200" cy="76200"/>
                          </a:xfrm>
                          <a:prstGeom prst="rect">
                            <a:avLst/>
                          </a:prstGeom>
                        </pic:spPr>
                      </pic:pic>
                    </a:graphicData>
                  </a:graphic>
                </wp:inline>
              </w:drawing>
            </w:r>
          </w:p>
        </w:tc>
        <w:tc>
          <w:tcPr>
            <w:tcW w:w="229" w:type="dxa"/>
            <w:tcBorders>
              <w:bottom w:val="single" w:sz="2" w:space="0" w:color="000000"/>
            </w:tcBorders>
            <w:shd w:fill="EDEDEE" w:val="clear"/>
            <w:tcMar>
              <w:bottom w:w="40" w:type="dxa"/>
            </w:tcMar>
            <w:vAlign w:val="center"/>
          </w:tcPr>
          <w:p>
            <w:pPr>
              <w:pStyle w:val="TableContents"/>
              <w:bidi w:val="0"/>
              <w:spacing w:before="0" w:after="283"/>
              <w:jc w:val="center"/>
              <w:rPr/>
            </w:pPr>
            <w:r>
              <w:rPr/>
              <w:drawing>
                <wp:inline distT="0" distB="0" distL="0" distR="0">
                  <wp:extent cx="76200" cy="76200"/>
                  <wp:effectExtent l="0" t="0" r="0" b="0"/>
                  <wp:docPr id="55"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47" descr=""/>
                          <pic:cNvPicPr>
                            <a:picLocks noChangeAspect="1" noChangeArrowheads="1"/>
                          </pic:cNvPicPr>
                        </pic:nvPicPr>
                        <pic:blipFill>
                          <a:blip r:embed="rId52"/>
                          <a:stretch>
                            <a:fillRect/>
                          </a:stretch>
                        </pic:blipFill>
                        <pic:spPr bwMode="auto">
                          <a:xfrm>
                            <a:off x="0" y="0"/>
                            <a:ext cx="76200" cy="76200"/>
                          </a:xfrm>
                          <a:prstGeom prst="rect">
                            <a:avLst/>
                          </a:prstGeom>
                        </pic:spPr>
                      </pic:pic>
                    </a:graphicData>
                  </a:graphic>
                </wp:inline>
              </w:drawing>
            </w:r>
          </w:p>
        </w:tc>
        <w:tc>
          <w:tcPr>
            <w:tcW w:w="229" w:type="dxa"/>
            <w:tcBorders>
              <w:bottom w:val="single" w:sz="2" w:space="0" w:color="000000"/>
            </w:tcBorders>
            <w:shd w:fill="EDEDEE" w:val="clear"/>
            <w:tcMar>
              <w:bottom w:w="40" w:type="dxa"/>
            </w:tcMar>
            <w:vAlign w:val="center"/>
          </w:tcPr>
          <w:p>
            <w:pPr>
              <w:pStyle w:val="TableContents"/>
              <w:bidi w:val="0"/>
              <w:spacing w:before="0" w:after="283"/>
              <w:jc w:val="center"/>
              <w:rPr/>
            </w:pPr>
            <w:r>
              <w:rPr/>
              <w:t> </w:t>
            </w:r>
          </w:p>
        </w:tc>
        <w:tc>
          <w:tcPr>
            <w:tcW w:w="392" w:type="dxa"/>
            <w:tcBorders>
              <w:bottom w:val="single" w:sz="2" w:space="0" w:color="000000"/>
            </w:tcBorders>
            <w:shd w:fill="EDEDEE" w:val="clear"/>
            <w:tcMar>
              <w:bottom w:w="40" w:type="dxa"/>
            </w:tcMar>
            <w:vAlign w:val="center"/>
          </w:tcPr>
          <w:p>
            <w:pPr>
              <w:pStyle w:val="TableContents"/>
              <w:bidi w:val="0"/>
              <w:spacing w:before="0" w:after="283"/>
              <w:jc w:val="center"/>
              <w:rPr/>
            </w:pPr>
            <w:r>
              <w:rPr/>
              <w:t> </w:t>
            </w:r>
          </w:p>
        </w:tc>
      </w:tr>
      <w:tr>
        <w:trPr/>
        <w:tc>
          <w:tcPr>
            <w:tcW w:w="5465" w:type="dxa"/>
            <w:tcBorders>
              <w:bottom w:val="single" w:sz="2" w:space="0" w:color="000000"/>
            </w:tcBorders>
            <w:tcMar>
              <w:bottom w:w="40" w:type="dxa"/>
            </w:tcMar>
            <w:vAlign w:val="center"/>
          </w:tcPr>
          <w:p>
            <w:pPr>
              <w:pStyle w:val="TableContents"/>
              <w:bidi w:val="0"/>
              <w:spacing w:before="0" w:after="0"/>
              <w:ind w:left="0" w:right="0" w:hanging="0"/>
              <w:jc w:val="left"/>
              <w:rPr>
                <w:b/>
              </w:rPr>
            </w:pPr>
            <w:r>
              <w:rPr>
                <w:b/>
              </w:rPr>
              <w:t>Christopher T. Calio</w:t>
            </w:r>
          </w:p>
          <w:p>
            <w:pPr>
              <w:pStyle w:val="TableContents"/>
              <w:bidi w:val="0"/>
              <w:spacing w:before="100" w:after="0"/>
              <w:ind w:left="0" w:right="0" w:hanging="0"/>
              <w:jc w:val="left"/>
              <w:rPr/>
            </w:pPr>
            <w:r>
              <w:rPr/>
              <w:t xml:space="preserve">Chairman, President &amp; Chief Executive Officer, </w:t>
              <w:br/>
              <w:t>RTX Corporation</w:t>
            </w:r>
          </w:p>
        </w:tc>
        <w:tc>
          <w:tcPr>
            <w:tcW w:w="500" w:type="dxa"/>
            <w:tcBorders>
              <w:bottom w:val="single" w:sz="2" w:space="0" w:color="000000"/>
            </w:tcBorders>
            <w:tcMar>
              <w:bottom w:w="40" w:type="dxa"/>
            </w:tcMar>
            <w:vAlign w:val="center"/>
          </w:tcPr>
          <w:p>
            <w:pPr>
              <w:pStyle w:val="TableContents"/>
              <w:bidi w:val="0"/>
              <w:spacing w:before="0" w:after="283"/>
              <w:jc w:val="center"/>
              <w:rPr/>
            </w:pPr>
            <w:r>
              <w:rPr/>
              <w:t>2023</w:t>
            </w:r>
          </w:p>
        </w:tc>
        <w:tc>
          <w:tcPr>
            <w:tcW w:w="165" w:type="dxa"/>
            <w:tcBorders>
              <w:bottom w:val="single" w:sz="2" w:space="0" w:color="000000"/>
            </w:tcBorders>
            <w:tcMar>
              <w:bottom w:w="40" w:type="dxa"/>
            </w:tcMar>
            <w:vAlign w:val="center"/>
          </w:tcPr>
          <w:p>
            <w:pPr>
              <w:pStyle w:val="TableContents"/>
              <w:bidi w:val="0"/>
              <w:spacing w:before="0" w:after="283"/>
              <w:jc w:val="center"/>
              <w:rPr/>
            </w:pPr>
            <w:r>
              <w:rPr/>
              <w:t>0</w:t>
            </w:r>
          </w:p>
        </w:tc>
        <w:tc>
          <w:tcPr>
            <w:tcW w:w="196" w:type="dxa"/>
            <w:tcBorders>
              <w:bottom w:val="single" w:sz="2" w:space="0" w:color="000000"/>
            </w:tcBorders>
            <w:shd w:fill="EDEDEE" w:val="clear"/>
            <w:tcMar>
              <w:bottom w:w="40" w:type="dxa"/>
            </w:tcMar>
            <w:vAlign w:val="center"/>
          </w:tcPr>
          <w:p>
            <w:pPr>
              <w:pStyle w:val="TableContents"/>
              <w:bidi w:val="0"/>
              <w:spacing w:before="0" w:after="283"/>
              <w:jc w:val="center"/>
              <w:rPr/>
            </w:pPr>
            <w:r>
              <w:rPr/>
              <w:drawing>
                <wp:inline distT="0" distB="0" distL="0" distR="0">
                  <wp:extent cx="76200" cy="76200"/>
                  <wp:effectExtent l="0" t="0" r="0" b="0"/>
                  <wp:docPr id="56"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48" descr=""/>
                          <pic:cNvPicPr>
                            <a:picLocks noChangeAspect="1" noChangeArrowheads="1"/>
                          </pic:cNvPicPr>
                        </pic:nvPicPr>
                        <pic:blipFill>
                          <a:blip r:embed="rId53"/>
                          <a:stretch>
                            <a:fillRect/>
                          </a:stretch>
                        </pic:blipFill>
                        <pic:spPr bwMode="auto">
                          <a:xfrm>
                            <a:off x="0" y="0"/>
                            <a:ext cx="76200" cy="76200"/>
                          </a:xfrm>
                          <a:prstGeom prst="rect">
                            <a:avLst/>
                          </a:prstGeom>
                        </pic:spPr>
                      </pic:pic>
                    </a:graphicData>
                  </a:graphic>
                </wp:inline>
              </w:drawing>
            </w:r>
          </w:p>
        </w:tc>
        <w:tc>
          <w:tcPr>
            <w:tcW w:w="179" w:type="dxa"/>
            <w:tcBorders>
              <w:bottom w:val="single" w:sz="2" w:space="0" w:color="000000"/>
            </w:tcBorders>
            <w:shd w:fill="EDEDEE" w:val="clear"/>
            <w:tcMar>
              <w:bottom w:w="40" w:type="dxa"/>
            </w:tcMar>
            <w:vAlign w:val="center"/>
          </w:tcPr>
          <w:p>
            <w:pPr>
              <w:pStyle w:val="TableContents"/>
              <w:bidi w:val="0"/>
              <w:spacing w:before="0" w:after="283"/>
              <w:jc w:val="center"/>
              <w:rPr/>
            </w:pPr>
            <w:r>
              <w:rPr/>
              <w:t> </w:t>
            </w:r>
          </w:p>
        </w:tc>
        <w:tc>
          <w:tcPr>
            <w:tcW w:w="179" w:type="dxa"/>
            <w:tcBorders>
              <w:bottom w:val="single" w:sz="2" w:space="0" w:color="000000"/>
            </w:tcBorders>
            <w:shd w:fill="EDEDEE" w:val="clear"/>
            <w:tcMar>
              <w:bottom w:w="40" w:type="dxa"/>
            </w:tcMar>
            <w:vAlign w:val="center"/>
          </w:tcPr>
          <w:p>
            <w:pPr>
              <w:pStyle w:val="TableContents"/>
              <w:bidi w:val="0"/>
              <w:spacing w:before="0" w:after="283"/>
              <w:jc w:val="center"/>
              <w:rPr/>
            </w:pPr>
            <w:r>
              <w:rPr/>
              <w:drawing>
                <wp:inline distT="0" distB="0" distL="0" distR="0">
                  <wp:extent cx="76200" cy="76200"/>
                  <wp:effectExtent l="0" t="0" r="0" b="0"/>
                  <wp:docPr id="57"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49" descr=""/>
                          <pic:cNvPicPr>
                            <a:picLocks noChangeAspect="1" noChangeArrowheads="1"/>
                          </pic:cNvPicPr>
                        </pic:nvPicPr>
                        <pic:blipFill>
                          <a:blip r:embed="rId54"/>
                          <a:stretch>
                            <a:fillRect/>
                          </a:stretch>
                        </pic:blipFill>
                        <pic:spPr bwMode="auto">
                          <a:xfrm>
                            <a:off x="0" y="0"/>
                            <a:ext cx="76200" cy="76200"/>
                          </a:xfrm>
                          <a:prstGeom prst="rect">
                            <a:avLst/>
                          </a:prstGeom>
                        </pic:spPr>
                      </pic:pic>
                    </a:graphicData>
                  </a:graphic>
                </wp:inline>
              </w:drawing>
            </w:r>
          </w:p>
        </w:tc>
        <w:tc>
          <w:tcPr>
            <w:tcW w:w="212" w:type="dxa"/>
            <w:tcBorders>
              <w:bottom w:val="single" w:sz="2" w:space="0" w:color="000000"/>
            </w:tcBorders>
            <w:shd w:fill="EDEDEE" w:val="clear"/>
            <w:tcMar>
              <w:bottom w:w="40" w:type="dxa"/>
            </w:tcMar>
            <w:vAlign w:val="center"/>
          </w:tcPr>
          <w:p>
            <w:pPr>
              <w:pStyle w:val="TableContents"/>
              <w:bidi w:val="0"/>
              <w:spacing w:before="0" w:after="283"/>
              <w:jc w:val="center"/>
              <w:rPr/>
            </w:pPr>
            <w:r>
              <w:rPr/>
              <w:drawing>
                <wp:inline distT="0" distB="0" distL="0" distR="0">
                  <wp:extent cx="76200" cy="76200"/>
                  <wp:effectExtent l="0" t="0" r="0" b="0"/>
                  <wp:docPr id="58"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0" descr=""/>
                          <pic:cNvPicPr>
                            <a:picLocks noChangeAspect="1" noChangeArrowheads="1"/>
                          </pic:cNvPicPr>
                        </pic:nvPicPr>
                        <pic:blipFill>
                          <a:blip r:embed="rId55"/>
                          <a:stretch>
                            <a:fillRect/>
                          </a:stretch>
                        </pic:blipFill>
                        <pic:spPr bwMode="auto">
                          <a:xfrm>
                            <a:off x="0" y="0"/>
                            <a:ext cx="76200" cy="76200"/>
                          </a:xfrm>
                          <a:prstGeom prst="rect">
                            <a:avLst/>
                          </a:prstGeom>
                        </pic:spPr>
                      </pic:pic>
                    </a:graphicData>
                  </a:graphic>
                </wp:inline>
              </w:drawing>
            </w:r>
          </w:p>
        </w:tc>
        <w:tc>
          <w:tcPr>
            <w:tcW w:w="212" w:type="dxa"/>
            <w:tcBorders>
              <w:bottom w:val="single" w:sz="2" w:space="0" w:color="000000"/>
            </w:tcBorders>
            <w:shd w:fill="EDEDEE" w:val="clear"/>
            <w:tcMar>
              <w:bottom w:w="40" w:type="dxa"/>
            </w:tcMar>
            <w:vAlign w:val="center"/>
          </w:tcPr>
          <w:p>
            <w:pPr>
              <w:pStyle w:val="TableContents"/>
              <w:bidi w:val="0"/>
              <w:spacing w:before="0" w:after="283"/>
              <w:jc w:val="center"/>
              <w:rPr/>
            </w:pPr>
            <w:r>
              <w:rPr/>
              <w:drawing>
                <wp:inline distT="0" distB="0" distL="0" distR="0">
                  <wp:extent cx="76200" cy="76200"/>
                  <wp:effectExtent l="0" t="0" r="0" b="0"/>
                  <wp:docPr id="59"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1" descr=""/>
                          <pic:cNvPicPr>
                            <a:picLocks noChangeAspect="1" noChangeArrowheads="1"/>
                          </pic:cNvPicPr>
                        </pic:nvPicPr>
                        <pic:blipFill>
                          <a:blip r:embed="rId56"/>
                          <a:stretch>
                            <a:fillRect/>
                          </a:stretch>
                        </pic:blipFill>
                        <pic:spPr bwMode="auto">
                          <a:xfrm>
                            <a:off x="0" y="0"/>
                            <a:ext cx="76200" cy="76200"/>
                          </a:xfrm>
                          <a:prstGeom prst="rect">
                            <a:avLst/>
                          </a:prstGeom>
                        </pic:spPr>
                      </pic:pic>
                    </a:graphicData>
                  </a:graphic>
                </wp:inline>
              </w:drawing>
            </w:r>
          </w:p>
        </w:tc>
        <w:tc>
          <w:tcPr>
            <w:tcW w:w="212" w:type="dxa"/>
            <w:tcBorders>
              <w:bottom w:val="single" w:sz="2" w:space="0" w:color="000000"/>
            </w:tcBorders>
            <w:shd w:fill="EDEDEE" w:val="clear"/>
            <w:tcMar>
              <w:bottom w:w="40" w:type="dxa"/>
            </w:tcMar>
            <w:vAlign w:val="center"/>
          </w:tcPr>
          <w:p>
            <w:pPr>
              <w:pStyle w:val="TableContents"/>
              <w:bidi w:val="0"/>
              <w:spacing w:before="0" w:after="283"/>
              <w:jc w:val="center"/>
              <w:rPr/>
            </w:pPr>
            <w:r>
              <w:rPr/>
              <w:drawing>
                <wp:inline distT="0" distB="0" distL="0" distR="0">
                  <wp:extent cx="76200" cy="76200"/>
                  <wp:effectExtent l="0" t="0" r="0" b="0"/>
                  <wp:docPr id="60"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52" descr=""/>
                          <pic:cNvPicPr>
                            <a:picLocks noChangeAspect="1" noChangeArrowheads="1"/>
                          </pic:cNvPicPr>
                        </pic:nvPicPr>
                        <pic:blipFill>
                          <a:blip r:embed="rId57"/>
                          <a:stretch>
                            <a:fillRect/>
                          </a:stretch>
                        </pic:blipFill>
                        <pic:spPr bwMode="auto">
                          <a:xfrm>
                            <a:off x="0" y="0"/>
                            <a:ext cx="76200" cy="76200"/>
                          </a:xfrm>
                          <a:prstGeom prst="rect">
                            <a:avLst/>
                          </a:prstGeom>
                        </pic:spPr>
                      </pic:pic>
                    </a:graphicData>
                  </a:graphic>
                </wp:inline>
              </w:drawing>
            </w:r>
          </w:p>
        </w:tc>
        <w:tc>
          <w:tcPr>
            <w:tcW w:w="229" w:type="dxa"/>
            <w:tcBorders>
              <w:bottom w:val="single" w:sz="2" w:space="0" w:color="000000"/>
            </w:tcBorders>
            <w:shd w:fill="EDEDEE" w:val="clear"/>
            <w:tcMar>
              <w:bottom w:w="40" w:type="dxa"/>
            </w:tcMar>
            <w:vAlign w:val="center"/>
          </w:tcPr>
          <w:p>
            <w:pPr>
              <w:pStyle w:val="TableContents"/>
              <w:bidi w:val="0"/>
              <w:spacing w:before="0" w:after="283"/>
              <w:jc w:val="center"/>
              <w:rPr/>
            </w:pPr>
            <w:r>
              <w:rPr/>
              <w:drawing>
                <wp:inline distT="0" distB="0" distL="0" distR="0">
                  <wp:extent cx="76200" cy="76200"/>
                  <wp:effectExtent l="0" t="0" r="0" b="0"/>
                  <wp:docPr id="61"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53" descr=""/>
                          <pic:cNvPicPr>
                            <a:picLocks noChangeAspect="1" noChangeArrowheads="1"/>
                          </pic:cNvPicPr>
                        </pic:nvPicPr>
                        <pic:blipFill>
                          <a:blip r:embed="rId58"/>
                          <a:stretch>
                            <a:fillRect/>
                          </a:stretch>
                        </pic:blipFill>
                        <pic:spPr bwMode="auto">
                          <a:xfrm>
                            <a:off x="0" y="0"/>
                            <a:ext cx="76200" cy="76200"/>
                          </a:xfrm>
                          <a:prstGeom prst="rect">
                            <a:avLst/>
                          </a:prstGeom>
                        </pic:spPr>
                      </pic:pic>
                    </a:graphicData>
                  </a:graphic>
                </wp:inline>
              </w:drawing>
            </w:r>
          </w:p>
        </w:tc>
        <w:tc>
          <w:tcPr>
            <w:tcW w:w="229" w:type="dxa"/>
            <w:tcBorders>
              <w:bottom w:val="single" w:sz="2" w:space="0" w:color="000000"/>
            </w:tcBorders>
            <w:shd w:fill="EDEDEE" w:val="clear"/>
            <w:tcMar>
              <w:bottom w:w="40" w:type="dxa"/>
            </w:tcMar>
            <w:vAlign w:val="center"/>
          </w:tcPr>
          <w:p>
            <w:pPr>
              <w:pStyle w:val="TableContents"/>
              <w:bidi w:val="0"/>
              <w:spacing w:before="0" w:after="283"/>
              <w:jc w:val="center"/>
              <w:rPr/>
            </w:pPr>
            <w:r>
              <w:rPr/>
              <w:t> </w:t>
            </w:r>
          </w:p>
        </w:tc>
        <w:tc>
          <w:tcPr>
            <w:tcW w:w="392" w:type="dxa"/>
            <w:tcBorders>
              <w:bottom w:val="single" w:sz="2" w:space="0" w:color="000000"/>
            </w:tcBorders>
            <w:shd w:fill="EDEDEE" w:val="clear"/>
            <w:tcMar>
              <w:bottom w:w="40" w:type="dxa"/>
            </w:tcMar>
            <w:vAlign w:val="center"/>
          </w:tcPr>
          <w:p>
            <w:pPr>
              <w:pStyle w:val="TableContents"/>
              <w:bidi w:val="0"/>
              <w:spacing w:before="0" w:after="283"/>
              <w:jc w:val="center"/>
              <w:rPr/>
            </w:pPr>
            <w:r>
              <w:rPr/>
              <w:drawing>
                <wp:inline distT="0" distB="0" distL="0" distR="0">
                  <wp:extent cx="76200" cy="76200"/>
                  <wp:effectExtent l="0" t="0" r="0" b="0"/>
                  <wp:docPr id="62"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54" descr=""/>
                          <pic:cNvPicPr>
                            <a:picLocks noChangeAspect="1" noChangeArrowheads="1"/>
                          </pic:cNvPicPr>
                        </pic:nvPicPr>
                        <pic:blipFill>
                          <a:blip r:embed="rId59"/>
                          <a:stretch>
                            <a:fillRect/>
                          </a:stretch>
                        </pic:blipFill>
                        <pic:spPr bwMode="auto">
                          <a:xfrm>
                            <a:off x="0" y="0"/>
                            <a:ext cx="76200" cy="76200"/>
                          </a:xfrm>
                          <a:prstGeom prst="rect">
                            <a:avLst/>
                          </a:prstGeom>
                        </pic:spPr>
                      </pic:pic>
                    </a:graphicData>
                  </a:graphic>
                </wp:inline>
              </w:drawing>
            </w:r>
          </w:p>
        </w:tc>
      </w:tr>
      <w:tr>
        <w:trPr/>
        <w:tc>
          <w:tcPr>
            <w:tcW w:w="5465" w:type="dxa"/>
            <w:tcBorders>
              <w:bottom w:val="single" w:sz="2" w:space="0" w:color="000000"/>
            </w:tcBorders>
            <w:tcMar>
              <w:bottom w:w="40" w:type="dxa"/>
            </w:tcMar>
            <w:vAlign w:val="center"/>
          </w:tcPr>
          <w:p>
            <w:pPr>
              <w:pStyle w:val="TableContents"/>
              <w:bidi w:val="0"/>
              <w:spacing w:before="0" w:after="0"/>
              <w:ind w:left="0" w:right="0" w:hanging="0"/>
              <w:jc w:val="left"/>
              <w:rPr>
                <w:b/>
              </w:rPr>
            </w:pPr>
            <w:r>
              <w:rPr>
                <w:b/>
              </w:rPr>
              <w:t>Leanne G. Caret</w:t>
            </w:r>
          </w:p>
          <w:p>
            <w:pPr>
              <w:pStyle w:val="TableContents"/>
              <w:bidi w:val="0"/>
              <w:spacing w:before="100" w:after="0"/>
              <w:ind w:left="0" w:right="0" w:hanging="0"/>
              <w:jc w:val="left"/>
              <w:rPr/>
            </w:pPr>
            <w:r>
              <w:rPr/>
              <w:t xml:space="preserve">Retired Executive Vice President, The Boeing Company </w:t>
              <w:br/>
              <w:t>and Former CEO, Boeing Defense, Space &amp; Security</w:t>
            </w:r>
          </w:p>
        </w:tc>
        <w:tc>
          <w:tcPr>
            <w:tcW w:w="500" w:type="dxa"/>
            <w:tcBorders>
              <w:bottom w:val="single" w:sz="2" w:space="0" w:color="000000"/>
            </w:tcBorders>
            <w:tcMar>
              <w:bottom w:w="40" w:type="dxa"/>
            </w:tcMar>
            <w:vAlign w:val="center"/>
          </w:tcPr>
          <w:p>
            <w:pPr>
              <w:pStyle w:val="TableContents"/>
              <w:bidi w:val="0"/>
              <w:spacing w:before="0" w:after="283"/>
              <w:jc w:val="center"/>
              <w:rPr/>
            </w:pPr>
            <w:r>
              <w:rPr/>
              <w:t>2023</w:t>
            </w:r>
          </w:p>
        </w:tc>
        <w:tc>
          <w:tcPr>
            <w:tcW w:w="165" w:type="dxa"/>
            <w:tcBorders>
              <w:bottom w:val="single" w:sz="2" w:space="0" w:color="000000"/>
            </w:tcBorders>
            <w:tcMar>
              <w:bottom w:w="40" w:type="dxa"/>
            </w:tcMar>
            <w:vAlign w:val="center"/>
          </w:tcPr>
          <w:p>
            <w:pPr>
              <w:pStyle w:val="TableContents"/>
              <w:bidi w:val="0"/>
              <w:spacing w:before="0" w:after="283"/>
              <w:jc w:val="center"/>
              <w:rPr/>
            </w:pPr>
            <w:r>
              <w:rPr/>
              <w:t>1</w:t>
            </w:r>
          </w:p>
        </w:tc>
        <w:tc>
          <w:tcPr>
            <w:tcW w:w="196" w:type="dxa"/>
            <w:tcBorders>
              <w:bottom w:val="single" w:sz="2" w:space="0" w:color="000000"/>
            </w:tcBorders>
            <w:shd w:fill="EDEDEE" w:val="clear"/>
            <w:tcMar>
              <w:bottom w:w="40" w:type="dxa"/>
            </w:tcMar>
            <w:vAlign w:val="center"/>
          </w:tcPr>
          <w:p>
            <w:pPr>
              <w:pStyle w:val="TableContents"/>
              <w:bidi w:val="0"/>
              <w:spacing w:before="0" w:after="283"/>
              <w:jc w:val="center"/>
              <w:rPr/>
            </w:pPr>
            <w:r>
              <w:rPr/>
              <w:drawing>
                <wp:inline distT="0" distB="0" distL="0" distR="0">
                  <wp:extent cx="76200" cy="76200"/>
                  <wp:effectExtent l="0" t="0" r="0" b="0"/>
                  <wp:docPr id="63"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55" descr=""/>
                          <pic:cNvPicPr>
                            <a:picLocks noChangeAspect="1" noChangeArrowheads="1"/>
                          </pic:cNvPicPr>
                        </pic:nvPicPr>
                        <pic:blipFill>
                          <a:blip r:embed="rId60"/>
                          <a:stretch>
                            <a:fillRect/>
                          </a:stretch>
                        </pic:blipFill>
                        <pic:spPr bwMode="auto">
                          <a:xfrm>
                            <a:off x="0" y="0"/>
                            <a:ext cx="76200" cy="76200"/>
                          </a:xfrm>
                          <a:prstGeom prst="rect">
                            <a:avLst/>
                          </a:prstGeom>
                        </pic:spPr>
                      </pic:pic>
                    </a:graphicData>
                  </a:graphic>
                </wp:inline>
              </w:drawing>
            </w:r>
          </w:p>
        </w:tc>
        <w:tc>
          <w:tcPr>
            <w:tcW w:w="179" w:type="dxa"/>
            <w:tcBorders>
              <w:bottom w:val="single" w:sz="2" w:space="0" w:color="000000"/>
            </w:tcBorders>
            <w:shd w:fill="EDEDEE" w:val="clear"/>
            <w:tcMar>
              <w:bottom w:w="40" w:type="dxa"/>
            </w:tcMar>
            <w:vAlign w:val="center"/>
          </w:tcPr>
          <w:p>
            <w:pPr>
              <w:pStyle w:val="TableContents"/>
              <w:bidi w:val="0"/>
              <w:spacing w:before="0" w:after="283"/>
              <w:jc w:val="left"/>
              <w:rPr>
                <w:sz w:val="4"/>
                <w:szCs w:val="4"/>
              </w:rPr>
            </w:pPr>
            <w:r>
              <w:rPr>
                <w:sz w:val="4"/>
                <w:szCs w:val="4"/>
              </w:rPr>
            </w:r>
          </w:p>
        </w:tc>
        <w:tc>
          <w:tcPr>
            <w:tcW w:w="179" w:type="dxa"/>
            <w:tcBorders>
              <w:bottom w:val="single" w:sz="2" w:space="0" w:color="000000"/>
            </w:tcBorders>
            <w:shd w:fill="EDEDEE" w:val="clear"/>
            <w:tcMar>
              <w:bottom w:w="40" w:type="dxa"/>
            </w:tcMar>
            <w:vAlign w:val="center"/>
          </w:tcPr>
          <w:p>
            <w:pPr>
              <w:pStyle w:val="TableContents"/>
              <w:bidi w:val="0"/>
              <w:spacing w:before="0" w:after="283"/>
              <w:jc w:val="center"/>
              <w:rPr/>
            </w:pPr>
            <w:r>
              <w:rPr/>
              <w:t> </w:t>
            </w:r>
          </w:p>
        </w:tc>
        <w:tc>
          <w:tcPr>
            <w:tcW w:w="212" w:type="dxa"/>
            <w:tcBorders>
              <w:bottom w:val="single" w:sz="2" w:space="0" w:color="000000"/>
            </w:tcBorders>
            <w:shd w:fill="EDEDEE" w:val="clear"/>
            <w:tcMar>
              <w:bottom w:w="40" w:type="dxa"/>
            </w:tcMar>
            <w:vAlign w:val="center"/>
          </w:tcPr>
          <w:p>
            <w:pPr>
              <w:pStyle w:val="TableContents"/>
              <w:bidi w:val="0"/>
              <w:spacing w:before="0" w:after="283"/>
              <w:jc w:val="center"/>
              <w:rPr/>
            </w:pPr>
            <w:r>
              <w:rPr/>
              <w:drawing>
                <wp:inline distT="0" distB="0" distL="0" distR="0">
                  <wp:extent cx="76200" cy="76200"/>
                  <wp:effectExtent l="0" t="0" r="0" b="0"/>
                  <wp:docPr id="64"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56" descr=""/>
                          <pic:cNvPicPr>
                            <a:picLocks noChangeAspect="1" noChangeArrowheads="1"/>
                          </pic:cNvPicPr>
                        </pic:nvPicPr>
                        <pic:blipFill>
                          <a:blip r:embed="rId61"/>
                          <a:stretch>
                            <a:fillRect/>
                          </a:stretch>
                        </pic:blipFill>
                        <pic:spPr bwMode="auto">
                          <a:xfrm>
                            <a:off x="0" y="0"/>
                            <a:ext cx="76200" cy="76200"/>
                          </a:xfrm>
                          <a:prstGeom prst="rect">
                            <a:avLst/>
                          </a:prstGeom>
                        </pic:spPr>
                      </pic:pic>
                    </a:graphicData>
                  </a:graphic>
                </wp:inline>
              </w:drawing>
            </w:r>
          </w:p>
        </w:tc>
        <w:tc>
          <w:tcPr>
            <w:tcW w:w="212" w:type="dxa"/>
            <w:tcBorders>
              <w:bottom w:val="single" w:sz="2" w:space="0" w:color="000000"/>
            </w:tcBorders>
            <w:shd w:fill="EDEDEE" w:val="clear"/>
            <w:tcMar>
              <w:bottom w:w="40" w:type="dxa"/>
            </w:tcMar>
            <w:vAlign w:val="center"/>
          </w:tcPr>
          <w:p>
            <w:pPr>
              <w:pStyle w:val="TableContents"/>
              <w:bidi w:val="0"/>
              <w:spacing w:before="0" w:after="283"/>
              <w:jc w:val="center"/>
              <w:rPr/>
            </w:pPr>
            <w:r>
              <w:rPr/>
              <w:drawing>
                <wp:inline distT="0" distB="0" distL="0" distR="0">
                  <wp:extent cx="76200" cy="76200"/>
                  <wp:effectExtent l="0" t="0" r="0" b="0"/>
                  <wp:docPr id="65"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57" descr=""/>
                          <pic:cNvPicPr>
                            <a:picLocks noChangeAspect="1" noChangeArrowheads="1"/>
                          </pic:cNvPicPr>
                        </pic:nvPicPr>
                        <pic:blipFill>
                          <a:blip r:embed="rId62"/>
                          <a:stretch>
                            <a:fillRect/>
                          </a:stretch>
                        </pic:blipFill>
                        <pic:spPr bwMode="auto">
                          <a:xfrm>
                            <a:off x="0" y="0"/>
                            <a:ext cx="76200" cy="76200"/>
                          </a:xfrm>
                          <a:prstGeom prst="rect">
                            <a:avLst/>
                          </a:prstGeom>
                        </pic:spPr>
                      </pic:pic>
                    </a:graphicData>
                  </a:graphic>
                </wp:inline>
              </w:drawing>
            </w:r>
          </w:p>
        </w:tc>
        <w:tc>
          <w:tcPr>
            <w:tcW w:w="212" w:type="dxa"/>
            <w:tcBorders>
              <w:bottom w:val="single" w:sz="2" w:space="0" w:color="000000"/>
            </w:tcBorders>
            <w:shd w:fill="EDEDEE" w:val="clear"/>
            <w:tcMar>
              <w:bottom w:w="40" w:type="dxa"/>
            </w:tcMar>
            <w:vAlign w:val="center"/>
          </w:tcPr>
          <w:p>
            <w:pPr>
              <w:pStyle w:val="TableContents"/>
              <w:bidi w:val="0"/>
              <w:spacing w:before="0" w:after="283"/>
              <w:jc w:val="center"/>
              <w:rPr/>
            </w:pPr>
            <w:r>
              <w:rPr/>
              <w:drawing>
                <wp:inline distT="0" distB="0" distL="0" distR="0">
                  <wp:extent cx="76200" cy="76200"/>
                  <wp:effectExtent l="0" t="0" r="0" b="0"/>
                  <wp:docPr id="66"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58" descr=""/>
                          <pic:cNvPicPr>
                            <a:picLocks noChangeAspect="1" noChangeArrowheads="1"/>
                          </pic:cNvPicPr>
                        </pic:nvPicPr>
                        <pic:blipFill>
                          <a:blip r:embed="rId63"/>
                          <a:stretch>
                            <a:fillRect/>
                          </a:stretch>
                        </pic:blipFill>
                        <pic:spPr bwMode="auto">
                          <a:xfrm>
                            <a:off x="0" y="0"/>
                            <a:ext cx="76200" cy="76200"/>
                          </a:xfrm>
                          <a:prstGeom prst="rect">
                            <a:avLst/>
                          </a:prstGeom>
                        </pic:spPr>
                      </pic:pic>
                    </a:graphicData>
                  </a:graphic>
                </wp:inline>
              </w:drawing>
            </w:r>
          </w:p>
        </w:tc>
        <w:tc>
          <w:tcPr>
            <w:tcW w:w="229" w:type="dxa"/>
            <w:tcBorders>
              <w:bottom w:val="single" w:sz="2" w:space="0" w:color="000000"/>
            </w:tcBorders>
            <w:shd w:fill="EDEDEE" w:val="clear"/>
            <w:tcMar>
              <w:bottom w:w="40" w:type="dxa"/>
            </w:tcMar>
            <w:vAlign w:val="center"/>
          </w:tcPr>
          <w:p>
            <w:pPr>
              <w:pStyle w:val="TableContents"/>
              <w:bidi w:val="0"/>
              <w:spacing w:before="0" w:after="283"/>
              <w:jc w:val="center"/>
              <w:rPr/>
            </w:pPr>
            <w:r>
              <w:rPr/>
              <w:drawing>
                <wp:inline distT="0" distB="0" distL="0" distR="0">
                  <wp:extent cx="76200" cy="76200"/>
                  <wp:effectExtent l="0" t="0" r="0" b="0"/>
                  <wp:docPr id="67"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59" descr=""/>
                          <pic:cNvPicPr>
                            <a:picLocks noChangeAspect="1" noChangeArrowheads="1"/>
                          </pic:cNvPicPr>
                        </pic:nvPicPr>
                        <pic:blipFill>
                          <a:blip r:embed="rId64"/>
                          <a:stretch>
                            <a:fillRect/>
                          </a:stretch>
                        </pic:blipFill>
                        <pic:spPr bwMode="auto">
                          <a:xfrm>
                            <a:off x="0" y="0"/>
                            <a:ext cx="76200" cy="76200"/>
                          </a:xfrm>
                          <a:prstGeom prst="rect">
                            <a:avLst/>
                          </a:prstGeom>
                        </pic:spPr>
                      </pic:pic>
                    </a:graphicData>
                  </a:graphic>
                </wp:inline>
              </w:drawing>
            </w:r>
          </w:p>
        </w:tc>
        <w:tc>
          <w:tcPr>
            <w:tcW w:w="229" w:type="dxa"/>
            <w:tcBorders>
              <w:bottom w:val="single" w:sz="2" w:space="0" w:color="000000"/>
            </w:tcBorders>
            <w:shd w:fill="EDEDEE" w:val="clear"/>
            <w:tcMar>
              <w:bottom w:w="40" w:type="dxa"/>
            </w:tcMar>
            <w:vAlign w:val="center"/>
          </w:tcPr>
          <w:p>
            <w:pPr>
              <w:pStyle w:val="TableContents"/>
              <w:bidi w:val="0"/>
              <w:spacing w:before="0" w:after="283"/>
              <w:jc w:val="center"/>
              <w:rPr/>
            </w:pPr>
            <w:r>
              <w:rPr/>
              <w:t> </w:t>
            </w:r>
          </w:p>
        </w:tc>
        <w:tc>
          <w:tcPr>
            <w:tcW w:w="392" w:type="dxa"/>
            <w:tcBorders>
              <w:bottom w:val="single" w:sz="2" w:space="0" w:color="000000"/>
            </w:tcBorders>
            <w:shd w:fill="EDEDEE" w:val="clear"/>
            <w:tcMar>
              <w:bottom w:w="40" w:type="dxa"/>
            </w:tcMar>
            <w:vAlign w:val="center"/>
          </w:tcPr>
          <w:p>
            <w:pPr>
              <w:pStyle w:val="TableContents"/>
              <w:bidi w:val="0"/>
              <w:spacing w:before="0" w:after="283"/>
              <w:jc w:val="center"/>
              <w:rPr/>
            </w:pPr>
            <w:r>
              <w:rPr/>
              <w:drawing>
                <wp:inline distT="0" distB="0" distL="0" distR="0">
                  <wp:extent cx="76200" cy="76200"/>
                  <wp:effectExtent l="0" t="0" r="0" b="0"/>
                  <wp:docPr id="68"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0" descr=""/>
                          <pic:cNvPicPr>
                            <a:picLocks noChangeAspect="1" noChangeArrowheads="1"/>
                          </pic:cNvPicPr>
                        </pic:nvPicPr>
                        <pic:blipFill>
                          <a:blip r:embed="rId65"/>
                          <a:stretch>
                            <a:fillRect/>
                          </a:stretch>
                        </pic:blipFill>
                        <pic:spPr bwMode="auto">
                          <a:xfrm>
                            <a:off x="0" y="0"/>
                            <a:ext cx="76200" cy="76200"/>
                          </a:xfrm>
                          <a:prstGeom prst="rect">
                            <a:avLst/>
                          </a:prstGeom>
                        </pic:spPr>
                      </pic:pic>
                    </a:graphicData>
                  </a:graphic>
                </wp:inline>
              </w:drawing>
            </w:r>
          </w:p>
        </w:tc>
      </w:tr>
      <w:tr>
        <w:trPr/>
        <w:tc>
          <w:tcPr>
            <w:tcW w:w="5465" w:type="dxa"/>
            <w:tcBorders>
              <w:bottom w:val="single" w:sz="2" w:space="0" w:color="000000"/>
            </w:tcBorders>
            <w:tcMar>
              <w:bottom w:w="40" w:type="dxa"/>
            </w:tcMar>
            <w:vAlign w:val="center"/>
          </w:tcPr>
          <w:p>
            <w:pPr>
              <w:pStyle w:val="TableContents"/>
              <w:bidi w:val="0"/>
              <w:spacing w:before="0" w:after="0"/>
              <w:ind w:left="0" w:right="0" w:hanging="0"/>
              <w:jc w:val="left"/>
              <w:rPr>
                <w:b/>
              </w:rPr>
            </w:pPr>
            <w:r>
              <w:rPr>
                <w:b/>
              </w:rPr>
              <w:t>Bernard A. Harris, Jr.</w:t>
            </w:r>
          </w:p>
          <w:p>
            <w:pPr>
              <w:pStyle w:val="TableContents"/>
              <w:bidi w:val="0"/>
              <w:spacing w:before="100" w:after="0"/>
              <w:ind w:left="0" w:right="0" w:hanging="0"/>
              <w:jc w:val="left"/>
              <w:rPr/>
            </w:pPr>
            <w:r>
              <w:rPr/>
              <w:t xml:space="preserve">Chief Executive Officer and Managing Partner, </w:t>
              <w:br/>
              <w:t>Vesalius Ventures, Inc.</w:t>
            </w:r>
          </w:p>
        </w:tc>
        <w:tc>
          <w:tcPr>
            <w:tcW w:w="500" w:type="dxa"/>
            <w:tcBorders>
              <w:bottom w:val="single" w:sz="2" w:space="0" w:color="000000"/>
            </w:tcBorders>
            <w:tcMar>
              <w:bottom w:w="40" w:type="dxa"/>
            </w:tcMar>
            <w:vAlign w:val="center"/>
          </w:tcPr>
          <w:p>
            <w:pPr>
              <w:pStyle w:val="TableContents"/>
              <w:bidi w:val="0"/>
              <w:spacing w:before="0" w:after="283"/>
              <w:jc w:val="center"/>
              <w:rPr/>
            </w:pPr>
            <w:r>
              <w:rPr/>
              <w:t>2021</w:t>
            </w:r>
          </w:p>
        </w:tc>
        <w:tc>
          <w:tcPr>
            <w:tcW w:w="165" w:type="dxa"/>
            <w:tcBorders>
              <w:bottom w:val="single" w:sz="2" w:space="0" w:color="000000"/>
            </w:tcBorders>
            <w:tcMar>
              <w:bottom w:w="40" w:type="dxa"/>
            </w:tcMar>
            <w:vAlign w:val="center"/>
          </w:tcPr>
          <w:p>
            <w:pPr>
              <w:pStyle w:val="TableContents"/>
              <w:bidi w:val="0"/>
              <w:spacing w:before="0" w:after="283"/>
              <w:jc w:val="center"/>
              <w:rPr/>
            </w:pPr>
            <w:r>
              <w:rPr/>
              <w:t>2</w:t>
            </w:r>
          </w:p>
        </w:tc>
        <w:tc>
          <w:tcPr>
            <w:tcW w:w="196" w:type="dxa"/>
            <w:tcBorders>
              <w:bottom w:val="single" w:sz="2" w:space="0" w:color="000000"/>
            </w:tcBorders>
            <w:shd w:fill="EDEDEE" w:val="clear"/>
            <w:tcMar>
              <w:bottom w:w="40" w:type="dxa"/>
            </w:tcMar>
            <w:vAlign w:val="center"/>
          </w:tcPr>
          <w:p>
            <w:pPr>
              <w:pStyle w:val="TableContents"/>
              <w:bidi w:val="0"/>
              <w:spacing w:before="0" w:after="283"/>
              <w:jc w:val="center"/>
              <w:rPr/>
            </w:pPr>
            <w:r>
              <w:rPr/>
              <w:t> </w:t>
            </w:r>
          </w:p>
        </w:tc>
        <w:tc>
          <w:tcPr>
            <w:tcW w:w="179" w:type="dxa"/>
            <w:tcBorders>
              <w:bottom w:val="single" w:sz="2" w:space="0" w:color="000000"/>
            </w:tcBorders>
            <w:shd w:fill="EDEDEE" w:val="clear"/>
            <w:tcMar>
              <w:bottom w:w="40" w:type="dxa"/>
            </w:tcMar>
            <w:vAlign w:val="center"/>
          </w:tcPr>
          <w:p>
            <w:pPr>
              <w:pStyle w:val="TableContents"/>
              <w:bidi w:val="0"/>
              <w:spacing w:before="0" w:after="283"/>
              <w:jc w:val="center"/>
              <w:rPr/>
            </w:pPr>
            <w:r>
              <w:rPr/>
              <w:drawing>
                <wp:inline distT="0" distB="0" distL="0" distR="0">
                  <wp:extent cx="76200" cy="76200"/>
                  <wp:effectExtent l="0" t="0" r="0" b="0"/>
                  <wp:docPr id="69"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1" descr=""/>
                          <pic:cNvPicPr>
                            <a:picLocks noChangeAspect="1" noChangeArrowheads="1"/>
                          </pic:cNvPicPr>
                        </pic:nvPicPr>
                        <pic:blipFill>
                          <a:blip r:embed="rId66"/>
                          <a:stretch>
                            <a:fillRect/>
                          </a:stretch>
                        </pic:blipFill>
                        <pic:spPr bwMode="auto">
                          <a:xfrm>
                            <a:off x="0" y="0"/>
                            <a:ext cx="76200" cy="76200"/>
                          </a:xfrm>
                          <a:prstGeom prst="rect">
                            <a:avLst/>
                          </a:prstGeom>
                        </pic:spPr>
                      </pic:pic>
                    </a:graphicData>
                  </a:graphic>
                </wp:inline>
              </w:drawing>
            </w:r>
          </w:p>
        </w:tc>
        <w:tc>
          <w:tcPr>
            <w:tcW w:w="179" w:type="dxa"/>
            <w:tcBorders>
              <w:bottom w:val="single" w:sz="2" w:space="0" w:color="000000"/>
            </w:tcBorders>
            <w:shd w:fill="EDEDEE" w:val="clear"/>
            <w:tcMar>
              <w:bottom w:w="40" w:type="dxa"/>
            </w:tcMar>
            <w:vAlign w:val="center"/>
          </w:tcPr>
          <w:p>
            <w:pPr>
              <w:pStyle w:val="TableContents"/>
              <w:bidi w:val="0"/>
              <w:spacing w:before="0" w:after="283"/>
              <w:jc w:val="center"/>
              <w:rPr/>
            </w:pPr>
            <w:r>
              <w:rPr/>
              <w:t> </w:t>
            </w:r>
          </w:p>
        </w:tc>
        <w:tc>
          <w:tcPr>
            <w:tcW w:w="212" w:type="dxa"/>
            <w:tcBorders>
              <w:bottom w:val="single" w:sz="2" w:space="0" w:color="000000"/>
            </w:tcBorders>
            <w:shd w:fill="EDEDEE" w:val="clear"/>
            <w:tcMar>
              <w:bottom w:w="40" w:type="dxa"/>
            </w:tcMar>
            <w:vAlign w:val="center"/>
          </w:tcPr>
          <w:p>
            <w:pPr>
              <w:pStyle w:val="TableContents"/>
              <w:bidi w:val="0"/>
              <w:spacing w:before="0" w:after="283"/>
              <w:jc w:val="center"/>
              <w:rPr/>
            </w:pPr>
            <w:r>
              <w:rPr/>
              <w:drawing>
                <wp:inline distT="0" distB="0" distL="0" distR="0">
                  <wp:extent cx="76200" cy="76200"/>
                  <wp:effectExtent l="0" t="0" r="0" b="0"/>
                  <wp:docPr id="70"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62" descr=""/>
                          <pic:cNvPicPr>
                            <a:picLocks noChangeAspect="1" noChangeArrowheads="1"/>
                          </pic:cNvPicPr>
                        </pic:nvPicPr>
                        <pic:blipFill>
                          <a:blip r:embed="rId67"/>
                          <a:stretch>
                            <a:fillRect/>
                          </a:stretch>
                        </pic:blipFill>
                        <pic:spPr bwMode="auto">
                          <a:xfrm>
                            <a:off x="0" y="0"/>
                            <a:ext cx="76200" cy="76200"/>
                          </a:xfrm>
                          <a:prstGeom prst="rect">
                            <a:avLst/>
                          </a:prstGeom>
                        </pic:spPr>
                      </pic:pic>
                    </a:graphicData>
                  </a:graphic>
                </wp:inline>
              </w:drawing>
            </w:r>
          </w:p>
        </w:tc>
        <w:tc>
          <w:tcPr>
            <w:tcW w:w="212" w:type="dxa"/>
            <w:tcBorders>
              <w:bottom w:val="single" w:sz="2" w:space="0" w:color="000000"/>
            </w:tcBorders>
            <w:shd w:fill="EDEDEE" w:val="clear"/>
            <w:tcMar>
              <w:bottom w:w="40" w:type="dxa"/>
            </w:tcMar>
            <w:vAlign w:val="center"/>
          </w:tcPr>
          <w:p>
            <w:pPr>
              <w:pStyle w:val="TableContents"/>
              <w:bidi w:val="0"/>
              <w:spacing w:before="0" w:after="283"/>
              <w:jc w:val="center"/>
              <w:rPr/>
            </w:pPr>
            <w:r>
              <w:rPr/>
              <w:drawing>
                <wp:inline distT="0" distB="0" distL="0" distR="0">
                  <wp:extent cx="76200" cy="76200"/>
                  <wp:effectExtent l="0" t="0" r="0" b="0"/>
                  <wp:docPr id="71"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63" descr=""/>
                          <pic:cNvPicPr>
                            <a:picLocks noChangeAspect="1" noChangeArrowheads="1"/>
                          </pic:cNvPicPr>
                        </pic:nvPicPr>
                        <pic:blipFill>
                          <a:blip r:embed="rId68"/>
                          <a:stretch>
                            <a:fillRect/>
                          </a:stretch>
                        </pic:blipFill>
                        <pic:spPr bwMode="auto">
                          <a:xfrm>
                            <a:off x="0" y="0"/>
                            <a:ext cx="76200" cy="76200"/>
                          </a:xfrm>
                          <a:prstGeom prst="rect">
                            <a:avLst/>
                          </a:prstGeom>
                        </pic:spPr>
                      </pic:pic>
                    </a:graphicData>
                  </a:graphic>
                </wp:inline>
              </w:drawing>
            </w:r>
          </w:p>
        </w:tc>
        <w:tc>
          <w:tcPr>
            <w:tcW w:w="212" w:type="dxa"/>
            <w:tcBorders>
              <w:bottom w:val="single" w:sz="2" w:space="0" w:color="000000"/>
            </w:tcBorders>
            <w:shd w:fill="EDEDEE" w:val="clear"/>
            <w:tcMar>
              <w:bottom w:w="40" w:type="dxa"/>
            </w:tcMar>
            <w:vAlign w:val="center"/>
          </w:tcPr>
          <w:p>
            <w:pPr>
              <w:pStyle w:val="TableContents"/>
              <w:bidi w:val="0"/>
              <w:spacing w:before="0" w:after="283"/>
              <w:jc w:val="center"/>
              <w:rPr/>
            </w:pPr>
            <w:r>
              <w:rPr/>
              <w:drawing>
                <wp:inline distT="0" distB="0" distL="0" distR="0">
                  <wp:extent cx="76200" cy="76200"/>
                  <wp:effectExtent l="0" t="0" r="0" b="0"/>
                  <wp:docPr id="72"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64" descr=""/>
                          <pic:cNvPicPr>
                            <a:picLocks noChangeAspect="1" noChangeArrowheads="1"/>
                          </pic:cNvPicPr>
                        </pic:nvPicPr>
                        <pic:blipFill>
                          <a:blip r:embed="rId69"/>
                          <a:stretch>
                            <a:fillRect/>
                          </a:stretch>
                        </pic:blipFill>
                        <pic:spPr bwMode="auto">
                          <a:xfrm>
                            <a:off x="0" y="0"/>
                            <a:ext cx="76200" cy="76200"/>
                          </a:xfrm>
                          <a:prstGeom prst="rect">
                            <a:avLst/>
                          </a:prstGeom>
                        </pic:spPr>
                      </pic:pic>
                    </a:graphicData>
                  </a:graphic>
                </wp:inline>
              </w:drawing>
            </w:r>
          </w:p>
        </w:tc>
        <w:tc>
          <w:tcPr>
            <w:tcW w:w="229" w:type="dxa"/>
            <w:tcBorders>
              <w:bottom w:val="single" w:sz="2" w:space="0" w:color="000000"/>
            </w:tcBorders>
            <w:shd w:fill="EDEDEE" w:val="clear"/>
            <w:tcMar>
              <w:bottom w:w="40" w:type="dxa"/>
            </w:tcMar>
            <w:vAlign w:val="center"/>
          </w:tcPr>
          <w:p>
            <w:pPr>
              <w:pStyle w:val="TableContents"/>
              <w:bidi w:val="0"/>
              <w:spacing w:before="0" w:after="283"/>
              <w:jc w:val="center"/>
              <w:rPr/>
            </w:pPr>
            <w:r>
              <w:rPr/>
              <w:drawing>
                <wp:inline distT="0" distB="0" distL="0" distR="0">
                  <wp:extent cx="76200" cy="76200"/>
                  <wp:effectExtent l="0" t="0" r="0" b="0"/>
                  <wp:docPr id="73"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65" descr=""/>
                          <pic:cNvPicPr>
                            <a:picLocks noChangeAspect="1" noChangeArrowheads="1"/>
                          </pic:cNvPicPr>
                        </pic:nvPicPr>
                        <pic:blipFill>
                          <a:blip r:embed="rId70"/>
                          <a:stretch>
                            <a:fillRect/>
                          </a:stretch>
                        </pic:blipFill>
                        <pic:spPr bwMode="auto">
                          <a:xfrm>
                            <a:off x="0" y="0"/>
                            <a:ext cx="76200" cy="76200"/>
                          </a:xfrm>
                          <a:prstGeom prst="rect">
                            <a:avLst/>
                          </a:prstGeom>
                        </pic:spPr>
                      </pic:pic>
                    </a:graphicData>
                  </a:graphic>
                </wp:inline>
              </w:drawing>
            </w:r>
          </w:p>
        </w:tc>
        <w:tc>
          <w:tcPr>
            <w:tcW w:w="229" w:type="dxa"/>
            <w:tcBorders>
              <w:bottom w:val="single" w:sz="2" w:space="0" w:color="000000"/>
            </w:tcBorders>
            <w:shd w:fill="EDEDEE" w:val="clear"/>
            <w:tcMar>
              <w:bottom w:w="40" w:type="dxa"/>
            </w:tcMar>
            <w:vAlign w:val="center"/>
          </w:tcPr>
          <w:p>
            <w:pPr>
              <w:pStyle w:val="TableContents"/>
              <w:bidi w:val="0"/>
              <w:spacing w:before="0" w:after="283"/>
              <w:jc w:val="center"/>
              <w:rPr/>
            </w:pPr>
            <w:r>
              <w:rPr/>
              <w:drawing>
                <wp:inline distT="0" distB="0" distL="0" distR="0">
                  <wp:extent cx="76200" cy="76200"/>
                  <wp:effectExtent l="0" t="0" r="0" b="0"/>
                  <wp:docPr id="74"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66" descr=""/>
                          <pic:cNvPicPr>
                            <a:picLocks noChangeAspect="1" noChangeArrowheads="1"/>
                          </pic:cNvPicPr>
                        </pic:nvPicPr>
                        <pic:blipFill>
                          <a:blip r:embed="rId71"/>
                          <a:stretch>
                            <a:fillRect/>
                          </a:stretch>
                        </pic:blipFill>
                        <pic:spPr bwMode="auto">
                          <a:xfrm>
                            <a:off x="0" y="0"/>
                            <a:ext cx="76200" cy="76200"/>
                          </a:xfrm>
                          <a:prstGeom prst="rect">
                            <a:avLst/>
                          </a:prstGeom>
                        </pic:spPr>
                      </pic:pic>
                    </a:graphicData>
                  </a:graphic>
                </wp:inline>
              </w:drawing>
            </w:r>
          </w:p>
        </w:tc>
        <w:tc>
          <w:tcPr>
            <w:tcW w:w="392" w:type="dxa"/>
            <w:tcBorders>
              <w:bottom w:val="single" w:sz="2" w:space="0" w:color="000000"/>
            </w:tcBorders>
            <w:shd w:fill="EDEDEE" w:val="clear"/>
            <w:tcMar>
              <w:bottom w:w="40" w:type="dxa"/>
            </w:tcMar>
            <w:vAlign w:val="center"/>
          </w:tcPr>
          <w:p>
            <w:pPr>
              <w:pStyle w:val="TableContents"/>
              <w:bidi w:val="0"/>
              <w:spacing w:before="0" w:after="283"/>
              <w:jc w:val="center"/>
              <w:rPr/>
            </w:pPr>
            <w:r>
              <w:rPr/>
              <w:t> </w:t>
            </w:r>
          </w:p>
        </w:tc>
      </w:tr>
      <w:tr>
        <w:trPr/>
        <w:tc>
          <w:tcPr>
            <w:tcW w:w="5465" w:type="dxa"/>
            <w:tcBorders>
              <w:bottom w:val="single" w:sz="2" w:space="0" w:color="000000"/>
            </w:tcBorders>
            <w:tcMar>
              <w:bottom w:w="40" w:type="dxa"/>
            </w:tcMar>
            <w:vAlign w:val="center"/>
          </w:tcPr>
          <w:p>
            <w:pPr>
              <w:pStyle w:val="TableContents"/>
              <w:bidi w:val="0"/>
              <w:spacing w:before="0" w:after="0"/>
              <w:ind w:left="0" w:right="0" w:hanging="0"/>
              <w:jc w:val="left"/>
              <w:rPr>
                <w:b/>
              </w:rPr>
            </w:pPr>
            <w:r>
              <w:rPr>
                <w:b/>
              </w:rPr>
              <w:t>George R. Oliver</w:t>
            </w:r>
          </w:p>
          <w:p>
            <w:pPr>
              <w:pStyle w:val="TableContents"/>
              <w:bidi w:val="0"/>
              <w:spacing w:before="100" w:after="0"/>
              <w:ind w:left="0" w:right="0" w:hanging="0"/>
              <w:jc w:val="left"/>
              <w:rPr/>
            </w:pPr>
            <w:r>
              <w:rPr/>
              <w:t xml:space="preserve">Retired Chairman &amp; Chief Executive Officer, </w:t>
              <w:br/>
              <w:t>Johnson Controls International plc</w:t>
            </w:r>
          </w:p>
        </w:tc>
        <w:tc>
          <w:tcPr>
            <w:tcW w:w="500" w:type="dxa"/>
            <w:tcBorders>
              <w:bottom w:val="single" w:sz="2" w:space="0" w:color="000000"/>
            </w:tcBorders>
            <w:tcMar>
              <w:bottom w:w="40" w:type="dxa"/>
            </w:tcMar>
            <w:vAlign w:val="center"/>
          </w:tcPr>
          <w:p>
            <w:pPr>
              <w:pStyle w:val="TableContents"/>
              <w:bidi w:val="0"/>
              <w:spacing w:before="0" w:after="283"/>
              <w:jc w:val="center"/>
              <w:rPr/>
            </w:pPr>
            <w:r>
              <w:rPr/>
              <w:t>2020</w:t>
            </w:r>
          </w:p>
        </w:tc>
        <w:tc>
          <w:tcPr>
            <w:tcW w:w="165" w:type="dxa"/>
            <w:tcBorders>
              <w:bottom w:val="single" w:sz="2" w:space="0" w:color="000000"/>
            </w:tcBorders>
            <w:tcMar>
              <w:bottom w:w="40" w:type="dxa"/>
            </w:tcMar>
            <w:vAlign w:val="center"/>
          </w:tcPr>
          <w:p>
            <w:pPr>
              <w:pStyle w:val="TableContents"/>
              <w:bidi w:val="0"/>
              <w:spacing w:before="0" w:after="283"/>
              <w:jc w:val="center"/>
              <w:rPr/>
            </w:pPr>
            <w:r>
              <w:rPr/>
              <w:t>1</w:t>
            </w:r>
          </w:p>
        </w:tc>
        <w:tc>
          <w:tcPr>
            <w:tcW w:w="196" w:type="dxa"/>
            <w:tcBorders>
              <w:bottom w:val="single" w:sz="2" w:space="0" w:color="000000"/>
            </w:tcBorders>
            <w:shd w:fill="EDEDEE" w:val="clear"/>
            <w:tcMar>
              <w:bottom w:w="40" w:type="dxa"/>
            </w:tcMar>
            <w:vAlign w:val="center"/>
          </w:tcPr>
          <w:p>
            <w:pPr>
              <w:pStyle w:val="TableContents"/>
              <w:bidi w:val="0"/>
              <w:spacing w:before="0" w:after="283"/>
              <w:jc w:val="center"/>
              <w:rPr/>
            </w:pPr>
            <w:r>
              <w:rPr/>
              <w:drawing>
                <wp:inline distT="0" distB="0" distL="0" distR="0">
                  <wp:extent cx="76200" cy="76200"/>
                  <wp:effectExtent l="0" t="0" r="0" b="0"/>
                  <wp:docPr id="75"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67" descr=""/>
                          <pic:cNvPicPr>
                            <a:picLocks noChangeAspect="1" noChangeArrowheads="1"/>
                          </pic:cNvPicPr>
                        </pic:nvPicPr>
                        <pic:blipFill>
                          <a:blip r:embed="rId72"/>
                          <a:stretch>
                            <a:fillRect/>
                          </a:stretch>
                        </pic:blipFill>
                        <pic:spPr bwMode="auto">
                          <a:xfrm>
                            <a:off x="0" y="0"/>
                            <a:ext cx="76200" cy="76200"/>
                          </a:xfrm>
                          <a:prstGeom prst="rect">
                            <a:avLst/>
                          </a:prstGeom>
                        </pic:spPr>
                      </pic:pic>
                    </a:graphicData>
                  </a:graphic>
                </wp:inline>
              </w:drawing>
            </w:r>
          </w:p>
        </w:tc>
        <w:tc>
          <w:tcPr>
            <w:tcW w:w="179" w:type="dxa"/>
            <w:tcBorders>
              <w:bottom w:val="single" w:sz="2" w:space="0" w:color="000000"/>
            </w:tcBorders>
            <w:shd w:fill="EDEDEE" w:val="clear"/>
            <w:tcMar>
              <w:bottom w:w="40" w:type="dxa"/>
            </w:tcMar>
            <w:vAlign w:val="center"/>
          </w:tcPr>
          <w:p>
            <w:pPr>
              <w:pStyle w:val="TableContents"/>
              <w:bidi w:val="0"/>
              <w:spacing w:before="0" w:after="283"/>
              <w:jc w:val="center"/>
              <w:rPr/>
            </w:pPr>
            <w:r>
              <w:rPr/>
              <w:t> </w:t>
            </w:r>
          </w:p>
        </w:tc>
        <w:tc>
          <w:tcPr>
            <w:tcW w:w="179" w:type="dxa"/>
            <w:tcBorders>
              <w:bottom w:val="single" w:sz="2" w:space="0" w:color="000000"/>
            </w:tcBorders>
            <w:shd w:fill="EDEDEE" w:val="clear"/>
            <w:tcMar>
              <w:bottom w:w="40" w:type="dxa"/>
            </w:tcMar>
            <w:vAlign w:val="center"/>
          </w:tcPr>
          <w:p>
            <w:pPr>
              <w:pStyle w:val="TableContents"/>
              <w:bidi w:val="0"/>
              <w:spacing w:before="0" w:after="283"/>
              <w:jc w:val="center"/>
              <w:rPr/>
            </w:pPr>
            <w:r>
              <w:rPr/>
              <w:drawing>
                <wp:inline distT="0" distB="0" distL="0" distR="0">
                  <wp:extent cx="76200" cy="76200"/>
                  <wp:effectExtent l="0" t="0" r="0" b="0"/>
                  <wp:docPr id="76"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68" descr=""/>
                          <pic:cNvPicPr>
                            <a:picLocks noChangeAspect="1" noChangeArrowheads="1"/>
                          </pic:cNvPicPr>
                        </pic:nvPicPr>
                        <pic:blipFill>
                          <a:blip r:embed="rId73"/>
                          <a:stretch>
                            <a:fillRect/>
                          </a:stretch>
                        </pic:blipFill>
                        <pic:spPr bwMode="auto">
                          <a:xfrm>
                            <a:off x="0" y="0"/>
                            <a:ext cx="76200" cy="76200"/>
                          </a:xfrm>
                          <a:prstGeom prst="rect">
                            <a:avLst/>
                          </a:prstGeom>
                        </pic:spPr>
                      </pic:pic>
                    </a:graphicData>
                  </a:graphic>
                </wp:inline>
              </w:drawing>
            </w:r>
          </w:p>
        </w:tc>
        <w:tc>
          <w:tcPr>
            <w:tcW w:w="212" w:type="dxa"/>
            <w:tcBorders>
              <w:bottom w:val="single" w:sz="2" w:space="0" w:color="000000"/>
            </w:tcBorders>
            <w:shd w:fill="EDEDEE" w:val="clear"/>
            <w:tcMar>
              <w:bottom w:w="40" w:type="dxa"/>
            </w:tcMar>
            <w:vAlign w:val="center"/>
          </w:tcPr>
          <w:p>
            <w:pPr>
              <w:pStyle w:val="TableContents"/>
              <w:bidi w:val="0"/>
              <w:spacing w:before="0" w:after="283"/>
              <w:jc w:val="center"/>
              <w:rPr/>
            </w:pPr>
            <w:r>
              <w:rPr/>
              <w:drawing>
                <wp:inline distT="0" distB="0" distL="0" distR="0">
                  <wp:extent cx="76200" cy="76200"/>
                  <wp:effectExtent l="0" t="0" r="0" b="0"/>
                  <wp:docPr id="77"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69" descr=""/>
                          <pic:cNvPicPr>
                            <a:picLocks noChangeAspect="1" noChangeArrowheads="1"/>
                          </pic:cNvPicPr>
                        </pic:nvPicPr>
                        <pic:blipFill>
                          <a:blip r:embed="rId74"/>
                          <a:stretch>
                            <a:fillRect/>
                          </a:stretch>
                        </pic:blipFill>
                        <pic:spPr bwMode="auto">
                          <a:xfrm>
                            <a:off x="0" y="0"/>
                            <a:ext cx="76200" cy="76200"/>
                          </a:xfrm>
                          <a:prstGeom prst="rect">
                            <a:avLst/>
                          </a:prstGeom>
                        </pic:spPr>
                      </pic:pic>
                    </a:graphicData>
                  </a:graphic>
                </wp:inline>
              </w:drawing>
            </w:r>
          </w:p>
        </w:tc>
        <w:tc>
          <w:tcPr>
            <w:tcW w:w="212" w:type="dxa"/>
            <w:tcBorders>
              <w:bottom w:val="single" w:sz="2" w:space="0" w:color="000000"/>
            </w:tcBorders>
            <w:shd w:fill="EDEDEE" w:val="clear"/>
            <w:tcMar>
              <w:bottom w:w="40" w:type="dxa"/>
            </w:tcMar>
            <w:vAlign w:val="center"/>
          </w:tcPr>
          <w:p>
            <w:pPr>
              <w:pStyle w:val="TableContents"/>
              <w:bidi w:val="0"/>
              <w:spacing w:before="0" w:after="283"/>
              <w:jc w:val="center"/>
              <w:rPr/>
            </w:pPr>
            <w:r>
              <w:rPr/>
              <w:drawing>
                <wp:inline distT="0" distB="0" distL="0" distR="0">
                  <wp:extent cx="76200" cy="76200"/>
                  <wp:effectExtent l="0" t="0" r="0" b="0"/>
                  <wp:docPr id="78"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70" descr=""/>
                          <pic:cNvPicPr>
                            <a:picLocks noChangeAspect="1" noChangeArrowheads="1"/>
                          </pic:cNvPicPr>
                        </pic:nvPicPr>
                        <pic:blipFill>
                          <a:blip r:embed="rId75"/>
                          <a:stretch>
                            <a:fillRect/>
                          </a:stretch>
                        </pic:blipFill>
                        <pic:spPr bwMode="auto">
                          <a:xfrm>
                            <a:off x="0" y="0"/>
                            <a:ext cx="76200" cy="76200"/>
                          </a:xfrm>
                          <a:prstGeom prst="rect">
                            <a:avLst/>
                          </a:prstGeom>
                        </pic:spPr>
                      </pic:pic>
                    </a:graphicData>
                  </a:graphic>
                </wp:inline>
              </w:drawing>
            </w:r>
          </w:p>
        </w:tc>
        <w:tc>
          <w:tcPr>
            <w:tcW w:w="212" w:type="dxa"/>
            <w:tcBorders>
              <w:bottom w:val="single" w:sz="2" w:space="0" w:color="000000"/>
            </w:tcBorders>
            <w:shd w:fill="EDEDEE" w:val="clear"/>
            <w:tcMar>
              <w:bottom w:w="40" w:type="dxa"/>
            </w:tcMar>
            <w:vAlign w:val="center"/>
          </w:tcPr>
          <w:p>
            <w:pPr>
              <w:pStyle w:val="TableContents"/>
              <w:bidi w:val="0"/>
              <w:spacing w:before="0" w:after="283"/>
              <w:jc w:val="center"/>
              <w:rPr/>
            </w:pPr>
            <w:r>
              <w:rPr/>
              <w:drawing>
                <wp:inline distT="0" distB="0" distL="0" distR="0">
                  <wp:extent cx="76200" cy="76200"/>
                  <wp:effectExtent l="0" t="0" r="0" b="0"/>
                  <wp:docPr id="79"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71" descr=""/>
                          <pic:cNvPicPr>
                            <a:picLocks noChangeAspect="1" noChangeArrowheads="1"/>
                          </pic:cNvPicPr>
                        </pic:nvPicPr>
                        <pic:blipFill>
                          <a:blip r:embed="rId76"/>
                          <a:stretch>
                            <a:fillRect/>
                          </a:stretch>
                        </pic:blipFill>
                        <pic:spPr bwMode="auto">
                          <a:xfrm>
                            <a:off x="0" y="0"/>
                            <a:ext cx="76200" cy="76200"/>
                          </a:xfrm>
                          <a:prstGeom prst="rect">
                            <a:avLst/>
                          </a:prstGeom>
                        </pic:spPr>
                      </pic:pic>
                    </a:graphicData>
                  </a:graphic>
                </wp:inline>
              </w:drawing>
            </w:r>
          </w:p>
        </w:tc>
        <w:tc>
          <w:tcPr>
            <w:tcW w:w="229" w:type="dxa"/>
            <w:tcBorders>
              <w:bottom w:val="single" w:sz="2" w:space="0" w:color="000000"/>
            </w:tcBorders>
            <w:shd w:fill="EDEDEE" w:val="clear"/>
            <w:tcMar>
              <w:bottom w:w="40" w:type="dxa"/>
            </w:tcMar>
            <w:vAlign w:val="center"/>
          </w:tcPr>
          <w:p>
            <w:pPr>
              <w:pStyle w:val="TableContents"/>
              <w:bidi w:val="0"/>
              <w:spacing w:before="0" w:after="283"/>
              <w:jc w:val="center"/>
              <w:rPr/>
            </w:pPr>
            <w:r>
              <w:rPr/>
              <w:drawing>
                <wp:inline distT="0" distB="0" distL="0" distR="0">
                  <wp:extent cx="76200" cy="76200"/>
                  <wp:effectExtent l="0" t="0" r="0" b="0"/>
                  <wp:docPr id="80"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72" descr=""/>
                          <pic:cNvPicPr>
                            <a:picLocks noChangeAspect="1" noChangeArrowheads="1"/>
                          </pic:cNvPicPr>
                        </pic:nvPicPr>
                        <pic:blipFill>
                          <a:blip r:embed="rId77"/>
                          <a:stretch>
                            <a:fillRect/>
                          </a:stretch>
                        </pic:blipFill>
                        <pic:spPr bwMode="auto">
                          <a:xfrm>
                            <a:off x="0" y="0"/>
                            <a:ext cx="76200" cy="76200"/>
                          </a:xfrm>
                          <a:prstGeom prst="rect">
                            <a:avLst/>
                          </a:prstGeom>
                        </pic:spPr>
                      </pic:pic>
                    </a:graphicData>
                  </a:graphic>
                </wp:inline>
              </w:drawing>
            </w:r>
          </w:p>
        </w:tc>
        <w:tc>
          <w:tcPr>
            <w:tcW w:w="229" w:type="dxa"/>
            <w:tcBorders>
              <w:bottom w:val="single" w:sz="2" w:space="0" w:color="000000"/>
            </w:tcBorders>
            <w:shd w:fill="EDEDEE" w:val="clear"/>
            <w:tcMar>
              <w:bottom w:w="40" w:type="dxa"/>
            </w:tcMar>
            <w:vAlign w:val="center"/>
          </w:tcPr>
          <w:p>
            <w:pPr>
              <w:pStyle w:val="TableContents"/>
              <w:bidi w:val="0"/>
              <w:spacing w:before="0" w:after="283"/>
              <w:jc w:val="center"/>
              <w:rPr/>
            </w:pPr>
            <w:r>
              <w:rPr/>
              <w:drawing>
                <wp:inline distT="0" distB="0" distL="0" distR="0">
                  <wp:extent cx="76200" cy="76200"/>
                  <wp:effectExtent l="0" t="0" r="0" b="0"/>
                  <wp:docPr id="81"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73" descr=""/>
                          <pic:cNvPicPr>
                            <a:picLocks noChangeAspect="1" noChangeArrowheads="1"/>
                          </pic:cNvPicPr>
                        </pic:nvPicPr>
                        <pic:blipFill>
                          <a:blip r:embed="rId78"/>
                          <a:stretch>
                            <a:fillRect/>
                          </a:stretch>
                        </pic:blipFill>
                        <pic:spPr bwMode="auto">
                          <a:xfrm>
                            <a:off x="0" y="0"/>
                            <a:ext cx="76200" cy="76200"/>
                          </a:xfrm>
                          <a:prstGeom prst="rect">
                            <a:avLst/>
                          </a:prstGeom>
                        </pic:spPr>
                      </pic:pic>
                    </a:graphicData>
                  </a:graphic>
                </wp:inline>
              </w:drawing>
            </w:r>
          </w:p>
        </w:tc>
        <w:tc>
          <w:tcPr>
            <w:tcW w:w="392" w:type="dxa"/>
            <w:tcBorders>
              <w:bottom w:val="single" w:sz="2" w:space="0" w:color="000000"/>
            </w:tcBorders>
            <w:shd w:fill="EDEDEE" w:val="clear"/>
            <w:tcMar>
              <w:bottom w:w="40" w:type="dxa"/>
            </w:tcMar>
            <w:vAlign w:val="center"/>
          </w:tcPr>
          <w:p>
            <w:pPr>
              <w:pStyle w:val="TableContents"/>
              <w:bidi w:val="0"/>
              <w:spacing w:before="0" w:after="283"/>
              <w:jc w:val="center"/>
              <w:rPr/>
            </w:pPr>
            <w:r>
              <w:rPr/>
              <w:drawing>
                <wp:inline distT="0" distB="0" distL="0" distR="0">
                  <wp:extent cx="76200" cy="76200"/>
                  <wp:effectExtent l="0" t="0" r="0" b="0"/>
                  <wp:docPr id="82"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74" descr=""/>
                          <pic:cNvPicPr>
                            <a:picLocks noChangeAspect="1" noChangeArrowheads="1"/>
                          </pic:cNvPicPr>
                        </pic:nvPicPr>
                        <pic:blipFill>
                          <a:blip r:embed="rId79"/>
                          <a:stretch>
                            <a:fillRect/>
                          </a:stretch>
                        </pic:blipFill>
                        <pic:spPr bwMode="auto">
                          <a:xfrm>
                            <a:off x="0" y="0"/>
                            <a:ext cx="76200" cy="76200"/>
                          </a:xfrm>
                          <a:prstGeom prst="rect">
                            <a:avLst/>
                          </a:prstGeom>
                        </pic:spPr>
                      </pic:pic>
                    </a:graphicData>
                  </a:graphic>
                </wp:inline>
              </w:drawing>
            </w:r>
          </w:p>
        </w:tc>
      </w:tr>
      <w:tr>
        <w:trPr/>
        <w:tc>
          <w:tcPr>
            <w:tcW w:w="5465" w:type="dxa"/>
            <w:tcBorders>
              <w:bottom w:val="single" w:sz="2" w:space="0" w:color="000000"/>
            </w:tcBorders>
            <w:tcMar>
              <w:bottom w:w="40" w:type="dxa"/>
            </w:tcMar>
            <w:vAlign w:val="center"/>
          </w:tcPr>
          <w:p>
            <w:pPr>
              <w:pStyle w:val="TableContents"/>
              <w:bidi w:val="0"/>
              <w:spacing w:before="0" w:after="0"/>
              <w:ind w:left="0" w:right="0" w:hanging="0"/>
              <w:jc w:val="left"/>
              <w:rPr>
                <w:b/>
              </w:rPr>
            </w:pPr>
            <w:r>
              <w:rPr>
                <w:b/>
              </w:rPr>
              <w:t>Ellen M. Pawlikowski</w:t>
            </w:r>
          </w:p>
          <w:p>
            <w:pPr>
              <w:pStyle w:val="TableContents"/>
              <w:bidi w:val="0"/>
              <w:spacing w:before="100" w:after="0"/>
              <w:ind w:left="0" w:right="0" w:hanging="0"/>
              <w:jc w:val="left"/>
              <w:rPr/>
            </w:pPr>
            <w:r>
              <w:rPr/>
              <w:t xml:space="preserve">General, U.S. Air Force (Retired) and </w:t>
              <w:br/>
              <w:t>Former Commander, Air Force Materiel Command</w:t>
            </w:r>
          </w:p>
        </w:tc>
        <w:tc>
          <w:tcPr>
            <w:tcW w:w="500" w:type="dxa"/>
            <w:tcBorders>
              <w:bottom w:val="single" w:sz="2" w:space="0" w:color="000000"/>
            </w:tcBorders>
            <w:tcMar>
              <w:bottom w:w="40" w:type="dxa"/>
            </w:tcMar>
            <w:vAlign w:val="center"/>
          </w:tcPr>
          <w:p>
            <w:pPr>
              <w:pStyle w:val="TableContents"/>
              <w:bidi w:val="0"/>
              <w:spacing w:before="0" w:after="283"/>
              <w:jc w:val="center"/>
              <w:rPr/>
            </w:pPr>
            <w:r>
              <w:rPr/>
              <w:t>2020</w:t>
            </w:r>
          </w:p>
        </w:tc>
        <w:tc>
          <w:tcPr>
            <w:tcW w:w="165" w:type="dxa"/>
            <w:tcBorders>
              <w:bottom w:val="single" w:sz="2" w:space="0" w:color="000000"/>
            </w:tcBorders>
            <w:tcMar>
              <w:bottom w:w="40" w:type="dxa"/>
            </w:tcMar>
            <w:vAlign w:val="center"/>
          </w:tcPr>
          <w:p>
            <w:pPr>
              <w:pStyle w:val="TableContents"/>
              <w:bidi w:val="0"/>
              <w:spacing w:before="0" w:after="283"/>
              <w:jc w:val="center"/>
              <w:rPr/>
            </w:pPr>
            <w:r>
              <w:rPr/>
              <w:t>1</w:t>
            </w:r>
          </w:p>
        </w:tc>
        <w:tc>
          <w:tcPr>
            <w:tcW w:w="196" w:type="dxa"/>
            <w:tcBorders>
              <w:bottom w:val="single" w:sz="2" w:space="0" w:color="000000"/>
            </w:tcBorders>
            <w:shd w:fill="EDEDEE" w:val="clear"/>
            <w:tcMar>
              <w:bottom w:w="40" w:type="dxa"/>
            </w:tcMar>
            <w:vAlign w:val="center"/>
          </w:tcPr>
          <w:p>
            <w:pPr>
              <w:pStyle w:val="TableContents"/>
              <w:bidi w:val="0"/>
              <w:spacing w:before="0" w:after="283"/>
              <w:jc w:val="center"/>
              <w:rPr/>
            </w:pPr>
            <w:r>
              <w:rPr/>
              <w:t> </w:t>
            </w:r>
          </w:p>
        </w:tc>
        <w:tc>
          <w:tcPr>
            <w:tcW w:w="179" w:type="dxa"/>
            <w:tcBorders>
              <w:bottom w:val="single" w:sz="2" w:space="0" w:color="000000"/>
            </w:tcBorders>
            <w:shd w:fill="EDEDEE" w:val="clear"/>
            <w:tcMar>
              <w:bottom w:w="40" w:type="dxa"/>
            </w:tcMar>
            <w:vAlign w:val="center"/>
          </w:tcPr>
          <w:p>
            <w:pPr>
              <w:pStyle w:val="TableContents"/>
              <w:bidi w:val="0"/>
              <w:spacing w:before="0" w:after="283"/>
              <w:jc w:val="center"/>
              <w:rPr/>
            </w:pPr>
            <w:r>
              <w:rPr/>
              <w:drawing>
                <wp:inline distT="0" distB="0" distL="0" distR="0">
                  <wp:extent cx="76200" cy="76200"/>
                  <wp:effectExtent l="0" t="0" r="0" b="0"/>
                  <wp:docPr id="83"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75" descr=""/>
                          <pic:cNvPicPr>
                            <a:picLocks noChangeAspect="1" noChangeArrowheads="1"/>
                          </pic:cNvPicPr>
                        </pic:nvPicPr>
                        <pic:blipFill>
                          <a:blip r:embed="rId80"/>
                          <a:stretch>
                            <a:fillRect/>
                          </a:stretch>
                        </pic:blipFill>
                        <pic:spPr bwMode="auto">
                          <a:xfrm>
                            <a:off x="0" y="0"/>
                            <a:ext cx="76200" cy="76200"/>
                          </a:xfrm>
                          <a:prstGeom prst="rect">
                            <a:avLst/>
                          </a:prstGeom>
                        </pic:spPr>
                      </pic:pic>
                    </a:graphicData>
                  </a:graphic>
                </wp:inline>
              </w:drawing>
            </w:r>
          </w:p>
        </w:tc>
        <w:tc>
          <w:tcPr>
            <w:tcW w:w="179" w:type="dxa"/>
            <w:tcBorders>
              <w:bottom w:val="single" w:sz="2" w:space="0" w:color="000000"/>
            </w:tcBorders>
            <w:shd w:fill="EDEDEE" w:val="clear"/>
            <w:tcMar>
              <w:bottom w:w="40" w:type="dxa"/>
            </w:tcMar>
            <w:vAlign w:val="center"/>
          </w:tcPr>
          <w:p>
            <w:pPr>
              <w:pStyle w:val="TableContents"/>
              <w:bidi w:val="0"/>
              <w:spacing w:before="0" w:after="283"/>
              <w:jc w:val="center"/>
              <w:rPr/>
            </w:pPr>
            <w:r>
              <w:rPr/>
              <w:drawing>
                <wp:inline distT="0" distB="0" distL="0" distR="0">
                  <wp:extent cx="76200" cy="76200"/>
                  <wp:effectExtent l="0" t="0" r="0" b="0"/>
                  <wp:docPr id="84"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76" descr=""/>
                          <pic:cNvPicPr>
                            <a:picLocks noChangeAspect="1" noChangeArrowheads="1"/>
                          </pic:cNvPicPr>
                        </pic:nvPicPr>
                        <pic:blipFill>
                          <a:blip r:embed="rId81"/>
                          <a:stretch>
                            <a:fillRect/>
                          </a:stretch>
                        </pic:blipFill>
                        <pic:spPr bwMode="auto">
                          <a:xfrm>
                            <a:off x="0" y="0"/>
                            <a:ext cx="76200" cy="76200"/>
                          </a:xfrm>
                          <a:prstGeom prst="rect">
                            <a:avLst/>
                          </a:prstGeom>
                        </pic:spPr>
                      </pic:pic>
                    </a:graphicData>
                  </a:graphic>
                </wp:inline>
              </w:drawing>
            </w:r>
          </w:p>
        </w:tc>
        <w:tc>
          <w:tcPr>
            <w:tcW w:w="212" w:type="dxa"/>
            <w:tcBorders>
              <w:bottom w:val="single" w:sz="2" w:space="0" w:color="000000"/>
            </w:tcBorders>
            <w:shd w:fill="EDEDEE" w:val="clear"/>
            <w:tcMar>
              <w:bottom w:w="40" w:type="dxa"/>
            </w:tcMar>
            <w:vAlign w:val="center"/>
          </w:tcPr>
          <w:p>
            <w:pPr>
              <w:pStyle w:val="TableContents"/>
              <w:bidi w:val="0"/>
              <w:spacing w:before="0" w:after="283"/>
              <w:jc w:val="center"/>
              <w:rPr/>
            </w:pPr>
            <w:r>
              <w:rPr/>
              <w:drawing>
                <wp:inline distT="0" distB="0" distL="0" distR="0">
                  <wp:extent cx="76200" cy="76200"/>
                  <wp:effectExtent l="0" t="0" r="0" b="0"/>
                  <wp:docPr id="85"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77" descr=""/>
                          <pic:cNvPicPr>
                            <a:picLocks noChangeAspect="1" noChangeArrowheads="1"/>
                          </pic:cNvPicPr>
                        </pic:nvPicPr>
                        <pic:blipFill>
                          <a:blip r:embed="rId82"/>
                          <a:stretch>
                            <a:fillRect/>
                          </a:stretch>
                        </pic:blipFill>
                        <pic:spPr bwMode="auto">
                          <a:xfrm>
                            <a:off x="0" y="0"/>
                            <a:ext cx="76200" cy="76200"/>
                          </a:xfrm>
                          <a:prstGeom prst="rect">
                            <a:avLst/>
                          </a:prstGeom>
                        </pic:spPr>
                      </pic:pic>
                    </a:graphicData>
                  </a:graphic>
                </wp:inline>
              </w:drawing>
            </w:r>
          </w:p>
        </w:tc>
        <w:tc>
          <w:tcPr>
            <w:tcW w:w="212" w:type="dxa"/>
            <w:tcBorders>
              <w:bottom w:val="single" w:sz="2" w:space="0" w:color="000000"/>
            </w:tcBorders>
            <w:shd w:fill="EDEDEE" w:val="clear"/>
            <w:tcMar>
              <w:bottom w:w="40" w:type="dxa"/>
            </w:tcMar>
            <w:vAlign w:val="center"/>
          </w:tcPr>
          <w:p>
            <w:pPr>
              <w:pStyle w:val="TableContents"/>
              <w:bidi w:val="0"/>
              <w:spacing w:before="0" w:after="283"/>
              <w:jc w:val="center"/>
              <w:rPr/>
            </w:pPr>
            <w:r>
              <w:rPr/>
              <w:drawing>
                <wp:inline distT="0" distB="0" distL="0" distR="0">
                  <wp:extent cx="76200" cy="76200"/>
                  <wp:effectExtent l="0" t="0" r="0" b="0"/>
                  <wp:docPr id="86"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78" descr=""/>
                          <pic:cNvPicPr>
                            <a:picLocks noChangeAspect="1" noChangeArrowheads="1"/>
                          </pic:cNvPicPr>
                        </pic:nvPicPr>
                        <pic:blipFill>
                          <a:blip r:embed="rId83"/>
                          <a:stretch>
                            <a:fillRect/>
                          </a:stretch>
                        </pic:blipFill>
                        <pic:spPr bwMode="auto">
                          <a:xfrm>
                            <a:off x="0" y="0"/>
                            <a:ext cx="76200" cy="76200"/>
                          </a:xfrm>
                          <a:prstGeom prst="rect">
                            <a:avLst/>
                          </a:prstGeom>
                        </pic:spPr>
                      </pic:pic>
                    </a:graphicData>
                  </a:graphic>
                </wp:inline>
              </w:drawing>
            </w:r>
          </w:p>
        </w:tc>
        <w:tc>
          <w:tcPr>
            <w:tcW w:w="212" w:type="dxa"/>
            <w:tcBorders>
              <w:bottom w:val="single" w:sz="2" w:space="0" w:color="000000"/>
            </w:tcBorders>
            <w:shd w:fill="EDEDEE" w:val="clear"/>
            <w:tcMar>
              <w:bottom w:w="40" w:type="dxa"/>
            </w:tcMar>
            <w:vAlign w:val="center"/>
          </w:tcPr>
          <w:p>
            <w:pPr>
              <w:pStyle w:val="TableContents"/>
              <w:bidi w:val="0"/>
              <w:spacing w:before="0" w:after="283"/>
              <w:jc w:val="center"/>
              <w:rPr/>
            </w:pPr>
            <w:r>
              <w:rPr/>
              <w:drawing>
                <wp:inline distT="0" distB="0" distL="0" distR="0">
                  <wp:extent cx="76200" cy="76200"/>
                  <wp:effectExtent l="0" t="0" r="0" b="0"/>
                  <wp:docPr id="87"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79" descr=""/>
                          <pic:cNvPicPr>
                            <a:picLocks noChangeAspect="1" noChangeArrowheads="1"/>
                          </pic:cNvPicPr>
                        </pic:nvPicPr>
                        <pic:blipFill>
                          <a:blip r:embed="rId84"/>
                          <a:stretch>
                            <a:fillRect/>
                          </a:stretch>
                        </pic:blipFill>
                        <pic:spPr bwMode="auto">
                          <a:xfrm>
                            <a:off x="0" y="0"/>
                            <a:ext cx="76200" cy="76200"/>
                          </a:xfrm>
                          <a:prstGeom prst="rect">
                            <a:avLst/>
                          </a:prstGeom>
                        </pic:spPr>
                      </pic:pic>
                    </a:graphicData>
                  </a:graphic>
                </wp:inline>
              </w:drawing>
            </w:r>
          </w:p>
        </w:tc>
        <w:tc>
          <w:tcPr>
            <w:tcW w:w="229" w:type="dxa"/>
            <w:tcBorders>
              <w:bottom w:val="single" w:sz="2" w:space="0" w:color="000000"/>
            </w:tcBorders>
            <w:shd w:fill="EDEDEE" w:val="clear"/>
            <w:tcMar>
              <w:bottom w:w="40" w:type="dxa"/>
            </w:tcMar>
            <w:vAlign w:val="center"/>
          </w:tcPr>
          <w:p>
            <w:pPr>
              <w:pStyle w:val="TableContents"/>
              <w:bidi w:val="0"/>
              <w:spacing w:before="0" w:after="283"/>
              <w:jc w:val="center"/>
              <w:rPr/>
            </w:pPr>
            <w:r>
              <w:rPr/>
              <w:drawing>
                <wp:inline distT="0" distB="0" distL="0" distR="0">
                  <wp:extent cx="76200" cy="76200"/>
                  <wp:effectExtent l="0" t="0" r="0" b="0"/>
                  <wp:docPr id="88"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80" descr=""/>
                          <pic:cNvPicPr>
                            <a:picLocks noChangeAspect="1" noChangeArrowheads="1"/>
                          </pic:cNvPicPr>
                        </pic:nvPicPr>
                        <pic:blipFill>
                          <a:blip r:embed="rId85"/>
                          <a:stretch>
                            <a:fillRect/>
                          </a:stretch>
                        </pic:blipFill>
                        <pic:spPr bwMode="auto">
                          <a:xfrm>
                            <a:off x="0" y="0"/>
                            <a:ext cx="76200" cy="76200"/>
                          </a:xfrm>
                          <a:prstGeom prst="rect">
                            <a:avLst/>
                          </a:prstGeom>
                        </pic:spPr>
                      </pic:pic>
                    </a:graphicData>
                  </a:graphic>
                </wp:inline>
              </w:drawing>
            </w:r>
          </w:p>
        </w:tc>
        <w:tc>
          <w:tcPr>
            <w:tcW w:w="229" w:type="dxa"/>
            <w:tcBorders>
              <w:bottom w:val="single" w:sz="2" w:space="0" w:color="000000"/>
            </w:tcBorders>
            <w:shd w:fill="EDEDEE" w:val="clear"/>
            <w:tcMar>
              <w:bottom w:w="40" w:type="dxa"/>
            </w:tcMar>
            <w:vAlign w:val="center"/>
          </w:tcPr>
          <w:p>
            <w:pPr>
              <w:pStyle w:val="TableContents"/>
              <w:bidi w:val="0"/>
              <w:spacing w:before="0" w:after="283"/>
              <w:jc w:val="center"/>
              <w:rPr/>
            </w:pPr>
            <w:r>
              <w:rPr/>
              <w:drawing>
                <wp:inline distT="0" distB="0" distL="0" distR="0">
                  <wp:extent cx="76200" cy="76200"/>
                  <wp:effectExtent l="0" t="0" r="0" b="0"/>
                  <wp:docPr id="89"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81" descr=""/>
                          <pic:cNvPicPr>
                            <a:picLocks noChangeAspect="1" noChangeArrowheads="1"/>
                          </pic:cNvPicPr>
                        </pic:nvPicPr>
                        <pic:blipFill>
                          <a:blip r:embed="rId86"/>
                          <a:stretch>
                            <a:fillRect/>
                          </a:stretch>
                        </pic:blipFill>
                        <pic:spPr bwMode="auto">
                          <a:xfrm>
                            <a:off x="0" y="0"/>
                            <a:ext cx="76200" cy="76200"/>
                          </a:xfrm>
                          <a:prstGeom prst="rect">
                            <a:avLst/>
                          </a:prstGeom>
                        </pic:spPr>
                      </pic:pic>
                    </a:graphicData>
                  </a:graphic>
                </wp:inline>
              </w:drawing>
            </w:r>
          </w:p>
        </w:tc>
        <w:tc>
          <w:tcPr>
            <w:tcW w:w="392" w:type="dxa"/>
            <w:tcBorders>
              <w:bottom w:val="single" w:sz="2" w:space="0" w:color="000000"/>
            </w:tcBorders>
            <w:shd w:fill="EDEDEE" w:val="clear"/>
            <w:tcMar>
              <w:bottom w:w="40" w:type="dxa"/>
            </w:tcMar>
            <w:vAlign w:val="center"/>
          </w:tcPr>
          <w:p>
            <w:pPr>
              <w:pStyle w:val="TableContents"/>
              <w:bidi w:val="0"/>
              <w:spacing w:before="0" w:after="283"/>
              <w:jc w:val="center"/>
              <w:rPr/>
            </w:pPr>
            <w:r>
              <w:rPr/>
              <w:drawing>
                <wp:inline distT="0" distB="0" distL="0" distR="0">
                  <wp:extent cx="76200" cy="76200"/>
                  <wp:effectExtent l="0" t="0" r="0" b="0"/>
                  <wp:docPr id="90"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82" descr=""/>
                          <pic:cNvPicPr>
                            <a:picLocks noChangeAspect="1" noChangeArrowheads="1"/>
                          </pic:cNvPicPr>
                        </pic:nvPicPr>
                        <pic:blipFill>
                          <a:blip r:embed="rId87"/>
                          <a:stretch>
                            <a:fillRect/>
                          </a:stretch>
                        </pic:blipFill>
                        <pic:spPr bwMode="auto">
                          <a:xfrm>
                            <a:off x="0" y="0"/>
                            <a:ext cx="76200" cy="76200"/>
                          </a:xfrm>
                          <a:prstGeom prst="rect">
                            <a:avLst/>
                          </a:prstGeom>
                        </pic:spPr>
                      </pic:pic>
                    </a:graphicData>
                  </a:graphic>
                </wp:inline>
              </w:drawing>
            </w:r>
          </w:p>
        </w:tc>
      </w:tr>
      <w:tr>
        <w:trPr/>
        <w:tc>
          <w:tcPr>
            <w:tcW w:w="5465" w:type="dxa"/>
            <w:tcBorders>
              <w:bottom w:val="single" w:sz="2" w:space="0" w:color="000000"/>
            </w:tcBorders>
            <w:tcMar>
              <w:bottom w:w="40" w:type="dxa"/>
            </w:tcMar>
            <w:vAlign w:val="center"/>
          </w:tcPr>
          <w:p>
            <w:pPr>
              <w:pStyle w:val="TableContents"/>
              <w:bidi w:val="0"/>
              <w:spacing w:before="0" w:after="0"/>
              <w:ind w:left="0" w:right="0" w:hanging="0"/>
              <w:jc w:val="left"/>
              <w:rPr>
                <w:b/>
              </w:rPr>
            </w:pPr>
            <w:r>
              <w:rPr>
                <w:b/>
              </w:rPr>
              <w:t>Denise L. Ramos</w:t>
            </w:r>
          </w:p>
          <w:p>
            <w:pPr>
              <w:pStyle w:val="TableContents"/>
              <w:bidi w:val="0"/>
              <w:spacing w:before="100" w:after="0"/>
              <w:ind w:left="0" w:right="0" w:hanging="0"/>
              <w:jc w:val="left"/>
              <w:rPr/>
            </w:pPr>
            <w:r>
              <w:rPr/>
              <w:t xml:space="preserve">Retired Chief Executive Officer &amp; President, </w:t>
              <w:br/>
              <w:t>ITT Inc.</w:t>
            </w:r>
          </w:p>
        </w:tc>
        <w:tc>
          <w:tcPr>
            <w:tcW w:w="500" w:type="dxa"/>
            <w:tcBorders>
              <w:bottom w:val="single" w:sz="2" w:space="0" w:color="000000"/>
            </w:tcBorders>
            <w:tcMar>
              <w:bottom w:w="40" w:type="dxa"/>
            </w:tcMar>
            <w:vAlign w:val="center"/>
          </w:tcPr>
          <w:p>
            <w:pPr>
              <w:pStyle w:val="TableContents"/>
              <w:bidi w:val="0"/>
              <w:spacing w:before="0" w:after="283"/>
              <w:jc w:val="center"/>
              <w:rPr/>
            </w:pPr>
            <w:r>
              <w:rPr/>
              <w:t>2018</w:t>
            </w:r>
          </w:p>
        </w:tc>
        <w:tc>
          <w:tcPr>
            <w:tcW w:w="165" w:type="dxa"/>
            <w:tcBorders>
              <w:bottom w:val="single" w:sz="2" w:space="0" w:color="000000"/>
            </w:tcBorders>
            <w:tcMar>
              <w:bottom w:w="40" w:type="dxa"/>
            </w:tcMar>
            <w:vAlign w:val="center"/>
          </w:tcPr>
          <w:p>
            <w:pPr>
              <w:pStyle w:val="TableContents"/>
              <w:bidi w:val="0"/>
              <w:spacing w:before="0" w:after="283"/>
              <w:jc w:val="center"/>
              <w:rPr/>
            </w:pPr>
            <w:r>
              <w:rPr/>
              <w:t>1</w:t>
            </w:r>
          </w:p>
        </w:tc>
        <w:tc>
          <w:tcPr>
            <w:tcW w:w="196" w:type="dxa"/>
            <w:tcBorders>
              <w:bottom w:val="single" w:sz="2" w:space="0" w:color="000000"/>
            </w:tcBorders>
            <w:shd w:fill="EDEDEE" w:val="clear"/>
            <w:tcMar>
              <w:bottom w:w="40" w:type="dxa"/>
            </w:tcMar>
            <w:vAlign w:val="center"/>
          </w:tcPr>
          <w:p>
            <w:pPr>
              <w:pStyle w:val="TableContents"/>
              <w:bidi w:val="0"/>
              <w:spacing w:before="0" w:after="283"/>
              <w:jc w:val="center"/>
              <w:rPr/>
            </w:pPr>
            <w:r>
              <w:rPr/>
              <w:drawing>
                <wp:inline distT="0" distB="0" distL="0" distR="0">
                  <wp:extent cx="76200" cy="76200"/>
                  <wp:effectExtent l="0" t="0" r="0" b="0"/>
                  <wp:docPr id="91"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83" descr=""/>
                          <pic:cNvPicPr>
                            <a:picLocks noChangeAspect="1" noChangeArrowheads="1"/>
                          </pic:cNvPicPr>
                        </pic:nvPicPr>
                        <pic:blipFill>
                          <a:blip r:embed="rId88"/>
                          <a:stretch>
                            <a:fillRect/>
                          </a:stretch>
                        </pic:blipFill>
                        <pic:spPr bwMode="auto">
                          <a:xfrm>
                            <a:off x="0" y="0"/>
                            <a:ext cx="76200" cy="76200"/>
                          </a:xfrm>
                          <a:prstGeom prst="rect">
                            <a:avLst/>
                          </a:prstGeom>
                        </pic:spPr>
                      </pic:pic>
                    </a:graphicData>
                  </a:graphic>
                </wp:inline>
              </w:drawing>
            </w:r>
          </w:p>
        </w:tc>
        <w:tc>
          <w:tcPr>
            <w:tcW w:w="179" w:type="dxa"/>
            <w:tcBorders>
              <w:bottom w:val="single" w:sz="2" w:space="0" w:color="000000"/>
            </w:tcBorders>
            <w:shd w:fill="EDEDEE" w:val="clear"/>
            <w:tcMar>
              <w:bottom w:w="40" w:type="dxa"/>
            </w:tcMar>
            <w:vAlign w:val="center"/>
          </w:tcPr>
          <w:p>
            <w:pPr>
              <w:pStyle w:val="TableContents"/>
              <w:bidi w:val="0"/>
              <w:spacing w:before="0" w:after="283"/>
              <w:jc w:val="center"/>
              <w:rPr/>
            </w:pPr>
            <w:r>
              <w:rPr/>
              <w:t> </w:t>
            </w:r>
          </w:p>
        </w:tc>
        <w:tc>
          <w:tcPr>
            <w:tcW w:w="179" w:type="dxa"/>
            <w:tcBorders>
              <w:bottom w:val="single" w:sz="2" w:space="0" w:color="000000"/>
            </w:tcBorders>
            <w:shd w:fill="EDEDEE" w:val="clear"/>
            <w:tcMar>
              <w:bottom w:w="40" w:type="dxa"/>
            </w:tcMar>
            <w:vAlign w:val="center"/>
          </w:tcPr>
          <w:p>
            <w:pPr>
              <w:pStyle w:val="TableContents"/>
              <w:bidi w:val="0"/>
              <w:spacing w:before="0" w:after="283"/>
              <w:jc w:val="center"/>
              <w:rPr/>
            </w:pPr>
            <w:r>
              <w:rPr/>
              <w:drawing>
                <wp:inline distT="0" distB="0" distL="0" distR="0">
                  <wp:extent cx="76200" cy="76200"/>
                  <wp:effectExtent l="0" t="0" r="0" b="0"/>
                  <wp:docPr id="92"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84" descr=""/>
                          <pic:cNvPicPr>
                            <a:picLocks noChangeAspect="1" noChangeArrowheads="1"/>
                          </pic:cNvPicPr>
                        </pic:nvPicPr>
                        <pic:blipFill>
                          <a:blip r:embed="rId89"/>
                          <a:stretch>
                            <a:fillRect/>
                          </a:stretch>
                        </pic:blipFill>
                        <pic:spPr bwMode="auto">
                          <a:xfrm>
                            <a:off x="0" y="0"/>
                            <a:ext cx="76200" cy="76200"/>
                          </a:xfrm>
                          <a:prstGeom prst="rect">
                            <a:avLst/>
                          </a:prstGeom>
                        </pic:spPr>
                      </pic:pic>
                    </a:graphicData>
                  </a:graphic>
                </wp:inline>
              </w:drawing>
            </w:r>
          </w:p>
        </w:tc>
        <w:tc>
          <w:tcPr>
            <w:tcW w:w="212" w:type="dxa"/>
            <w:tcBorders>
              <w:bottom w:val="single" w:sz="2" w:space="0" w:color="000000"/>
            </w:tcBorders>
            <w:shd w:fill="EDEDEE" w:val="clear"/>
            <w:tcMar>
              <w:bottom w:w="40" w:type="dxa"/>
            </w:tcMar>
            <w:vAlign w:val="center"/>
          </w:tcPr>
          <w:p>
            <w:pPr>
              <w:pStyle w:val="TableContents"/>
              <w:bidi w:val="0"/>
              <w:spacing w:before="0" w:after="283"/>
              <w:jc w:val="center"/>
              <w:rPr/>
            </w:pPr>
            <w:r>
              <w:rPr/>
              <w:drawing>
                <wp:inline distT="0" distB="0" distL="0" distR="0">
                  <wp:extent cx="76200" cy="76200"/>
                  <wp:effectExtent l="0" t="0" r="0" b="0"/>
                  <wp:docPr id="93"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85" descr=""/>
                          <pic:cNvPicPr>
                            <a:picLocks noChangeAspect="1" noChangeArrowheads="1"/>
                          </pic:cNvPicPr>
                        </pic:nvPicPr>
                        <pic:blipFill>
                          <a:blip r:embed="rId90"/>
                          <a:stretch>
                            <a:fillRect/>
                          </a:stretch>
                        </pic:blipFill>
                        <pic:spPr bwMode="auto">
                          <a:xfrm>
                            <a:off x="0" y="0"/>
                            <a:ext cx="76200" cy="76200"/>
                          </a:xfrm>
                          <a:prstGeom prst="rect">
                            <a:avLst/>
                          </a:prstGeom>
                        </pic:spPr>
                      </pic:pic>
                    </a:graphicData>
                  </a:graphic>
                </wp:inline>
              </w:drawing>
            </w:r>
          </w:p>
        </w:tc>
        <w:tc>
          <w:tcPr>
            <w:tcW w:w="212" w:type="dxa"/>
            <w:tcBorders>
              <w:bottom w:val="single" w:sz="2" w:space="0" w:color="000000"/>
            </w:tcBorders>
            <w:shd w:fill="EDEDEE" w:val="clear"/>
            <w:tcMar>
              <w:bottom w:w="40" w:type="dxa"/>
            </w:tcMar>
            <w:vAlign w:val="center"/>
          </w:tcPr>
          <w:p>
            <w:pPr>
              <w:pStyle w:val="TableContents"/>
              <w:bidi w:val="0"/>
              <w:spacing w:before="0" w:after="283"/>
              <w:jc w:val="center"/>
              <w:rPr/>
            </w:pPr>
            <w:r>
              <w:rPr/>
              <w:drawing>
                <wp:inline distT="0" distB="0" distL="0" distR="0">
                  <wp:extent cx="76200" cy="76200"/>
                  <wp:effectExtent l="0" t="0" r="0" b="0"/>
                  <wp:docPr id="94"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86" descr=""/>
                          <pic:cNvPicPr>
                            <a:picLocks noChangeAspect="1" noChangeArrowheads="1"/>
                          </pic:cNvPicPr>
                        </pic:nvPicPr>
                        <pic:blipFill>
                          <a:blip r:embed="rId91"/>
                          <a:stretch>
                            <a:fillRect/>
                          </a:stretch>
                        </pic:blipFill>
                        <pic:spPr bwMode="auto">
                          <a:xfrm>
                            <a:off x="0" y="0"/>
                            <a:ext cx="76200" cy="76200"/>
                          </a:xfrm>
                          <a:prstGeom prst="rect">
                            <a:avLst/>
                          </a:prstGeom>
                        </pic:spPr>
                      </pic:pic>
                    </a:graphicData>
                  </a:graphic>
                </wp:inline>
              </w:drawing>
            </w:r>
          </w:p>
        </w:tc>
        <w:tc>
          <w:tcPr>
            <w:tcW w:w="212" w:type="dxa"/>
            <w:tcBorders>
              <w:bottom w:val="single" w:sz="2" w:space="0" w:color="000000"/>
            </w:tcBorders>
            <w:shd w:fill="EDEDEE" w:val="clear"/>
            <w:tcMar>
              <w:bottom w:w="40" w:type="dxa"/>
            </w:tcMar>
            <w:vAlign w:val="center"/>
          </w:tcPr>
          <w:p>
            <w:pPr>
              <w:pStyle w:val="TableContents"/>
              <w:bidi w:val="0"/>
              <w:spacing w:before="0" w:after="283"/>
              <w:jc w:val="center"/>
              <w:rPr/>
            </w:pPr>
            <w:r>
              <w:rPr/>
              <w:drawing>
                <wp:inline distT="0" distB="0" distL="0" distR="0">
                  <wp:extent cx="76200" cy="76200"/>
                  <wp:effectExtent l="0" t="0" r="0" b="0"/>
                  <wp:docPr id="95"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87" descr=""/>
                          <pic:cNvPicPr>
                            <a:picLocks noChangeAspect="1" noChangeArrowheads="1"/>
                          </pic:cNvPicPr>
                        </pic:nvPicPr>
                        <pic:blipFill>
                          <a:blip r:embed="rId92"/>
                          <a:stretch>
                            <a:fillRect/>
                          </a:stretch>
                        </pic:blipFill>
                        <pic:spPr bwMode="auto">
                          <a:xfrm>
                            <a:off x="0" y="0"/>
                            <a:ext cx="76200" cy="76200"/>
                          </a:xfrm>
                          <a:prstGeom prst="rect">
                            <a:avLst/>
                          </a:prstGeom>
                        </pic:spPr>
                      </pic:pic>
                    </a:graphicData>
                  </a:graphic>
                </wp:inline>
              </w:drawing>
            </w:r>
          </w:p>
        </w:tc>
        <w:tc>
          <w:tcPr>
            <w:tcW w:w="229" w:type="dxa"/>
            <w:tcBorders>
              <w:bottom w:val="single" w:sz="2" w:space="0" w:color="000000"/>
            </w:tcBorders>
            <w:shd w:fill="EDEDEE" w:val="clear"/>
            <w:tcMar>
              <w:bottom w:w="40" w:type="dxa"/>
            </w:tcMar>
            <w:vAlign w:val="center"/>
          </w:tcPr>
          <w:p>
            <w:pPr>
              <w:pStyle w:val="TableContents"/>
              <w:bidi w:val="0"/>
              <w:spacing w:before="0" w:after="283"/>
              <w:jc w:val="center"/>
              <w:rPr/>
            </w:pPr>
            <w:r>
              <w:rPr/>
              <w:drawing>
                <wp:inline distT="0" distB="0" distL="0" distR="0">
                  <wp:extent cx="76200" cy="76200"/>
                  <wp:effectExtent l="0" t="0" r="0" b="0"/>
                  <wp:docPr id="96"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88" descr=""/>
                          <pic:cNvPicPr>
                            <a:picLocks noChangeAspect="1" noChangeArrowheads="1"/>
                          </pic:cNvPicPr>
                        </pic:nvPicPr>
                        <pic:blipFill>
                          <a:blip r:embed="rId93"/>
                          <a:stretch>
                            <a:fillRect/>
                          </a:stretch>
                        </pic:blipFill>
                        <pic:spPr bwMode="auto">
                          <a:xfrm>
                            <a:off x="0" y="0"/>
                            <a:ext cx="76200" cy="76200"/>
                          </a:xfrm>
                          <a:prstGeom prst="rect">
                            <a:avLst/>
                          </a:prstGeom>
                        </pic:spPr>
                      </pic:pic>
                    </a:graphicData>
                  </a:graphic>
                </wp:inline>
              </w:drawing>
            </w:r>
          </w:p>
        </w:tc>
        <w:tc>
          <w:tcPr>
            <w:tcW w:w="229" w:type="dxa"/>
            <w:tcBorders>
              <w:bottom w:val="single" w:sz="2" w:space="0" w:color="000000"/>
            </w:tcBorders>
            <w:shd w:fill="EDEDEE" w:val="clear"/>
            <w:tcMar>
              <w:bottom w:w="40" w:type="dxa"/>
            </w:tcMar>
            <w:vAlign w:val="center"/>
          </w:tcPr>
          <w:p>
            <w:pPr>
              <w:pStyle w:val="TableContents"/>
              <w:bidi w:val="0"/>
              <w:spacing w:before="0" w:after="283"/>
              <w:jc w:val="center"/>
              <w:rPr/>
            </w:pPr>
            <w:r>
              <w:rPr/>
              <w:t> </w:t>
            </w:r>
          </w:p>
        </w:tc>
        <w:tc>
          <w:tcPr>
            <w:tcW w:w="392" w:type="dxa"/>
            <w:tcBorders>
              <w:bottom w:val="single" w:sz="2" w:space="0" w:color="000000"/>
            </w:tcBorders>
            <w:shd w:fill="EDEDEE" w:val="clear"/>
            <w:tcMar>
              <w:bottom w:w="40" w:type="dxa"/>
            </w:tcMar>
            <w:vAlign w:val="center"/>
          </w:tcPr>
          <w:p>
            <w:pPr>
              <w:pStyle w:val="TableContents"/>
              <w:bidi w:val="0"/>
              <w:spacing w:before="0" w:after="283"/>
              <w:jc w:val="center"/>
              <w:rPr/>
            </w:pPr>
            <w:r>
              <w:rPr/>
              <w:drawing>
                <wp:inline distT="0" distB="0" distL="0" distR="0">
                  <wp:extent cx="76200" cy="76200"/>
                  <wp:effectExtent l="0" t="0" r="0" b="0"/>
                  <wp:docPr id="97"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89" descr=""/>
                          <pic:cNvPicPr>
                            <a:picLocks noChangeAspect="1" noChangeArrowheads="1"/>
                          </pic:cNvPicPr>
                        </pic:nvPicPr>
                        <pic:blipFill>
                          <a:blip r:embed="rId94"/>
                          <a:stretch>
                            <a:fillRect/>
                          </a:stretch>
                        </pic:blipFill>
                        <pic:spPr bwMode="auto">
                          <a:xfrm>
                            <a:off x="0" y="0"/>
                            <a:ext cx="76200" cy="76200"/>
                          </a:xfrm>
                          <a:prstGeom prst="rect">
                            <a:avLst/>
                          </a:prstGeom>
                        </pic:spPr>
                      </pic:pic>
                    </a:graphicData>
                  </a:graphic>
                </wp:inline>
              </w:drawing>
            </w:r>
          </w:p>
        </w:tc>
      </w:tr>
      <w:tr>
        <w:trPr/>
        <w:tc>
          <w:tcPr>
            <w:tcW w:w="5465" w:type="dxa"/>
            <w:tcBorders>
              <w:bottom w:val="single" w:sz="2" w:space="0" w:color="000000"/>
            </w:tcBorders>
            <w:tcMar>
              <w:bottom w:w="40" w:type="dxa"/>
            </w:tcMar>
            <w:vAlign w:val="center"/>
          </w:tcPr>
          <w:p>
            <w:pPr>
              <w:pStyle w:val="TableContents"/>
              <w:bidi w:val="0"/>
              <w:spacing w:before="0" w:after="0"/>
              <w:ind w:left="0" w:right="0" w:hanging="0"/>
              <w:jc w:val="left"/>
              <w:rPr>
                <w:b/>
              </w:rPr>
            </w:pPr>
            <w:r>
              <w:rPr>
                <w:b/>
              </w:rPr>
              <w:t>Fredric G. Reynolds</w:t>
            </w:r>
          </w:p>
          <w:p>
            <w:pPr>
              <w:pStyle w:val="TableContents"/>
              <w:bidi w:val="0"/>
              <w:spacing w:before="100" w:after="0"/>
              <w:ind w:left="0" w:right="0" w:hanging="0"/>
              <w:jc w:val="left"/>
              <w:rPr/>
            </w:pPr>
            <w:r>
              <w:rPr/>
              <w:t xml:space="preserve">Retired Executive Vice President &amp; </w:t>
              <w:br/>
              <w:t>Chief Financial Officer, CBS Corporation</w:t>
            </w:r>
          </w:p>
        </w:tc>
        <w:tc>
          <w:tcPr>
            <w:tcW w:w="500" w:type="dxa"/>
            <w:tcBorders>
              <w:bottom w:val="single" w:sz="2" w:space="0" w:color="000000"/>
            </w:tcBorders>
            <w:tcMar>
              <w:bottom w:w="40" w:type="dxa"/>
            </w:tcMar>
            <w:vAlign w:val="center"/>
          </w:tcPr>
          <w:p>
            <w:pPr>
              <w:pStyle w:val="TableContents"/>
              <w:bidi w:val="0"/>
              <w:spacing w:before="0" w:after="283"/>
              <w:jc w:val="center"/>
              <w:rPr/>
            </w:pPr>
            <w:r>
              <w:rPr/>
              <w:t>2016</w:t>
            </w:r>
          </w:p>
        </w:tc>
        <w:tc>
          <w:tcPr>
            <w:tcW w:w="165" w:type="dxa"/>
            <w:tcBorders>
              <w:bottom w:val="single" w:sz="2" w:space="0" w:color="000000"/>
            </w:tcBorders>
            <w:tcMar>
              <w:bottom w:w="40" w:type="dxa"/>
            </w:tcMar>
            <w:vAlign w:val="center"/>
          </w:tcPr>
          <w:p>
            <w:pPr>
              <w:pStyle w:val="TableContents"/>
              <w:bidi w:val="0"/>
              <w:spacing w:before="0" w:after="283"/>
              <w:jc w:val="center"/>
              <w:rPr/>
            </w:pPr>
            <w:r>
              <w:rPr/>
              <w:t>1</w:t>
            </w:r>
          </w:p>
        </w:tc>
        <w:tc>
          <w:tcPr>
            <w:tcW w:w="196" w:type="dxa"/>
            <w:tcBorders>
              <w:bottom w:val="single" w:sz="2" w:space="0" w:color="000000"/>
            </w:tcBorders>
            <w:shd w:fill="EDEDEE" w:val="clear"/>
            <w:tcMar>
              <w:bottom w:w="40" w:type="dxa"/>
            </w:tcMar>
            <w:vAlign w:val="center"/>
          </w:tcPr>
          <w:p>
            <w:pPr>
              <w:pStyle w:val="TableContents"/>
              <w:bidi w:val="0"/>
              <w:spacing w:before="0" w:after="283"/>
              <w:jc w:val="center"/>
              <w:rPr/>
            </w:pPr>
            <w:r>
              <w:rPr/>
              <w:drawing>
                <wp:inline distT="0" distB="0" distL="0" distR="0">
                  <wp:extent cx="76200" cy="76200"/>
                  <wp:effectExtent l="0" t="0" r="0" b="0"/>
                  <wp:docPr id="98"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90" descr=""/>
                          <pic:cNvPicPr>
                            <a:picLocks noChangeAspect="1" noChangeArrowheads="1"/>
                          </pic:cNvPicPr>
                        </pic:nvPicPr>
                        <pic:blipFill>
                          <a:blip r:embed="rId95"/>
                          <a:stretch>
                            <a:fillRect/>
                          </a:stretch>
                        </pic:blipFill>
                        <pic:spPr bwMode="auto">
                          <a:xfrm>
                            <a:off x="0" y="0"/>
                            <a:ext cx="76200" cy="76200"/>
                          </a:xfrm>
                          <a:prstGeom prst="rect">
                            <a:avLst/>
                          </a:prstGeom>
                        </pic:spPr>
                      </pic:pic>
                    </a:graphicData>
                  </a:graphic>
                </wp:inline>
              </w:drawing>
            </w:r>
          </w:p>
        </w:tc>
        <w:tc>
          <w:tcPr>
            <w:tcW w:w="179" w:type="dxa"/>
            <w:tcBorders>
              <w:bottom w:val="single" w:sz="2" w:space="0" w:color="000000"/>
            </w:tcBorders>
            <w:shd w:fill="EDEDEE" w:val="clear"/>
            <w:tcMar>
              <w:bottom w:w="40" w:type="dxa"/>
            </w:tcMar>
            <w:vAlign w:val="center"/>
          </w:tcPr>
          <w:p>
            <w:pPr>
              <w:pStyle w:val="TableContents"/>
              <w:bidi w:val="0"/>
              <w:spacing w:before="0" w:after="283"/>
              <w:jc w:val="center"/>
              <w:rPr/>
            </w:pPr>
            <w:r>
              <w:rPr/>
              <w:t> </w:t>
            </w:r>
          </w:p>
        </w:tc>
        <w:tc>
          <w:tcPr>
            <w:tcW w:w="179" w:type="dxa"/>
            <w:tcBorders>
              <w:bottom w:val="single" w:sz="2" w:space="0" w:color="000000"/>
            </w:tcBorders>
            <w:shd w:fill="EDEDEE" w:val="clear"/>
            <w:tcMar>
              <w:bottom w:w="40" w:type="dxa"/>
            </w:tcMar>
            <w:vAlign w:val="center"/>
          </w:tcPr>
          <w:p>
            <w:pPr>
              <w:pStyle w:val="TableContents"/>
              <w:bidi w:val="0"/>
              <w:spacing w:before="0" w:after="283"/>
              <w:jc w:val="center"/>
              <w:rPr/>
            </w:pPr>
            <w:r>
              <w:rPr/>
              <w:drawing>
                <wp:inline distT="0" distB="0" distL="0" distR="0">
                  <wp:extent cx="76200" cy="76200"/>
                  <wp:effectExtent l="0" t="0" r="0" b="0"/>
                  <wp:docPr id="99"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91" descr=""/>
                          <pic:cNvPicPr>
                            <a:picLocks noChangeAspect="1" noChangeArrowheads="1"/>
                          </pic:cNvPicPr>
                        </pic:nvPicPr>
                        <pic:blipFill>
                          <a:blip r:embed="rId96"/>
                          <a:stretch>
                            <a:fillRect/>
                          </a:stretch>
                        </pic:blipFill>
                        <pic:spPr bwMode="auto">
                          <a:xfrm>
                            <a:off x="0" y="0"/>
                            <a:ext cx="76200" cy="76200"/>
                          </a:xfrm>
                          <a:prstGeom prst="rect">
                            <a:avLst/>
                          </a:prstGeom>
                        </pic:spPr>
                      </pic:pic>
                    </a:graphicData>
                  </a:graphic>
                </wp:inline>
              </w:drawing>
            </w:r>
          </w:p>
        </w:tc>
        <w:tc>
          <w:tcPr>
            <w:tcW w:w="212" w:type="dxa"/>
            <w:tcBorders>
              <w:bottom w:val="single" w:sz="2" w:space="0" w:color="000000"/>
            </w:tcBorders>
            <w:shd w:fill="EDEDEE" w:val="clear"/>
            <w:tcMar>
              <w:bottom w:w="40" w:type="dxa"/>
            </w:tcMar>
            <w:vAlign w:val="center"/>
          </w:tcPr>
          <w:p>
            <w:pPr>
              <w:pStyle w:val="TableContents"/>
              <w:bidi w:val="0"/>
              <w:spacing w:before="0" w:after="283"/>
              <w:jc w:val="center"/>
              <w:rPr/>
            </w:pPr>
            <w:r>
              <w:rPr/>
              <w:t> </w:t>
            </w:r>
          </w:p>
        </w:tc>
        <w:tc>
          <w:tcPr>
            <w:tcW w:w="212" w:type="dxa"/>
            <w:tcBorders>
              <w:bottom w:val="single" w:sz="2" w:space="0" w:color="000000"/>
            </w:tcBorders>
            <w:shd w:fill="EDEDEE" w:val="clear"/>
            <w:tcMar>
              <w:bottom w:w="40" w:type="dxa"/>
            </w:tcMar>
            <w:vAlign w:val="center"/>
          </w:tcPr>
          <w:p>
            <w:pPr>
              <w:pStyle w:val="TableContents"/>
              <w:bidi w:val="0"/>
              <w:spacing w:before="0" w:after="283"/>
              <w:jc w:val="center"/>
              <w:rPr/>
            </w:pPr>
            <w:r>
              <w:rPr/>
              <w:drawing>
                <wp:inline distT="0" distB="0" distL="0" distR="0">
                  <wp:extent cx="76200" cy="76200"/>
                  <wp:effectExtent l="0" t="0" r="0" b="0"/>
                  <wp:docPr id="100"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92" descr=""/>
                          <pic:cNvPicPr>
                            <a:picLocks noChangeAspect="1" noChangeArrowheads="1"/>
                          </pic:cNvPicPr>
                        </pic:nvPicPr>
                        <pic:blipFill>
                          <a:blip r:embed="rId97"/>
                          <a:stretch>
                            <a:fillRect/>
                          </a:stretch>
                        </pic:blipFill>
                        <pic:spPr bwMode="auto">
                          <a:xfrm>
                            <a:off x="0" y="0"/>
                            <a:ext cx="76200" cy="76200"/>
                          </a:xfrm>
                          <a:prstGeom prst="rect">
                            <a:avLst/>
                          </a:prstGeom>
                        </pic:spPr>
                      </pic:pic>
                    </a:graphicData>
                  </a:graphic>
                </wp:inline>
              </w:drawing>
            </w:r>
          </w:p>
        </w:tc>
        <w:tc>
          <w:tcPr>
            <w:tcW w:w="212" w:type="dxa"/>
            <w:tcBorders>
              <w:bottom w:val="single" w:sz="2" w:space="0" w:color="000000"/>
            </w:tcBorders>
            <w:shd w:fill="EDEDEE" w:val="clear"/>
            <w:tcMar>
              <w:bottom w:w="40" w:type="dxa"/>
            </w:tcMar>
            <w:vAlign w:val="center"/>
          </w:tcPr>
          <w:p>
            <w:pPr>
              <w:pStyle w:val="TableContents"/>
              <w:bidi w:val="0"/>
              <w:spacing w:before="0" w:after="283"/>
              <w:jc w:val="center"/>
              <w:rPr/>
            </w:pPr>
            <w:r>
              <w:rPr/>
              <w:drawing>
                <wp:inline distT="0" distB="0" distL="0" distR="0">
                  <wp:extent cx="76200" cy="76200"/>
                  <wp:effectExtent l="0" t="0" r="0" b="0"/>
                  <wp:docPr id="101"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93" descr=""/>
                          <pic:cNvPicPr>
                            <a:picLocks noChangeAspect="1" noChangeArrowheads="1"/>
                          </pic:cNvPicPr>
                        </pic:nvPicPr>
                        <pic:blipFill>
                          <a:blip r:embed="rId98"/>
                          <a:stretch>
                            <a:fillRect/>
                          </a:stretch>
                        </pic:blipFill>
                        <pic:spPr bwMode="auto">
                          <a:xfrm>
                            <a:off x="0" y="0"/>
                            <a:ext cx="76200" cy="76200"/>
                          </a:xfrm>
                          <a:prstGeom prst="rect">
                            <a:avLst/>
                          </a:prstGeom>
                        </pic:spPr>
                      </pic:pic>
                    </a:graphicData>
                  </a:graphic>
                </wp:inline>
              </w:drawing>
            </w:r>
          </w:p>
        </w:tc>
        <w:tc>
          <w:tcPr>
            <w:tcW w:w="229" w:type="dxa"/>
            <w:tcBorders>
              <w:bottom w:val="single" w:sz="2" w:space="0" w:color="000000"/>
            </w:tcBorders>
            <w:shd w:fill="EDEDEE" w:val="clear"/>
            <w:tcMar>
              <w:bottom w:w="40" w:type="dxa"/>
            </w:tcMar>
            <w:vAlign w:val="center"/>
          </w:tcPr>
          <w:p>
            <w:pPr>
              <w:pStyle w:val="TableContents"/>
              <w:bidi w:val="0"/>
              <w:spacing w:before="0" w:after="283"/>
              <w:jc w:val="center"/>
              <w:rPr/>
            </w:pPr>
            <w:r>
              <w:rPr/>
              <w:drawing>
                <wp:inline distT="0" distB="0" distL="0" distR="0">
                  <wp:extent cx="76200" cy="76200"/>
                  <wp:effectExtent l="0" t="0" r="0" b="0"/>
                  <wp:docPr id="102"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94" descr=""/>
                          <pic:cNvPicPr>
                            <a:picLocks noChangeAspect="1" noChangeArrowheads="1"/>
                          </pic:cNvPicPr>
                        </pic:nvPicPr>
                        <pic:blipFill>
                          <a:blip r:embed="rId99"/>
                          <a:stretch>
                            <a:fillRect/>
                          </a:stretch>
                        </pic:blipFill>
                        <pic:spPr bwMode="auto">
                          <a:xfrm>
                            <a:off x="0" y="0"/>
                            <a:ext cx="76200" cy="76200"/>
                          </a:xfrm>
                          <a:prstGeom prst="rect">
                            <a:avLst/>
                          </a:prstGeom>
                        </pic:spPr>
                      </pic:pic>
                    </a:graphicData>
                  </a:graphic>
                </wp:inline>
              </w:drawing>
            </w:r>
          </w:p>
        </w:tc>
        <w:tc>
          <w:tcPr>
            <w:tcW w:w="229" w:type="dxa"/>
            <w:tcBorders>
              <w:bottom w:val="single" w:sz="2" w:space="0" w:color="000000"/>
            </w:tcBorders>
            <w:shd w:fill="EDEDEE" w:val="clear"/>
            <w:tcMar>
              <w:bottom w:w="40" w:type="dxa"/>
            </w:tcMar>
            <w:vAlign w:val="center"/>
          </w:tcPr>
          <w:p>
            <w:pPr>
              <w:pStyle w:val="TableContents"/>
              <w:bidi w:val="0"/>
              <w:spacing w:before="0" w:after="283"/>
              <w:jc w:val="center"/>
              <w:rPr/>
            </w:pPr>
            <w:r>
              <w:rPr/>
              <w:t> </w:t>
            </w:r>
          </w:p>
        </w:tc>
        <w:tc>
          <w:tcPr>
            <w:tcW w:w="392" w:type="dxa"/>
            <w:tcBorders>
              <w:bottom w:val="single" w:sz="2" w:space="0" w:color="000000"/>
            </w:tcBorders>
            <w:shd w:fill="EDEDEE" w:val="clear"/>
            <w:tcMar>
              <w:bottom w:w="40" w:type="dxa"/>
            </w:tcMar>
            <w:vAlign w:val="center"/>
          </w:tcPr>
          <w:p>
            <w:pPr>
              <w:pStyle w:val="TableContents"/>
              <w:bidi w:val="0"/>
              <w:spacing w:before="0" w:after="283"/>
              <w:jc w:val="center"/>
              <w:rPr/>
            </w:pPr>
            <w:r>
              <w:rPr/>
              <w:t> </w:t>
            </w:r>
          </w:p>
        </w:tc>
      </w:tr>
      <w:tr>
        <w:trPr/>
        <w:tc>
          <w:tcPr>
            <w:tcW w:w="5465" w:type="dxa"/>
            <w:tcBorders>
              <w:bottom w:val="single" w:sz="2" w:space="0" w:color="000000"/>
            </w:tcBorders>
            <w:tcMar>
              <w:bottom w:w="40" w:type="dxa"/>
            </w:tcMar>
            <w:vAlign w:val="center"/>
          </w:tcPr>
          <w:p>
            <w:pPr>
              <w:pStyle w:val="TableContents"/>
              <w:bidi w:val="0"/>
              <w:spacing w:before="0" w:after="0"/>
              <w:ind w:left="0" w:right="0" w:hanging="0"/>
              <w:jc w:val="left"/>
              <w:rPr>
                <w:b/>
              </w:rPr>
            </w:pPr>
            <w:r>
              <w:rPr>
                <w:b/>
              </w:rPr>
              <w:t>Brian C. Rogers</w:t>
            </w:r>
          </w:p>
          <w:p>
            <w:pPr>
              <w:pStyle w:val="TableContents"/>
              <w:bidi w:val="0"/>
              <w:spacing w:before="100" w:after="0"/>
              <w:ind w:left="0" w:right="0" w:hanging="0"/>
              <w:jc w:val="left"/>
              <w:rPr/>
            </w:pPr>
            <w:r>
              <w:rPr/>
              <w:t xml:space="preserve">Retired Chairman, </w:t>
              <w:br/>
              <w:t>T. Rowe Price Group, Inc.</w:t>
            </w:r>
          </w:p>
        </w:tc>
        <w:tc>
          <w:tcPr>
            <w:tcW w:w="500" w:type="dxa"/>
            <w:tcBorders>
              <w:bottom w:val="single" w:sz="2" w:space="0" w:color="000000"/>
            </w:tcBorders>
            <w:tcMar>
              <w:bottom w:w="40" w:type="dxa"/>
            </w:tcMar>
            <w:vAlign w:val="center"/>
          </w:tcPr>
          <w:p>
            <w:pPr>
              <w:pStyle w:val="TableContents"/>
              <w:bidi w:val="0"/>
              <w:spacing w:before="0" w:after="283"/>
              <w:jc w:val="center"/>
              <w:rPr/>
            </w:pPr>
            <w:r>
              <w:rPr/>
              <w:t>2016</w:t>
            </w:r>
          </w:p>
        </w:tc>
        <w:tc>
          <w:tcPr>
            <w:tcW w:w="165" w:type="dxa"/>
            <w:tcBorders>
              <w:bottom w:val="single" w:sz="2" w:space="0" w:color="000000"/>
            </w:tcBorders>
            <w:tcMar>
              <w:bottom w:w="40" w:type="dxa"/>
            </w:tcMar>
            <w:vAlign w:val="center"/>
          </w:tcPr>
          <w:p>
            <w:pPr>
              <w:pStyle w:val="TableContents"/>
              <w:bidi w:val="0"/>
              <w:spacing w:before="0" w:after="283"/>
              <w:jc w:val="center"/>
              <w:rPr/>
            </w:pPr>
            <w:r>
              <w:rPr/>
              <w:t>1</w:t>
            </w:r>
          </w:p>
        </w:tc>
        <w:tc>
          <w:tcPr>
            <w:tcW w:w="196" w:type="dxa"/>
            <w:tcBorders>
              <w:bottom w:val="single" w:sz="2" w:space="0" w:color="000000"/>
            </w:tcBorders>
            <w:shd w:fill="EDEDEE" w:val="clear"/>
            <w:tcMar>
              <w:bottom w:w="40" w:type="dxa"/>
            </w:tcMar>
            <w:vAlign w:val="center"/>
          </w:tcPr>
          <w:p>
            <w:pPr>
              <w:pStyle w:val="TableContents"/>
              <w:bidi w:val="0"/>
              <w:spacing w:before="0" w:after="283"/>
              <w:jc w:val="center"/>
              <w:rPr/>
            </w:pPr>
            <w:r>
              <w:rPr/>
              <w:drawing>
                <wp:inline distT="0" distB="0" distL="0" distR="0">
                  <wp:extent cx="76200" cy="76200"/>
                  <wp:effectExtent l="0" t="0" r="0" b="0"/>
                  <wp:docPr id="103"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95" descr=""/>
                          <pic:cNvPicPr>
                            <a:picLocks noChangeAspect="1" noChangeArrowheads="1"/>
                          </pic:cNvPicPr>
                        </pic:nvPicPr>
                        <pic:blipFill>
                          <a:blip r:embed="rId100"/>
                          <a:stretch>
                            <a:fillRect/>
                          </a:stretch>
                        </pic:blipFill>
                        <pic:spPr bwMode="auto">
                          <a:xfrm>
                            <a:off x="0" y="0"/>
                            <a:ext cx="76200" cy="76200"/>
                          </a:xfrm>
                          <a:prstGeom prst="rect">
                            <a:avLst/>
                          </a:prstGeom>
                        </pic:spPr>
                      </pic:pic>
                    </a:graphicData>
                  </a:graphic>
                </wp:inline>
              </w:drawing>
            </w:r>
          </w:p>
        </w:tc>
        <w:tc>
          <w:tcPr>
            <w:tcW w:w="179" w:type="dxa"/>
            <w:tcBorders>
              <w:bottom w:val="single" w:sz="2" w:space="0" w:color="000000"/>
            </w:tcBorders>
            <w:shd w:fill="EDEDEE" w:val="clear"/>
            <w:tcMar>
              <w:bottom w:w="40" w:type="dxa"/>
            </w:tcMar>
            <w:vAlign w:val="center"/>
          </w:tcPr>
          <w:p>
            <w:pPr>
              <w:pStyle w:val="TableContents"/>
              <w:bidi w:val="0"/>
              <w:spacing w:before="0" w:after="283"/>
              <w:jc w:val="center"/>
              <w:rPr/>
            </w:pPr>
            <w:r>
              <w:rPr/>
              <w:t> </w:t>
            </w:r>
          </w:p>
        </w:tc>
        <w:tc>
          <w:tcPr>
            <w:tcW w:w="179" w:type="dxa"/>
            <w:tcBorders>
              <w:bottom w:val="single" w:sz="2" w:space="0" w:color="000000"/>
            </w:tcBorders>
            <w:shd w:fill="EDEDEE" w:val="clear"/>
            <w:tcMar>
              <w:bottom w:w="40" w:type="dxa"/>
            </w:tcMar>
            <w:vAlign w:val="center"/>
          </w:tcPr>
          <w:p>
            <w:pPr>
              <w:pStyle w:val="TableContents"/>
              <w:bidi w:val="0"/>
              <w:spacing w:before="0" w:after="283"/>
              <w:jc w:val="center"/>
              <w:rPr/>
            </w:pPr>
            <w:r>
              <w:rPr/>
              <w:t> </w:t>
            </w:r>
          </w:p>
        </w:tc>
        <w:tc>
          <w:tcPr>
            <w:tcW w:w="212" w:type="dxa"/>
            <w:tcBorders>
              <w:bottom w:val="single" w:sz="2" w:space="0" w:color="000000"/>
            </w:tcBorders>
            <w:shd w:fill="EDEDEE" w:val="clear"/>
            <w:tcMar>
              <w:bottom w:w="40" w:type="dxa"/>
            </w:tcMar>
            <w:vAlign w:val="center"/>
          </w:tcPr>
          <w:p>
            <w:pPr>
              <w:pStyle w:val="TableContents"/>
              <w:bidi w:val="0"/>
              <w:spacing w:before="0" w:after="283"/>
              <w:jc w:val="center"/>
              <w:rPr/>
            </w:pPr>
            <w:r>
              <w:rPr/>
              <w:t> </w:t>
            </w:r>
          </w:p>
        </w:tc>
        <w:tc>
          <w:tcPr>
            <w:tcW w:w="212" w:type="dxa"/>
            <w:tcBorders>
              <w:bottom w:val="single" w:sz="2" w:space="0" w:color="000000"/>
            </w:tcBorders>
            <w:shd w:fill="EDEDEE" w:val="clear"/>
            <w:tcMar>
              <w:bottom w:w="40" w:type="dxa"/>
            </w:tcMar>
            <w:vAlign w:val="center"/>
          </w:tcPr>
          <w:p>
            <w:pPr>
              <w:pStyle w:val="TableContents"/>
              <w:bidi w:val="0"/>
              <w:spacing w:before="0" w:after="283"/>
              <w:jc w:val="center"/>
              <w:rPr/>
            </w:pPr>
            <w:r>
              <w:rPr/>
              <w:drawing>
                <wp:inline distT="0" distB="0" distL="0" distR="0">
                  <wp:extent cx="76200" cy="76200"/>
                  <wp:effectExtent l="0" t="0" r="0" b="0"/>
                  <wp:docPr id="104"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96" descr=""/>
                          <pic:cNvPicPr>
                            <a:picLocks noChangeAspect="1" noChangeArrowheads="1"/>
                          </pic:cNvPicPr>
                        </pic:nvPicPr>
                        <pic:blipFill>
                          <a:blip r:embed="rId101"/>
                          <a:stretch>
                            <a:fillRect/>
                          </a:stretch>
                        </pic:blipFill>
                        <pic:spPr bwMode="auto">
                          <a:xfrm>
                            <a:off x="0" y="0"/>
                            <a:ext cx="76200" cy="76200"/>
                          </a:xfrm>
                          <a:prstGeom prst="rect">
                            <a:avLst/>
                          </a:prstGeom>
                        </pic:spPr>
                      </pic:pic>
                    </a:graphicData>
                  </a:graphic>
                </wp:inline>
              </w:drawing>
            </w:r>
          </w:p>
        </w:tc>
        <w:tc>
          <w:tcPr>
            <w:tcW w:w="212" w:type="dxa"/>
            <w:tcBorders>
              <w:bottom w:val="single" w:sz="2" w:space="0" w:color="000000"/>
            </w:tcBorders>
            <w:shd w:fill="EDEDEE" w:val="clear"/>
            <w:tcMar>
              <w:bottom w:w="40" w:type="dxa"/>
            </w:tcMar>
            <w:vAlign w:val="center"/>
          </w:tcPr>
          <w:p>
            <w:pPr>
              <w:pStyle w:val="TableContents"/>
              <w:bidi w:val="0"/>
              <w:spacing w:before="0" w:after="283"/>
              <w:jc w:val="center"/>
              <w:rPr/>
            </w:pPr>
            <w:r>
              <w:rPr/>
              <w:drawing>
                <wp:inline distT="0" distB="0" distL="0" distR="0">
                  <wp:extent cx="76200" cy="76200"/>
                  <wp:effectExtent l="0" t="0" r="0" b="0"/>
                  <wp:docPr id="105"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97" descr=""/>
                          <pic:cNvPicPr>
                            <a:picLocks noChangeAspect="1" noChangeArrowheads="1"/>
                          </pic:cNvPicPr>
                        </pic:nvPicPr>
                        <pic:blipFill>
                          <a:blip r:embed="rId102"/>
                          <a:stretch>
                            <a:fillRect/>
                          </a:stretch>
                        </pic:blipFill>
                        <pic:spPr bwMode="auto">
                          <a:xfrm>
                            <a:off x="0" y="0"/>
                            <a:ext cx="76200" cy="76200"/>
                          </a:xfrm>
                          <a:prstGeom prst="rect">
                            <a:avLst/>
                          </a:prstGeom>
                        </pic:spPr>
                      </pic:pic>
                    </a:graphicData>
                  </a:graphic>
                </wp:inline>
              </w:drawing>
            </w:r>
          </w:p>
        </w:tc>
        <w:tc>
          <w:tcPr>
            <w:tcW w:w="229" w:type="dxa"/>
            <w:tcBorders>
              <w:bottom w:val="single" w:sz="2" w:space="0" w:color="000000"/>
            </w:tcBorders>
            <w:shd w:fill="EDEDEE" w:val="clear"/>
            <w:tcMar>
              <w:bottom w:w="40" w:type="dxa"/>
            </w:tcMar>
            <w:vAlign w:val="center"/>
          </w:tcPr>
          <w:p>
            <w:pPr>
              <w:pStyle w:val="TableContents"/>
              <w:bidi w:val="0"/>
              <w:spacing w:before="0" w:after="283"/>
              <w:jc w:val="center"/>
              <w:rPr/>
            </w:pPr>
            <w:r>
              <w:rPr/>
              <w:drawing>
                <wp:inline distT="0" distB="0" distL="0" distR="0">
                  <wp:extent cx="76200" cy="76200"/>
                  <wp:effectExtent l="0" t="0" r="0" b="0"/>
                  <wp:docPr id="106"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98" descr=""/>
                          <pic:cNvPicPr>
                            <a:picLocks noChangeAspect="1" noChangeArrowheads="1"/>
                          </pic:cNvPicPr>
                        </pic:nvPicPr>
                        <pic:blipFill>
                          <a:blip r:embed="rId103"/>
                          <a:stretch>
                            <a:fillRect/>
                          </a:stretch>
                        </pic:blipFill>
                        <pic:spPr bwMode="auto">
                          <a:xfrm>
                            <a:off x="0" y="0"/>
                            <a:ext cx="76200" cy="76200"/>
                          </a:xfrm>
                          <a:prstGeom prst="rect">
                            <a:avLst/>
                          </a:prstGeom>
                        </pic:spPr>
                      </pic:pic>
                    </a:graphicData>
                  </a:graphic>
                </wp:inline>
              </w:drawing>
            </w:r>
          </w:p>
        </w:tc>
        <w:tc>
          <w:tcPr>
            <w:tcW w:w="229" w:type="dxa"/>
            <w:tcBorders>
              <w:bottom w:val="single" w:sz="2" w:space="0" w:color="000000"/>
            </w:tcBorders>
            <w:shd w:fill="EDEDEE" w:val="clear"/>
            <w:tcMar>
              <w:bottom w:w="40" w:type="dxa"/>
            </w:tcMar>
            <w:vAlign w:val="center"/>
          </w:tcPr>
          <w:p>
            <w:pPr>
              <w:pStyle w:val="TableContents"/>
              <w:bidi w:val="0"/>
              <w:spacing w:before="0" w:after="283"/>
              <w:jc w:val="center"/>
              <w:rPr/>
            </w:pPr>
            <w:r>
              <w:rPr/>
              <w:t> </w:t>
            </w:r>
          </w:p>
        </w:tc>
        <w:tc>
          <w:tcPr>
            <w:tcW w:w="392" w:type="dxa"/>
            <w:tcBorders>
              <w:bottom w:val="single" w:sz="2" w:space="0" w:color="000000"/>
            </w:tcBorders>
            <w:shd w:fill="EDEDEE" w:val="clear"/>
            <w:tcMar>
              <w:bottom w:w="40" w:type="dxa"/>
            </w:tcMar>
            <w:vAlign w:val="center"/>
          </w:tcPr>
          <w:p>
            <w:pPr>
              <w:pStyle w:val="TableContents"/>
              <w:bidi w:val="0"/>
              <w:spacing w:before="0" w:after="283"/>
              <w:jc w:val="center"/>
              <w:rPr/>
            </w:pPr>
            <w:r>
              <w:rPr/>
              <w:t> </w:t>
            </w:r>
          </w:p>
        </w:tc>
      </w:tr>
      <w:tr>
        <w:trPr/>
        <w:tc>
          <w:tcPr>
            <w:tcW w:w="5465" w:type="dxa"/>
            <w:tcBorders>
              <w:bottom w:val="single" w:sz="12" w:space="0" w:color="636466"/>
            </w:tcBorders>
            <w:tcMar>
              <w:bottom w:w="40" w:type="dxa"/>
            </w:tcMar>
            <w:vAlign w:val="center"/>
          </w:tcPr>
          <w:p>
            <w:pPr>
              <w:pStyle w:val="TableContents"/>
              <w:bidi w:val="0"/>
              <w:spacing w:before="0" w:after="0"/>
              <w:ind w:left="0" w:right="0" w:hanging="0"/>
              <w:jc w:val="left"/>
              <w:rPr>
                <w:b/>
              </w:rPr>
            </w:pPr>
            <w:r>
              <w:rPr>
                <w:b/>
              </w:rPr>
              <w:t>Robert O. Work</w:t>
            </w:r>
          </w:p>
          <w:p>
            <w:pPr>
              <w:pStyle w:val="TableContents"/>
              <w:bidi w:val="0"/>
              <w:spacing w:before="100" w:after="0"/>
              <w:ind w:left="0" w:right="0" w:hanging="0"/>
              <w:jc w:val="left"/>
              <w:rPr/>
            </w:pPr>
            <w:r>
              <w:rPr/>
              <w:t xml:space="preserve">Retired Deputy Secretary of Defense, </w:t>
              <w:br/>
              <w:t>U.S. Department of Defense</w:t>
            </w:r>
          </w:p>
        </w:tc>
        <w:tc>
          <w:tcPr>
            <w:tcW w:w="500" w:type="dxa"/>
            <w:tcBorders>
              <w:bottom w:val="single" w:sz="12" w:space="0" w:color="636466"/>
            </w:tcBorders>
            <w:tcMar>
              <w:bottom w:w="40" w:type="dxa"/>
            </w:tcMar>
            <w:vAlign w:val="center"/>
          </w:tcPr>
          <w:p>
            <w:pPr>
              <w:pStyle w:val="TableContents"/>
              <w:bidi w:val="0"/>
              <w:spacing w:before="0" w:after="283"/>
              <w:jc w:val="center"/>
              <w:rPr/>
            </w:pPr>
            <w:r>
              <w:rPr/>
              <w:t>2020</w:t>
            </w:r>
          </w:p>
        </w:tc>
        <w:tc>
          <w:tcPr>
            <w:tcW w:w="165" w:type="dxa"/>
            <w:tcBorders>
              <w:bottom w:val="single" w:sz="12" w:space="0" w:color="636466"/>
            </w:tcBorders>
            <w:tcMar>
              <w:bottom w:w="40" w:type="dxa"/>
            </w:tcMar>
            <w:vAlign w:val="center"/>
          </w:tcPr>
          <w:p>
            <w:pPr>
              <w:pStyle w:val="TableContents"/>
              <w:bidi w:val="0"/>
              <w:spacing w:before="0" w:after="283"/>
              <w:jc w:val="center"/>
              <w:rPr/>
            </w:pPr>
            <w:r>
              <w:rPr/>
              <w:t>0</w:t>
            </w:r>
          </w:p>
        </w:tc>
        <w:tc>
          <w:tcPr>
            <w:tcW w:w="196" w:type="dxa"/>
            <w:tcBorders>
              <w:bottom w:val="single" w:sz="12" w:space="0" w:color="636466"/>
            </w:tcBorders>
            <w:shd w:fill="EDEDEE" w:val="clear"/>
            <w:tcMar>
              <w:bottom w:w="40" w:type="dxa"/>
            </w:tcMar>
            <w:vAlign w:val="center"/>
          </w:tcPr>
          <w:p>
            <w:pPr>
              <w:pStyle w:val="TableContents"/>
              <w:bidi w:val="0"/>
              <w:spacing w:before="0" w:after="283"/>
              <w:jc w:val="center"/>
              <w:rPr/>
            </w:pPr>
            <w:r>
              <w:rPr/>
              <w:t> </w:t>
            </w:r>
          </w:p>
        </w:tc>
        <w:tc>
          <w:tcPr>
            <w:tcW w:w="179" w:type="dxa"/>
            <w:tcBorders>
              <w:bottom w:val="single" w:sz="12" w:space="0" w:color="636466"/>
            </w:tcBorders>
            <w:shd w:fill="EDEDEE" w:val="clear"/>
            <w:tcMar>
              <w:bottom w:w="40" w:type="dxa"/>
            </w:tcMar>
            <w:vAlign w:val="center"/>
          </w:tcPr>
          <w:p>
            <w:pPr>
              <w:pStyle w:val="TableContents"/>
              <w:bidi w:val="0"/>
              <w:spacing w:before="0" w:after="283"/>
              <w:jc w:val="center"/>
              <w:rPr/>
            </w:pPr>
            <w:r>
              <w:rPr/>
              <w:drawing>
                <wp:inline distT="0" distB="0" distL="0" distR="0">
                  <wp:extent cx="76200" cy="76200"/>
                  <wp:effectExtent l="0" t="0" r="0" b="0"/>
                  <wp:docPr id="107"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99" descr=""/>
                          <pic:cNvPicPr>
                            <a:picLocks noChangeAspect="1" noChangeArrowheads="1"/>
                          </pic:cNvPicPr>
                        </pic:nvPicPr>
                        <pic:blipFill>
                          <a:blip r:embed="rId104"/>
                          <a:stretch>
                            <a:fillRect/>
                          </a:stretch>
                        </pic:blipFill>
                        <pic:spPr bwMode="auto">
                          <a:xfrm>
                            <a:off x="0" y="0"/>
                            <a:ext cx="76200" cy="76200"/>
                          </a:xfrm>
                          <a:prstGeom prst="rect">
                            <a:avLst/>
                          </a:prstGeom>
                        </pic:spPr>
                      </pic:pic>
                    </a:graphicData>
                  </a:graphic>
                </wp:inline>
              </w:drawing>
            </w:r>
          </w:p>
        </w:tc>
        <w:tc>
          <w:tcPr>
            <w:tcW w:w="179" w:type="dxa"/>
            <w:tcBorders>
              <w:bottom w:val="single" w:sz="12" w:space="0" w:color="636466"/>
            </w:tcBorders>
            <w:shd w:fill="EDEDEE" w:val="clear"/>
            <w:tcMar>
              <w:bottom w:w="40" w:type="dxa"/>
            </w:tcMar>
            <w:vAlign w:val="center"/>
          </w:tcPr>
          <w:p>
            <w:pPr>
              <w:pStyle w:val="TableContents"/>
              <w:bidi w:val="0"/>
              <w:spacing w:before="0" w:after="283"/>
              <w:jc w:val="center"/>
              <w:rPr/>
            </w:pPr>
            <w:r>
              <w:rPr/>
              <w:drawing>
                <wp:inline distT="0" distB="0" distL="0" distR="0">
                  <wp:extent cx="76200" cy="76200"/>
                  <wp:effectExtent l="0" t="0" r="0" b="0"/>
                  <wp:docPr id="108"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100" descr=""/>
                          <pic:cNvPicPr>
                            <a:picLocks noChangeAspect="1" noChangeArrowheads="1"/>
                          </pic:cNvPicPr>
                        </pic:nvPicPr>
                        <pic:blipFill>
                          <a:blip r:embed="rId105"/>
                          <a:stretch>
                            <a:fillRect/>
                          </a:stretch>
                        </pic:blipFill>
                        <pic:spPr bwMode="auto">
                          <a:xfrm>
                            <a:off x="0" y="0"/>
                            <a:ext cx="76200" cy="76200"/>
                          </a:xfrm>
                          <a:prstGeom prst="rect">
                            <a:avLst/>
                          </a:prstGeom>
                        </pic:spPr>
                      </pic:pic>
                    </a:graphicData>
                  </a:graphic>
                </wp:inline>
              </w:drawing>
            </w:r>
          </w:p>
        </w:tc>
        <w:tc>
          <w:tcPr>
            <w:tcW w:w="212" w:type="dxa"/>
            <w:tcBorders>
              <w:bottom w:val="single" w:sz="12" w:space="0" w:color="636466"/>
            </w:tcBorders>
            <w:shd w:fill="EDEDEE" w:val="clear"/>
            <w:tcMar>
              <w:bottom w:w="40" w:type="dxa"/>
            </w:tcMar>
            <w:vAlign w:val="center"/>
          </w:tcPr>
          <w:p>
            <w:pPr>
              <w:pStyle w:val="TableContents"/>
              <w:bidi w:val="0"/>
              <w:spacing w:before="0" w:after="283"/>
              <w:jc w:val="center"/>
              <w:rPr/>
            </w:pPr>
            <w:r>
              <w:rPr/>
              <w:drawing>
                <wp:inline distT="0" distB="0" distL="0" distR="0">
                  <wp:extent cx="76200" cy="76200"/>
                  <wp:effectExtent l="0" t="0" r="0" b="0"/>
                  <wp:docPr id="109"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101" descr=""/>
                          <pic:cNvPicPr>
                            <a:picLocks noChangeAspect="1" noChangeArrowheads="1"/>
                          </pic:cNvPicPr>
                        </pic:nvPicPr>
                        <pic:blipFill>
                          <a:blip r:embed="rId106"/>
                          <a:stretch>
                            <a:fillRect/>
                          </a:stretch>
                        </pic:blipFill>
                        <pic:spPr bwMode="auto">
                          <a:xfrm>
                            <a:off x="0" y="0"/>
                            <a:ext cx="76200" cy="76200"/>
                          </a:xfrm>
                          <a:prstGeom prst="rect">
                            <a:avLst/>
                          </a:prstGeom>
                        </pic:spPr>
                      </pic:pic>
                    </a:graphicData>
                  </a:graphic>
                </wp:inline>
              </w:drawing>
            </w:r>
          </w:p>
        </w:tc>
        <w:tc>
          <w:tcPr>
            <w:tcW w:w="212" w:type="dxa"/>
            <w:tcBorders>
              <w:bottom w:val="single" w:sz="12" w:space="0" w:color="636466"/>
            </w:tcBorders>
            <w:shd w:fill="EDEDEE" w:val="clear"/>
            <w:tcMar>
              <w:bottom w:w="40" w:type="dxa"/>
            </w:tcMar>
            <w:vAlign w:val="center"/>
          </w:tcPr>
          <w:p>
            <w:pPr>
              <w:pStyle w:val="TableContents"/>
              <w:bidi w:val="0"/>
              <w:spacing w:before="0" w:after="283"/>
              <w:jc w:val="center"/>
              <w:rPr/>
            </w:pPr>
            <w:r>
              <w:rPr/>
              <w:drawing>
                <wp:inline distT="0" distB="0" distL="0" distR="0">
                  <wp:extent cx="76200" cy="76200"/>
                  <wp:effectExtent l="0" t="0" r="0" b="0"/>
                  <wp:docPr id="110"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102" descr=""/>
                          <pic:cNvPicPr>
                            <a:picLocks noChangeAspect="1" noChangeArrowheads="1"/>
                          </pic:cNvPicPr>
                        </pic:nvPicPr>
                        <pic:blipFill>
                          <a:blip r:embed="rId107"/>
                          <a:stretch>
                            <a:fillRect/>
                          </a:stretch>
                        </pic:blipFill>
                        <pic:spPr bwMode="auto">
                          <a:xfrm>
                            <a:off x="0" y="0"/>
                            <a:ext cx="76200" cy="76200"/>
                          </a:xfrm>
                          <a:prstGeom prst="rect">
                            <a:avLst/>
                          </a:prstGeom>
                        </pic:spPr>
                      </pic:pic>
                    </a:graphicData>
                  </a:graphic>
                </wp:inline>
              </w:drawing>
            </w:r>
          </w:p>
        </w:tc>
        <w:tc>
          <w:tcPr>
            <w:tcW w:w="212" w:type="dxa"/>
            <w:tcBorders>
              <w:bottom w:val="single" w:sz="12" w:space="0" w:color="636466"/>
            </w:tcBorders>
            <w:shd w:fill="EDEDEE" w:val="clear"/>
            <w:tcMar>
              <w:bottom w:w="40" w:type="dxa"/>
            </w:tcMar>
            <w:vAlign w:val="center"/>
          </w:tcPr>
          <w:p>
            <w:pPr>
              <w:pStyle w:val="TableContents"/>
              <w:bidi w:val="0"/>
              <w:spacing w:before="0" w:after="283"/>
              <w:jc w:val="center"/>
              <w:rPr/>
            </w:pPr>
            <w:r>
              <w:rPr/>
              <w:drawing>
                <wp:inline distT="0" distB="0" distL="0" distR="0">
                  <wp:extent cx="76200" cy="76200"/>
                  <wp:effectExtent l="0" t="0" r="0" b="0"/>
                  <wp:docPr id="111"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103" descr=""/>
                          <pic:cNvPicPr>
                            <a:picLocks noChangeAspect="1" noChangeArrowheads="1"/>
                          </pic:cNvPicPr>
                        </pic:nvPicPr>
                        <pic:blipFill>
                          <a:blip r:embed="rId108"/>
                          <a:stretch>
                            <a:fillRect/>
                          </a:stretch>
                        </pic:blipFill>
                        <pic:spPr bwMode="auto">
                          <a:xfrm>
                            <a:off x="0" y="0"/>
                            <a:ext cx="76200" cy="76200"/>
                          </a:xfrm>
                          <a:prstGeom prst="rect">
                            <a:avLst/>
                          </a:prstGeom>
                        </pic:spPr>
                      </pic:pic>
                    </a:graphicData>
                  </a:graphic>
                </wp:inline>
              </w:drawing>
            </w:r>
          </w:p>
        </w:tc>
        <w:tc>
          <w:tcPr>
            <w:tcW w:w="229" w:type="dxa"/>
            <w:tcBorders>
              <w:bottom w:val="single" w:sz="12" w:space="0" w:color="636466"/>
            </w:tcBorders>
            <w:shd w:fill="EDEDEE" w:val="clear"/>
            <w:tcMar>
              <w:bottom w:w="40" w:type="dxa"/>
            </w:tcMar>
            <w:vAlign w:val="center"/>
          </w:tcPr>
          <w:p>
            <w:pPr>
              <w:pStyle w:val="TableContents"/>
              <w:bidi w:val="0"/>
              <w:spacing w:before="0" w:after="283"/>
              <w:jc w:val="center"/>
              <w:rPr/>
            </w:pPr>
            <w:r>
              <w:rPr/>
              <w:drawing>
                <wp:inline distT="0" distB="0" distL="0" distR="0">
                  <wp:extent cx="76200" cy="76200"/>
                  <wp:effectExtent l="0" t="0" r="0" b="0"/>
                  <wp:docPr id="112"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104" descr=""/>
                          <pic:cNvPicPr>
                            <a:picLocks noChangeAspect="1" noChangeArrowheads="1"/>
                          </pic:cNvPicPr>
                        </pic:nvPicPr>
                        <pic:blipFill>
                          <a:blip r:embed="rId109"/>
                          <a:stretch>
                            <a:fillRect/>
                          </a:stretch>
                        </pic:blipFill>
                        <pic:spPr bwMode="auto">
                          <a:xfrm>
                            <a:off x="0" y="0"/>
                            <a:ext cx="76200" cy="76200"/>
                          </a:xfrm>
                          <a:prstGeom prst="rect">
                            <a:avLst/>
                          </a:prstGeom>
                        </pic:spPr>
                      </pic:pic>
                    </a:graphicData>
                  </a:graphic>
                </wp:inline>
              </w:drawing>
            </w:r>
          </w:p>
        </w:tc>
        <w:tc>
          <w:tcPr>
            <w:tcW w:w="229" w:type="dxa"/>
            <w:tcBorders>
              <w:bottom w:val="single" w:sz="12" w:space="0" w:color="636466"/>
            </w:tcBorders>
            <w:shd w:fill="EDEDEE" w:val="clear"/>
            <w:tcMar>
              <w:bottom w:w="40" w:type="dxa"/>
            </w:tcMar>
            <w:vAlign w:val="center"/>
          </w:tcPr>
          <w:p>
            <w:pPr>
              <w:pStyle w:val="TableContents"/>
              <w:bidi w:val="0"/>
              <w:spacing w:before="0" w:after="283"/>
              <w:jc w:val="center"/>
              <w:rPr/>
            </w:pPr>
            <w:r>
              <w:rPr/>
              <w:drawing>
                <wp:inline distT="0" distB="0" distL="0" distR="0">
                  <wp:extent cx="76200" cy="76200"/>
                  <wp:effectExtent l="0" t="0" r="0" b="0"/>
                  <wp:docPr id="113"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105" descr=""/>
                          <pic:cNvPicPr>
                            <a:picLocks noChangeAspect="1" noChangeArrowheads="1"/>
                          </pic:cNvPicPr>
                        </pic:nvPicPr>
                        <pic:blipFill>
                          <a:blip r:embed="rId110"/>
                          <a:stretch>
                            <a:fillRect/>
                          </a:stretch>
                        </pic:blipFill>
                        <pic:spPr bwMode="auto">
                          <a:xfrm>
                            <a:off x="0" y="0"/>
                            <a:ext cx="76200" cy="76200"/>
                          </a:xfrm>
                          <a:prstGeom prst="rect">
                            <a:avLst/>
                          </a:prstGeom>
                        </pic:spPr>
                      </pic:pic>
                    </a:graphicData>
                  </a:graphic>
                </wp:inline>
              </w:drawing>
            </w:r>
          </w:p>
        </w:tc>
        <w:tc>
          <w:tcPr>
            <w:tcW w:w="392" w:type="dxa"/>
            <w:tcBorders>
              <w:bottom w:val="single" w:sz="12" w:space="0" w:color="636466"/>
            </w:tcBorders>
            <w:shd w:fill="EDEDEE" w:val="clear"/>
            <w:tcMar>
              <w:bottom w:w="40" w:type="dxa"/>
            </w:tcMar>
            <w:vAlign w:val="center"/>
          </w:tcPr>
          <w:p>
            <w:pPr>
              <w:pStyle w:val="TableContents"/>
              <w:bidi w:val="0"/>
              <w:spacing w:before="0" w:after="283"/>
              <w:jc w:val="center"/>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right"/>
        <w:rPr>
          <w:rFonts w:ascii="Arial;Helvetica;Sans-Serif" w:hAnsi="Arial;Helvetica;Sans-Serif"/>
          <w:sz w:val="15"/>
        </w:rPr>
      </w:pPr>
      <w:r>
        <w:rPr>
          <w:rFonts w:ascii="Arial;Helvetica;Sans-Serif" w:hAnsi="Arial;Helvetica;Sans-Serif"/>
          <w:b/>
          <w:sz w:val="15"/>
        </w:rPr>
        <w:t>RTX</w:t>
      </w:r>
      <w:r>
        <w:rPr>
          <w:rFonts w:ascii="Arial;Helvetica;Sans-Serif" w:hAnsi="Arial;Helvetica;Sans-Serif"/>
          <w:sz w:val="15"/>
        </w:rPr>
        <w:t xml:space="preserve"> 2026 PROXY STATEMENT    </w:t>
      </w:r>
      <w:r>
        <w:rPr>
          <w:rFonts w:ascii="Arial;Helvetica;Sans-Serif" w:hAnsi="Arial;Helvetica;Sans-Serif"/>
          <w:b/>
          <w:sz w:val="15"/>
        </w:rPr>
        <w:t>7</w:t>
      </w:r>
    </w:p>
    <w:p>
      <w:pPr>
        <w:pStyle w:val="HorizontalLine"/>
        <w:pBdr>
          <w:bottom w:val="double" w:sz="2" w:space="0" w:color="808080"/>
        </w:pBdr>
        <w:bidi w:val="0"/>
        <w:spacing w:before="0" w:after="283"/>
        <w:jc w:val="left"/>
        <w:rPr/>
      </w:pPr>
      <w:r>
        <w:rPr/>
      </w:r>
    </w:p>
    <w:p>
      <w:pPr>
        <w:pStyle w:val="TextBody"/>
        <w:bidi w:val="0"/>
        <w:spacing w:before="200" w:after="200"/>
        <w:jc w:val="left"/>
        <w:rPr/>
      </w:pPr>
      <w:hyperlink w:anchor="toc">
        <w:r>
          <w:rPr>
            <w:rStyle w:val="InternetLink"/>
            <w:rFonts w:ascii="Arial;Helvetica;Sans-Serif" w:hAnsi="Arial;Helvetica;Sans-Serif"/>
            <w:b/>
            <w:i w:val="false"/>
            <w:caps w:val="false"/>
            <w:smallCaps w:val="false"/>
            <w:sz w:val="16"/>
          </w:rPr>
          <w:t>Table of Contents</w:t>
        </w:r>
      </w:hyperlink>
    </w:p>
    <w:p>
      <w:pPr>
        <w:pStyle w:val="TextBody"/>
        <w:bidi w:val="0"/>
        <w:jc w:val="left"/>
        <w:rPr>
          <w:shd w:fill="B2B2B0" w:val="clear"/>
        </w:rPr>
      </w:pPr>
      <w:r>
        <w:rPr>
          <w:rFonts w:ascii="Arial;Helvetica;Sans-Serif" w:hAnsi="Arial;Helvetica;Sans-Serif"/>
          <w:b/>
          <w:i w:val="false"/>
          <w:caps w:val="false"/>
          <w:smallCaps w:val="false"/>
          <w:color w:val="FFFFFF"/>
          <w:sz w:val="15"/>
          <w:shd w:fill="B2B2B0" w:val="clear"/>
        </w:rPr>
        <w:t>PROXY SUMMARY</w:t>
      </w:r>
      <w:r>
        <w:rPr>
          <w:color w:val="FFFFFF"/>
          <w:shd w:fill="B2B2B0" w:val="clear"/>
        </w:rPr>
        <w:br/>
      </w:r>
      <w:r>
        <w:rPr>
          <w:rFonts w:ascii="Arial;Helvetica;Sans-Serif" w:hAnsi="Arial;Helvetica;Sans-Serif"/>
          <w:b w:val="false"/>
          <w:i w:val="false"/>
          <w:caps w:val="false"/>
          <w:smallCaps w:val="false"/>
          <w:color w:val="FFFFFF"/>
          <w:sz w:val="15"/>
          <w:shd w:fill="B2B2B0" w:val="clear"/>
        </w:rPr>
        <w:t>GOVERNANCE AND BOARD 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NOMINEE HIGHLIGHTS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nominees for election at the Annual Meeting have a broad range of skills, expertise, attributes and experiences. This enables them to bring a diversity of perspectives to the boardroom, to make substantial contributions to Board deliberations and to provide effective oversight of the Company’s strategy and business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Current or Former CEOs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5514975" cy="1257300"/>
            <wp:effectExtent l="0" t="0" r="0" b="0"/>
            <wp:docPr id="114"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106" descr=""/>
                    <pic:cNvPicPr>
                      <a:picLocks noChangeAspect="1" noChangeArrowheads="1"/>
                    </pic:cNvPicPr>
                  </pic:nvPicPr>
                  <pic:blipFill>
                    <a:blip r:embed="rId111"/>
                    <a:stretch>
                      <a:fillRect/>
                    </a:stretch>
                  </pic:blipFill>
                  <pic:spPr bwMode="auto">
                    <a:xfrm>
                      <a:off x="0" y="0"/>
                      <a:ext cx="5514975" cy="125730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STEM Degrees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5514975" cy="1181100"/>
            <wp:effectExtent l="0" t="0" r="0" b="0"/>
            <wp:docPr id="115"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107" descr=""/>
                    <pic:cNvPicPr>
                      <a:picLocks noChangeAspect="1" noChangeArrowheads="1"/>
                    </pic:cNvPicPr>
                  </pic:nvPicPr>
                  <pic:blipFill>
                    <a:blip r:embed="rId112"/>
                    <a:stretch>
                      <a:fillRect/>
                    </a:stretch>
                  </pic:blipFill>
                  <pic:spPr bwMode="auto">
                    <a:xfrm>
                      <a:off x="0" y="0"/>
                      <a:ext cx="5514975" cy="118110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Other Public Company Board Experience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5514975" cy="1181100"/>
            <wp:effectExtent l="0" t="0" r="0" b="0"/>
            <wp:docPr id="116"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108" descr=""/>
                    <pic:cNvPicPr>
                      <a:picLocks noChangeAspect="1" noChangeArrowheads="1"/>
                    </pic:cNvPicPr>
                  </pic:nvPicPr>
                  <pic:blipFill>
                    <a:blip r:embed="rId113"/>
                    <a:stretch>
                      <a:fillRect/>
                    </a:stretch>
                  </pic:blipFill>
                  <pic:spPr bwMode="auto">
                    <a:xfrm>
                      <a:off x="0" y="0"/>
                      <a:ext cx="5514975" cy="118110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Experience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5381625" cy="16411575"/>
            <wp:effectExtent l="0" t="0" r="0" b="0"/>
            <wp:docPr id="117"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109" descr=""/>
                    <pic:cNvPicPr>
                      <a:picLocks noChangeAspect="1" noChangeArrowheads="1"/>
                    </pic:cNvPicPr>
                  </pic:nvPicPr>
                  <pic:blipFill>
                    <a:blip r:embed="rId114"/>
                    <a:stretch>
                      <a:fillRect/>
                    </a:stretch>
                  </pic:blipFill>
                  <pic:spPr bwMode="auto">
                    <a:xfrm>
                      <a:off x="0" y="0"/>
                      <a:ext cx="5381625" cy="1641157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rFonts w:ascii="Arial;Helvetica;Sans-Serif" w:hAnsi="Arial;Helvetica;Sans-Serif"/>
          <w:b/>
          <w:color w:val="000000"/>
          <w:sz w:val="15"/>
        </w:rPr>
        <w:t>8</w:t>
      </w:r>
      <w:r>
        <w:rPr>
          <w:rFonts w:ascii="Arial;Helvetica;Sans-Serif" w:hAnsi="Arial;Helvetica;Sans-Serif"/>
          <w:color w:val="000000"/>
          <w:sz w:val="15"/>
        </w:rPr>
        <w:t>    </w:t>
      </w:r>
      <w:r>
        <w:rPr>
          <w:rFonts w:ascii="Arial;Helvetica;Sans-Serif" w:hAnsi="Arial;Helvetica;Sans-Serif"/>
          <w:b/>
          <w:sz w:val="15"/>
        </w:rPr>
        <w:t>RTX</w:t>
      </w:r>
      <w:r>
        <w:rPr>
          <w:rFonts w:ascii="Arial;Helvetica;Sans-Serif" w:hAnsi="Arial;Helvetica;Sans-Serif"/>
          <w:sz w:val="15"/>
        </w:rPr>
        <w:t xml:space="preserve"> 2026 PROXY STATEMENT</w:t>
      </w:r>
    </w:p>
    <w:p>
      <w:pPr>
        <w:pStyle w:val="HorizontalLine"/>
        <w:pBdr>
          <w:bottom w:val="double" w:sz="2" w:space="0" w:color="808080"/>
        </w:pBdr>
        <w:bidi w:val="0"/>
        <w:spacing w:before="0" w:after="283"/>
        <w:jc w:val="left"/>
        <w:rPr/>
      </w:pPr>
      <w:r>
        <w:rPr/>
      </w:r>
    </w:p>
    <w:p>
      <w:pPr>
        <w:pStyle w:val="TextBody"/>
        <w:bidi w:val="0"/>
        <w:spacing w:before="200" w:after="200"/>
        <w:jc w:val="left"/>
        <w:rPr/>
      </w:pPr>
      <w:hyperlink w:anchor="toc">
        <w:r>
          <w:rPr>
            <w:rStyle w:val="InternetLink"/>
            <w:rFonts w:ascii="Arial;Helvetica;Sans-Serif" w:hAnsi="Arial;Helvetica;Sans-Serif"/>
            <w:b/>
            <w:i w:val="false"/>
            <w:caps w:val="false"/>
            <w:smallCaps w:val="false"/>
            <w:sz w:val="16"/>
          </w:rPr>
          <w:t>Table of Contents</w:t>
        </w:r>
      </w:hyperlink>
    </w:p>
    <w:p>
      <w:pPr>
        <w:pStyle w:val="TextBody"/>
        <w:bidi w:val="0"/>
        <w:jc w:val="right"/>
        <w:rPr>
          <w:shd w:fill="B2B2B0" w:val="clear"/>
        </w:rPr>
      </w:pPr>
      <w:r>
        <w:rPr>
          <w:rFonts w:ascii="Arial;Helvetica;Sans-Serif" w:hAnsi="Arial;Helvetica;Sans-Serif"/>
          <w:b/>
          <w:i w:val="false"/>
          <w:caps w:val="false"/>
          <w:smallCaps w:val="false"/>
          <w:color w:val="FFFFFF"/>
          <w:sz w:val="15"/>
          <w:shd w:fill="B2B2B0" w:val="clear"/>
        </w:rPr>
        <w:t>PROXY SUMMARY</w:t>
      </w:r>
      <w:r>
        <w:rPr>
          <w:color w:val="FFFFFF"/>
          <w:shd w:fill="B2B2B0" w:val="clear"/>
        </w:rPr>
        <w:br/>
      </w:r>
      <w:r>
        <w:rPr>
          <w:rFonts w:ascii="Arial;Helvetica;Sans-Serif" w:hAnsi="Arial;Helvetica;Sans-Serif"/>
          <w:b w:val="false"/>
          <w:i w:val="false"/>
          <w:caps w:val="false"/>
          <w:smallCaps w:val="false"/>
          <w:color w:val="FFFFFF"/>
          <w:sz w:val="15"/>
          <w:shd w:fill="B2B2B0" w:val="clear"/>
        </w:rPr>
        <w:t>GOVERNANCE AND BOARD OVERVIEW</w:t>
      </w:r>
    </w:p>
    <w:p>
      <w:pPr>
        <w:pStyle w:val="TextBody"/>
        <w:bidi w:val="0"/>
        <w:spacing w:before="0" w:after="0"/>
        <w:ind w:left="0" w:right="0" w:hanging="0"/>
        <w:jc w:val="left"/>
        <w:rPr>
          <w:caps w:val="false"/>
          <w:smallCaps w:val="false"/>
        </w:rPr>
      </w:pPr>
      <w:r>
        <w:rPr>
          <w:caps w:val="false"/>
          <w:smallCaps w:val="false"/>
        </w:rPr>
        <w:t> </w:t>
      </w:r>
    </w:p>
    <w:tbl>
      <w:tblPr>
        <w:tblW w:w="11070" w:type="dxa"/>
        <w:jc w:val="left"/>
        <w:tblInd w:w="0" w:type="dxa"/>
        <w:tblLayout w:type="fixed"/>
        <w:tblCellMar>
          <w:top w:w="160" w:type="dxa"/>
          <w:left w:w="0" w:type="dxa"/>
          <w:bottom w:w="0" w:type="dxa"/>
          <w:right w:w="0" w:type="dxa"/>
        </w:tblCellMar>
      </w:tblPr>
      <w:tblGrid>
        <w:gridCol w:w="5385"/>
        <w:gridCol w:w="5685"/>
      </w:tblGrid>
      <w:tr>
        <w:trPr/>
        <w:tc>
          <w:tcPr>
            <w:tcW w:w="5385" w:type="dxa"/>
            <w:tcBorders>
              <w:top w:val="single" w:sz="2" w:space="0" w:color="C12E33"/>
            </w:tcBorders>
            <w:shd w:fill="EDEDED" w:val="clear"/>
            <w:vAlign w:val="center"/>
          </w:tcPr>
          <w:p>
            <w:pPr>
              <w:pStyle w:val="TableContents"/>
              <w:bidi w:val="0"/>
              <w:spacing w:before="0" w:after="0"/>
              <w:jc w:val="center"/>
              <w:rPr>
                <w:b/>
              </w:rPr>
            </w:pPr>
            <w:r>
              <w:rPr>
                <w:b/>
              </w:rPr>
              <w:t>TENURE ON RTX BOARD</w:t>
            </w:r>
          </w:p>
          <w:p>
            <w:pPr>
              <w:pStyle w:val="TableContents"/>
              <w:bidi w:val="0"/>
              <w:spacing w:before="280" w:after="0"/>
              <w:jc w:val="center"/>
              <w:rPr/>
            </w:pPr>
            <w:r>
              <w:rPr/>
              <w:drawing>
                <wp:inline distT="0" distB="0" distL="0" distR="0">
                  <wp:extent cx="3419475" cy="11372850"/>
                  <wp:effectExtent l="0" t="0" r="0" b="0"/>
                  <wp:docPr id="118"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110" descr=""/>
                          <pic:cNvPicPr>
                            <a:picLocks noChangeAspect="1" noChangeArrowheads="1"/>
                          </pic:cNvPicPr>
                        </pic:nvPicPr>
                        <pic:blipFill>
                          <a:blip r:embed="rId115"/>
                          <a:stretch>
                            <a:fillRect/>
                          </a:stretch>
                        </pic:blipFill>
                        <pic:spPr bwMode="auto">
                          <a:xfrm>
                            <a:off x="0" y="0"/>
                            <a:ext cx="3419475" cy="11372850"/>
                          </a:xfrm>
                          <a:prstGeom prst="rect">
                            <a:avLst/>
                          </a:prstGeom>
                        </pic:spPr>
                      </pic:pic>
                    </a:graphicData>
                  </a:graphic>
                </wp:inline>
              </w:drawing>
            </w:r>
          </w:p>
        </w:tc>
        <w:tc>
          <w:tcPr>
            <w:tcW w:w="5685" w:type="dxa"/>
            <w:tcBorders>
              <w:top w:val="single" w:sz="2" w:space="0" w:color="C12E33"/>
            </w:tcBorders>
            <w:shd w:fill="EDEDED" w:val="clear"/>
            <w:vAlign w:val="center"/>
          </w:tcPr>
          <w:p>
            <w:pPr>
              <w:pStyle w:val="TableContents"/>
              <w:bidi w:val="0"/>
              <w:spacing w:before="0" w:after="0"/>
              <w:jc w:val="center"/>
              <w:rPr>
                <w:b/>
              </w:rPr>
            </w:pPr>
            <w:r>
              <w:rPr>
                <w:b/>
              </w:rPr>
              <w:t>AGE OF NOMINEES</w:t>
            </w:r>
          </w:p>
          <w:p>
            <w:pPr>
              <w:pStyle w:val="TableContents"/>
              <w:bidi w:val="0"/>
              <w:spacing w:before="280" w:after="0"/>
              <w:jc w:val="center"/>
              <w:rPr/>
            </w:pPr>
            <w:r>
              <w:rPr/>
              <w:drawing>
                <wp:inline distT="0" distB="0" distL="0" distR="0">
                  <wp:extent cx="3609975" cy="11372850"/>
                  <wp:effectExtent l="0" t="0" r="0" b="0"/>
                  <wp:docPr id="119"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111" descr=""/>
                          <pic:cNvPicPr>
                            <a:picLocks noChangeAspect="1" noChangeArrowheads="1"/>
                          </pic:cNvPicPr>
                        </pic:nvPicPr>
                        <pic:blipFill>
                          <a:blip r:embed="rId116"/>
                          <a:stretch>
                            <a:fillRect/>
                          </a:stretch>
                        </pic:blipFill>
                        <pic:spPr bwMode="auto">
                          <a:xfrm>
                            <a:off x="0" y="0"/>
                            <a:ext cx="3609975" cy="11372850"/>
                          </a:xfrm>
                          <a:prstGeom prst="rect">
                            <a:avLst/>
                          </a:prstGeom>
                        </pic:spPr>
                      </pic:pic>
                    </a:graphicData>
                  </a:graphic>
                </wp:inline>
              </w:drawing>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BOARD ENGAGEMENT IN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Our Board worked closely with management in 2025 to provide robust oversight of RTX’s strategic priorities (such as our investments in technology and our initiatives to enhance our enterprise systems) and of the risks and opportunities associated with our efforts to increase production and manage our supply chain.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11"/>
        <w:gridCol w:w="60"/>
        <w:gridCol w:w="5134"/>
      </w:tblGrid>
      <w:tr>
        <w:trPr/>
        <w:tc>
          <w:tcPr>
            <w:tcW w:w="5011" w:type="dxa"/>
            <w:tcBorders/>
            <w:vAlign w:val="center"/>
          </w:tcPr>
          <w:p>
            <w:pPr>
              <w:pStyle w:val="TableContents"/>
              <w:bidi w:val="0"/>
              <w:spacing w:before="0" w:after="283"/>
              <w:jc w:val="left"/>
              <w:rPr>
                <w:b/>
                <w:sz w:val="48"/>
              </w:rPr>
            </w:pPr>
            <w:r>
              <w:rPr>
                <w:b/>
                <w:sz w:val="48"/>
              </w:rPr>
              <w:t xml:space="preserve">99% </w:t>
            </w:r>
          </w:p>
        </w:tc>
        <w:tc>
          <w:tcPr>
            <w:tcW w:w="60" w:type="dxa"/>
            <w:tcBorders/>
            <w:vAlign w:val="center"/>
          </w:tcPr>
          <w:p>
            <w:pPr>
              <w:pStyle w:val="TableContents"/>
              <w:bidi w:val="0"/>
              <w:spacing w:before="0" w:after="283"/>
              <w:jc w:val="left"/>
              <w:rPr/>
            </w:pPr>
            <w:r>
              <w:rPr/>
              <w:t> </w:t>
            </w:r>
          </w:p>
        </w:tc>
        <w:tc>
          <w:tcPr>
            <w:tcW w:w="5134" w:type="dxa"/>
            <w:tcBorders/>
            <w:vAlign w:val="center"/>
          </w:tcPr>
          <w:p>
            <w:pPr>
              <w:pStyle w:val="TableContents"/>
              <w:bidi w:val="0"/>
              <w:spacing w:before="0" w:after="283"/>
              <w:jc w:val="left"/>
              <w:rPr>
                <w:sz w:val="48"/>
              </w:rPr>
            </w:pPr>
            <w:r>
              <w:rPr>
                <w:b/>
                <w:sz w:val="48"/>
              </w:rPr>
              <w:t>0</w:t>
            </w:r>
            <w:r>
              <w:rPr>
                <w:sz w:val="48"/>
              </w:rPr>
              <w:t> </w:t>
            </w:r>
          </w:p>
        </w:tc>
      </w:tr>
      <w:tr>
        <w:trPr/>
        <w:tc>
          <w:tcPr>
            <w:tcW w:w="5011" w:type="dxa"/>
            <w:tcBorders/>
            <w:vAlign w:val="center"/>
          </w:tcPr>
          <w:p>
            <w:pPr>
              <w:pStyle w:val="TableContents"/>
              <w:bidi w:val="0"/>
              <w:spacing w:before="0" w:after="283"/>
              <w:jc w:val="left"/>
              <w:rPr>
                <w:b/>
              </w:rPr>
            </w:pPr>
            <w:r>
              <w:rPr>
                <w:b/>
              </w:rPr>
              <w:t>overall attendance by directors at the six Board meetings held during 2025</w:t>
            </w:r>
          </w:p>
        </w:tc>
        <w:tc>
          <w:tcPr>
            <w:tcW w:w="60" w:type="dxa"/>
            <w:tcBorders/>
            <w:vAlign w:val="center"/>
          </w:tcPr>
          <w:p>
            <w:pPr>
              <w:pStyle w:val="TableContents"/>
              <w:bidi w:val="0"/>
              <w:spacing w:before="0" w:after="283"/>
              <w:jc w:val="left"/>
              <w:rPr/>
            </w:pPr>
            <w:r>
              <w:rPr/>
              <w:t> </w:t>
            </w:r>
          </w:p>
        </w:tc>
        <w:tc>
          <w:tcPr>
            <w:tcW w:w="5134" w:type="dxa"/>
            <w:tcBorders/>
            <w:vAlign w:val="center"/>
          </w:tcPr>
          <w:p>
            <w:pPr>
              <w:pStyle w:val="TableContents"/>
              <w:bidi w:val="0"/>
              <w:spacing w:before="0" w:after="283"/>
              <w:jc w:val="left"/>
              <w:rPr>
                <w:b/>
              </w:rPr>
            </w:pPr>
            <w:r>
              <w:rPr>
                <w:b/>
              </w:rPr>
              <w:t>number of special Board and Committee meetings during 2025</w:t>
            </w:r>
          </w:p>
        </w:tc>
      </w:tr>
      <w:tr>
        <w:trPr/>
        <w:tc>
          <w:tcPr>
            <w:tcW w:w="5011" w:type="dxa"/>
            <w:tcBorders/>
            <w:vAlign w:val="center"/>
          </w:tcPr>
          <w:p>
            <w:pPr>
              <w:pStyle w:val="TableContents"/>
              <w:bidi w:val="0"/>
              <w:spacing w:before="0" w:after="283"/>
              <w:jc w:val="left"/>
              <w:rPr>
                <w:sz w:val="48"/>
              </w:rPr>
            </w:pPr>
            <w:r>
              <w:rPr>
                <w:b/>
                <w:sz w:val="48"/>
              </w:rPr>
              <w:t xml:space="preserve">99% </w:t>
            </w:r>
            <w:r>
              <w:rPr>
                <w:sz w:val="48"/>
              </w:rPr>
              <w:t> </w:t>
            </w:r>
          </w:p>
        </w:tc>
        <w:tc>
          <w:tcPr>
            <w:tcW w:w="60" w:type="dxa"/>
            <w:tcBorders/>
            <w:vAlign w:val="center"/>
          </w:tcPr>
          <w:p>
            <w:pPr>
              <w:pStyle w:val="TableContents"/>
              <w:bidi w:val="0"/>
              <w:spacing w:before="0" w:after="283"/>
              <w:jc w:val="left"/>
              <w:rPr/>
            </w:pPr>
            <w:r>
              <w:rPr/>
              <w:t> </w:t>
            </w:r>
          </w:p>
        </w:tc>
        <w:tc>
          <w:tcPr>
            <w:tcW w:w="5134" w:type="dxa"/>
            <w:tcBorders/>
            <w:vAlign w:val="center"/>
          </w:tcPr>
          <w:p>
            <w:pPr>
              <w:pStyle w:val="TableContents"/>
              <w:bidi w:val="0"/>
              <w:spacing w:before="0" w:after="283"/>
              <w:jc w:val="left"/>
              <w:rPr>
                <w:sz w:val="48"/>
              </w:rPr>
            </w:pPr>
            <w:r>
              <w:rPr>
                <w:b/>
                <w:sz w:val="48"/>
              </w:rPr>
              <w:t xml:space="preserve">100% </w:t>
            </w:r>
            <w:r>
              <w:rPr>
                <w:sz w:val="48"/>
              </w:rPr>
              <w:t> </w:t>
            </w:r>
          </w:p>
        </w:tc>
      </w:tr>
      <w:tr>
        <w:trPr/>
        <w:tc>
          <w:tcPr>
            <w:tcW w:w="5011" w:type="dxa"/>
            <w:tcBorders/>
            <w:vAlign w:val="center"/>
          </w:tcPr>
          <w:p>
            <w:pPr>
              <w:pStyle w:val="TableContents"/>
              <w:bidi w:val="0"/>
              <w:spacing w:before="0" w:after="283"/>
              <w:jc w:val="left"/>
              <w:rPr>
                <w:b/>
              </w:rPr>
            </w:pPr>
            <w:r>
              <w:rPr>
                <w:b/>
              </w:rPr>
              <w:t>overall attendance by directors at Board and Committee meetings in 2025</w:t>
            </w:r>
          </w:p>
        </w:tc>
        <w:tc>
          <w:tcPr>
            <w:tcW w:w="60" w:type="dxa"/>
            <w:tcBorders/>
            <w:vAlign w:val="center"/>
          </w:tcPr>
          <w:p>
            <w:pPr>
              <w:pStyle w:val="TableContents"/>
              <w:bidi w:val="0"/>
              <w:spacing w:before="0" w:after="283"/>
              <w:jc w:val="left"/>
              <w:rPr/>
            </w:pPr>
            <w:r>
              <w:rPr/>
              <w:t> </w:t>
            </w:r>
          </w:p>
        </w:tc>
        <w:tc>
          <w:tcPr>
            <w:tcW w:w="5134" w:type="dxa"/>
            <w:tcBorders/>
            <w:vAlign w:val="center"/>
          </w:tcPr>
          <w:p>
            <w:pPr>
              <w:pStyle w:val="TableContents"/>
              <w:bidi w:val="0"/>
              <w:spacing w:before="0" w:after="283"/>
              <w:jc w:val="left"/>
              <w:rPr>
                <w:b/>
              </w:rPr>
            </w:pPr>
            <w:r>
              <w:rPr>
                <w:b/>
              </w:rPr>
              <w:t>overall attendance by directors at the 2025 Annual Meeting of Shareowners</w:t>
            </w:r>
          </w:p>
        </w:tc>
      </w:tr>
    </w:tbl>
    <w:tbl>
      <w:tblPr>
        <w:tblW w:w="3935" w:type="dxa"/>
        <w:jc w:val="left"/>
        <w:tblInd w:w="0" w:type="dxa"/>
        <w:tblLayout w:type="fixed"/>
        <w:tblCellMar>
          <w:top w:w="0" w:type="dxa"/>
          <w:left w:w="0" w:type="dxa"/>
          <w:bottom w:w="0" w:type="dxa"/>
          <w:right w:w="0" w:type="dxa"/>
        </w:tblCellMar>
      </w:tblPr>
      <w:tblGrid>
        <w:gridCol w:w="3860"/>
        <w:gridCol w:w="75"/>
      </w:tblGrid>
      <w:tr>
        <w:trPr/>
        <w:tc>
          <w:tcPr>
            <w:tcW w:w="38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860" w:type="dxa"/>
            <w:tcBorders>
              <w:bottom w:val="single" w:sz="2" w:space="0" w:color="C12E33"/>
            </w:tcBorders>
            <w:tcMar>
              <w:bottom w:w="40" w:type="dxa"/>
            </w:tcMar>
            <w:vAlign w:val="center"/>
          </w:tcPr>
          <w:p>
            <w:pPr>
              <w:pStyle w:val="TableContents"/>
              <w:bidi w:val="0"/>
              <w:spacing w:before="0" w:after="283"/>
              <w:jc w:val="left"/>
              <w:rPr>
                <w:b/>
              </w:rPr>
            </w:pPr>
            <w:r>
              <w:rPr>
                <w:b/>
              </w:rPr>
              <w:t>Board oversight priorities and actions</w:t>
            </w:r>
          </w:p>
        </w:tc>
        <w:tc>
          <w:tcPr>
            <w:tcW w:w="75" w:type="dxa"/>
            <w:tcBorders/>
            <w:vAlign w:val="center"/>
          </w:tcPr>
          <w:p>
            <w:pPr>
              <w:pStyle w:val="TableContents"/>
              <w:bidi w:val="0"/>
              <w:spacing w:before="0" w:after="283"/>
              <w:jc w:val="left"/>
              <w:rPr/>
            </w:pPr>
            <w:r>
              <w:rPr/>
              <w:t> </w:t>
            </w:r>
          </w:p>
        </w:tc>
      </w:tr>
      <w:tr>
        <w:trPr/>
        <w:tc>
          <w:tcPr>
            <w:tcW w:w="38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pPr>
            <w:r>
              <w:rPr/>
              <w:t>•</w:t>
            </w:r>
          </w:p>
        </w:tc>
        <w:tc>
          <w:tcPr>
            <w:tcW w:w="10080" w:type="dxa"/>
            <w:tcBorders/>
            <w:vAlign w:val="center"/>
          </w:tcPr>
          <w:p>
            <w:pPr>
              <w:pStyle w:val="TableContents"/>
              <w:bidi w:val="0"/>
              <w:spacing w:before="0" w:after="283"/>
              <w:jc w:val="left"/>
              <w:rPr/>
            </w:pPr>
            <w:r>
              <w:rPr/>
              <w:t>Reviewing execution of our key business and financial priorities, including our initiatives to increase production and foster supply chain resiliency</w:t>
            </w:r>
          </w:p>
        </w:tc>
      </w:tr>
      <w:tr>
        <w:trPr/>
        <w:tc>
          <w:tcPr>
            <w:tcW w:w="125" w:type="dxa"/>
            <w:tcBorders/>
            <w:vAlign w:val="center"/>
          </w:tcPr>
          <w:p>
            <w:pPr>
              <w:pStyle w:val="TableContents"/>
              <w:bidi w:val="0"/>
              <w:spacing w:before="0" w:after="283"/>
              <w:jc w:val="left"/>
              <w:rPr/>
            </w:pPr>
            <w:r>
              <w:rPr/>
              <w:t>•</w:t>
            </w:r>
          </w:p>
        </w:tc>
        <w:tc>
          <w:tcPr>
            <w:tcW w:w="10080" w:type="dxa"/>
            <w:tcBorders/>
            <w:vAlign w:val="center"/>
          </w:tcPr>
          <w:p>
            <w:pPr>
              <w:pStyle w:val="TableContents"/>
              <w:bidi w:val="0"/>
              <w:spacing w:before="0" w:after="283"/>
              <w:jc w:val="left"/>
              <w:rPr/>
            </w:pPr>
            <w:r>
              <w:rPr/>
              <w:t>Assessing our risk management approach, including the risks and opportunities associated with global defense spending, commercial aerospace demand and the cross-border regulatory environment</w:t>
            </w:r>
          </w:p>
        </w:tc>
      </w:tr>
      <w:tr>
        <w:trPr/>
        <w:tc>
          <w:tcPr>
            <w:tcW w:w="125" w:type="dxa"/>
            <w:tcBorders/>
            <w:vAlign w:val="center"/>
          </w:tcPr>
          <w:p>
            <w:pPr>
              <w:pStyle w:val="TableContents"/>
              <w:bidi w:val="0"/>
              <w:spacing w:before="0" w:after="283"/>
              <w:jc w:val="left"/>
              <w:rPr/>
            </w:pPr>
            <w:r>
              <w:rPr/>
              <w:t>•</w:t>
            </w:r>
          </w:p>
        </w:tc>
        <w:tc>
          <w:tcPr>
            <w:tcW w:w="10080" w:type="dxa"/>
            <w:tcBorders/>
            <w:vAlign w:val="center"/>
          </w:tcPr>
          <w:p>
            <w:pPr>
              <w:pStyle w:val="TableContents"/>
              <w:bidi w:val="0"/>
              <w:spacing w:before="0" w:after="283"/>
              <w:jc w:val="left"/>
              <w:rPr/>
            </w:pPr>
            <w:r>
              <w:rPr/>
              <w:t>Strategic review of capital deployment, including technological investment, potential acquisitions and divestitures, and return of capital to shareowners</w:t>
            </w:r>
          </w:p>
        </w:tc>
      </w:tr>
      <w:tr>
        <w:trPr/>
        <w:tc>
          <w:tcPr>
            <w:tcW w:w="125" w:type="dxa"/>
            <w:tcBorders/>
            <w:vAlign w:val="center"/>
          </w:tcPr>
          <w:p>
            <w:pPr>
              <w:pStyle w:val="TableContents"/>
              <w:bidi w:val="0"/>
              <w:spacing w:before="0" w:after="283"/>
              <w:jc w:val="left"/>
              <w:rPr/>
            </w:pPr>
            <w:r>
              <w:rPr/>
              <w:t>•</w:t>
            </w:r>
          </w:p>
        </w:tc>
        <w:tc>
          <w:tcPr>
            <w:tcW w:w="10080" w:type="dxa"/>
            <w:tcBorders/>
            <w:vAlign w:val="center"/>
          </w:tcPr>
          <w:p>
            <w:pPr>
              <w:pStyle w:val="TableContents"/>
              <w:bidi w:val="0"/>
              <w:spacing w:before="0" w:after="283"/>
              <w:jc w:val="left"/>
              <w:rPr/>
            </w:pPr>
            <w:r>
              <w:rPr/>
              <w:t>Enhancing our enterprise systems, including through reviews of our safety and quality programs, cybersecurity reviews and incident response briefings</w:t>
            </w:r>
          </w:p>
        </w:tc>
      </w:tr>
      <w:tr>
        <w:trPr/>
        <w:tc>
          <w:tcPr>
            <w:tcW w:w="125" w:type="dxa"/>
            <w:tcBorders/>
            <w:vAlign w:val="center"/>
          </w:tcPr>
          <w:p>
            <w:pPr>
              <w:pStyle w:val="TableContents"/>
              <w:bidi w:val="0"/>
              <w:spacing w:before="0" w:after="283"/>
              <w:jc w:val="left"/>
              <w:rPr/>
            </w:pPr>
            <w:r>
              <w:rPr/>
              <w:t>•</w:t>
            </w:r>
          </w:p>
        </w:tc>
        <w:tc>
          <w:tcPr>
            <w:tcW w:w="10080" w:type="dxa"/>
            <w:tcBorders/>
            <w:vAlign w:val="center"/>
          </w:tcPr>
          <w:p>
            <w:pPr>
              <w:pStyle w:val="TableContents"/>
              <w:bidi w:val="0"/>
              <w:spacing w:before="0" w:after="283"/>
              <w:jc w:val="left"/>
              <w:rPr/>
            </w:pPr>
            <w:r>
              <w:rPr/>
              <w:t>Our response to evolving geopolitical and other external conditions, including tariffs and counter-tariffs and other governmental measures</w:t>
            </w:r>
          </w:p>
        </w:tc>
      </w:tr>
      <w:tr>
        <w:trPr/>
        <w:tc>
          <w:tcPr>
            <w:tcW w:w="125" w:type="dxa"/>
            <w:tcBorders/>
            <w:vAlign w:val="center"/>
          </w:tcPr>
          <w:p>
            <w:pPr>
              <w:pStyle w:val="TableContents"/>
              <w:bidi w:val="0"/>
              <w:spacing w:before="0" w:after="283"/>
              <w:jc w:val="left"/>
              <w:rPr/>
            </w:pPr>
            <w:r>
              <w:rPr/>
              <w:t>•</w:t>
            </w:r>
          </w:p>
        </w:tc>
        <w:tc>
          <w:tcPr>
            <w:tcW w:w="10080" w:type="dxa"/>
            <w:tcBorders/>
            <w:vAlign w:val="center"/>
          </w:tcPr>
          <w:p>
            <w:pPr>
              <w:pStyle w:val="TableContents"/>
              <w:bidi w:val="0"/>
              <w:spacing w:before="0" w:after="283"/>
              <w:jc w:val="left"/>
              <w:rPr/>
            </w:pPr>
            <w:r>
              <w:rPr/>
              <w:t>Evaluating Board and Committee composition and leadership, as well as planning for anticipated Board refreshment and reviewing our senior management succession strategy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right"/>
        <w:rPr/>
      </w:pPr>
      <w:r>
        <w:rPr>
          <w:rFonts w:ascii="Arial;Helvetica;Sans-Serif" w:hAnsi="Arial;Helvetica;Sans-Serif"/>
          <w:b/>
          <w:sz w:val="15"/>
        </w:rPr>
        <w:t>RTX</w:t>
      </w:r>
      <w:r>
        <w:rPr/>
        <w:t xml:space="preserve"> </w:t>
      </w:r>
      <w:r>
        <w:rPr>
          <w:rFonts w:ascii="Arial;Helvetica;Sans-Serif" w:hAnsi="Arial;Helvetica;Sans-Serif"/>
          <w:sz w:val="15"/>
        </w:rPr>
        <w:t>2026 PROXY STATEMENT    </w:t>
      </w:r>
      <w:r>
        <w:rPr>
          <w:rFonts w:ascii="Arial;Helvetica;Sans-Serif" w:hAnsi="Arial;Helvetica;Sans-Serif"/>
          <w:b/>
          <w:sz w:val="15"/>
        </w:rPr>
        <w:t>9</w:t>
      </w:r>
    </w:p>
    <w:p>
      <w:pPr>
        <w:pStyle w:val="HorizontalLine"/>
        <w:pBdr>
          <w:bottom w:val="double" w:sz="2" w:space="0" w:color="808080"/>
        </w:pBdr>
        <w:bidi w:val="0"/>
        <w:spacing w:before="0" w:after="283"/>
        <w:jc w:val="left"/>
        <w:rPr/>
      </w:pPr>
      <w:r>
        <w:rPr/>
      </w:r>
    </w:p>
    <w:p>
      <w:pPr>
        <w:pStyle w:val="TextBody"/>
        <w:bidi w:val="0"/>
        <w:spacing w:before="200" w:after="200"/>
        <w:jc w:val="left"/>
        <w:rPr/>
      </w:pPr>
      <w:hyperlink w:anchor="toc">
        <w:r>
          <w:rPr>
            <w:rStyle w:val="InternetLink"/>
            <w:rFonts w:ascii="Arial;Helvetica;Sans-Serif" w:hAnsi="Arial;Helvetica;Sans-Serif"/>
            <w:b/>
            <w:i w:val="false"/>
            <w:caps w:val="false"/>
            <w:smallCaps w:val="false"/>
            <w:sz w:val="16"/>
          </w:rPr>
          <w:t>Table of Contents</w:t>
        </w:r>
      </w:hyperlink>
    </w:p>
    <w:p>
      <w:pPr>
        <w:pStyle w:val="TextBody"/>
        <w:bidi w:val="0"/>
        <w:jc w:val="left"/>
        <w:rPr>
          <w:shd w:fill="B2B2B0" w:val="clear"/>
        </w:rPr>
      </w:pPr>
      <w:r>
        <w:rPr>
          <w:rFonts w:ascii="Arial;Helvetica;Sans-Serif" w:hAnsi="Arial;Helvetica;Sans-Serif"/>
          <w:b/>
          <w:i w:val="false"/>
          <w:caps w:val="false"/>
          <w:smallCaps w:val="false"/>
          <w:color w:val="FFFFFF"/>
          <w:sz w:val="15"/>
          <w:shd w:fill="B2B2B0" w:val="clear"/>
        </w:rPr>
        <w:t>PROXY SUMMARY</w:t>
      </w:r>
      <w:r>
        <w:rPr>
          <w:color w:val="FFFFFF"/>
          <w:shd w:fill="B2B2B0" w:val="clear"/>
        </w:rPr>
        <w:br/>
      </w:r>
      <w:r>
        <w:rPr>
          <w:rFonts w:ascii="Arial;Helvetica;Sans-Serif" w:hAnsi="Arial;Helvetica;Sans-Serif"/>
          <w:b w:val="false"/>
          <w:i w:val="false"/>
          <w:caps w:val="false"/>
          <w:smallCaps w:val="false"/>
          <w:color w:val="FFFFFF"/>
          <w:sz w:val="15"/>
          <w:shd w:fill="B2B2B0" w:val="clear"/>
        </w:rPr>
        <w:t>GOVERNANCE AND BOARD 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STRENGTHENING DIRECTOR OVERSIGHT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Essential to each director’s ability to provide robust and effective oversight is a deep understanding of our businesses, our strategic focus and the significant risks we may encounter, as well as an ongoing awareness of new developments and emerging risks that may arise during their Board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Below are some of the ways in which our directors are able to gain such understanding and awareness.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100" w:type="dxa"/>
          <w:left w:w="0" w:type="dxa"/>
          <w:bottom w:w="0" w:type="dxa"/>
          <w:right w:w="0" w:type="dxa"/>
        </w:tblCellMar>
      </w:tblPr>
      <w:tblGrid>
        <w:gridCol w:w="4964"/>
        <w:gridCol w:w="60"/>
        <w:gridCol w:w="5181"/>
      </w:tblGrid>
      <w:tr>
        <w:trPr/>
        <w:tc>
          <w:tcPr>
            <w:tcW w:w="4964" w:type="dxa"/>
            <w:tcBorders>
              <w:top w:val="single" w:sz="2" w:space="0" w:color="C12E33"/>
            </w:tcBorders>
            <w:shd w:fill="EDEDEE" w:val="clear"/>
            <w:vAlign w:val="center"/>
          </w:tcPr>
          <w:p>
            <w:pPr>
              <w:pStyle w:val="TableContents"/>
              <w:bidi w:val="0"/>
              <w:spacing w:before="0" w:after="0"/>
              <w:ind w:left="0" w:right="0" w:hanging="0"/>
              <w:jc w:val="left"/>
              <w:rPr>
                <w:b/>
                <w:sz w:val="22"/>
              </w:rPr>
            </w:pPr>
            <w:r>
              <w:rPr>
                <w:b/>
                <w:sz w:val="22"/>
              </w:rPr>
              <w:t xml:space="preserve">Independent Lead Director Role </w:t>
            </w:r>
          </w:p>
          <w:p>
            <w:pPr>
              <w:pStyle w:val="TableContents"/>
              <w:bidi w:val="0"/>
              <w:spacing w:before="100" w:after="0"/>
              <w:ind w:left="0" w:right="0" w:hanging="0"/>
              <w:jc w:val="left"/>
              <w:rPr/>
            </w:pPr>
            <w:r>
              <w:rPr/>
              <w:t>Our Independent Lead Director plays a crucial role in facilitating the Board’s independent oversight. The Independent Lead Director regularly communicates with other directors, both in executive sessions and outside of Board meetings, to solicit feedback on Board matters, succession planning and management development, among other topics. The Independent Lead Director also collaborates with the Chairman &amp; CEO on meeting agendas and communicates with the Chairman &amp; CEO and other directors on developments in the Company’s business, emerging risks and issues, and Board operational and governance matters.</w:t>
            </w:r>
          </w:p>
        </w:tc>
        <w:tc>
          <w:tcPr>
            <w:tcW w:w="60" w:type="dxa"/>
            <w:tcBorders/>
            <w:tcMar>
              <w:top w:w="0" w:type="dxa"/>
            </w:tcMar>
            <w:vAlign w:val="center"/>
          </w:tcPr>
          <w:p>
            <w:pPr>
              <w:pStyle w:val="TableContents"/>
              <w:bidi w:val="0"/>
              <w:spacing w:before="0" w:after="283"/>
              <w:jc w:val="left"/>
              <w:rPr/>
            </w:pPr>
            <w:r>
              <w:rPr/>
              <w:t> </w:t>
            </w:r>
          </w:p>
        </w:tc>
        <w:tc>
          <w:tcPr>
            <w:tcW w:w="5181" w:type="dxa"/>
            <w:tcBorders>
              <w:top w:val="single" w:sz="2" w:space="0" w:color="C12E33"/>
            </w:tcBorders>
            <w:shd w:fill="EDEDEE" w:val="clear"/>
            <w:vAlign w:val="center"/>
          </w:tcPr>
          <w:p>
            <w:pPr>
              <w:pStyle w:val="TableContents"/>
              <w:bidi w:val="0"/>
              <w:spacing w:before="0" w:after="0"/>
              <w:ind w:left="0" w:right="0" w:hanging="0"/>
              <w:jc w:val="left"/>
              <w:rPr>
                <w:b/>
                <w:sz w:val="22"/>
              </w:rPr>
            </w:pPr>
            <w:r>
              <w:rPr>
                <w:b/>
                <w:sz w:val="22"/>
              </w:rPr>
              <w:t xml:space="preserve">Employee Engagement and Site Visits </w:t>
            </w:r>
          </w:p>
          <w:p>
            <w:pPr>
              <w:pStyle w:val="TableContents"/>
              <w:bidi w:val="0"/>
              <w:spacing w:before="100" w:after="0"/>
              <w:ind w:left="0" w:right="0" w:hanging="0"/>
              <w:jc w:val="left"/>
              <w:rPr/>
            </w:pPr>
            <w:r>
              <w:rPr/>
              <w:t>As part of their continuing education, our directors participate in employee engagement events and the Board visits at least one of our businesses each year. In 2025 the Board visited Raytheon’s facilities in Andover, Massachusetts, which include Raytheon’s Patriot Lower Tier Air and Missile Defense Sensor production, and Collins Aerospace’s facilities in Rockford, Illinois, home to the Collins Aerospace electrical systems business. Site visits and other employee engagement events give directors a firsthand understanding of the operations of the business and the opportunity to interact with employees and key executives.</w:t>
            </w:r>
          </w:p>
        </w:tc>
      </w:tr>
      <w:tr>
        <w:trPr/>
        <w:tc>
          <w:tcPr>
            <w:tcW w:w="4964" w:type="dxa"/>
            <w:tcBorders/>
            <w:tcMar>
              <w:top w:w="0" w:type="dxa"/>
            </w:tcMar>
            <w:vAlign w:val="center"/>
          </w:tcPr>
          <w:p>
            <w:pPr>
              <w:pStyle w:val="TableContents"/>
              <w:bidi w:val="0"/>
              <w:spacing w:before="0" w:after="283"/>
              <w:jc w:val="left"/>
              <w:rPr/>
            </w:pPr>
            <w:r>
              <w:rPr/>
              <w:t> </w:t>
            </w:r>
          </w:p>
        </w:tc>
        <w:tc>
          <w:tcPr>
            <w:tcW w:w="60" w:type="dxa"/>
            <w:tcBorders/>
            <w:tcMar>
              <w:top w:w="0" w:type="dxa"/>
            </w:tcMar>
            <w:vAlign w:val="center"/>
          </w:tcPr>
          <w:p>
            <w:pPr>
              <w:pStyle w:val="TableContents"/>
              <w:bidi w:val="0"/>
              <w:spacing w:before="0" w:after="283"/>
              <w:jc w:val="left"/>
              <w:rPr/>
            </w:pPr>
            <w:r>
              <w:rPr/>
              <w:t> </w:t>
            </w:r>
          </w:p>
        </w:tc>
        <w:tc>
          <w:tcPr>
            <w:tcW w:w="5181" w:type="dxa"/>
            <w:tcBorders/>
            <w:tcMar>
              <w:top w:w="0" w:type="dxa"/>
            </w:tcMar>
            <w:vAlign w:val="center"/>
          </w:tcPr>
          <w:p>
            <w:pPr>
              <w:pStyle w:val="TableContents"/>
              <w:bidi w:val="0"/>
              <w:spacing w:before="0" w:after="283"/>
              <w:jc w:val="left"/>
              <w:rPr/>
            </w:pPr>
            <w:r>
              <w:rPr/>
              <w:t> </w:t>
            </w:r>
          </w:p>
        </w:tc>
      </w:tr>
      <w:tr>
        <w:trPr/>
        <w:tc>
          <w:tcPr>
            <w:tcW w:w="4964" w:type="dxa"/>
            <w:tcBorders>
              <w:top w:val="single" w:sz="2" w:space="0" w:color="C12E33"/>
            </w:tcBorders>
            <w:shd w:fill="EDEDEE" w:val="clear"/>
            <w:vAlign w:val="center"/>
          </w:tcPr>
          <w:p>
            <w:pPr>
              <w:pStyle w:val="TableContents"/>
              <w:bidi w:val="0"/>
              <w:spacing w:before="0" w:after="0"/>
              <w:ind w:left="0" w:right="0" w:hanging="0"/>
              <w:jc w:val="left"/>
              <w:rPr>
                <w:b/>
                <w:sz w:val="22"/>
              </w:rPr>
            </w:pPr>
            <w:r>
              <w:rPr>
                <w:b/>
                <w:sz w:val="22"/>
              </w:rPr>
              <w:t xml:space="preserve">Strategy and Business Plan Reviews </w:t>
            </w:r>
          </w:p>
          <w:p>
            <w:pPr>
              <w:pStyle w:val="TableContents"/>
              <w:bidi w:val="0"/>
              <w:spacing w:before="100" w:after="0"/>
              <w:ind w:left="0" w:right="0" w:hanging="0"/>
              <w:jc w:val="left"/>
              <w:rPr/>
            </w:pPr>
            <w:r>
              <w:rPr/>
              <w:t>The Board regularly holds meetings with senior management to review the strategy and long-range plans for each of our businesses and to discuss other topics, such as key areas of focus and significant emerging risks. We also regularly engage in a rigorous portfolio review process to identify opportunities to optimize our portfolio, as reflected in 2025 by the divestiture of Collins Aerospace’s actuation and flight control business and the Simmonds Precision Products business.</w:t>
            </w:r>
          </w:p>
        </w:tc>
        <w:tc>
          <w:tcPr>
            <w:tcW w:w="60" w:type="dxa"/>
            <w:tcBorders/>
            <w:tcMar>
              <w:top w:w="0" w:type="dxa"/>
            </w:tcMar>
            <w:vAlign w:val="center"/>
          </w:tcPr>
          <w:p>
            <w:pPr>
              <w:pStyle w:val="TableContents"/>
              <w:bidi w:val="0"/>
              <w:spacing w:before="0" w:after="283"/>
              <w:jc w:val="left"/>
              <w:rPr/>
            </w:pPr>
            <w:r>
              <w:rPr/>
              <w:t> </w:t>
            </w:r>
          </w:p>
        </w:tc>
        <w:tc>
          <w:tcPr>
            <w:tcW w:w="5181" w:type="dxa"/>
            <w:tcBorders>
              <w:top w:val="single" w:sz="2" w:space="0" w:color="C12E33"/>
            </w:tcBorders>
            <w:shd w:fill="EDEDEE" w:val="clear"/>
            <w:vAlign w:val="center"/>
          </w:tcPr>
          <w:p>
            <w:pPr>
              <w:pStyle w:val="TableContents"/>
              <w:bidi w:val="0"/>
              <w:spacing w:before="0" w:after="0"/>
              <w:ind w:left="0" w:right="0" w:hanging="0"/>
              <w:jc w:val="left"/>
              <w:rPr>
                <w:b/>
                <w:sz w:val="22"/>
              </w:rPr>
            </w:pPr>
            <w:r>
              <w:rPr>
                <w:b/>
                <w:sz w:val="22"/>
              </w:rPr>
              <w:t xml:space="preserve">Direct Interaction with Management </w:t>
            </w:r>
          </w:p>
          <w:p>
            <w:pPr>
              <w:pStyle w:val="TableContents"/>
              <w:bidi w:val="0"/>
              <w:spacing w:before="100" w:after="0"/>
              <w:ind w:left="0" w:right="0" w:hanging="0"/>
              <w:jc w:val="left"/>
              <w:rPr/>
            </w:pPr>
            <w:r>
              <w:rPr/>
              <w:t>Our CEO and other members of senior management communicate with directors outside of regularly scheduled Board and Committee meetings. These communications occur on a regular basis, including through periodic written updates, special meetings and informal communications. These written communications and meetings occur more frequently in some circumstances.</w:t>
            </w:r>
          </w:p>
        </w:tc>
      </w:tr>
      <w:tr>
        <w:trPr/>
        <w:tc>
          <w:tcPr>
            <w:tcW w:w="4964" w:type="dxa"/>
            <w:tcBorders/>
            <w:tcMar>
              <w:top w:w="0" w:type="dxa"/>
            </w:tcMar>
            <w:vAlign w:val="center"/>
          </w:tcPr>
          <w:p>
            <w:pPr>
              <w:pStyle w:val="TableContents"/>
              <w:bidi w:val="0"/>
              <w:spacing w:before="0" w:after="283"/>
              <w:jc w:val="left"/>
              <w:rPr/>
            </w:pPr>
            <w:r>
              <w:rPr/>
              <w:t> </w:t>
            </w:r>
          </w:p>
        </w:tc>
        <w:tc>
          <w:tcPr>
            <w:tcW w:w="60" w:type="dxa"/>
            <w:tcBorders/>
            <w:tcMar>
              <w:top w:w="0" w:type="dxa"/>
            </w:tcMar>
            <w:vAlign w:val="center"/>
          </w:tcPr>
          <w:p>
            <w:pPr>
              <w:pStyle w:val="TableContents"/>
              <w:bidi w:val="0"/>
              <w:spacing w:before="0" w:after="283"/>
              <w:jc w:val="left"/>
              <w:rPr/>
            </w:pPr>
            <w:r>
              <w:rPr/>
              <w:t> </w:t>
            </w:r>
          </w:p>
        </w:tc>
        <w:tc>
          <w:tcPr>
            <w:tcW w:w="5181" w:type="dxa"/>
            <w:tcBorders/>
            <w:tcMar>
              <w:top w:w="0" w:type="dxa"/>
            </w:tcMar>
            <w:vAlign w:val="center"/>
          </w:tcPr>
          <w:p>
            <w:pPr>
              <w:pStyle w:val="TableContents"/>
              <w:bidi w:val="0"/>
              <w:spacing w:before="0" w:after="283"/>
              <w:jc w:val="left"/>
              <w:rPr/>
            </w:pPr>
            <w:r>
              <w:rPr/>
              <w:t> </w:t>
            </w:r>
          </w:p>
        </w:tc>
      </w:tr>
      <w:tr>
        <w:trPr/>
        <w:tc>
          <w:tcPr>
            <w:tcW w:w="4964" w:type="dxa"/>
            <w:tcBorders>
              <w:top w:val="single" w:sz="2" w:space="0" w:color="C12E33"/>
            </w:tcBorders>
            <w:shd w:fill="EDEDEE" w:val="clear"/>
            <w:vAlign w:val="center"/>
          </w:tcPr>
          <w:p>
            <w:pPr>
              <w:pStyle w:val="TableContents"/>
              <w:bidi w:val="0"/>
              <w:spacing w:before="0" w:after="0"/>
              <w:ind w:left="0" w:right="0" w:hanging="0"/>
              <w:jc w:val="left"/>
              <w:rPr>
                <w:b/>
                <w:sz w:val="22"/>
              </w:rPr>
            </w:pPr>
            <w:r>
              <w:rPr>
                <w:b/>
                <w:sz w:val="22"/>
              </w:rPr>
              <w:t xml:space="preserve">Outside Perspectives </w:t>
            </w:r>
          </w:p>
          <w:p>
            <w:pPr>
              <w:pStyle w:val="TableContents"/>
              <w:bidi w:val="0"/>
              <w:spacing w:before="100" w:after="0"/>
              <w:ind w:left="0" w:right="0" w:hanging="0"/>
              <w:jc w:val="left"/>
              <w:rPr/>
            </w:pPr>
            <w:r>
              <w:rPr/>
              <w:t>The Board is periodically briefed by outside advisors and counsel on strategic, financial, legal, compliance and other matters. This gives directors additional perspectives on the Company’s business environment, strategic focus areas, performance and significant emerging risks. The Independent Lead Director and other directors also directly engage with investors to address their feedback from time to time.</w:t>
            </w:r>
          </w:p>
        </w:tc>
        <w:tc>
          <w:tcPr>
            <w:tcW w:w="60" w:type="dxa"/>
            <w:tcBorders/>
            <w:tcMar>
              <w:top w:w="0" w:type="dxa"/>
            </w:tcMar>
            <w:vAlign w:val="center"/>
          </w:tcPr>
          <w:p>
            <w:pPr>
              <w:pStyle w:val="TableContents"/>
              <w:bidi w:val="0"/>
              <w:spacing w:before="0" w:after="283"/>
              <w:jc w:val="left"/>
              <w:rPr/>
            </w:pPr>
            <w:r>
              <w:rPr/>
              <w:t> </w:t>
            </w:r>
          </w:p>
        </w:tc>
        <w:tc>
          <w:tcPr>
            <w:tcW w:w="5181" w:type="dxa"/>
            <w:tcBorders>
              <w:top w:val="single" w:sz="2" w:space="0" w:color="C12E33"/>
            </w:tcBorders>
            <w:shd w:fill="EDEDEE" w:val="clear"/>
            <w:vAlign w:val="center"/>
          </w:tcPr>
          <w:p>
            <w:pPr>
              <w:pStyle w:val="TableContents"/>
              <w:bidi w:val="0"/>
              <w:spacing w:before="0" w:after="0"/>
              <w:ind w:left="0" w:right="0" w:hanging="0"/>
              <w:jc w:val="left"/>
              <w:rPr>
                <w:b/>
                <w:sz w:val="22"/>
              </w:rPr>
            </w:pPr>
            <w:r>
              <w:rPr>
                <w:b/>
                <w:sz w:val="22"/>
              </w:rPr>
              <w:t xml:space="preserve">Continuing Education </w:t>
            </w:r>
          </w:p>
          <w:p>
            <w:pPr>
              <w:pStyle w:val="TableContents"/>
              <w:bidi w:val="0"/>
              <w:spacing w:before="100" w:after="0"/>
              <w:ind w:left="0" w:right="0" w:hanging="0"/>
              <w:jc w:val="left"/>
              <w:rPr/>
            </w:pPr>
            <w:r>
              <w:rPr/>
              <w:t>Directors participate in individualized sessions to continue learning the roles and responsibilities of the Board and the Committees on which they serve. They also continue to learn about the Company’s strategy, businesses, technologies, compliance programs, corporate affairs and community relations, financial statements, and significant financial, accounting and risk management matters. Outside continuing education programs are made available to directors at the Company’s expense.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rFonts w:ascii="Arial;Helvetica;Sans-Serif" w:hAnsi="Arial;Helvetica;Sans-Serif"/>
          <w:b/>
          <w:i w:val="false"/>
          <w:caps w:val="false"/>
          <w:smallCaps w:val="false"/>
          <w:color w:val="000000"/>
          <w:sz w:val="15"/>
        </w:rPr>
        <w:t>10</w:t>
      </w:r>
      <w:r>
        <w:rPr>
          <w:rFonts w:ascii="Arial;Helvetica;Sans-Serif" w:hAnsi="Arial;Helvetica;Sans-Serif"/>
          <w:b w:val="false"/>
          <w:i w:val="false"/>
          <w:caps w:val="false"/>
          <w:smallCaps w:val="false"/>
          <w:color w:val="000000"/>
          <w:sz w:val="15"/>
        </w:rPr>
        <w:t>    </w:t>
      </w:r>
      <w:r>
        <w:rPr>
          <w:rFonts w:ascii="Arial;Helvetica;Sans-Serif" w:hAnsi="Arial;Helvetica;Sans-Serif"/>
          <w:b/>
          <w:i w:val="false"/>
          <w:caps w:val="false"/>
          <w:smallCaps w:val="false"/>
          <w:sz w:val="15"/>
        </w:rPr>
        <w:t xml:space="preserve">RTX </w:t>
      </w:r>
      <w:r>
        <w:rPr>
          <w:rFonts w:ascii="Arial;Helvetica;Sans-Serif" w:hAnsi="Arial;Helvetica;Sans-Serif"/>
          <w:b w:val="false"/>
          <w:i w:val="false"/>
          <w:caps w:val="false"/>
          <w:smallCaps w:val="false"/>
          <w:sz w:val="15"/>
        </w:rPr>
        <w:t>2026 PROXY STATEMENT</w:t>
      </w:r>
    </w:p>
    <w:p>
      <w:pPr>
        <w:pStyle w:val="HorizontalLine"/>
        <w:pBdr>
          <w:bottom w:val="double" w:sz="2" w:space="0" w:color="808080"/>
        </w:pBdr>
        <w:bidi w:val="0"/>
        <w:spacing w:before="0" w:after="283"/>
        <w:jc w:val="left"/>
        <w:rPr/>
      </w:pPr>
      <w:r>
        <w:rPr/>
      </w:r>
    </w:p>
    <w:p>
      <w:pPr>
        <w:pStyle w:val="TextBody"/>
        <w:bidi w:val="0"/>
        <w:spacing w:before="200" w:after="200"/>
        <w:jc w:val="left"/>
        <w:rPr/>
      </w:pPr>
      <w:hyperlink w:anchor="toc">
        <w:r>
          <w:rPr>
            <w:rStyle w:val="InternetLink"/>
            <w:rFonts w:ascii="Arial;Helvetica;Sans-Serif" w:hAnsi="Arial;Helvetica;Sans-Serif"/>
            <w:b/>
            <w:i w:val="false"/>
            <w:caps w:val="false"/>
            <w:smallCaps w:val="false"/>
            <w:sz w:val="16"/>
          </w:rPr>
          <w:t>Table of Contents</w:t>
        </w:r>
      </w:hyperlink>
    </w:p>
    <w:p>
      <w:pPr>
        <w:pStyle w:val="TextBody"/>
        <w:bidi w:val="0"/>
        <w:spacing w:before="0" w:after="0"/>
        <w:ind w:left="0" w:right="0" w:hanging="0"/>
        <w:jc w:val="left"/>
        <w:rPr>
          <w:rFonts w:ascii="Arial;Helvetica;Sans-Serif" w:hAnsi="Arial;Helvetica;Sans-Serif"/>
          <w:b w:val="false"/>
          <w:i w:val="false"/>
          <w:caps w:val="false"/>
          <w:smallCaps w:val="false"/>
          <w:sz w:val="56"/>
        </w:rPr>
      </w:pPr>
      <w:bookmarkStart w:id="7" w:name="rtx014050a003"/>
      <w:bookmarkEnd w:id="7"/>
      <w:r>
        <w:rPr>
          <w:rFonts w:ascii="Arial;Helvetica;Sans-Serif" w:hAnsi="Arial;Helvetica;Sans-Serif"/>
          <w:b/>
          <w:i w:val="false"/>
          <w:caps w:val="false"/>
          <w:smallCaps w:val="false"/>
          <w:color w:val="C12E33"/>
          <w:sz w:val="56"/>
        </w:rPr>
        <w:t>Proposal 1:</w:t>
      </w:r>
      <w:r>
        <w:rPr>
          <w:rFonts w:ascii="Arial;Helvetica;Sans-Serif" w:hAnsi="Arial;Helvetica;Sans-Serif"/>
          <w:b w:val="false"/>
          <w:i w:val="false"/>
          <w:caps w:val="false"/>
          <w:smallCaps w:val="false"/>
          <w:sz w:val="56"/>
        </w:rPr>
        <w:br/>
      </w:r>
      <w:r>
        <w:rPr>
          <w:rFonts w:ascii="Arial;Helvetica;Sans-Serif" w:hAnsi="Arial;Helvetica;Sans-Serif"/>
          <w:b/>
          <w:i w:val="false"/>
          <w:caps w:val="false"/>
          <w:smallCaps w:val="false"/>
          <w:sz w:val="56"/>
        </w:rPr>
        <w:t>Election of Directors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00" w:type="dxa"/>
          <w:left w:w="0" w:type="dxa"/>
          <w:bottom w:w="0" w:type="dxa"/>
          <w:right w:w="0" w:type="dxa"/>
        </w:tblCellMar>
      </w:tblPr>
      <w:tblGrid>
        <w:gridCol w:w="1508"/>
        <w:gridCol w:w="8697"/>
      </w:tblGrid>
      <w:tr>
        <w:trPr/>
        <w:tc>
          <w:tcPr>
            <w:tcW w:w="1508" w:type="dxa"/>
            <w:tcBorders>
              <w:top w:val="single" w:sz="12" w:space="0" w:color="C12E33"/>
            </w:tcBorders>
            <w:shd w:fill="EDEDEE" w:val="clear"/>
            <w:vAlign w:val="center"/>
          </w:tcPr>
          <w:p>
            <w:pPr>
              <w:pStyle w:val="TableContents"/>
              <w:bidi w:val="0"/>
              <w:spacing w:before="0" w:after="283"/>
              <w:jc w:val="left"/>
              <w:rPr/>
            </w:pPr>
            <w:r>
              <w:rPr>
                <w:rFonts w:ascii="Arial;Helvetica;Sans-Serif" w:hAnsi="Arial;Helvetica;Sans-Serif"/>
                <w:b/>
                <w:i w:val="false"/>
                <w:caps w:val="false"/>
                <w:smallCaps w:val="false"/>
                <w:color w:val="C12E33"/>
                <w:sz w:val="44"/>
              </w:rPr>
              <w:t>What</w:t>
            </w:r>
            <w:r>
              <w:rPr>
                <w:rFonts w:ascii="Arial;Helvetica;Sans-Serif" w:hAnsi="Arial;Helvetica;Sans-Serif"/>
                <w:b w:val="false"/>
                <w:i w:val="false"/>
                <w:caps w:val="false"/>
                <w:smallCaps w:val="false"/>
                <w:sz w:val="44"/>
              </w:rPr>
              <w:br/>
            </w:r>
            <w:r>
              <w:rPr>
                <w:rFonts w:ascii="Arial;Helvetica;Sans-Serif" w:hAnsi="Arial;Helvetica;Sans-Serif"/>
                <w:b/>
                <w:i w:val="false"/>
                <w:caps w:val="false"/>
                <w:smallCaps w:val="false"/>
                <w:color w:val="C12E33"/>
                <w:sz w:val="44"/>
              </w:rPr>
              <w:t>am I</w:t>
            </w:r>
            <w:r>
              <w:rPr>
                <w:rFonts w:ascii="Arial;Helvetica;Sans-Serif" w:hAnsi="Arial;Helvetica;Sans-Serif"/>
                <w:b w:val="false"/>
                <w:i w:val="false"/>
                <w:caps w:val="false"/>
                <w:smallCaps w:val="false"/>
                <w:sz w:val="44"/>
              </w:rPr>
              <w:br/>
            </w:r>
            <w:r>
              <w:rPr>
                <w:rFonts w:ascii="Arial;Helvetica;Sans-Serif" w:hAnsi="Arial;Helvetica;Sans-Serif"/>
                <w:b/>
                <w:i w:val="false"/>
                <w:caps w:val="false"/>
                <w:smallCaps w:val="false"/>
                <w:color w:val="C12E33"/>
                <w:sz w:val="44"/>
              </w:rPr>
              <w:t>voting on?</w:t>
            </w:r>
          </w:p>
        </w:tc>
        <w:tc>
          <w:tcPr>
            <w:tcW w:w="8697" w:type="dxa"/>
            <w:tcBorders>
              <w:top w:val="single" w:sz="12" w:space="0" w:color="C12E33"/>
            </w:tcBorders>
            <w:shd w:fill="EDEDEE" w:val="clear"/>
            <w:vAlign w:val="center"/>
          </w:tcPr>
          <w:p>
            <w:pPr>
              <w:pStyle w:val="TableContents"/>
              <w:bidi w:val="0"/>
              <w:spacing w:before="0" w:after="283"/>
              <w:jc w:val="left"/>
              <w:rPr/>
            </w:pPr>
            <w:r>
              <w:rPr/>
              <w:t xml:space="preserve">We are </w:t>
            </w:r>
            <w:r>
              <w:rPr>
                <w:b/>
              </w:rPr>
              <w:t xml:space="preserve">seeking your support for the election of the ten individuals nominated to serve on the Board of Directors </w:t>
            </w:r>
            <w:r>
              <w:rPr/>
              <w:t xml:space="preserve">until the 2027 Annual Meeting of Shareowners. We believe these nominees have the right experiences and perspectives to guide the Company and provide effective oversight of our strategy and our business plans. Each is well qualified to serve as a director of a large aerospace and defense company that competes in government and commercial markets worldwide.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34"/>
        </w:rPr>
      </w:pPr>
      <w:r>
        <w:rPr>
          <w:rFonts w:ascii="Arial;Helvetica;Sans-Serif" w:hAnsi="Arial;Helvetica;Sans-Serif"/>
          <w:b/>
          <w:i w:val="false"/>
          <w:caps w:val="false"/>
          <w:smallCaps w:val="false"/>
          <w:sz w:val="34"/>
        </w:rPr>
        <w:t>Criteria for Board Membership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 xml:space="preserve">The Board and the Committee on Governance and Public Policy (the “Governance Committee”) believe that there are </w:t>
      </w:r>
      <w:r>
        <w:rPr>
          <w:rFonts w:ascii="Arial;Helvetica;Sans-Serif" w:hAnsi="Arial;Helvetica;Sans-Serif"/>
          <w:b/>
          <w:i w:val="false"/>
          <w:caps w:val="false"/>
          <w:smallCaps w:val="false"/>
          <w:sz w:val="22"/>
        </w:rPr>
        <w:t xml:space="preserve">general attributes </w:t>
      </w:r>
      <w:r>
        <w:rPr>
          <w:rFonts w:ascii="Arial;Helvetica;Sans-Serif" w:hAnsi="Arial;Helvetica;Sans-Serif"/>
          <w:b w:val="false"/>
          <w:i w:val="false"/>
          <w:caps w:val="false"/>
          <w:smallCaps w:val="false"/>
          <w:sz w:val="22"/>
        </w:rPr>
        <w:t xml:space="preserve">all directors must exhibit, in addition to </w:t>
      </w:r>
      <w:r>
        <w:rPr>
          <w:rFonts w:ascii="Arial;Helvetica;Sans-Serif" w:hAnsi="Arial;Helvetica;Sans-Serif"/>
          <w:b/>
          <w:i w:val="false"/>
          <w:caps w:val="false"/>
          <w:smallCaps w:val="false"/>
          <w:sz w:val="22"/>
        </w:rPr>
        <w:t xml:space="preserve">key skills and expertise </w:t>
      </w:r>
      <w:r>
        <w:rPr>
          <w:rFonts w:ascii="Arial;Helvetica;Sans-Serif" w:hAnsi="Arial;Helvetica;Sans-Serif"/>
          <w:b w:val="false"/>
          <w:i w:val="false"/>
          <w:caps w:val="false"/>
          <w:smallCaps w:val="false"/>
          <w:sz w:val="22"/>
        </w:rPr>
        <w:t>that should be represented on the Board as a whole, but not necessarily by each director.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THESE GENERAL ATTRIBUTES ARE ESSENTIAL FOR ALL DIRECTORS</w:t>
      </w:r>
    </w:p>
    <w:p>
      <w:pPr>
        <w:pStyle w:val="TextBody"/>
        <w:bidi w:val="0"/>
        <w:spacing w:before="0" w:after="0"/>
        <w:ind w:left="0" w:right="0" w:hanging="0"/>
        <w:jc w:val="left"/>
        <w:rPr>
          <w:caps w:val="false"/>
          <w:smallCaps w:val="false"/>
        </w:rPr>
      </w:pPr>
      <w:r>
        <w:rPr>
          <w:caps w:val="false"/>
          <w:smallCaps w:val="false"/>
        </w:rPr>
        <w:t> </w:t>
      </w:r>
    </w:p>
    <w:tbl>
      <w:tblPr>
        <w:tblW w:w="7945" w:type="dxa"/>
        <w:jc w:val="left"/>
        <w:tblInd w:w="0" w:type="dxa"/>
        <w:tblLayout w:type="fixed"/>
        <w:tblCellMar>
          <w:top w:w="0" w:type="dxa"/>
          <w:left w:w="0" w:type="dxa"/>
          <w:bottom w:w="0" w:type="dxa"/>
          <w:right w:w="0" w:type="dxa"/>
        </w:tblCellMar>
      </w:tblPr>
      <w:tblGrid>
        <w:gridCol w:w="185"/>
        <w:gridCol w:w="7760"/>
      </w:tblGrid>
      <w:tr>
        <w:trPr/>
        <w:tc>
          <w:tcPr>
            <w:tcW w:w="185" w:type="dxa"/>
            <w:tcBorders/>
            <w:vAlign w:val="center"/>
          </w:tcPr>
          <w:p>
            <w:pPr>
              <w:pStyle w:val="TableContents"/>
              <w:bidi w:val="0"/>
              <w:spacing w:before="0" w:after="283"/>
              <w:jc w:val="left"/>
              <w:rPr/>
            </w:pPr>
            <w:r>
              <w:rPr/>
              <w:t>●</w:t>
            </w:r>
          </w:p>
        </w:tc>
        <w:tc>
          <w:tcPr>
            <w:tcW w:w="7760" w:type="dxa"/>
            <w:tcBorders/>
            <w:vAlign w:val="center"/>
          </w:tcPr>
          <w:p>
            <w:pPr>
              <w:pStyle w:val="TableContents"/>
              <w:bidi w:val="0"/>
              <w:spacing w:before="0" w:after="283"/>
              <w:jc w:val="left"/>
              <w:rPr>
                <w:b/>
              </w:rPr>
            </w:pPr>
            <w:r>
              <w:rPr>
                <w:b/>
              </w:rPr>
              <w:t>Objectivity and independence in making informed business decisions</w:t>
            </w:r>
          </w:p>
        </w:tc>
      </w:tr>
      <w:tr>
        <w:trPr/>
        <w:tc>
          <w:tcPr>
            <w:tcW w:w="185" w:type="dxa"/>
            <w:tcBorders/>
            <w:vAlign w:val="center"/>
          </w:tcPr>
          <w:p>
            <w:pPr>
              <w:pStyle w:val="TableContents"/>
              <w:bidi w:val="0"/>
              <w:spacing w:before="0" w:after="283"/>
              <w:jc w:val="left"/>
              <w:rPr/>
            </w:pPr>
            <w:r>
              <w:rPr/>
              <w:t>●</w:t>
            </w:r>
          </w:p>
        </w:tc>
        <w:tc>
          <w:tcPr>
            <w:tcW w:w="7760" w:type="dxa"/>
            <w:tcBorders/>
            <w:vAlign w:val="center"/>
          </w:tcPr>
          <w:p>
            <w:pPr>
              <w:pStyle w:val="TableContents"/>
              <w:bidi w:val="0"/>
              <w:spacing w:before="0" w:after="283"/>
              <w:jc w:val="left"/>
              <w:rPr>
                <w:b/>
              </w:rPr>
            </w:pPr>
            <w:r>
              <w:rPr>
                <w:b/>
              </w:rPr>
              <w:t>Extensive knowledge, experience and judgment</w:t>
            </w:r>
          </w:p>
        </w:tc>
      </w:tr>
      <w:tr>
        <w:trPr/>
        <w:tc>
          <w:tcPr>
            <w:tcW w:w="185" w:type="dxa"/>
            <w:tcBorders/>
            <w:vAlign w:val="center"/>
          </w:tcPr>
          <w:p>
            <w:pPr>
              <w:pStyle w:val="TableContents"/>
              <w:bidi w:val="0"/>
              <w:spacing w:before="0" w:after="283"/>
              <w:jc w:val="left"/>
              <w:rPr/>
            </w:pPr>
            <w:r>
              <w:rPr/>
              <w:t>●</w:t>
            </w:r>
          </w:p>
        </w:tc>
        <w:tc>
          <w:tcPr>
            <w:tcW w:w="7760" w:type="dxa"/>
            <w:tcBorders/>
            <w:vAlign w:val="center"/>
          </w:tcPr>
          <w:p>
            <w:pPr>
              <w:pStyle w:val="TableContents"/>
              <w:bidi w:val="0"/>
              <w:spacing w:before="0" w:after="283"/>
              <w:jc w:val="left"/>
              <w:rPr>
                <w:b/>
              </w:rPr>
            </w:pPr>
            <w:r>
              <w:rPr>
                <w:b/>
              </w:rPr>
              <w:t>Highest integrity</w:t>
            </w:r>
          </w:p>
        </w:tc>
      </w:tr>
      <w:tr>
        <w:trPr/>
        <w:tc>
          <w:tcPr>
            <w:tcW w:w="185" w:type="dxa"/>
            <w:tcBorders/>
            <w:vAlign w:val="center"/>
          </w:tcPr>
          <w:p>
            <w:pPr>
              <w:pStyle w:val="TableContents"/>
              <w:bidi w:val="0"/>
              <w:spacing w:before="0" w:after="283"/>
              <w:jc w:val="left"/>
              <w:rPr/>
            </w:pPr>
            <w:r>
              <w:rPr/>
              <w:t>●</w:t>
            </w:r>
          </w:p>
        </w:tc>
        <w:tc>
          <w:tcPr>
            <w:tcW w:w="7760" w:type="dxa"/>
            <w:tcBorders/>
            <w:vAlign w:val="center"/>
          </w:tcPr>
          <w:p>
            <w:pPr>
              <w:pStyle w:val="TableContents"/>
              <w:bidi w:val="0"/>
              <w:spacing w:before="0" w:after="283"/>
              <w:jc w:val="left"/>
              <w:rPr>
                <w:b/>
              </w:rPr>
            </w:pPr>
            <w:r>
              <w:rPr>
                <w:b/>
              </w:rPr>
              <w:t>Diversity of perspective</w:t>
            </w:r>
          </w:p>
        </w:tc>
      </w:tr>
      <w:tr>
        <w:trPr/>
        <w:tc>
          <w:tcPr>
            <w:tcW w:w="185" w:type="dxa"/>
            <w:tcBorders/>
            <w:vAlign w:val="center"/>
          </w:tcPr>
          <w:p>
            <w:pPr>
              <w:pStyle w:val="TableContents"/>
              <w:bidi w:val="0"/>
              <w:spacing w:before="0" w:after="283"/>
              <w:jc w:val="left"/>
              <w:rPr/>
            </w:pPr>
            <w:r>
              <w:rPr/>
              <w:t>●</w:t>
            </w:r>
          </w:p>
        </w:tc>
        <w:tc>
          <w:tcPr>
            <w:tcW w:w="7760" w:type="dxa"/>
            <w:tcBorders/>
            <w:vAlign w:val="center"/>
          </w:tcPr>
          <w:p>
            <w:pPr>
              <w:pStyle w:val="TableContents"/>
              <w:bidi w:val="0"/>
              <w:spacing w:before="0" w:after="283"/>
              <w:jc w:val="left"/>
              <w:rPr>
                <w:b/>
              </w:rPr>
            </w:pPr>
            <w:r>
              <w:rPr>
                <w:b/>
              </w:rPr>
              <w:t>Willingness to devote the extensive time necessary to fulfill a director’s duties</w:t>
            </w:r>
          </w:p>
        </w:tc>
      </w:tr>
      <w:tr>
        <w:trPr/>
        <w:tc>
          <w:tcPr>
            <w:tcW w:w="185" w:type="dxa"/>
            <w:tcBorders/>
            <w:vAlign w:val="center"/>
          </w:tcPr>
          <w:p>
            <w:pPr>
              <w:pStyle w:val="TableContents"/>
              <w:bidi w:val="0"/>
              <w:spacing w:before="0" w:after="283"/>
              <w:jc w:val="left"/>
              <w:rPr/>
            </w:pPr>
            <w:r>
              <w:rPr/>
              <w:t>●</w:t>
            </w:r>
          </w:p>
        </w:tc>
        <w:tc>
          <w:tcPr>
            <w:tcW w:w="7760" w:type="dxa"/>
            <w:tcBorders/>
            <w:vAlign w:val="center"/>
          </w:tcPr>
          <w:p>
            <w:pPr>
              <w:pStyle w:val="TableContents"/>
              <w:bidi w:val="0"/>
              <w:spacing w:before="0" w:after="283"/>
              <w:jc w:val="left"/>
              <w:rPr>
                <w:b/>
              </w:rPr>
            </w:pPr>
            <w:r>
              <w:rPr>
                <w:b/>
              </w:rPr>
              <w:t>Appreciation for the role of a corporation in society</w:t>
            </w:r>
          </w:p>
        </w:tc>
      </w:tr>
      <w:tr>
        <w:trPr/>
        <w:tc>
          <w:tcPr>
            <w:tcW w:w="185" w:type="dxa"/>
            <w:tcBorders/>
            <w:vAlign w:val="center"/>
          </w:tcPr>
          <w:p>
            <w:pPr>
              <w:pStyle w:val="TableContents"/>
              <w:bidi w:val="0"/>
              <w:spacing w:before="0" w:after="283"/>
              <w:jc w:val="left"/>
              <w:rPr/>
            </w:pPr>
            <w:r>
              <w:rPr/>
              <w:t>●</w:t>
            </w:r>
          </w:p>
        </w:tc>
        <w:tc>
          <w:tcPr>
            <w:tcW w:w="7760" w:type="dxa"/>
            <w:tcBorders/>
            <w:vAlign w:val="center"/>
          </w:tcPr>
          <w:p>
            <w:pPr>
              <w:pStyle w:val="TableContents"/>
              <w:bidi w:val="0"/>
              <w:spacing w:before="0" w:after="283"/>
              <w:jc w:val="left"/>
              <w:rPr>
                <w:b/>
              </w:rPr>
            </w:pPr>
            <w:r>
              <w:rPr>
                <w:b/>
              </w:rPr>
              <w:t>Loyalty to the interests of RTX and its shareowners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Governance Committee regularly considers whether the Board has all of the key skills and expertise needed for effective oversight of our businesses and strategy.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Further, the Governance Committee recognizes the value of selecting directors with diverse experiences to ensure that the Board as a whole has a wealth of perspectives to inform its decisions. We believe diversity in lived experiences, skills and capabilities makes our business stronger and more innovative and is critical to the Company’s long-term success.</w:t>
      </w:r>
    </w:p>
    <w:p>
      <w:pPr>
        <w:pStyle w:val="TextBody"/>
        <w:bidi w:val="0"/>
        <w:spacing w:before="200" w:after="283"/>
        <w:jc w:val="right"/>
        <w:rPr/>
      </w:pPr>
      <w:r>
        <w:rPr>
          <w:rFonts w:ascii="Arial;Helvetica;Sans-Serif" w:hAnsi="Arial;Helvetica;Sans-Serif"/>
          <w:b/>
          <w:i w:val="false"/>
          <w:caps w:val="false"/>
          <w:smallCaps w:val="false"/>
          <w:sz w:val="15"/>
        </w:rPr>
        <w:t xml:space="preserve">RTX </w:t>
      </w:r>
      <w:r>
        <w:rPr>
          <w:rFonts w:ascii="Arial;Helvetica;Sans-Serif" w:hAnsi="Arial;Helvetica;Sans-Serif"/>
          <w:b w:val="false"/>
          <w:i w:val="false"/>
          <w:caps w:val="false"/>
          <w:smallCaps w:val="false"/>
          <w:sz w:val="15"/>
        </w:rPr>
        <w:t>2026 PROXY STATEMENT    </w:t>
      </w:r>
      <w:r>
        <w:rPr>
          <w:rFonts w:ascii="Arial;Helvetica;Sans-Serif" w:hAnsi="Arial;Helvetica;Sans-Serif"/>
          <w:b/>
          <w:i w:val="false"/>
          <w:caps w:val="false"/>
          <w:smallCaps w:val="false"/>
          <w:sz w:val="15"/>
        </w:rPr>
        <w:t>11</w:t>
      </w:r>
    </w:p>
    <w:p>
      <w:pPr>
        <w:pStyle w:val="HorizontalLine"/>
        <w:pBdr>
          <w:bottom w:val="double" w:sz="2" w:space="0" w:color="808080"/>
        </w:pBdr>
        <w:bidi w:val="0"/>
        <w:spacing w:before="0" w:after="283"/>
        <w:jc w:val="left"/>
        <w:rPr/>
      </w:pPr>
      <w:r>
        <w:rPr/>
      </w:r>
    </w:p>
    <w:p>
      <w:pPr>
        <w:pStyle w:val="TextBody"/>
        <w:bidi w:val="0"/>
        <w:spacing w:before="200" w:after="200"/>
        <w:jc w:val="left"/>
        <w:rPr/>
      </w:pPr>
      <w:hyperlink w:anchor="toc">
        <w:r>
          <w:rPr>
            <w:rStyle w:val="InternetLink"/>
            <w:rFonts w:ascii="Arial;Helvetica;Sans-Serif" w:hAnsi="Arial;Helvetica;Sans-Serif"/>
            <w:b/>
            <w:i w:val="false"/>
            <w:caps w:val="false"/>
            <w:smallCaps w:val="false"/>
            <w:sz w:val="16"/>
          </w:rPr>
          <w:t>Table of Contents</w:t>
        </w:r>
      </w:hyperlink>
    </w:p>
    <w:p>
      <w:pPr>
        <w:pStyle w:val="TextBody"/>
        <w:bidi w:val="0"/>
        <w:spacing w:before="0" w:after="0"/>
        <w:ind w:left="0" w:right="0" w:hanging="0"/>
        <w:jc w:val="left"/>
        <w:rPr>
          <w:rFonts w:ascii="Arial;Helvetica;Sans-Serif" w:hAnsi="Arial;Helvetica;Sans-Serif"/>
          <w:b/>
          <w:i w:val="false"/>
          <w:caps w:val="false"/>
          <w:smallCaps w:val="false"/>
          <w:color w:val="C12E33"/>
          <w:sz w:val="15"/>
        </w:rPr>
      </w:pPr>
      <w:r>
        <w:rPr>
          <w:rFonts w:ascii="Arial;Helvetica;Sans-Serif" w:hAnsi="Arial;Helvetica;Sans-Serif"/>
          <w:b/>
          <w:i w:val="false"/>
          <w:caps w:val="false"/>
          <w:smallCaps w:val="false"/>
          <w:color w:val="C12E33"/>
          <w:sz w:val="15"/>
        </w:rPr>
        <w:t>PROPOSAL 1: ELECTION OF DIRECTORS</w:t>
      </w:r>
    </w:p>
    <w:p>
      <w:pPr>
        <w:pStyle w:val="TextBody"/>
        <w:bidi w:val="0"/>
        <w:spacing w:before="0" w:after="0"/>
        <w:ind w:left="0" w:right="0" w:hanging="0"/>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CRITERIA FOR BOARD MEMBERSHIP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The charts below show the percentage of directors with skills and expertise in each key area. In the nominee biographies on pages 14-19, we highlight for each individual the three key skills and areas of expertise upon which the Board particularly relies.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KEY SKILLS AND EXPERTISE</w:t>
      </w:r>
    </w:p>
    <w:p>
      <w:pPr>
        <w:pStyle w:val="TextBody"/>
        <w:bidi w:val="0"/>
        <w:spacing w:before="0" w:after="0"/>
        <w:ind w:left="0" w:right="0" w:hanging="0"/>
        <w:jc w:val="left"/>
        <w:rPr>
          <w:caps w:val="false"/>
          <w:smallCaps w:val="false"/>
        </w:rPr>
      </w:pPr>
      <w:r>
        <w:rPr>
          <w:caps w:val="false"/>
          <w:smallCaps w:val="false"/>
        </w:rPr>
        <w:t> </w:t>
      </w:r>
    </w:p>
    <w:tbl>
      <w:tblPr>
        <w:tblW w:w="11700" w:type="dxa"/>
        <w:jc w:val="left"/>
        <w:tblInd w:w="0" w:type="dxa"/>
        <w:tblLayout w:type="fixed"/>
        <w:tblCellMar>
          <w:top w:w="0" w:type="dxa"/>
          <w:left w:w="0" w:type="dxa"/>
          <w:bottom w:w="0" w:type="dxa"/>
          <w:right w:w="0" w:type="dxa"/>
        </w:tblCellMar>
      </w:tblPr>
      <w:tblGrid>
        <w:gridCol w:w="765"/>
        <w:gridCol w:w="4935"/>
        <w:gridCol w:w="300"/>
        <w:gridCol w:w="750"/>
        <w:gridCol w:w="4950"/>
      </w:tblGrid>
      <w:tr>
        <w:trPr/>
        <w:tc>
          <w:tcPr>
            <w:tcW w:w="765" w:type="dxa"/>
            <w:vMerge w:val="restart"/>
            <w:tcBorders/>
            <w:vAlign w:val="center"/>
          </w:tcPr>
          <w:p>
            <w:pPr>
              <w:pStyle w:val="TableContents"/>
              <w:bidi w:val="0"/>
              <w:spacing w:before="0" w:after="283"/>
              <w:jc w:val="left"/>
              <w:rPr/>
            </w:pPr>
            <w:r>
              <w:rPr/>
              <w:drawing>
                <wp:inline distT="0" distB="0" distL="0" distR="0">
                  <wp:extent cx="447675" cy="1352550"/>
                  <wp:effectExtent l="0" t="0" r="0" b="0"/>
                  <wp:docPr id="120"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112" descr=""/>
                          <pic:cNvPicPr>
                            <a:picLocks noChangeAspect="1" noChangeArrowheads="1"/>
                          </pic:cNvPicPr>
                        </pic:nvPicPr>
                        <pic:blipFill>
                          <a:blip r:embed="rId117"/>
                          <a:stretch>
                            <a:fillRect/>
                          </a:stretch>
                        </pic:blipFill>
                        <pic:spPr bwMode="auto">
                          <a:xfrm>
                            <a:off x="0" y="0"/>
                            <a:ext cx="447675" cy="1352550"/>
                          </a:xfrm>
                          <a:prstGeom prst="rect">
                            <a:avLst/>
                          </a:prstGeom>
                        </pic:spPr>
                      </pic:pic>
                    </a:graphicData>
                  </a:graphic>
                </wp:inline>
              </w:drawing>
            </w:r>
          </w:p>
        </w:tc>
        <w:tc>
          <w:tcPr>
            <w:tcW w:w="4935" w:type="dxa"/>
            <w:tcBorders/>
            <w:vAlign w:val="center"/>
          </w:tcPr>
          <w:p>
            <w:pPr>
              <w:pStyle w:val="TableContents"/>
              <w:bidi w:val="0"/>
              <w:spacing w:before="0" w:after="283"/>
              <w:jc w:val="left"/>
              <w:rPr/>
            </w:pPr>
            <w:r>
              <w:rPr/>
              <w:drawing>
                <wp:inline distT="0" distB="0" distL="0" distR="0">
                  <wp:extent cx="3133725" cy="476250"/>
                  <wp:effectExtent l="0" t="0" r="0" b="0"/>
                  <wp:docPr id="121"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113" descr=""/>
                          <pic:cNvPicPr>
                            <a:picLocks noChangeAspect="1" noChangeArrowheads="1"/>
                          </pic:cNvPicPr>
                        </pic:nvPicPr>
                        <pic:blipFill>
                          <a:blip r:embed="rId118"/>
                          <a:stretch>
                            <a:fillRect/>
                          </a:stretch>
                        </pic:blipFill>
                        <pic:spPr bwMode="auto">
                          <a:xfrm>
                            <a:off x="0" y="0"/>
                            <a:ext cx="3133725" cy="476250"/>
                          </a:xfrm>
                          <a:prstGeom prst="rect">
                            <a:avLst/>
                          </a:prstGeom>
                        </pic:spPr>
                      </pic:pic>
                    </a:graphicData>
                  </a:graphic>
                </wp:inline>
              </w:drawing>
            </w:r>
          </w:p>
        </w:tc>
        <w:tc>
          <w:tcPr>
            <w:tcW w:w="300" w:type="dxa"/>
            <w:tcBorders/>
            <w:vAlign w:val="center"/>
          </w:tcPr>
          <w:p>
            <w:pPr>
              <w:pStyle w:val="TableContents"/>
              <w:bidi w:val="0"/>
              <w:spacing w:before="0" w:after="283"/>
              <w:jc w:val="left"/>
              <w:rPr/>
            </w:pPr>
            <w:r>
              <w:rPr/>
              <w:t>     </w:t>
            </w:r>
          </w:p>
        </w:tc>
        <w:tc>
          <w:tcPr>
            <w:tcW w:w="750" w:type="dxa"/>
            <w:vMerge w:val="restart"/>
            <w:tcBorders/>
            <w:vAlign w:val="center"/>
          </w:tcPr>
          <w:p>
            <w:pPr>
              <w:pStyle w:val="TableContents"/>
              <w:bidi w:val="0"/>
              <w:spacing w:before="0" w:after="283"/>
              <w:jc w:val="left"/>
              <w:rPr/>
            </w:pPr>
            <w:r>
              <w:rPr/>
              <w:drawing>
                <wp:inline distT="0" distB="0" distL="0" distR="0">
                  <wp:extent cx="447675" cy="1381125"/>
                  <wp:effectExtent l="0" t="0" r="0" b="0"/>
                  <wp:docPr id="122"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114" descr=""/>
                          <pic:cNvPicPr>
                            <a:picLocks noChangeAspect="1" noChangeArrowheads="1"/>
                          </pic:cNvPicPr>
                        </pic:nvPicPr>
                        <pic:blipFill>
                          <a:blip r:embed="rId119"/>
                          <a:stretch>
                            <a:fillRect/>
                          </a:stretch>
                        </pic:blipFill>
                        <pic:spPr bwMode="auto">
                          <a:xfrm>
                            <a:off x="0" y="0"/>
                            <a:ext cx="447675" cy="1381125"/>
                          </a:xfrm>
                          <a:prstGeom prst="rect">
                            <a:avLst/>
                          </a:prstGeom>
                        </pic:spPr>
                      </pic:pic>
                    </a:graphicData>
                  </a:graphic>
                </wp:inline>
              </w:drawing>
            </w:r>
          </w:p>
        </w:tc>
        <w:tc>
          <w:tcPr>
            <w:tcW w:w="4950" w:type="dxa"/>
            <w:tcBorders/>
            <w:vAlign w:val="center"/>
          </w:tcPr>
          <w:p>
            <w:pPr>
              <w:pStyle w:val="TableContents"/>
              <w:bidi w:val="0"/>
              <w:spacing w:before="0" w:after="283"/>
              <w:jc w:val="left"/>
              <w:rPr/>
            </w:pPr>
            <w:r>
              <w:rPr/>
              <w:drawing>
                <wp:inline distT="0" distB="0" distL="0" distR="0">
                  <wp:extent cx="3133725" cy="561975"/>
                  <wp:effectExtent l="0" t="0" r="0" b="0"/>
                  <wp:docPr id="123"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115" descr=""/>
                          <pic:cNvPicPr>
                            <a:picLocks noChangeAspect="1" noChangeArrowheads="1"/>
                          </pic:cNvPicPr>
                        </pic:nvPicPr>
                        <pic:blipFill>
                          <a:blip r:embed="rId120"/>
                          <a:stretch>
                            <a:fillRect/>
                          </a:stretch>
                        </pic:blipFill>
                        <pic:spPr bwMode="auto">
                          <a:xfrm>
                            <a:off x="0" y="0"/>
                            <a:ext cx="3133725" cy="561975"/>
                          </a:xfrm>
                          <a:prstGeom prst="rect">
                            <a:avLst/>
                          </a:prstGeom>
                        </pic:spPr>
                      </pic:pic>
                    </a:graphicData>
                  </a:graphic>
                </wp:inline>
              </w:drawing>
            </w:r>
          </w:p>
        </w:tc>
      </w:tr>
      <w:tr>
        <w:trPr/>
        <w:tc>
          <w:tcPr>
            <w:tcW w:w="765" w:type="dxa"/>
            <w:vMerge w:val="continue"/>
            <w:tcBorders/>
            <w:vAlign w:val="center"/>
          </w:tcPr>
          <w:p>
            <w:pPr>
              <w:pStyle w:val="Normal"/>
              <w:bidi w:val="0"/>
              <w:jc w:val="left"/>
              <w:rPr/>
            </w:pPr>
            <w:r>
              <w:rPr/>
            </w:r>
          </w:p>
        </w:tc>
        <w:tc>
          <w:tcPr>
            <w:tcW w:w="4935" w:type="dxa"/>
            <w:tcBorders/>
            <w:vAlign w:val="center"/>
          </w:tcPr>
          <w:p>
            <w:pPr>
              <w:pStyle w:val="TableContents"/>
              <w:bidi w:val="0"/>
              <w:spacing w:before="0" w:after="283"/>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Senior Leadership</w:t>
            </w:r>
          </w:p>
        </w:tc>
        <w:tc>
          <w:tcPr>
            <w:tcW w:w="300" w:type="dxa"/>
            <w:tcBorders/>
            <w:vAlign w:val="center"/>
          </w:tcPr>
          <w:p>
            <w:pPr>
              <w:pStyle w:val="TableContents"/>
              <w:bidi w:val="0"/>
              <w:spacing w:before="0" w:after="283"/>
              <w:jc w:val="left"/>
              <w:rPr/>
            </w:pPr>
            <w:r>
              <w:rPr/>
              <w:t> </w:t>
            </w:r>
          </w:p>
        </w:tc>
        <w:tc>
          <w:tcPr>
            <w:tcW w:w="750" w:type="dxa"/>
            <w:vMerge w:val="continue"/>
            <w:tcBorders/>
            <w:vAlign w:val="center"/>
          </w:tcPr>
          <w:p>
            <w:pPr>
              <w:pStyle w:val="Normal"/>
              <w:bidi w:val="0"/>
              <w:jc w:val="left"/>
              <w:rPr/>
            </w:pPr>
            <w:r>
              <w:rPr/>
            </w:r>
          </w:p>
        </w:tc>
        <w:tc>
          <w:tcPr>
            <w:tcW w:w="4950" w:type="dxa"/>
            <w:tcBorders/>
            <w:vAlign w:val="center"/>
          </w:tcPr>
          <w:p>
            <w:pPr>
              <w:pStyle w:val="TableContents"/>
              <w:bidi w:val="0"/>
              <w:spacing w:before="0" w:after="283"/>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Technology/Cybersecurity</w:t>
            </w:r>
          </w:p>
        </w:tc>
      </w:tr>
      <w:tr>
        <w:trPr/>
        <w:tc>
          <w:tcPr>
            <w:tcW w:w="765" w:type="dxa"/>
            <w:vMerge w:val="continue"/>
            <w:tcBorders/>
            <w:vAlign w:val="center"/>
          </w:tcPr>
          <w:p>
            <w:pPr>
              <w:pStyle w:val="Normal"/>
              <w:bidi w:val="0"/>
              <w:jc w:val="left"/>
              <w:rPr/>
            </w:pPr>
            <w:r>
              <w:rPr/>
            </w:r>
          </w:p>
        </w:tc>
        <w:tc>
          <w:tcPr>
            <w:tcW w:w="4935" w:type="dxa"/>
            <w:tcBorders/>
            <w:vAlign w:val="center"/>
          </w:tcPr>
          <w:p>
            <w:pPr>
              <w:pStyle w:val="TableContents"/>
              <w:bidi w:val="0"/>
              <w:spacing w:before="0" w:after="283"/>
              <w:jc w:val="left"/>
              <w:rPr/>
            </w:pPr>
            <w:r>
              <w:rPr/>
              <w:t>Directors who have extensive leadership experience with a complex, large enterprise offer practical perspectives on and oversight of organizational and strategic planning, including in the areas of talent development, succession planning and driving change and long-term growth.</w:t>
            </w:r>
          </w:p>
        </w:tc>
        <w:tc>
          <w:tcPr>
            <w:tcW w:w="300" w:type="dxa"/>
            <w:tcBorders/>
            <w:vAlign w:val="center"/>
          </w:tcPr>
          <w:p>
            <w:pPr>
              <w:pStyle w:val="TableContents"/>
              <w:bidi w:val="0"/>
              <w:spacing w:before="0" w:after="283"/>
              <w:jc w:val="left"/>
              <w:rPr/>
            </w:pPr>
            <w:r>
              <w:rPr/>
              <w:t> </w:t>
            </w:r>
          </w:p>
        </w:tc>
        <w:tc>
          <w:tcPr>
            <w:tcW w:w="750" w:type="dxa"/>
            <w:vMerge w:val="continue"/>
            <w:tcBorders/>
            <w:vAlign w:val="center"/>
          </w:tcPr>
          <w:p>
            <w:pPr>
              <w:pStyle w:val="Normal"/>
              <w:bidi w:val="0"/>
              <w:jc w:val="left"/>
              <w:rPr/>
            </w:pPr>
            <w:r>
              <w:rPr/>
            </w:r>
          </w:p>
        </w:tc>
        <w:tc>
          <w:tcPr>
            <w:tcW w:w="4950" w:type="dxa"/>
            <w:tcBorders/>
            <w:vAlign w:val="center"/>
          </w:tcPr>
          <w:p>
            <w:pPr>
              <w:pStyle w:val="TableContents"/>
              <w:bidi w:val="0"/>
              <w:spacing w:before="0" w:after="283"/>
              <w:jc w:val="left"/>
              <w:rPr/>
            </w:pPr>
            <w:r>
              <w:rPr/>
              <w:t>Directors with a background or experience in research and development, engineering, science, information technology, software, artificial intelligence, cybersecurity or other technology offer valuable perspectives on the development of advanced technologies and solutions, and serve a critical role in the Board’s oversight of cybersecurity risks.</w:t>
            </w:r>
          </w:p>
        </w:tc>
      </w:tr>
      <w:tr>
        <w:trPr/>
        <w:tc>
          <w:tcPr>
            <w:tcW w:w="765" w:type="dxa"/>
            <w:tcBorders/>
            <w:vAlign w:val="center"/>
          </w:tcPr>
          <w:p>
            <w:pPr>
              <w:pStyle w:val="TableContents"/>
              <w:bidi w:val="0"/>
              <w:spacing w:before="0" w:after="283"/>
              <w:jc w:val="left"/>
              <w:rPr/>
            </w:pPr>
            <w:r>
              <w:rPr/>
              <w:t> </w:t>
            </w:r>
          </w:p>
        </w:tc>
        <w:tc>
          <w:tcPr>
            <w:tcW w:w="4935"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283"/>
              <w:jc w:val="left"/>
              <w:rPr/>
            </w:pPr>
            <w:r>
              <w:rPr/>
              <w:t> </w:t>
            </w:r>
          </w:p>
        </w:tc>
        <w:tc>
          <w:tcPr>
            <w:tcW w:w="750" w:type="dxa"/>
            <w:tcBorders/>
            <w:vAlign w:val="center"/>
          </w:tcPr>
          <w:p>
            <w:pPr>
              <w:pStyle w:val="TableContents"/>
              <w:bidi w:val="0"/>
              <w:spacing w:before="0" w:after="283"/>
              <w:jc w:val="left"/>
              <w:rPr/>
            </w:pPr>
            <w:r>
              <w:rPr/>
              <w:t> </w:t>
            </w:r>
          </w:p>
        </w:tc>
        <w:tc>
          <w:tcPr>
            <w:tcW w:w="4950" w:type="dxa"/>
            <w:tcBorders/>
            <w:vAlign w:val="center"/>
          </w:tcPr>
          <w:p>
            <w:pPr>
              <w:pStyle w:val="TableContents"/>
              <w:bidi w:val="0"/>
              <w:spacing w:before="0" w:after="283"/>
              <w:jc w:val="left"/>
              <w:rPr/>
            </w:pPr>
            <w:r>
              <w:rPr/>
              <w:t> </w:t>
            </w:r>
          </w:p>
        </w:tc>
      </w:tr>
      <w:tr>
        <w:trPr/>
        <w:tc>
          <w:tcPr>
            <w:tcW w:w="765" w:type="dxa"/>
            <w:vMerge w:val="restart"/>
            <w:tcBorders/>
            <w:vAlign w:val="center"/>
          </w:tcPr>
          <w:p>
            <w:pPr>
              <w:pStyle w:val="TableContents"/>
              <w:bidi w:val="0"/>
              <w:spacing w:before="0" w:after="283"/>
              <w:jc w:val="left"/>
              <w:rPr/>
            </w:pPr>
            <w:r>
              <w:rPr/>
              <w:drawing>
                <wp:inline distT="0" distB="0" distL="0" distR="0">
                  <wp:extent cx="438150" cy="1276350"/>
                  <wp:effectExtent l="0" t="0" r="0" b="0"/>
                  <wp:docPr id="124"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116" descr=""/>
                          <pic:cNvPicPr>
                            <a:picLocks noChangeAspect="1" noChangeArrowheads="1"/>
                          </pic:cNvPicPr>
                        </pic:nvPicPr>
                        <pic:blipFill>
                          <a:blip r:embed="rId121"/>
                          <a:stretch>
                            <a:fillRect/>
                          </a:stretch>
                        </pic:blipFill>
                        <pic:spPr bwMode="auto">
                          <a:xfrm>
                            <a:off x="0" y="0"/>
                            <a:ext cx="438150" cy="1276350"/>
                          </a:xfrm>
                          <a:prstGeom prst="rect">
                            <a:avLst/>
                          </a:prstGeom>
                        </pic:spPr>
                      </pic:pic>
                    </a:graphicData>
                  </a:graphic>
                </wp:inline>
              </w:drawing>
            </w:r>
          </w:p>
        </w:tc>
        <w:tc>
          <w:tcPr>
            <w:tcW w:w="4935" w:type="dxa"/>
            <w:tcBorders/>
            <w:vAlign w:val="center"/>
          </w:tcPr>
          <w:p>
            <w:pPr>
              <w:pStyle w:val="TableContents"/>
              <w:bidi w:val="0"/>
              <w:spacing w:before="0" w:after="283"/>
              <w:jc w:val="left"/>
              <w:rPr/>
            </w:pPr>
            <w:r>
              <w:rPr/>
              <w:drawing>
                <wp:inline distT="0" distB="0" distL="0" distR="0">
                  <wp:extent cx="3133725" cy="523875"/>
                  <wp:effectExtent l="0" t="0" r="0" b="0"/>
                  <wp:docPr id="125"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117" descr=""/>
                          <pic:cNvPicPr>
                            <a:picLocks noChangeAspect="1" noChangeArrowheads="1"/>
                          </pic:cNvPicPr>
                        </pic:nvPicPr>
                        <pic:blipFill>
                          <a:blip r:embed="rId122"/>
                          <a:stretch>
                            <a:fillRect/>
                          </a:stretch>
                        </pic:blipFill>
                        <pic:spPr bwMode="auto">
                          <a:xfrm>
                            <a:off x="0" y="0"/>
                            <a:ext cx="3133725" cy="523875"/>
                          </a:xfrm>
                          <a:prstGeom prst="rect">
                            <a:avLst/>
                          </a:prstGeom>
                        </pic:spPr>
                      </pic:pic>
                    </a:graphicData>
                  </a:graphic>
                </wp:inline>
              </w:drawing>
            </w:r>
          </w:p>
        </w:tc>
        <w:tc>
          <w:tcPr>
            <w:tcW w:w="300" w:type="dxa"/>
            <w:tcBorders/>
            <w:vAlign w:val="center"/>
          </w:tcPr>
          <w:p>
            <w:pPr>
              <w:pStyle w:val="TableContents"/>
              <w:bidi w:val="0"/>
              <w:spacing w:before="0" w:after="283"/>
              <w:jc w:val="left"/>
              <w:rPr/>
            </w:pPr>
            <w:r>
              <w:rPr/>
              <w:t> </w:t>
            </w:r>
          </w:p>
        </w:tc>
        <w:tc>
          <w:tcPr>
            <w:tcW w:w="750" w:type="dxa"/>
            <w:vMerge w:val="restart"/>
            <w:tcBorders/>
            <w:vAlign w:val="center"/>
          </w:tcPr>
          <w:p>
            <w:pPr>
              <w:pStyle w:val="TableContents"/>
              <w:bidi w:val="0"/>
              <w:spacing w:before="0" w:after="283"/>
              <w:jc w:val="left"/>
              <w:rPr/>
            </w:pPr>
            <w:r>
              <w:rPr/>
              <w:drawing>
                <wp:inline distT="0" distB="0" distL="0" distR="0">
                  <wp:extent cx="447675" cy="1371600"/>
                  <wp:effectExtent l="0" t="0" r="0" b="0"/>
                  <wp:docPr id="126"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118" descr=""/>
                          <pic:cNvPicPr>
                            <a:picLocks noChangeAspect="1" noChangeArrowheads="1"/>
                          </pic:cNvPicPr>
                        </pic:nvPicPr>
                        <pic:blipFill>
                          <a:blip r:embed="rId123"/>
                          <a:stretch>
                            <a:fillRect/>
                          </a:stretch>
                        </pic:blipFill>
                        <pic:spPr bwMode="auto">
                          <a:xfrm>
                            <a:off x="0" y="0"/>
                            <a:ext cx="447675" cy="1371600"/>
                          </a:xfrm>
                          <a:prstGeom prst="rect">
                            <a:avLst/>
                          </a:prstGeom>
                        </pic:spPr>
                      </pic:pic>
                    </a:graphicData>
                  </a:graphic>
                </wp:inline>
              </w:drawing>
            </w:r>
          </w:p>
        </w:tc>
        <w:tc>
          <w:tcPr>
            <w:tcW w:w="4950" w:type="dxa"/>
            <w:tcBorders/>
            <w:vAlign w:val="center"/>
          </w:tcPr>
          <w:p>
            <w:pPr>
              <w:pStyle w:val="TableContents"/>
              <w:bidi w:val="0"/>
              <w:spacing w:before="0" w:after="283"/>
              <w:jc w:val="left"/>
              <w:rPr/>
            </w:pPr>
            <w:r>
              <w:rPr/>
              <w:drawing>
                <wp:inline distT="0" distB="0" distL="0" distR="0">
                  <wp:extent cx="3133725" cy="1104900"/>
                  <wp:effectExtent l="0" t="0" r="0" b="0"/>
                  <wp:docPr id="127"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119" descr=""/>
                          <pic:cNvPicPr>
                            <a:picLocks noChangeAspect="1" noChangeArrowheads="1"/>
                          </pic:cNvPicPr>
                        </pic:nvPicPr>
                        <pic:blipFill>
                          <a:blip r:embed="rId124"/>
                          <a:stretch>
                            <a:fillRect/>
                          </a:stretch>
                        </pic:blipFill>
                        <pic:spPr bwMode="auto">
                          <a:xfrm>
                            <a:off x="0" y="0"/>
                            <a:ext cx="3133725" cy="1104900"/>
                          </a:xfrm>
                          <a:prstGeom prst="rect">
                            <a:avLst/>
                          </a:prstGeom>
                        </pic:spPr>
                      </pic:pic>
                    </a:graphicData>
                  </a:graphic>
                </wp:inline>
              </w:drawing>
            </w:r>
          </w:p>
        </w:tc>
      </w:tr>
      <w:tr>
        <w:trPr/>
        <w:tc>
          <w:tcPr>
            <w:tcW w:w="765" w:type="dxa"/>
            <w:vMerge w:val="continue"/>
            <w:tcBorders/>
            <w:vAlign w:val="center"/>
          </w:tcPr>
          <w:p>
            <w:pPr>
              <w:pStyle w:val="Normal"/>
              <w:bidi w:val="0"/>
              <w:jc w:val="left"/>
              <w:rPr/>
            </w:pPr>
            <w:r>
              <w:rPr/>
            </w:r>
          </w:p>
        </w:tc>
        <w:tc>
          <w:tcPr>
            <w:tcW w:w="4935" w:type="dxa"/>
            <w:tcBorders/>
            <w:vAlign w:val="center"/>
          </w:tcPr>
          <w:p>
            <w:pPr>
              <w:pStyle w:val="TableContents"/>
              <w:bidi w:val="0"/>
              <w:spacing w:before="0" w:after="283"/>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Experience in Industry</w:t>
            </w:r>
          </w:p>
        </w:tc>
        <w:tc>
          <w:tcPr>
            <w:tcW w:w="300" w:type="dxa"/>
            <w:tcBorders/>
            <w:vAlign w:val="center"/>
          </w:tcPr>
          <w:p>
            <w:pPr>
              <w:pStyle w:val="TableContents"/>
              <w:bidi w:val="0"/>
              <w:spacing w:before="0" w:after="283"/>
              <w:jc w:val="left"/>
              <w:rPr/>
            </w:pPr>
            <w:r>
              <w:rPr/>
              <w:t> </w:t>
            </w:r>
          </w:p>
        </w:tc>
        <w:tc>
          <w:tcPr>
            <w:tcW w:w="750" w:type="dxa"/>
            <w:vMerge w:val="continue"/>
            <w:tcBorders/>
            <w:vAlign w:val="center"/>
          </w:tcPr>
          <w:p>
            <w:pPr>
              <w:pStyle w:val="Normal"/>
              <w:bidi w:val="0"/>
              <w:jc w:val="left"/>
              <w:rPr/>
            </w:pPr>
            <w:r>
              <w:rPr/>
            </w:r>
          </w:p>
        </w:tc>
        <w:tc>
          <w:tcPr>
            <w:tcW w:w="4950" w:type="dxa"/>
            <w:tcBorders/>
            <w:vAlign w:val="center"/>
          </w:tcPr>
          <w:p>
            <w:pPr>
              <w:pStyle w:val="TableContents"/>
              <w:bidi w:val="0"/>
              <w:spacing w:before="0" w:after="283"/>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Government</w:t>
            </w:r>
          </w:p>
        </w:tc>
      </w:tr>
      <w:tr>
        <w:trPr/>
        <w:tc>
          <w:tcPr>
            <w:tcW w:w="765" w:type="dxa"/>
            <w:vMerge w:val="continue"/>
            <w:tcBorders/>
            <w:vAlign w:val="center"/>
          </w:tcPr>
          <w:p>
            <w:pPr>
              <w:pStyle w:val="Normal"/>
              <w:bidi w:val="0"/>
              <w:jc w:val="left"/>
              <w:rPr/>
            </w:pPr>
            <w:r>
              <w:rPr/>
            </w:r>
          </w:p>
        </w:tc>
        <w:tc>
          <w:tcPr>
            <w:tcW w:w="4935" w:type="dxa"/>
            <w:tcBorders/>
            <w:vAlign w:val="center"/>
          </w:tcPr>
          <w:p>
            <w:pPr>
              <w:pStyle w:val="TableContents"/>
              <w:bidi w:val="0"/>
              <w:spacing w:before="0" w:after="283"/>
              <w:jc w:val="left"/>
              <w:rPr/>
            </w:pPr>
            <w:r>
              <w:rPr/>
              <w:t>Directors with experience in the aerospace and defense markets, whether through leadership of a business engaged in those markets or as a government or military customer, provide valuable insights on industry developments and strong oversight of RTX’s strategic priorities and business performance.</w:t>
            </w:r>
          </w:p>
        </w:tc>
        <w:tc>
          <w:tcPr>
            <w:tcW w:w="300" w:type="dxa"/>
            <w:tcBorders/>
            <w:vAlign w:val="center"/>
          </w:tcPr>
          <w:p>
            <w:pPr>
              <w:pStyle w:val="TableContents"/>
              <w:bidi w:val="0"/>
              <w:spacing w:before="0" w:after="283"/>
              <w:jc w:val="left"/>
              <w:rPr/>
            </w:pPr>
            <w:r>
              <w:rPr/>
              <w:t> </w:t>
            </w:r>
          </w:p>
        </w:tc>
        <w:tc>
          <w:tcPr>
            <w:tcW w:w="750" w:type="dxa"/>
            <w:vMerge w:val="continue"/>
            <w:tcBorders/>
            <w:vAlign w:val="center"/>
          </w:tcPr>
          <w:p>
            <w:pPr>
              <w:pStyle w:val="Normal"/>
              <w:bidi w:val="0"/>
              <w:jc w:val="left"/>
              <w:rPr/>
            </w:pPr>
            <w:r>
              <w:rPr/>
            </w:r>
          </w:p>
        </w:tc>
        <w:tc>
          <w:tcPr>
            <w:tcW w:w="4950" w:type="dxa"/>
            <w:tcBorders/>
            <w:vAlign w:val="center"/>
          </w:tcPr>
          <w:p>
            <w:pPr>
              <w:pStyle w:val="TableContents"/>
              <w:bidi w:val="0"/>
              <w:spacing w:before="0" w:after="283"/>
              <w:jc w:val="left"/>
              <w:rPr/>
            </w:pPr>
            <w:r>
              <w:rPr/>
              <w:t>Directors who have served in senior government or military roles provide constructive insights about significant government policies and regulations, as well as public policy issues, and their impact on the Company.</w:t>
            </w:r>
          </w:p>
        </w:tc>
      </w:tr>
      <w:tr>
        <w:trPr/>
        <w:tc>
          <w:tcPr>
            <w:tcW w:w="765" w:type="dxa"/>
            <w:tcBorders/>
            <w:vAlign w:val="center"/>
          </w:tcPr>
          <w:p>
            <w:pPr>
              <w:pStyle w:val="TableContents"/>
              <w:bidi w:val="0"/>
              <w:spacing w:before="0" w:after="283"/>
              <w:jc w:val="left"/>
              <w:rPr/>
            </w:pPr>
            <w:r>
              <w:rPr/>
              <w:t> </w:t>
            </w:r>
          </w:p>
        </w:tc>
        <w:tc>
          <w:tcPr>
            <w:tcW w:w="4935"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283"/>
              <w:jc w:val="left"/>
              <w:rPr/>
            </w:pPr>
            <w:r>
              <w:rPr/>
              <w:t> </w:t>
            </w:r>
          </w:p>
        </w:tc>
        <w:tc>
          <w:tcPr>
            <w:tcW w:w="750" w:type="dxa"/>
            <w:tcBorders/>
            <w:vAlign w:val="center"/>
          </w:tcPr>
          <w:p>
            <w:pPr>
              <w:pStyle w:val="TableContents"/>
              <w:bidi w:val="0"/>
              <w:spacing w:before="0" w:after="283"/>
              <w:jc w:val="left"/>
              <w:rPr/>
            </w:pPr>
            <w:r>
              <w:rPr/>
              <w:t> </w:t>
            </w:r>
          </w:p>
        </w:tc>
        <w:tc>
          <w:tcPr>
            <w:tcW w:w="4950" w:type="dxa"/>
            <w:tcBorders/>
            <w:vAlign w:val="center"/>
          </w:tcPr>
          <w:p>
            <w:pPr>
              <w:pStyle w:val="TableContents"/>
              <w:bidi w:val="0"/>
              <w:spacing w:before="0" w:after="283"/>
              <w:jc w:val="left"/>
              <w:rPr/>
            </w:pPr>
            <w:r>
              <w:rPr/>
              <w:t> </w:t>
            </w:r>
          </w:p>
        </w:tc>
      </w:tr>
      <w:tr>
        <w:trPr/>
        <w:tc>
          <w:tcPr>
            <w:tcW w:w="765" w:type="dxa"/>
            <w:vMerge w:val="restart"/>
            <w:tcBorders/>
            <w:vAlign w:val="center"/>
          </w:tcPr>
          <w:p>
            <w:pPr>
              <w:pStyle w:val="TableContents"/>
              <w:bidi w:val="0"/>
              <w:spacing w:before="0" w:after="283"/>
              <w:jc w:val="left"/>
              <w:rPr/>
            </w:pPr>
            <w:r>
              <w:rPr/>
              <w:drawing>
                <wp:inline distT="0" distB="0" distL="0" distR="0">
                  <wp:extent cx="419100" cy="1304925"/>
                  <wp:effectExtent l="0" t="0" r="0" b="0"/>
                  <wp:docPr id="128"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120" descr=""/>
                          <pic:cNvPicPr>
                            <a:picLocks noChangeAspect="1" noChangeArrowheads="1"/>
                          </pic:cNvPicPr>
                        </pic:nvPicPr>
                        <pic:blipFill>
                          <a:blip r:embed="rId125"/>
                          <a:stretch>
                            <a:fillRect/>
                          </a:stretch>
                        </pic:blipFill>
                        <pic:spPr bwMode="auto">
                          <a:xfrm>
                            <a:off x="0" y="0"/>
                            <a:ext cx="419100" cy="1304925"/>
                          </a:xfrm>
                          <a:prstGeom prst="rect">
                            <a:avLst/>
                          </a:prstGeom>
                        </pic:spPr>
                      </pic:pic>
                    </a:graphicData>
                  </a:graphic>
                </wp:inline>
              </w:drawing>
            </w:r>
          </w:p>
        </w:tc>
        <w:tc>
          <w:tcPr>
            <w:tcW w:w="4935" w:type="dxa"/>
            <w:tcBorders/>
            <w:vAlign w:val="center"/>
          </w:tcPr>
          <w:p>
            <w:pPr>
              <w:pStyle w:val="TableContents"/>
              <w:bidi w:val="0"/>
              <w:spacing w:before="0" w:after="283"/>
              <w:jc w:val="left"/>
              <w:rPr/>
            </w:pPr>
            <w:r>
              <w:rPr/>
              <w:drawing>
                <wp:inline distT="0" distB="0" distL="0" distR="0">
                  <wp:extent cx="3133725" cy="523875"/>
                  <wp:effectExtent l="0" t="0" r="0" b="0"/>
                  <wp:docPr id="129"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121" descr=""/>
                          <pic:cNvPicPr>
                            <a:picLocks noChangeAspect="1" noChangeArrowheads="1"/>
                          </pic:cNvPicPr>
                        </pic:nvPicPr>
                        <pic:blipFill>
                          <a:blip r:embed="rId126"/>
                          <a:stretch>
                            <a:fillRect/>
                          </a:stretch>
                        </pic:blipFill>
                        <pic:spPr bwMode="auto">
                          <a:xfrm>
                            <a:off x="0" y="0"/>
                            <a:ext cx="3133725" cy="523875"/>
                          </a:xfrm>
                          <a:prstGeom prst="rect">
                            <a:avLst/>
                          </a:prstGeom>
                        </pic:spPr>
                      </pic:pic>
                    </a:graphicData>
                  </a:graphic>
                </wp:inline>
              </w:drawing>
            </w:r>
          </w:p>
        </w:tc>
        <w:tc>
          <w:tcPr>
            <w:tcW w:w="300" w:type="dxa"/>
            <w:tcBorders/>
            <w:vAlign w:val="center"/>
          </w:tcPr>
          <w:p>
            <w:pPr>
              <w:pStyle w:val="TableContents"/>
              <w:bidi w:val="0"/>
              <w:spacing w:before="0" w:after="283"/>
              <w:jc w:val="left"/>
              <w:rPr/>
            </w:pPr>
            <w:r>
              <w:rPr/>
              <w:t> </w:t>
            </w:r>
          </w:p>
        </w:tc>
        <w:tc>
          <w:tcPr>
            <w:tcW w:w="750" w:type="dxa"/>
            <w:vMerge w:val="restart"/>
            <w:tcBorders/>
            <w:vAlign w:val="center"/>
          </w:tcPr>
          <w:p>
            <w:pPr>
              <w:pStyle w:val="TableContents"/>
              <w:bidi w:val="0"/>
              <w:spacing w:before="0" w:after="283"/>
              <w:jc w:val="left"/>
              <w:rPr/>
            </w:pPr>
            <w:r>
              <w:rPr/>
              <w:drawing>
                <wp:inline distT="0" distB="0" distL="0" distR="0">
                  <wp:extent cx="447675" cy="1419225"/>
                  <wp:effectExtent l="0" t="0" r="0" b="0"/>
                  <wp:docPr id="130"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122" descr=""/>
                          <pic:cNvPicPr>
                            <a:picLocks noChangeAspect="1" noChangeArrowheads="1"/>
                          </pic:cNvPicPr>
                        </pic:nvPicPr>
                        <pic:blipFill>
                          <a:blip r:embed="rId127"/>
                          <a:stretch>
                            <a:fillRect/>
                          </a:stretch>
                        </pic:blipFill>
                        <pic:spPr bwMode="auto">
                          <a:xfrm>
                            <a:off x="0" y="0"/>
                            <a:ext cx="447675" cy="1419225"/>
                          </a:xfrm>
                          <a:prstGeom prst="rect">
                            <a:avLst/>
                          </a:prstGeom>
                        </pic:spPr>
                      </pic:pic>
                    </a:graphicData>
                  </a:graphic>
                </wp:inline>
              </w:drawing>
            </w:r>
          </w:p>
        </w:tc>
        <w:tc>
          <w:tcPr>
            <w:tcW w:w="4950" w:type="dxa"/>
            <w:tcBorders/>
            <w:vAlign w:val="center"/>
          </w:tcPr>
          <w:p>
            <w:pPr>
              <w:pStyle w:val="TableContents"/>
              <w:bidi w:val="0"/>
              <w:spacing w:before="0" w:after="283"/>
              <w:jc w:val="left"/>
              <w:rPr/>
            </w:pPr>
            <w:r>
              <w:rPr/>
              <w:drawing>
                <wp:inline distT="0" distB="0" distL="0" distR="0">
                  <wp:extent cx="3133725" cy="476250"/>
                  <wp:effectExtent l="0" t="0" r="0" b="0"/>
                  <wp:docPr id="131"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123" descr=""/>
                          <pic:cNvPicPr>
                            <a:picLocks noChangeAspect="1" noChangeArrowheads="1"/>
                          </pic:cNvPicPr>
                        </pic:nvPicPr>
                        <pic:blipFill>
                          <a:blip r:embed="rId128"/>
                          <a:stretch>
                            <a:fillRect/>
                          </a:stretch>
                        </pic:blipFill>
                        <pic:spPr bwMode="auto">
                          <a:xfrm>
                            <a:off x="0" y="0"/>
                            <a:ext cx="3133725" cy="476250"/>
                          </a:xfrm>
                          <a:prstGeom prst="rect">
                            <a:avLst/>
                          </a:prstGeom>
                        </pic:spPr>
                      </pic:pic>
                    </a:graphicData>
                  </a:graphic>
                </wp:inline>
              </w:drawing>
            </w:r>
          </w:p>
        </w:tc>
      </w:tr>
      <w:tr>
        <w:trPr/>
        <w:tc>
          <w:tcPr>
            <w:tcW w:w="765" w:type="dxa"/>
            <w:vMerge w:val="continue"/>
            <w:tcBorders/>
            <w:vAlign w:val="center"/>
          </w:tcPr>
          <w:p>
            <w:pPr>
              <w:pStyle w:val="Normal"/>
              <w:bidi w:val="0"/>
              <w:jc w:val="left"/>
              <w:rPr/>
            </w:pPr>
            <w:r>
              <w:rPr/>
            </w:r>
          </w:p>
        </w:tc>
        <w:tc>
          <w:tcPr>
            <w:tcW w:w="4935" w:type="dxa"/>
            <w:tcBorders/>
            <w:vAlign w:val="center"/>
          </w:tcPr>
          <w:p>
            <w:pPr>
              <w:pStyle w:val="TableContents"/>
              <w:bidi w:val="0"/>
              <w:spacing w:before="0" w:after="283"/>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Financial</w:t>
            </w:r>
          </w:p>
        </w:tc>
        <w:tc>
          <w:tcPr>
            <w:tcW w:w="300" w:type="dxa"/>
            <w:tcBorders/>
            <w:vAlign w:val="center"/>
          </w:tcPr>
          <w:p>
            <w:pPr>
              <w:pStyle w:val="TableContents"/>
              <w:bidi w:val="0"/>
              <w:spacing w:before="0" w:after="283"/>
              <w:jc w:val="left"/>
              <w:rPr/>
            </w:pPr>
            <w:r>
              <w:rPr/>
              <w:t> </w:t>
            </w:r>
          </w:p>
        </w:tc>
        <w:tc>
          <w:tcPr>
            <w:tcW w:w="750" w:type="dxa"/>
            <w:vMerge w:val="continue"/>
            <w:tcBorders/>
            <w:vAlign w:val="center"/>
          </w:tcPr>
          <w:p>
            <w:pPr>
              <w:pStyle w:val="Normal"/>
              <w:bidi w:val="0"/>
              <w:jc w:val="left"/>
              <w:rPr/>
            </w:pPr>
            <w:r>
              <w:rPr/>
            </w:r>
          </w:p>
        </w:tc>
        <w:tc>
          <w:tcPr>
            <w:tcW w:w="4950" w:type="dxa"/>
            <w:tcBorders/>
            <w:vAlign w:val="center"/>
          </w:tcPr>
          <w:p>
            <w:pPr>
              <w:pStyle w:val="TableContents"/>
              <w:bidi w:val="0"/>
              <w:spacing w:before="0" w:after="283"/>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Governance and Responsibility</w:t>
            </w:r>
          </w:p>
        </w:tc>
      </w:tr>
      <w:tr>
        <w:trPr/>
        <w:tc>
          <w:tcPr>
            <w:tcW w:w="765" w:type="dxa"/>
            <w:vMerge w:val="continue"/>
            <w:tcBorders/>
            <w:vAlign w:val="center"/>
          </w:tcPr>
          <w:p>
            <w:pPr>
              <w:pStyle w:val="Normal"/>
              <w:bidi w:val="0"/>
              <w:jc w:val="left"/>
              <w:rPr/>
            </w:pPr>
            <w:r>
              <w:rPr/>
            </w:r>
          </w:p>
        </w:tc>
        <w:tc>
          <w:tcPr>
            <w:tcW w:w="4935" w:type="dxa"/>
            <w:tcBorders/>
            <w:vAlign w:val="center"/>
          </w:tcPr>
          <w:p>
            <w:pPr>
              <w:pStyle w:val="TableContents"/>
              <w:bidi w:val="0"/>
              <w:spacing w:before="0" w:after="283"/>
              <w:jc w:val="left"/>
              <w:rPr/>
            </w:pPr>
            <w:r>
              <w:rPr/>
              <w:t>Directors with proficiency in complex financial management, financial reporting processes, capital allocation, capital markets and mergers and acquisitions provide strong oversight of the Company’s financial reporting, financial controls, capital deployment and strategic investments.</w:t>
            </w:r>
          </w:p>
        </w:tc>
        <w:tc>
          <w:tcPr>
            <w:tcW w:w="300" w:type="dxa"/>
            <w:tcBorders/>
            <w:vAlign w:val="center"/>
          </w:tcPr>
          <w:p>
            <w:pPr>
              <w:pStyle w:val="TableContents"/>
              <w:bidi w:val="0"/>
              <w:spacing w:before="0" w:after="283"/>
              <w:jc w:val="left"/>
              <w:rPr/>
            </w:pPr>
            <w:r>
              <w:rPr/>
              <w:t> </w:t>
            </w:r>
          </w:p>
        </w:tc>
        <w:tc>
          <w:tcPr>
            <w:tcW w:w="750" w:type="dxa"/>
            <w:vMerge w:val="continue"/>
            <w:tcBorders/>
            <w:vAlign w:val="center"/>
          </w:tcPr>
          <w:p>
            <w:pPr>
              <w:pStyle w:val="Normal"/>
              <w:bidi w:val="0"/>
              <w:jc w:val="left"/>
              <w:rPr/>
            </w:pPr>
            <w:r>
              <w:rPr/>
            </w:r>
          </w:p>
        </w:tc>
        <w:tc>
          <w:tcPr>
            <w:tcW w:w="4950" w:type="dxa"/>
            <w:tcBorders/>
            <w:vAlign w:val="center"/>
          </w:tcPr>
          <w:p>
            <w:pPr>
              <w:pStyle w:val="TableContents"/>
              <w:bidi w:val="0"/>
              <w:spacing w:before="0" w:after="283"/>
              <w:jc w:val="left"/>
              <w:rPr/>
            </w:pPr>
            <w:r>
              <w:rPr/>
              <w:t>Directors with experience in product safety, ethics and compliance, sustainability, social responsibility and public company governance (including service on a public company board), strengthen the Board’s oversight of key governance initiatives, reporting and risks.</w:t>
            </w:r>
          </w:p>
        </w:tc>
      </w:tr>
      <w:tr>
        <w:trPr/>
        <w:tc>
          <w:tcPr>
            <w:tcW w:w="765" w:type="dxa"/>
            <w:tcBorders/>
            <w:vAlign w:val="center"/>
          </w:tcPr>
          <w:p>
            <w:pPr>
              <w:pStyle w:val="TableContents"/>
              <w:bidi w:val="0"/>
              <w:spacing w:before="0" w:after="283"/>
              <w:jc w:val="left"/>
              <w:rPr/>
            </w:pPr>
            <w:r>
              <w:rPr/>
              <w:t> </w:t>
            </w:r>
          </w:p>
        </w:tc>
        <w:tc>
          <w:tcPr>
            <w:tcW w:w="4935"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283"/>
              <w:jc w:val="left"/>
              <w:rPr/>
            </w:pPr>
            <w:r>
              <w:rPr/>
              <w:t> </w:t>
            </w:r>
          </w:p>
        </w:tc>
        <w:tc>
          <w:tcPr>
            <w:tcW w:w="750" w:type="dxa"/>
            <w:tcBorders/>
            <w:vAlign w:val="center"/>
          </w:tcPr>
          <w:p>
            <w:pPr>
              <w:pStyle w:val="TableContents"/>
              <w:bidi w:val="0"/>
              <w:spacing w:before="0" w:after="283"/>
              <w:jc w:val="left"/>
              <w:rPr/>
            </w:pPr>
            <w:r>
              <w:rPr/>
              <w:t> </w:t>
            </w:r>
          </w:p>
        </w:tc>
        <w:tc>
          <w:tcPr>
            <w:tcW w:w="4950" w:type="dxa"/>
            <w:tcBorders/>
            <w:vAlign w:val="center"/>
          </w:tcPr>
          <w:p>
            <w:pPr>
              <w:pStyle w:val="TableContents"/>
              <w:bidi w:val="0"/>
              <w:spacing w:before="0" w:after="283"/>
              <w:jc w:val="left"/>
              <w:rPr/>
            </w:pPr>
            <w:r>
              <w:rPr/>
              <w:t> </w:t>
            </w:r>
          </w:p>
        </w:tc>
      </w:tr>
      <w:tr>
        <w:trPr/>
        <w:tc>
          <w:tcPr>
            <w:tcW w:w="765" w:type="dxa"/>
            <w:vMerge w:val="restart"/>
            <w:tcBorders/>
            <w:vAlign w:val="center"/>
          </w:tcPr>
          <w:p>
            <w:pPr>
              <w:pStyle w:val="TableContents"/>
              <w:bidi w:val="0"/>
              <w:spacing w:before="0" w:after="283"/>
              <w:jc w:val="left"/>
              <w:rPr/>
            </w:pPr>
            <w:r>
              <w:rPr/>
              <w:drawing>
                <wp:inline distT="0" distB="0" distL="0" distR="0">
                  <wp:extent cx="447675" cy="1323975"/>
                  <wp:effectExtent l="0" t="0" r="0" b="0"/>
                  <wp:docPr id="132"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124" descr=""/>
                          <pic:cNvPicPr>
                            <a:picLocks noChangeAspect="1" noChangeArrowheads="1"/>
                          </pic:cNvPicPr>
                        </pic:nvPicPr>
                        <pic:blipFill>
                          <a:blip r:embed="rId129"/>
                          <a:stretch>
                            <a:fillRect/>
                          </a:stretch>
                        </pic:blipFill>
                        <pic:spPr bwMode="auto">
                          <a:xfrm>
                            <a:off x="0" y="0"/>
                            <a:ext cx="447675" cy="1323975"/>
                          </a:xfrm>
                          <a:prstGeom prst="rect">
                            <a:avLst/>
                          </a:prstGeom>
                        </pic:spPr>
                      </pic:pic>
                    </a:graphicData>
                  </a:graphic>
                </wp:inline>
              </w:drawing>
            </w:r>
          </w:p>
        </w:tc>
        <w:tc>
          <w:tcPr>
            <w:tcW w:w="4935" w:type="dxa"/>
            <w:tcBorders/>
            <w:vAlign w:val="center"/>
          </w:tcPr>
          <w:p>
            <w:pPr>
              <w:pStyle w:val="TableContents"/>
              <w:bidi w:val="0"/>
              <w:spacing w:before="0" w:after="283"/>
              <w:jc w:val="left"/>
              <w:rPr/>
            </w:pPr>
            <w:r>
              <w:rPr/>
              <w:drawing>
                <wp:inline distT="0" distB="0" distL="0" distR="0">
                  <wp:extent cx="3133725" cy="476250"/>
                  <wp:effectExtent l="0" t="0" r="0" b="0"/>
                  <wp:docPr id="133"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125" descr=""/>
                          <pic:cNvPicPr>
                            <a:picLocks noChangeAspect="1" noChangeArrowheads="1"/>
                          </pic:cNvPicPr>
                        </pic:nvPicPr>
                        <pic:blipFill>
                          <a:blip r:embed="rId130"/>
                          <a:stretch>
                            <a:fillRect/>
                          </a:stretch>
                        </pic:blipFill>
                        <pic:spPr bwMode="auto">
                          <a:xfrm>
                            <a:off x="0" y="0"/>
                            <a:ext cx="3133725" cy="476250"/>
                          </a:xfrm>
                          <a:prstGeom prst="rect">
                            <a:avLst/>
                          </a:prstGeom>
                        </pic:spPr>
                      </pic:pic>
                    </a:graphicData>
                  </a:graphic>
                </wp:inline>
              </w:drawing>
            </w:r>
          </w:p>
        </w:tc>
        <w:tc>
          <w:tcPr>
            <w:tcW w:w="300" w:type="dxa"/>
            <w:tcBorders/>
            <w:vAlign w:val="center"/>
          </w:tcPr>
          <w:p>
            <w:pPr>
              <w:pStyle w:val="TableContents"/>
              <w:bidi w:val="0"/>
              <w:spacing w:before="0" w:after="283"/>
              <w:jc w:val="left"/>
              <w:rPr/>
            </w:pPr>
            <w:r>
              <w:rPr/>
              <w:t> </w:t>
            </w:r>
          </w:p>
        </w:tc>
        <w:tc>
          <w:tcPr>
            <w:tcW w:w="750" w:type="dxa"/>
            <w:vMerge w:val="restart"/>
            <w:tcBorders/>
            <w:vAlign w:val="center"/>
          </w:tcPr>
          <w:p>
            <w:pPr>
              <w:pStyle w:val="TableContents"/>
              <w:bidi w:val="0"/>
              <w:spacing w:before="0" w:after="283"/>
              <w:jc w:val="left"/>
              <w:rPr/>
            </w:pPr>
            <w:r>
              <w:rPr/>
              <w:drawing>
                <wp:inline distT="0" distB="0" distL="0" distR="0">
                  <wp:extent cx="476250" cy="1447800"/>
                  <wp:effectExtent l="0" t="0" r="0" b="0"/>
                  <wp:docPr id="134"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126" descr=""/>
                          <pic:cNvPicPr>
                            <a:picLocks noChangeAspect="1" noChangeArrowheads="1"/>
                          </pic:cNvPicPr>
                        </pic:nvPicPr>
                        <pic:blipFill>
                          <a:blip r:embed="rId131"/>
                          <a:stretch>
                            <a:fillRect/>
                          </a:stretch>
                        </pic:blipFill>
                        <pic:spPr bwMode="auto">
                          <a:xfrm>
                            <a:off x="0" y="0"/>
                            <a:ext cx="476250" cy="1447800"/>
                          </a:xfrm>
                          <a:prstGeom prst="rect">
                            <a:avLst/>
                          </a:prstGeom>
                        </pic:spPr>
                      </pic:pic>
                    </a:graphicData>
                  </a:graphic>
                </wp:inline>
              </w:drawing>
            </w:r>
          </w:p>
        </w:tc>
        <w:tc>
          <w:tcPr>
            <w:tcW w:w="4950" w:type="dxa"/>
            <w:tcBorders/>
            <w:vAlign w:val="center"/>
          </w:tcPr>
          <w:p>
            <w:pPr>
              <w:pStyle w:val="TableContents"/>
              <w:bidi w:val="0"/>
              <w:spacing w:before="0" w:after="283"/>
              <w:jc w:val="left"/>
              <w:rPr/>
            </w:pPr>
            <w:r>
              <w:rPr/>
              <w:drawing>
                <wp:inline distT="0" distB="0" distL="0" distR="0">
                  <wp:extent cx="3133725" cy="1104900"/>
                  <wp:effectExtent l="0" t="0" r="0" b="0"/>
                  <wp:docPr id="135"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127" descr=""/>
                          <pic:cNvPicPr>
                            <a:picLocks noChangeAspect="1" noChangeArrowheads="1"/>
                          </pic:cNvPicPr>
                        </pic:nvPicPr>
                        <pic:blipFill>
                          <a:blip r:embed="rId132"/>
                          <a:stretch>
                            <a:fillRect/>
                          </a:stretch>
                        </pic:blipFill>
                        <pic:spPr bwMode="auto">
                          <a:xfrm>
                            <a:off x="0" y="0"/>
                            <a:ext cx="3133725" cy="1104900"/>
                          </a:xfrm>
                          <a:prstGeom prst="rect">
                            <a:avLst/>
                          </a:prstGeom>
                        </pic:spPr>
                      </pic:pic>
                    </a:graphicData>
                  </a:graphic>
                </wp:inline>
              </w:drawing>
            </w:r>
          </w:p>
        </w:tc>
      </w:tr>
      <w:tr>
        <w:trPr/>
        <w:tc>
          <w:tcPr>
            <w:tcW w:w="765" w:type="dxa"/>
            <w:vMerge w:val="continue"/>
            <w:tcBorders/>
            <w:vAlign w:val="center"/>
          </w:tcPr>
          <w:p>
            <w:pPr>
              <w:pStyle w:val="Normal"/>
              <w:bidi w:val="0"/>
              <w:jc w:val="left"/>
              <w:rPr/>
            </w:pPr>
            <w:r>
              <w:rPr/>
            </w:r>
          </w:p>
        </w:tc>
        <w:tc>
          <w:tcPr>
            <w:tcW w:w="4935" w:type="dxa"/>
            <w:tcBorders/>
            <w:vAlign w:val="center"/>
          </w:tcPr>
          <w:p>
            <w:pPr>
              <w:pStyle w:val="TableContents"/>
              <w:bidi w:val="0"/>
              <w:spacing w:before="0" w:after="283"/>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Risk Management/Oversight</w:t>
            </w:r>
          </w:p>
        </w:tc>
        <w:tc>
          <w:tcPr>
            <w:tcW w:w="300" w:type="dxa"/>
            <w:tcBorders/>
            <w:vAlign w:val="center"/>
          </w:tcPr>
          <w:p>
            <w:pPr>
              <w:pStyle w:val="TableContents"/>
              <w:bidi w:val="0"/>
              <w:spacing w:before="0" w:after="283"/>
              <w:jc w:val="left"/>
              <w:rPr/>
            </w:pPr>
            <w:r>
              <w:rPr/>
              <w:t> </w:t>
            </w:r>
          </w:p>
        </w:tc>
        <w:tc>
          <w:tcPr>
            <w:tcW w:w="750" w:type="dxa"/>
            <w:vMerge w:val="continue"/>
            <w:tcBorders/>
            <w:vAlign w:val="center"/>
          </w:tcPr>
          <w:p>
            <w:pPr>
              <w:pStyle w:val="Normal"/>
              <w:bidi w:val="0"/>
              <w:jc w:val="left"/>
              <w:rPr/>
            </w:pPr>
            <w:r>
              <w:rPr/>
            </w:r>
          </w:p>
        </w:tc>
        <w:tc>
          <w:tcPr>
            <w:tcW w:w="4950" w:type="dxa"/>
            <w:tcBorders/>
            <w:vAlign w:val="center"/>
          </w:tcPr>
          <w:p>
            <w:pPr>
              <w:pStyle w:val="TableContents"/>
              <w:bidi w:val="0"/>
              <w:spacing w:before="0" w:after="283"/>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Manufacturing, Operations and Supply Chain</w:t>
            </w:r>
          </w:p>
        </w:tc>
      </w:tr>
      <w:tr>
        <w:trPr/>
        <w:tc>
          <w:tcPr>
            <w:tcW w:w="765" w:type="dxa"/>
            <w:vMerge w:val="continue"/>
            <w:tcBorders/>
            <w:vAlign w:val="center"/>
          </w:tcPr>
          <w:p>
            <w:pPr>
              <w:pStyle w:val="Normal"/>
              <w:bidi w:val="0"/>
              <w:jc w:val="left"/>
              <w:rPr/>
            </w:pPr>
            <w:r>
              <w:rPr/>
            </w:r>
          </w:p>
        </w:tc>
        <w:tc>
          <w:tcPr>
            <w:tcW w:w="4935" w:type="dxa"/>
            <w:tcBorders/>
            <w:vAlign w:val="center"/>
          </w:tcPr>
          <w:p>
            <w:pPr>
              <w:pStyle w:val="TableContents"/>
              <w:bidi w:val="0"/>
              <w:spacing w:before="0" w:after="283"/>
              <w:jc w:val="left"/>
              <w:rPr/>
            </w:pPr>
            <w:r>
              <w:rPr/>
              <w:t>Directors with knowledge and experience in managing major risk exposure for complex, large organizations—including significant financial, operational, compliance, reputational, strategic, international, political and cybersecurity risks—are critical to the Board’s important risk oversight role.</w:t>
            </w:r>
          </w:p>
        </w:tc>
        <w:tc>
          <w:tcPr>
            <w:tcW w:w="300" w:type="dxa"/>
            <w:tcBorders/>
            <w:vAlign w:val="center"/>
          </w:tcPr>
          <w:p>
            <w:pPr>
              <w:pStyle w:val="TableContents"/>
              <w:bidi w:val="0"/>
              <w:spacing w:before="0" w:after="283"/>
              <w:jc w:val="left"/>
              <w:rPr/>
            </w:pPr>
            <w:r>
              <w:rPr/>
              <w:t> </w:t>
            </w:r>
          </w:p>
        </w:tc>
        <w:tc>
          <w:tcPr>
            <w:tcW w:w="750" w:type="dxa"/>
            <w:vMerge w:val="continue"/>
            <w:tcBorders/>
            <w:vAlign w:val="center"/>
          </w:tcPr>
          <w:p>
            <w:pPr>
              <w:pStyle w:val="Normal"/>
              <w:bidi w:val="0"/>
              <w:jc w:val="left"/>
              <w:rPr/>
            </w:pPr>
            <w:r>
              <w:rPr/>
            </w:r>
          </w:p>
        </w:tc>
        <w:tc>
          <w:tcPr>
            <w:tcW w:w="4950" w:type="dxa"/>
            <w:tcBorders/>
            <w:vAlign w:val="center"/>
          </w:tcPr>
          <w:p>
            <w:pPr>
              <w:pStyle w:val="TableContents"/>
              <w:bidi w:val="0"/>
              <w:spacing w:before="0" w:after="283"/>
              <w:jc w:val="left"/>
              <w:rPr/>
            </w:pPr>
            <w:r>
              <w:rPr/>
              <w:t>Directors who have led organizations with or otherwise managed manufacturing capabilities, operations and supply chains provide valuable insights on these aspects of our business, which are key to our focus on execution, operational efficiencies and cost reductions.</w:t>
            </w:r>
          </w:p>
        </w:tc>
      </w:tr>
      <w:tr>
        <w:trPr/>
        <w:tc>
          <w:tcPr>
            <w:tcW w:w="765" w:type="dxa"/>
            <w:tcBorders/>
            <w:vAlign w:val="center"/>
          </w:tcPr>
          <w:p>
            <w:pPr>
              <w:pStyle w:val="TableContents"/>
              <w:bidi w:val="0"/>
              <w:spacing w:before="0" w:after="283"/>
              <w:jc w:val="left"/>
              <w:rPr/>
            </w:pPr>
            <w:r>
              <w:rPr/>
              <w:t> </w:t>
            </w:r>
          </w:p>
        </w:tc>
        <w:tc>
          <w:tcPr>
            <w:tcW w:w="4935"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283"/>
              <w:jc w:val="left"/>
              <w:rPr/>
            </w:pPr>
            <w:r>
              <w:rPr/>
              <w:t> </w:t>
            </w:r>
          </w:p>
        </w:tc>
        <w:tc>
          <w:tcPr>
            <w:tcW w:w="750" w:type="dxa"/>
            <w:tcBorders/>
            <w:vAlign w:val="center"/>
          </w:tcPr>
          <w:p>
            <w:pPr>
              <w:pStyle w:val="TableContents"/>
              <w:bidi w:val="0"/>
              <w:spacing w:before="0" w:after="283"/>
              <w:jc w:val="left"/>
              <w:rPr/>
            </w:pPr>
            <w:r>
              <w:rPr/>
              <w:t> </w:t>
            </w:r>
          </w:p>
        </w:tc>
        <w:tc>
          <w:tcPr>
            <w:tcW w:w="4950" w:type="dxa"/>
            <w:tcBorders/>
            <w:vAlign w:val="center"/>
          </w:tcPr>
          <w:p>
            <w:pPr>
              <w:pStyle w:val="TableContents"/>
              <w:bidi w:val="0"/>
              <w:spacing w:before="0" w:after="283"/>
              <w:jc w:val="left"/>
              <w:rPr/>
            </w:pPr>
            <w:r>
              <w:rPr/>
              <w:t> </w:t>
            </w:r>
          </w:p>
        </w:tc>
      </w:tr>
      <w:tr>
        <w:trPr/>
        <w:tc>
          <w:tcPr>
            <w:tcW w:w="765" w:type="dxa"/>
            <w:vMerge w:val="restart"/>
            <w:tcBorders/>
            <w:vAlign w:val="center"/>
          </w:tcPr>
          <w:p>
            <w:pPr>
              <w:pStyle w:val="TableContents"/>
              <w:bidi w:val="0"/>
              <w:spacing w:before="0" w:after="283"/>
              <w:jc w:val="left"/>
              <w:rPr/>
            </w:pPr>
            <w:r>
              <w:rPr/>
              <w:drawing>
                <wp:inline distT="0" distB="0" distL="0" distR="0">
                  <wp:extent cx="476250" cy="1428750"/>
                  <wp:effectExtent l="0" t="0" r="0" b="0"/>
                  <wp:docPr id="136"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128" descr=""/>
                          <pic:cNvPicPr>
                            <a:picLocks noChangeAspect="1" noChangeArrowheads="1"/>
                          </pic:cNvPicPr>
                        </pic:nvPicPr>
                        <pic:blipFill>
                          <a:blip r:embed="rId133"/>
                          <a:stretch>
                            <a:fillRect/>
                          </a:stretch>
                        </pic:blipFill>
                        <pic:spPr bwMode="auto">
                          <a:xfrm>
                            <a:off x="0" y="0"/>
                            <a:ext cx="476250" cy="1428750"/>
                          </a:xfrm>
                          <a:prstGeom prst="rect">
                            <a:avLst/>
                          </a:prstGeom>
                        </pic:spPr>
                      </pic:pic>
                    </a:graphicData>
                  </a:graphic>
                </wp:inline>
              </w:drawing>
            </w:r>
          </w:p>
        </w:tc>
        <w:tc>
          <w:tcPr>
            <w:tcW w:w="4935" w:type="dxa"/>
            <w:tcBorders/>
            <w:vAlign w:val="center"/>
          </w:tcPr>
          <w:p>
            <w:pPr>
              <w:pStyle w:val="TableContents"/>
              <w:bidi w:val="0"/>
              <w:spacing w:before="0" w:after="283"/>
              <w:jc w:val="left"/>
              <w:rPr/>
            </w:pPr>
            <w:r>
              <w:rPr/>
              <w:drawing>
                <wp:inline distT="0" distB="0" distL="0" distR="0">
                  <wp:extent cx="3133725" cy="523875"/>
                  <wp:effectExtent l="0" t="0" r="0" b="0"/>
                  <wp:docPr id="137" name="Image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129" descr=""/>
                          <pic:cNvPicPr>
                            <a:picLocks noChangeAspect="1" noChangeArrowheads="1"/>
                          </pic:cNvPicPr>
                        </pic:nvPicPr>
                        <pic:blipFill>
                          <a:blip r:embed="rId134"/>
                          <a:stretch>
                            <a:fillRect/>
                          </a:stretch>
                        </pic:blipFill>
                        <pic:spPr bwMode="auto">
                          <a:xfrm>
                            <a:off x="0" y="0"/>
                            <a:ext cx="3133725" cy="523875"/>
                          </a:xfrm>
                          <a:prstGeom prst="rect">
                            <a:avLst/>
                          </a:prstGeom>
                        </pic:spPr>
                      </pic:pic>
                    </a:graphicData>
                  </a:graphic>
                </wp:inline>
              </w:drawing>
            </w:r>
          </w:p>
        </w:tc>
        <w:tc>
          <w:tcPr>
            <w:tcW w:w="300" w:type="dxa"/>
            <w:tcBorders/>
            <w:vAlign w:val="center"/>
          </w:tcPr>
          <w:p>
            <w:pPr>
              <w:pStyle w:val="TableContents"/>
              <w:bidi w:val="0"/>
              <w:spacing w:before="0" w:after="283"/>
              <w:jc w:val="left"/>
              <w:rPr/>
            </w:pPr>
            <w:r>
              <w:rPr/>
              <w:t> </w:t>
            </w:r>
          </w:p>
        </w:tc>
        <w:tc>
          <w:tcPr>
            <w:tcW w:w="750" w:type="dxa"/>
            <w:vMerge w:val="restart"/>
            <w:tcBorders/>
            <w:vAlign w:val="center"/>
          </w:tcPr>
          <w:p>
            <w:pPr>
              <w:pStyle w:val="TableContents"/>
              <w:bidi w:val="0"/>
              <w:spacing w:before="0" w:after="283"/>
              <w:jc w:val="left"/>
              <w:rPr/>
            </w:pPr>
            <w:r>
              <w:rPr/>
              <w:t> </w:t>
            </w:r>
          </w:p>
        </w:tc>
        <w:tc>
          <w:tcPr>
            <w:tcW w:w="4950" w:type="dxa"/>
            <w:tcBorders/>
            <w:vAlign w:val="center"/>
          </w:tcPr>
          <w:p>
            <w:pPr>
              <w:pStyle w:val="TableContents"/>
              <w:bidi w:val="0"/>
              <w:spacing w:before="0" w:after="283"/>
              <w:jc w:val="left"/>
              <w:rPr/>
            </w:pPr>
            <w:r>
              <w:rPr/>
              <w:t> </w:t>
            </w:r>
          </w:p>
        </w:tc>
      </w:tr>
      <w:tr>
        <w:trPr/>
        <w:tc>
          <w:tcPr>
            <w:tcW w:w="765" w:type="dxa"/>
            <w:vMerge w:val="continue"/>
            <w:tcBorders/>
            <w:vAlign w:val="center"/>
          </w:tcPr>
          <w:p>
            <w:pPr>
              <w:pStyle w:val="Normal"/>
              <w:bidi w:val="0"/>
              <w:jc w:val="left"/>
              <w:rPr/>
            </w:pPr>
            <w:r>
              <w:rPr/>
            </w:r>
          </w:p>
        </w:tc>
        <w:tc>
          <w:tcPr>
            <w:tcW w:w="4935" w:type="dxa"/>
            <w:tcBorders/>
            <w:vAlign w:val="center"/>
          </w:tcPr>
          <w:p>
            <w:pPr>
              <w:pStyle w:val="TableContents"/>
              <w:bidi w:val="0"/>
              <w:spacing w:before="0" w:after="283"/>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International</w:t>
            </w:r>
          </w:p>
        </w:tc>
        <w:tc>
          <w:tcPr>
            <w:tcW w:w="300" w:type="dxa"/>
            <w:tcBorders/>
            <w:vAlign w:val="center"/>
          </w:tcPr>
          <w:p>
            <w:pPr>
              <w:pStyle w:val="TableContents"/>
              <w:bidi w:val="0"/>
              <w:spacing w:before="0" w:after="283"/>
              <w:jc w:val="left"/>
              <w:rPr/>
            </w:pPr>
            <w:r>
              <w:rPr/>
              <w:t> </w:t>
            </w:r>
          </w:p>
        </w:tc>
        <w:tc>
          <w:tcPr>
            <w:tcW w:w="750" w:type="dxa"/>
            <w:vMerge w:val="continue"/>
            <w:tcBorders/>
            <w:vAlign w:val="center"/>
          </w:tcPr>
          <w:p>
            <w:pPr>
              <w:pStyle w:val="Normal"/>
              <w:bidi w:val="0"/>
              <w:jc w:val="left"/>
              <w:rPr/>
            </w:pPr>
            <w:r>
              <w:rPr/>
            </w:r>
          </w:p>
        </w:tc>
        <w:tc>
          <w:tcPr>
            <w:tcW w:w="495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65" w:type="dxa"/>
            <w:vMerge w:val="continue"/>
            <w:tcBorders/>
            <w:vAlign w:val="center"/>
          </w:tcPr>
          <w:p>
            <w:pPr>
              <w:pStyle w:val="Normal"/>
              <w:bidi w:val="0"/>
              <w:jc w:val="left"/>
              <w:rPr/>
            </w:pPr>
            <w:r>
              <w:rPr/>
            </w:r>
          </w:p>
        </w:tc>
        <w:tc>
          <w:tcPr>
            <w:tcW w:w="4935" w:type="dxa"/>
            <w:tcBorders/>
            <w:vAlign w:val="center"/>
          </w:tcPr>
          <w:p>
            <w:pPr>
              <w:pStyle w:val="TableContents"/>
              <w:bidi w:val="0"/>
              <w:spacing w:before="0" w:after="283"/>
              <w:jc w:val="left"/>
              <w:rPr/>
            </w:pPr>
            <w:r>
              <w:rPr/>
              <w:t>Directors who have conducted business or operations outside of the United States or worked on international policy and related issues provide perspectives and insights on international business, politics and culture that are invaluable to a global company with operations and sales around the world.</w:t>
            </w:r>
          </w:p>
        </w:tc>
        <w:tc>
          <w:tcPr>
            <w:tcW w:w="300" w:type="dxa"/>
            <w:tcBorders/>
            <w:vAlign w:val="center"/>
          </w:tcPr>
          <w:p>
            <w:pPr>
              <w:pStyle w:val="TableContents"/>
              <w:bidi w:val="0"/>
              <w:spacing w:before="0" w:after="283"/>
              <w:jc w:val="left"/>
              <w:rPr/>
            </w:pPr>
            <w:r>
              <w:rPr/>
              <w:t> </w:t>
            </w:r>
          </w:p>
        </w:tc>
        <w:tc>
          <w:tcPr>
            <w:tcW w:w="750" w:type="dxa"/>
            <w:vMerge w:val="continue"/>
            <w:tcBorders/>
            <w:vAlign w:val="center"/>
          </w:tcPr>
          <w:p>
            <w:pPr>
              <w:pStyle w:val="Normal"/>
              <w:bidi w:val="0"/>
              <w:jc w:val="left"/>
              <w:rPr/>
            </w:pPr>
            <w:r>
              <w:rPr/>
            </w:r>
          </w:p>
        </w:tc>
        <w:tc>
          <w:tcPr>
            <w:tcW w:w="4950" w:type="dxa"/>
            <w:tcBorders/>
            <w:vAlign w:val="center"/>
          </w:tcPr>
          <w:p>
            <w:pPr>
              <w:pStyle w:val="TableContents"/>
              <w:bidi w:val="0"/>
              <w:spacing w:before="0" w:after="283"/>
              <w:jc w:val="left"/>
              <w:rPr/>
            </w:pPr>
            <w:r>
              <w:rPr/>
              <w:t> </w:t>
            </w:r>
          </w:p>
        </w:tc>
      </w:tr>
    </w:tbl>
    <w:p>
      <w:pPr>
        <w:pStyle w:val="TextBody"/>
        <w:bidi w:val="0"/>
        <w:spacing w:before="200" w:after="283"/>
        <w:jc w:val="left"/>
        <w:rPr>
          <w:rFonts w:ascii="Arial;Helvetica;Sans-Serif" w:hAnsi="Arial;Helvetica;Sans-Serif"/>
          <w:b w:val="false"/>
          <w:i w:val="false"/>
          <w:caps w:val="false"/>
          <w:smallCaps w:val="false"/>
          <w:sz w:val="15"/>
        </w:rPr>
      </w:pPr>
      <w:r>
        <w:rPr>
          <w:rFonts w:ascii="Arial;Helvetica;Sans-Serif" w:hAnsi="Arial;Helvetica;Sans-Serif"/>
          <w:b/>
          <w:i w:val="false"/>
          <w:caps w:val="false"/>
          <w:smallCaps w:val="false"/>
          <w:sz w:val="15"/>
        </w:rPr>
        <w:t>12</w:t>
      </w:r>
      <w:r>
        <w:rPr>
          <w:rFonts w:ascii="Arial;Helvetica;Sans-Serif" w:hAnsi="Arial;Helvetica;Sans-Serif"/>
          <w:b w:val="false"/>
          <w:i w:val="false"/>
          <w:caps w:val="false"/>
          <w:smallCaps w:val="false"/>
          <w:sz w:val="15"/>
        </w:rPr>
        <w:t>    </w:t>
      </w:r>
      <w:r>
        <w:rPr>
          <w:rFonts w:ascii="Arial;Helvetica;Sans-Serif" w:hAnsi="Arial;Helvetica;Sans-Serif"/>
          <w:b/>
          <w:i w:val="false"/>
          <w:caps w:val="false"/>
          <w:smallCaps w:val="false"/>
          <w:color w:val="000000"/>
          <w:sz w:val="15"/>
        </w:rPr>
        <w:t xml:space="preserve">RTX </w:t>
      </w:r>
      <w:r>
        <w:rPr>
          <w:rFonts w:ascii="Arial;Helvetica;Sans-Serif" w:hAnsi="Arial;Helvetica;Sans-Serif"/>
          <w:b w:val="false"/>
          <w:i w:val="false"/>
          <w:caps w:val="false"/>
          <w:smallCaps w:val="false"/>
          <w:sz w:val="15"/>
        </w:rPr>
        <w:t>2026 PROXY STATEMENT</w:t>
      </w:r>
    </w:p>
    <w:p>
      <w:pPr>
        <w:pStyle w:val="HorizontalLine"/>
        <w:pBdr>
          <w:bottom w:val="double" w:sz="2" w:space="0" w:color="808080"/>
        </w:pBdr>
        <w:bidi w:val="0"/>
        <w:spacing w:before="0" w:after="283"/>
        <w:jc w:val="left"/>
        <w:rPr/>
      </w:pPr>
      <w:r>
        <w:rPr/>
      </w:r>
    </w:p>
    <w:p>
      <w:pPr>
        <w:pStyle w:val="TextBody"/>
        <w:bidi w:val="0"/>
        <w:spacing w:before="200" w:after="200"/>
        <w:jc w:val="left"/>
        <w:rPr/>
      </w:pPr>
      <w:hyperlink w:anchor="toc">
        <w:r>
          <w:rPr>
            <w:rStyle w:val="InternetLink"/>
            <w:rFonts w:ascii="Arial;Helvetica;Sans-Serif" w:hAnsi="Arial;Helvetica;Sans-Serif"/>
            <w:b/>
            <w:i w:val="false"/>
            <w:caps w:val="false"/>
            <w:smallCaps w:val="false"/>
            <w:sz w:val="16"/>
          </w:rPr>
          <w:t>Table of Contents</w:t>
        </w:r>
      </w:hyperlink>
    </w:p>
    <w:p>
      <w:pPr>
        <w:pStyle w:val="TextBody"/>
        <w:bidi w:val="0"/>
        <w:spacing w:before="0" w:after="0"/>
        <w:ind w:left="0" w:right="0" w:hanging="0"/>
        <w:jc w:val="right"/>
        <w:rPr>
          <w:rFonts w:ascii="Arial;Helvetica;Sans-Serif" w:hAnsi="Arial;Helvetica;Sans-Serif"/>
          <w:b/>
          <w:i w:val="false"/>
          <w:caps w:val="false"/>
          <w:smallCaps w:val="false"/>
          <w:color w:val="C12E33"/>
          <w:sz w:val="15"/>
        </w:rPr>
      </w:pPr>
      <w:r>
        <w:rPr>
          <w:rFonts w:ascii="Arial;Helvetica;Sans-Serif" w:hAnsi="Arial;Helvetica;Sans-Serif"/>
          <w:b/>
          <w:i w:val="false"/>
          <w:caps w:val="false"/>
          <w:smallCaps w:val="false"/>
          <w:color w:val="C12E33"/>
          <w:sz w:val="15"/>
        </w:rPr>
        <w:t>PROPOSAL 1: ELECTION OF DIRECTORS</w:t>
      </w:r>
    </w:p>
    <w:p>
      <w:pPr>
        <w:pStyle w:val="TextBody"/>
        <w:bidi w:val="0"/>
        <w:spacing w:before="0" w:after="0"/>
        <w:ind w:left="0" w:right="0" w:hanging="0"/>
        <w:jc w:val="righ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BOARD COMPOSITION AND REFRESHMENT</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34"/>
        </w:rPr>
      </w:pPr>
      <w:r>
        <w:rPr>
          <w:rFonts w:ascii="Arial;Helvetica;Sans-Serif" w:hAnsi="Arial;Helvetica;Sans-Serif"/>
          <w:b/>
          <w:i w:val="false"/>
          <w:caps w:val="false"/>
          <w:smallCaps w:val="false"/>
          <w:sz w:val="34"/>
        </w:rPr>
        <w:t>Board Composition and Refreshment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The Board strives to maintain an appropriate balance of tenure, viewpoints and experiences.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 xml:space="preserve">The Board’s composition has changed significantly in recent years. </w:t>
      </w:r>
      <w:r>
        <w:rPr>
          <w:rFonts w:ascii="Arial;Helvetica;Sans-Serif" w:hAnsi="Arial;Helvetica;Sans-Serif"/>
          <w:b w:val="false"/>
          <w:i w:val="false"/>
          <w:caps w:val="false"/>
          <w:smallCaps w:val="false"/>
          <w:sz w:val="20"/>
        </w:rPr>
        <w:t>Eight directors have left the Board in the past six years. Three directors have joined in the past five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 xml:space="preserve">The Board will be undertaking a systematic refreshment of its composition during the coming years as directors retire. </w:t>
      </w:r>
      <w:r>
        <w:rPr>
          <w:rFonts w:ascii="Arial;Helvetica;Sans-Serif" w:hAnsi="Arial;Helvetica;Sans-Serif"/>
          <w:b w:val="false"/>
          <w:i w:val="false"/>
          <w:caps w:val="false"/>
          <w:smallCaps w:val="false"/>
          <w:sz w:val="20"/>
        </w:rPr>
        <w:t>The Board believes that a balance of both new directors, who bring fresh perspectives, and longer-serving directors, who bring valuable experience and a deep understanding of the Company, helps the Board maintain continuity and stability in its oversight of the Company. The Board also believes that the current directors have the right attributes, experiences and perspectives to provide effective oversight of our strategy and business plans. For more information about the skills and experience of RTX’s directors, see “Nominee Highlights” on page 8.</w:t>
      </w:r>
    </w:p>
    <w:p>
      <w:pPr>
        <w:pStyle w:val="TextBody"/>
        <w:bidi w:val="0"/>
        <w:spacing w:before="0" w:after="0"/>
        <w:ind w:left="0" w:right="0" w:hanging="0"/>
        <w:jc w:val="left"/>
        <w:rPr>
          <w:caps w:val="false"/>
          <w:smallCaps w:val="false"/>
        </w:rPr>
      </w:pPr>
      <w:r>
        <w:rPr>
          <w:caps w:val="false"/>
          <w:smallCaps w:val="false"/>
        </w:rPr>
        <w:t> </w:t>
      </w:r>
    </w:p>
    <w:tbl>
      <w:tblPr>
        <w:tblW w:w="4575" w:type="dxa"/>
        <w:jc w:val="left"/>
        <w:tblInd w:w="0" w:type="dxa"/>
        <w:tblLayout w:type="fixed"/>
        <w:tblCellMar>
          <w:top w:w="200" w:type="dxa"/>
          <w:left w:w="0" w:type="dxa"/>
          <w:bottom w:w="0" w:type="dxa"/>
          <w:right w:w="0" w:type="dxa"/>
        </w:tblCellMar>
      </w:tblPr>
      <w:tblGrid>
        <w:gridCol w:w="4575"/>
      </w:tblGrid>
      <w:tr>
        <w:trPr/>
        <w:tc>
          <w:tcPr>
            <w:tcW w:w="4575" w:type="dxa"/>
            <w:tcBorders>
              <w:top w:val="single" w:sz="12" w:space="0" w:color="C12E33"/>
            </w:tcBorders>
            <w:shd w:fill="EDEDEE" w:val="clear"/>
            <w:vAlign w:val="center"/>
          </w:tcPr>
          <w:p>
            <w:pPr>
              <w:pStyle w:val="TableContents"/>
              <w:bidi w:val="0"/>
              <w:spacing w:before="0" w:after="0"/>
              <w:jc w:val="center"/>
              <w:rPr>
                <w:b/>
                <w:color w:val="C12E33"/>
              </w:rPr>
            </w:pPr>
            <w:r>
              <w:rPr>
                <w:b/>
                <w:color w:val="C12E33"/>
              </w:rPr>
              <w:t>TENURE OF RTX BOARD NOMINEES</w:t>
            </w:r>
          </w:p>
          <w:p>
            <w:pPr>
              <w:pStyle w:val="TableContents"/>
              <w:bidi w:val="0"/>
              <w:spacing w:before="240" w:after="240"/>
              <w:jc w:val="center"/>
              <w:rPr/>
            </w:pPr>
            <w:r>
              <w:rPr/>
              <w:drawing>
                <wp:inline distT="0" distB="0" distL="0" distR="0">
                  <wp:extent cx="2886075" cy="5619750"/>
                  <wp:effectExtent l="0" t="0" r="0" b="0"/>
                  <wp:docPr id="138" name="Image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130" descr=""/>
                          <pic:cNvPicPr>
                            <a:picLocks noChangeAspect="1" noChangeArrowheads="1"/>
                          </pic:cNvPicPr>
                        </pic:nvPicPr>
                        <pic:blipFill>
                          <a:blip r:embed="rId135"/>
                          <a:stretch>
                            <a:fillRect/>
                          </a:stretch>
                        </pic:blipFill>
                        <pic:spPr bwMode="auto">
                          <a:xfrm>
                            <a:off x="0" y="0"/>
                            <a:ext cx="2886075" cy="5619750"/>
                          </a:xfrm>
                          <a:prstGeom prst="rect">
                            <a:avLst/>
                          </a:prstGeom>
                        </pic:spPr>
                      </pic:pic>
                    </a:graphicData>
                  </a:graphic>
                </wp:inline>
              </w:drawing>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Board recognizes that director refreshment is important to shareowners and critical for strong Board oversight. The Board will continue to promote refreshment by maintaining a succession strategy and planning for expected retirements, including by:</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sz w:val="20"/>
              </w:rPr>
            </w:pPr>
            <w:r>
              <w:rPr>
                <w:sz w:val="20"/>
              </w:rPr>
              <w:t>Regularly reviewing the attributes that are most important for directors to have as our business evolves, as well as the mix of capabilities and experience already represented on the Board.</w:t>
            </w:r>
          </w:p>
        </w:tc>
      </w:tr>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sz w:val="20"/>
              </w:rPr>
            </w:pPr>
            <w:r>
              <w:rPr>
                <w:sz w:val="20"/>
              </w:rPr>
              <w:t>Regularly considering individual director tenure and succession, as well as how current directors deploy their skills and expertise in service to the Company.</w:t>
            </w:r>
          </w:p>
        </w:tc>
      </w:tr>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sz w:val="20"/>
              </w:rPr>
            </w:pPr>
            <w:r>
              <w:rPr>
                <w:sz w:val="20"/>
              </w:rPr>
              <w:t>Using its self-evaluation process, including individual director evaluations, to inform its decisions about nominations and refreshment (see page 23 for more detail on the annual self-evaluation process).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Mr. Reynolds, our Independent Lead Director, celebrated his 75</w:t>
      </w:r>
      <w:r>
        <w:rPr>
          <w:rFonts w:ascii="Arial;Helvetica;Sans-Serif" w:hAnsi="Arial;Helvetica;Sans-Serif"/>
          <w:b w:val="false"/>
          <w:i w:val="false"/>
          <w:caps w:val="false"/>
          <w:smallCaps w:val="false"/>
          <w:position w:val="7"/>
          <w:sz w:val="16"/>
          <w:sz w:val="20"/>
        </w:rPr>
        <w:t>th</w:t>
      </w:r>
      <w:r>
        <w:rPr>
          <w:rFonts w:ascii="Arial;Helvetica;Sans-Serif" w:hAnsi="Arial;Helvetica;Sans-Serif"/>
          <w:b w:val="false"/>
          <w:i w:val="false"/>
          <w:caps w:val="false"/>
          <w:smallCaps w:val="false"/>
          <w:sz w:val="20"/>
        </w:rPr>
        <w:t xml:space="preserve"> birthday in 2025. Although Board policies normally bar the nomination of a director who has reached age 75, the Board has granted a waiver in this case because it strongly believes that RTX and its shareowners will be best served during the coming year by Mr. Reynolds’ re-election to the role of director and his continued service as Independent Lead Director. With Mr. Calio having assumed the role of Chairman on April 30, 2025, and Mr. Reynolds’ exemplary service and many contributions to Board deliberations, the Board believes that the extensive experience and proven leadership Mr. Reynolds brings to his roles will help the Board maintain continuity in its oversight of our strategy and our key priorities.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34"/>
        </w:rPr>
      </w:pPr>
      <w:r>
        <w:rPr>
          <w:rFonts w:ascii="Arial;Helvetica;Sans-Serif" w:hAnsi="Arial;Helvetica;Sans-Serif"/>
          <w:b/>
          <w:i w:val="false"/>
          <w:caps w:val="false"/>
          <w:smallCaps w:val="false"/>
          <w:sz w:val="34"/>
        </w:rPr>
        <w:t>How Candidates Are Identified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 furtherance of its focus on director refreshment and Board composition, the Board strives to regularly identify potential director candidates who can bring unique perspectives, add new insights and expertise, and enhance the performance and effectiveness of the Board. The Governance Committee is responsible for identifying and evaluating director candidates to recommend to the Board. Potential directors can be brought to the Governance Committee’s attention in different ways, as shown below. The Governance Committee screens and evaluates all candidates (regardless of who recommends them) using the criteria described under “Criteria for Board Membership” on page 11, with the overall goal of ensuring a breadth and depth of experience on our Board.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100" w:type="dxa"/>
          <w:left w:w="0" w:type="dxa"/>
          <w:bottom w:w="0" w:type="dxa"/>
          <w:right w:w="0" w:type="dxa"/>
        </w:tblCellMar>
      </w:tblPr>
      <w:tblGrid>
        <w:gridCol w:w="3220"/>
        <w:gridCol w:w="300"/>
        <w:gridCol w:w="3197"/>
        <w:gridCol w:w="300"/>
        <w:gridCol w:w="3188"/>
      </w:tblGrid>
      <w:tr>
        <w:trPr/>
        <w:tc>
          <w:tcPr>
            <w:tcW w:w="3220" w:type="dxa"/>
            <w:tcBorders>
              <w:top w:val="single" w:sz="12" w:space="0" w:color="C12E33"/>
            </w:tcBorders>
            <w:shd w:fill="EDEDEE" w:val="clear"/>
            <w:vAlign w:val="center"/>
          </w:tcPr>
          <w:p>
            <w:pPr>
              <w:pStyle w:val="TableContents"/>
              <w:bidi w:val="0"/>
              <w:spacing w:before="0" w:after="283"/>
              <w:jc w:val="left"/>
              <w:rPr/>
            </w:pPr>
            <w:r>
              <w:rPr/>
              <w:t>The Governance Committee may engage search firms to assist it in finding qualified and interested candidates and verifying their credentials.</w:t>
            </w:r>
          </w:p>
        </w:tc>
        <w:tc>
          <w:tcPr>
            <w:tcW w:w="300" w:type="dxa"/>
            <w:tcBorders/>
            <w:tcMar>
              <w:top w:w="0" w:type="dxa"/>
            </w:tcMar>
            <w:vAlign w:val="center"/>
          </w:tcPr>
          <w:p>
            <w:pPr>
              <w:pStyle w:val="TableContents"/>
              <w:bidi w:val="0"/>
              <w:spacing w:before="0" w:after="283"/>
              <w:jc w:val="left"/>
              <w:rPr/>
            </w:pPr>
            <w:r>
              <w:rPr/>
              <w:t>     </w:t>
            </w:r>
          </w:p>
        </w:tc>
        <w:tc>
          <w:tcPr>
            <w:tcW w:w="3197" w:type="dxa"/>
            <w:tcBorders>
              <w:top w:val="single" w:sz="12" w:space="0" w:color="C12E33"/>
            </w:tcBorders>
            <w:shd w:fill="EDEDEE" w:val="clear"/>
            <w:vAlign w:val="center"/>
          </w:tcPr>
          <w:p>
            <w:pPr>
              <w:pStyle w:val="TableContents"/>
              <w:bidi w:val="0"/>
              <w:spacing w:before="0" w:after="283"/>
              <w:jc w:val="left"/>
              <w:rPr/>
            </w:pPr>
            <w:r>
              <w:rPr/>
              <w:t>Any shareowner may recommend a director candidate by writing to the RTX Corporate Secretary (see page 95 for contact information).</w:t>
            </w:r>
          </w:p>
        </w:tc>
        <w:tc>
          <w:tcPr>
            <w:tcW w:w="300" w:type="dxa"/>
            <w:tcBorders/>
            <w:tcMar>
              <w:top w:w="0" w:type="dxa"/>
            </w:tcMar>
            <w:vAlign w:val="center"/>
          </w:tcPr>
          <w:p>
            <w:pPr>
              <w:pStyle w:val="TableContents"/>
              <w:bidi w:val="0"/>
              <w:spacing w:before="0" w:after="283"/>
              <w:jc w:val="left"/>
              <w:rPr/>
            </w:pPr>
            <w:r>
              <w:rPr/>
              <w:t>     </w:t>
            </w:r>
          </w:p>
        </w:tc>
        <w:tc>
          <w:tcPr>
            <w:tcW w:w="3188" w:type="dxa"/>
            <w:tcBorders>
              <w:top w:val="single" w:sz="12" w:space="0" w:color="C12E33"/>
            </w:tcBorders>
            <w:shd w:fill="EDEDEE" w:val="clear"/>
            <w:vAlign w:val="center"/>
          </w:tcPr>
          <w:p>
            <w:pPr>
              <w:pStyle w:val="TableContents"/>
              <w:bidi w:val="0"/>
              <w:spacing w:before="0" w:after="283"/>
              <w:jc w:val="left"/>
              <w:rPr/>
            </w:pPr>
            <w:r>
              <w:rPr/>
              <w:t>Current Board members who become aware of suitable candidates may recommend them to the Governance Committee from time to time.</w:t>
            </w:r>
          </w:p>
        </w:tc>
      </w:tr>
    </w:tbl>
    <w:p>
      <w:pPr>
        <w:pStyle w:val="TextBody"/>
        <w:bidi w:val="0"/>
        <w:spacing w:before="200" w:after="283"/>
        <w:jc w:val="right"/>
        <w:rPr/>
      </w:pPr>
      <w:r>
        <w:rPr>
          <w:rFonts w:ascii="Arial;Helvetica;Sans-Serif" w:hAnsi="Arial;Helvetica;Sans-Serif"/>
          <w:b/>
          <w:i w:val="false"/>
          <w:caps w:val="false"/>
          <w:smallCaps w:val="false"/>
          <w:sz w:val="15"/>
        </w:rPr>
        <w:t xml:space="preserve">RTX </w:t>
      </w:r>
      <w:r>
        <w:rPr>
          <w:rFonts w:ascii="Arial;Helvetica;Sans-Serif" w:hAnsi="Arial;Helvetica;Sans-Serif"/>
          <w:b w:val="false"/>
          <w:i w:val="false"/>
          <w:caps w:val="false"/>
          <w:smallCaps w:val="false"/>
          <w:sz w:val="15"/>
        </w:rPr>
        <w:t>2026 PROXY STATEMENT    </w:t>
      </w:r>
      <w:r>
        <w:rPr>
          <w:rFonts w:ascii="Arial;Helvetica;Sans-Serif" w:hAnsi="Arial;Helvetica;Sans-Serif"/>
          <w:b/>
          <w:i w:val="false"/>
          <w:caps w:val="false"/>
          <w:smallCaps w:val="false"/>
          <w:sz w:val="15"/>
        </w:rPr>
        <w:t>13</w:t>
      </w:r>
    </w:p>
    <w:p>
      <w:pPr>
        <w:pStyle w:val="HorizontalLine"/>
        <w:pBdr>
          <w:bottom w:val="double" w:sz="2" w:space="0" w:color="808080"/>
        </w:pBdr>
        <w:bidi w:val="0"/>
        <w:spacing w:before="0" w:after="283"/>
        <w:jc w:val="left"/>
        <w:rPr/>
      </w:pPr>
      <w:r>
        <w:rPr/>
      </w:r>
    </w:p>
    <w:p>
      <w:pPr>
        <w:pStyle w:val="TextBody"/>
        <w:bidi w:val="0"/>
        <w:spacing w:before="200" w:after="200"/>
        <w:jc w:val="left"/>
        <w:rPr/>
      </w:pPr>
      <w:hyperlink w:anchor="toc">
        <w:r>
          <w:rPr>
            <w:rStyle w:val="InternetLink"/>
            <w:rFonts w:ascii="Arial;Helvetica;Sans-Serif" w:hAnsi="Arial;Helvetica;Sans-Serif"/>
            <w:b/>
            <w:i w:val="false"/>
            <w:caps w:val="false"/>
            <w:smallCaps w:val="false"/>
            <w:sz w:val="16"/>
          </w:rPr>
          <w:t>Table of Contents</w:t>
        </w:r>
      </w:hyperlink>
    </w:p>
    <w:p>
      <w:pPr>
        <w:pStyle w:val="TextBody"/>
        <w:bidi w:val="0"/>
        <w:spacing w:before="0" w:after="0"/>
        <w:ind w:left="0" w:right="0" w:hanging="0"/>
        <w:jc w:val="left"/>
        <w:rPr>
          <w:rFonts w:ascii="Arial;Helvetica;Sans-Serif" w:hAnsi="Arial;Helvetica;Sans-Serif"/>
          <w:b/>
          <w:i w:val="false"/>
          <w:caps w:val="false"/>
          <w:smallCaps w:val="false"/>
          <w:color w:val="C12E33"/>
          <w:sz w:val="15"/>
        </w:rPr>
      </w:pPr>
      <w:r>
        <w:rPr>
          <w:rFonts w:ascii="Arial;Helvetica;Sans-Serif" w:hAnsi="Arial;Helvetica;Sans-Serif"/>
          <w:b/>
          <w:i w:val="false"/>
          <w:caps w:val="false"/>
          <w:smallCaps w:val="false"/>
          <w:color w:val="C12E33"/>
          <w:sz w:val="15"/>
        </w:rPr>
        <w:t>PROPOSAL 1: ELECTION OF DIRECTORS</w:t>
      </w:r>
    </w:p>
    <w:p>
      <w:pPr>
        <w:pStyle w:val="TextBody"/>
        <w:bidi w:val="0"/>
        <w:spacing w:before="0" w:after="0"/>
        <w:ind w:left="0" w:right="0" w:hanging="0"/>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NOMINEES</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i w:val="false"/>
          <w:caps w:val="false"/>
          <w:smallCaps w:val="false"/>
          <w:sz w:val="34"/>
        </w:rPr>
      </w:pPr>
      <w:bookmarkStart w:id="8" w:name="rtx014050a004"/>
      <w:bookmarkEnd w:id="8"/>
      <w:r>
        <w:rPr>
          <w:rFonts w:ascii="Arial;Helvetica;Sans-Serif" w:hAnsi="Arial;Helvetica;Sans-Serif"/>
          <w:b/>
          <w:i w:val="false"/>
          <w:caps w:val="false"/>
          <w:smallCaps w:val="false"/>
          <w:sz w:val="34"/>
        </w:rPr>
        <w:t>Nominees</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Board, upon the recommendation of the Governance Committee, has nominated for election the ten individuals listed in this Proxy Statement. All are current directors of RTX.</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10"/>
        <w:gridCol w:w="9395"/>
      </w:tblGrid>
      <w:tr>
        <w:trPr/>
        <w:tc>
          <w:tcPr>
            <w:tcW w:w="810" w:type="dxa"/>
            <w:tcBorders/>
            <w:shd w:fill="EDEDEE" w:val="clear"/>
            <w:vAlign w:val="center"/>
          </w:tcPr>
          <w:p>
            <w:pPr>
              <w:pStyle w:val="TableContents"/>
              <w:bidi w:val="0"/>
              <w:spacing w:before="0" w:after="283"/>
              <w:jc w:val="left"/>
              <w:rPr/>
            </w:pPr>
            <w:r>
              <w:rPr/>
              <w:drawing>
                <wp:inline distT="0" distB="0" distL="0" distR="0">
                  <wp:extent cx="504825" cy="1590675"/>
                  <wp:effectExtent l="0" t="0" r="0" b="0"/>
                  <wp:docPr id="139" name="Image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131" descr=""/>
                          <pic:cNvPicPr>
                            <a:picLocks noChangeAspect="1" noChangeArrowheads="1"/>
                          </pic:cNvPicPr>
                        </pic:nvPicPr>
                        <pic:blipFill>
                          <a:blip r:embed="rId136"/>
                          <a:stretch>
                            <a:fillRect/>
                          </a:stretch>
                        </pic:blipFill>
                        <pic:spPr bwMode="auto">
                          <a:xfrm>
                            <a:off x="0" y="0"/>
                            <a:ext cx="504825" cy="1590675"/>
                          </a:xfrm>
                          <a:prstGeom prst="rect">
                            <a:avLst/>
                          </a:prstGeom>
                        </pic:spPr>
                      </pic:pic>
                    </a:graphicData>
                  </a:graphic>
                </wp:inline>
              </w:drawing>
            </w:r>
          </w:p>
        </w:tc>
        <w:tc>
          <w:tcPr>
            <w:tcW w:w="9395" w:type="dxa"/>
            <w:tcBorders/>
            <w:shd w:fill="EDEDEE" w:val="clear"/>
            <w:vAlign w:val="center"/>
          </w:tcPr>
          <w:p>
            <w:pPr>
              <w:pStyle w:val="TableContents"/>
              <w:bidi w:val="0"/>
              <w:spacing w:before="0" w:after="283"/>
              <w:jc w:val="left"/>
              <w:rPr>
                <w:b/>
              </w:rPr>
            </w:pPr>
            <w:r>
              <w:rPr>
                <w:b/>
              </w:rPr>
              <w:t xml:space="preserve">The Board of Directors unanimously recommends a vote </w:t>
            </w:r>
            <w:r>
              <w:rPr>
                <w:b/>
                <w:color w:val="C12E33"/>
              </w:rPr>
              <w:t xml:space="preserve">FOR </w:t>
            </w:r>
            <w:r>
              <w:rPr>
                <w:b/>
              </w:rPr>
              <w:t>each of the following nominees:</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shd w:fill="EDEDEE" w:val="clear"/>
        </w:rPr>
      </w:pPr>
      <w:r>
        <w:rPr>
          <w:caps w:val="false"/>
          <w:smallCaps w:val="false"/>
          <w:shd w:fill="EDEDEE" w:val="clear"/>
        </w:rPr>
        <w:t> </w:t>
      </w:r>
      <w:r>
        <mc:AlternateContent>
          <mc:Choice Requires="wps">
            <w:drawing>
              <wp:anchor behindDoc="0" distT="0" distB="0" distL="0" distR="0" simplePos="0" locked="0" layoutInCell="1" allowOverlap="1" relativeHeight="50">
                <wp:simplePos x="0" y="0"/>
                <wp:positionH relativeFrom="column">
                  <wp:align>left</wp:align>
                </wp:positionH>
                <wp:positionV relativeFrom="line">
                  <wp:posOffset>635</wp:posOffset>
                </wp:positionV>
                <wp:extent cx="4535805" cy="3776980"/>
                <wp:effectExtent l="0" t="0" r="0" b="0"/>
                <wp:wrapSquare wrapText="right"/>
                <wp:docPr id="140" name="Frame5"/>
                <a:graphic xmlns:a="http://schemas.openxmlformats.org/drawingml/2006/main">
                  <a:graphicData uri="http://schemas.microsoft.com/office/word/2010/wordprocessingShape">
                    <wps:wsp>
                      <wps:cNvSpPr txBox="1"/>
                      <wps:spPr>
                        <a:xfrm>
                          <a:off x="0" y="0"/>
                          <a:ext cx="4535805" cy="3776980"/>
                        </a:xfrm>
                        <a:prstGeom prst="rect"/>
                        <a:solidFill>
                          <a:srgbClr val="FFFFFF"/>
                        </a:solidFill>
                      </wps:spPr>
                      <wps:txbx>
                        <w:txbxContent>
                          <w:p>
                            <w:pPr>
                              <w:pStyle w:val="TextBody"/>
                              <w:bidi w:val="0"/>
                              <w:jc w:val="left"/>
                              <w:rPr>
                                <w:rFonts w:ascii="Arial;Helvetica;Sans-Serif" w:hAnsi="Arial;Helvetica;Sans-Serif"/>
                                <w:b/>
                                <w:i w:val="false"/>
                                <w:caps w:val="false"/>
                                <w:smallCaps w:val="false"/>
                                <w:sz w:val="30"/>
                              </w:rPr>
                            </w:pPr>
                            <w:r>
                              <w:rPr>
                                <w:rFonts w:ascii="Arial;Helvetica;Sans-Serif" w:hAnsi="Arial;Helvetica;Sans-Serif"/>
                                <w:b/>
                                <w:i w:val="false"/>
                                <w:caps w:val="false"/>
                                <w:smallCaps w:val="false"/>
                                <w:sz w:val="30"/>
                              </w:rPr>
                              <w:t>Tracy A. Atkinson</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738"/>
                              <w:gridCol w:w="300"/>
                              <w:gridCol w:w="4167"/>
                            </w:tblGrid>
                            <w:tr>
                              <w:trPr/>
                              <w:tc>
                                <w:tcPr>
                                  <w:tcW w:w="5738" w:type="dxa"/>
                                  <w:tcBorders/>
                                  <w:vAlign w:val="center"/>
                                </w:tcPr>
                                <w:p>
                                  <w:pPr>
                                    <w:pStyle w:val="TableContents"/>
                                    <w:bidi w:val="0"/>
                                    <w:spacing w:before="0" w:after="60"/>
                                    <w:jc w:val="left"/>
                                    <w:rPr>
                                      <w:b/>
                                    </w:rPr>
                                  </w:pPr>
                                  <w:r>
                                    <w:rPr>
                                      <w:b/>
                                    </w:rPr>
                                    <w:t>INDEPENDENT DIRECTOR</w:t>
                                  </w:r>
                                </w:p>
                                <w:p>
                                  <w:pPr>
                                    <w:pStyle w:val="TableContents"/>
                                    <w:bidi w:val="0"/>
                                    <w:spacing w:before="0" w:after="283"/>
                                    <w:jc w:val="left"/>
                                    <w:rPr>
                                      <w:sz w:val="20"/>
                                    </w:rPr>
                                  </w:pPr>
                                  <w:r>
                                    <w:rPr>
                                      <w:sz w:val="20"/>
                                    </w:rPr>
                                    <w:t>Retired Executive Vice President &amp; Chief Administrative Officer, State Street Corporation</w:t>
                                  </w:r>
                                </w:p>
                              </w:tc>
                              <w:tc>
                                <w:tcPr>
                                  <w:tcW w:w="300" w:type="dxa"/>
                                  <w:tcBorders/>
                                  <w:vAlign w:val="center"/>
                                </w:tcPr>
                                <w:p>
                                  <w:pPr>
                                    <w:pStyle w:val="TableContents"/>
                                    <w:bidi w:val="0"/>
                                    <w:spacing w:before="0" w:after="283"/>
                                    <w:jc w:val="left"/>
                                    <w:rPr/>
                                  </w:pPr>
                                  <w:r>
                                    <w:rPr/>
                                    <w:t>     </w:t>
                                  </w:r>
                                </w:p>
                              </w:tc>
                              <w:tc>
                                <w:tcPr>
                                  <w:tcW w:w="4167" w:type="dxa"/>
                                  <w:tcBorders/>
                                  <w:vAlign w:val="center"/>
                                </w:tcPr>
                                <w:p>
                                  <w:pPr>
                                    <w:pStyle w:val="TableContents"/>
                                    <w:bidi w:val="0"/>
                                    <w:spacing w:before="0" w:after="60"/>
                                    <w:jc w:val="left"/>
                                    <w:rPr/>
                                  </w:pPr>
                                  <w:r>
                                    <w:rPr/>
                                    <w:t xml:space="preserve">AGE </w:t>
                                  </w:r>
                                  <w:r>
                                    <w:rPr>
                                      <w:b/>
                                    </w:rPr>
                                    <w:t>61</w:t>
                                  </w:r>
                                </w:p>
                                <w:p>
                                  <w:pPr>
                                    <w:pStyle w:val="TableContents"/>
                                    <w:bidi w:val="0"/>
                                    <w:jc w:val="left"/>
                                    <w:rPr/>
                                  </w:pPr>
                                  <w:r>
                                    <w:rPr/>
                                    <w:t xml:space="preserve">DIRECTOR SINCE </w:t>
                                  </w:r>
                                  <w:r>
                                    <w:rPr>
                                      <w:b/>
                                    </w:rPr>
                                    <w:t>2020</w:t>
                                  </w:r>
                                </w:p>
                                <w:p>
                                  <w:pPr>
                                    <w:pStyle w:val="TableContents"/>
                                    <w:bidi w:val="0"/>
                                    <w:jc w:val="left"/>
                                    <w:rPr/>
                                  </w:pPr>
                                  <w:r>
                                    <w:rPr/>
                                    <w:t>BOARD COMMITTEES</w:t>
                                  </w:r>
                                </w:p>
                                <w:p>
                                  <w:pPr>
                                    <w:pStyle w:val="TableContents"/>
                                    <w:bidi w:val="0"/>
                                    <w:spacing w:before="0" w:after="283"/>
                                    <w:jc w:val="left"/>
                                    <w:rPr>
                                      <w:b/>
                                    </w:rPr>
                                  </w:pPr>
                                  <w:r>
                                    <w:rPr>
                                      <w:b/>
                                    </w:rPr>
                                    <w:t>Human Capital &amp; Compensation (Chair), Finance</w:t>
                                  </w:r>
                                </w:p>
                              </w:tc>
                            </w:tr>
                            <w:tr>
                              <w:trPr/>
                              <w:tc>
                                <w:tcPr>
                                  <w:tcW w:w="5738" w:type="dxa"/>
                                  <w:tcBorders/>
                                  <w:vAlign w:val="center"/>
                                </w:tcPr>
                                <w:p>
                                  <w:pPr>
                                    <w:pStyle w:val="TableContents"/>
                                    <w:bidi w:val="0"/>
                                    <w:spacing w:before="0" w:after="283"/>
                                    <w:jc w:val="left"/>
                                    <w:rPr>
                                      <w:b/>
                                      <w:sz w:val="20"/>
                                    </w:rPr>
                                  </w:pPr>
                                  <w:r>
                                    <w:rPr>
                                      <w:b/>
                                      <w:sz w:val="20"/>
                                    </w:rPr>
                                    <w:t>Key Skills and Expertise</w:t>
                                  </w:r>
                                </w:p>
                              </w:tc>
                              <w:tc>
                                <w:tcPr>
                                  <w:tcW w:w="300" w:type="dxa"/>
                                  <w:tcBorders/>
                                  <w:vAlign w:val="center"/>
                                </w:tcPr>
                                <w:p>
                                  <w:pPr>
                                    <w:pStyle w:val="TableContents"/>
                                    <w:bidi w:val="0"/>
                                    <w:spacing w:before="0" w:after="283"/>
                                    <w:jc w:val="left"/>
                                    <w:rPr/>
                                  </w:pPr>
                                  <w:r>
                                    <w:rPr/>
                                    <w:t> </w:t>
                                  </w:r>
                                </w:p>
                              </w:tc>
                              <w:tc>
                                <w:tcPr>
                                  <w:tcW w:w="4167"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8625" w:type="dxa"/>
                              <w:jc w:val="left"/>
                              <w:tblInd w:w="0" w:type="dxa"/>
                              <w:tblLayout w:type="fixed"/>
                              <w:tblCellMar>
                                <w:top w:w="0" w:type="dxa"/>
                                <w:left w:w="0" w:type="dxa"/>
                                <w:bottom w:w="0" w:type="dxa"/>
                                <w:right w:w="0" w:type="dxa"/>
                              </w:tblCellMar>
                            </w:tblPr>
                            <w:tblGrid>
                              <w:gridCol w:w="315"/>
                              <w:gridCol w:w="1340"/>
                              <w:gridCol w:w="330"/>
                              <w:gridCol w:w="2465"/>
                              <w:gridCol w:w="300"/>
                              <w:gridCol w:w="3875"/>
                            </w:tblGrid>
                            <w:tr>
                              <w:trPr/>
                              <w:tc>
                                <w:tcPr>
                                  <w:tcW w:w="315" w:type="dxa"/>
                                  <w:tcBorders/>
                                  <w:vAlign w:val="center"/>
                                </w:tcPr>
                                <w:p>
                                  <w:pPr>
                                    <w:pStyle w:val="TableContents"/>
                                    <w:bidi w:val="0"/>
                                    <w:spacing w:before="0" w:after="283"/>
                                    <w:jc w:val="left"/>
                                    <w:rPr/>
                                  </w:pPr>
                                  <w:r>
                                    <w:rPr/>
                                    <w:drawing>
                                      <wp:inline distT="0" distB="0" distL="0" distR="0">
                                        <wp:extent cx="190500" cy="428625"/>
                                        <wp:effectExtent l="0" t="0" r="0" b="0"/>
                                        <wp:docPr id="141" name="Image1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132" descr=""/>
                                                <pic:cNvPicPr>
                                                  <a:picLocks noChangeAspect="1" noChangeArrowheads="1"/>
                                                </pic:cNvPicPr>
                                              </pic:nvPicPr>
                                              <pic:blipFill>
                                                <a:blip r:embed="rId137"/>
                                                <a:stretch>
                                                  <a:fillRect/>
                                                </a:stretch>
                                              </pic:blipFill>
                                              <pic:spPr bwMode="auto">
                                                <a:xfrm>
                                                  <a:off x="0" y="0"/>
                                                  <a:ext cx="190500" cy="428625"/>
                                                </a:xfrm>
                                                <a:prstGeom prst="rect">
                                                  <a:avLst/>
                                                </a:prstGeom>
                                              </pic:spPr>
                                            </pic:pic>
                                          </a:graphicData>
                                        </a:graphic>
                                      </wp:inline>
                                    </w:drawing>
                                  </w:r>
                                </w:p>
                              </w:tc>
                              <w:tc>
                                <w:tcPr>
                                  <w:tcW w:w="1340" w:type="dxa"/>
                                  <w:tcBorders/>
                                  <w:vAlign w:val="center"/>
                                </w:tcPr>
                                <w:p>
                                  <w:pPr>
                                    <w:pStyle w:val="TableContents"/>
                                    <w:bidi w:val="0"/>
                                    <w:spacing w:before="0" w:after="283"/>
                                    <w:jc w:val="left"/>
                                    <w:rPr/>
                                  </w:pPr>
                                  <w:r>
                                    <w:rPr/>
                                    <w:t>FINANCIAL</w:t>
                                  </w:r>
                                </w:p>
                              </w:tc>
                              <w:tc>
                                <w:tcPr>
                                  <w:tcW w:w="330" w:type="dxa"/>
                                  <w:tcBorders/>
                                  <w:vAlign w:val="center"/>
                                </w:tcPr>
                                <w:p>
                                  <w:pPr>
                                    <w:pStyle w:val="TableContents"/>
                                    <w:bidi w:val="0"/>
                                    <w:spacing w:before="0" w:after="283"/>
                                    <w:jc w:val="left"/>
                                    <w:rPr/>
                                  </w:pPr>
                                  <w:r>
                                    <w:rPr/>
                                    <w:drawing>
                                      <wp:inline distT="0" distB="0" distL="0" distR="0">
                                        <wp:extent cx="209550" cy="419100"/>
                                        <wp:effectExtent l="0" t="0" r="0" b="0"/>
                                        <wp:docPr id="142" name="Image1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133" descr=""/>
                                                <pic:cNvPicPr>
                                                  <a:picLocks noChangeAspect="1" noChangeArrowheads="1"/>
                                                </pic:cNvPicPr>
                                              </pic:nvPicPr>
                                              <pic:blipFill>
                                                <a:blip r:embed="rId138"/>
                                                <a:stretch>
                                                  <a:fillRect/>
                                                </a:stretch>
                                              </pic:blipFill>
                                              <pic:spPr bwMode="auto">
                                                <a:xfrm>
                                                  <a:off x="0" y="0"/>
                                                  <a:ext cx="209550" cy="419100"/>
                                                </a:xfrm>
                                                <a:prstGeom prst="rect">
                                                  <a:avLst/>
                                                </a:prstGeom>
                                              </pic:spPr>
                                            </pic:pic>
                                          </a:graphicData>
                                        </a:graphic>
                                      </wp:inline>
                                    </w:drawing>
                                  </w:r>
                                </w:p>
                              </w:tc>
                              <w:tc>
                                <w:tcPr>
                                  <w:tcW w:w="2465" w:type="dxa"/>
                                  <w:tcBorders/>
                                  <w:vAlign w:val="center"/>
                                </w:tcPr>
                                <w:p>
                                  <w:pPr>
                                    <w:pStyle w:val="TableContents"/>
                                    <w:bidi w:val="0"/>
                                    <w:spacing w:before="0" w:after="283"/>
                                    <w:jc w:val="left"/>
                                    <w:rPr/>
                                  </w:pPr>
                                  <w:r>
                                    <w:rPr/>
                                    <w:t>SENIOR LEADERSHIP</w:t>
                                  </w:r>
                                </w:p>
                              </w:tc>
                              <w:tc>
                                <w:tcPr>
                                  <w:tcW w:w="300" w:type="dxa"/>
                                  <w:tcBorders/>
                                  <w:vAlign w:val="center"/>
                                </w:tcPr>
                                <w:p>
                                  <w:pPr>
                                    <w:pStyle w:val="TableContents"/>
                                    <w:bidi w:val="0"/>
                                    <w:spacing w:before="0" w:after="283"/>
                                    <w:jc w:val="left"/>
                                    <w:rPr/>
                                  </w:pPr>
                                  <w:r>
                                    <w:rPr/>
                                    <w:drawing>
                                      <wp:inline distT="0" distB="0" distL="0" distR="0">
                                        <wp:extent cx="190500" cy="504825"/>
                                        <wp:effectExtent l="0" t="0" r="0" b="0"/>
                                        <wp:docPr id="143" name="Image1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134" descr=""/>
                                                <pic:cNvPicPr>
                                                  <a:picLocks noChangeAspect="1" noChangeArrowheads="1"/>
                                                </pic:cNvPicPr>
                                              </pic:nvPicPr>
                                              <pic:blipFill>
                                                <a:blip r:embed="rId139"/>
                                                <a:stretch>
                                                  <a:fillRect/>
                                                </a:stretch>
                                              </pic:blipFill>
                                              <pic:spPr bwMode="auto">
                                                <a:xfrm>
                                                  <a:off x="0" y="0"/>
                                                  <a:ext cx="190500" cy="504825"/>
                                                </a:xfrm>
                                                <a:prstGeom prst="rect">
                                                  <a:avLst/>
                                                </a:prstGeom>
                                              </pic:spPr>
                                            </pic:pic>
                                          </a:graphicData>
                                        </a:graphic>
                                      </wp:inline>
                                    </w:drawing>
                                  </w:r>
                                </w:p>
                              </w:tc>
                              <w:tc>
                                <w:tcPr>
                                  <w:tcW w:w="3875" w:type="dxa"/>
                                  <w:tcBorders/>
                                  <w:vAlign w:val="center"/>
                                </w:tcPr>
                                <w:p>
                                  <w:pPr>
                                    <w:pStyle w:val="TableContents"/>
                                    <w:bidi w:val="0"/>
                                    <w:spacing w:before="0" w:after="283"/>
                                    <w:jc w:val="left"/>
                                    <w:rPr/>
                                  </w:pPr>
                                  <w:r>
                                    <w:rPr/>
                                    <w:t>RISK MANAGEMENT/OVERSIGHT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70000</wp14:pctWidth>
                </wp14:sizeRelH>
              </wp:anchor>
            </w:drawing>
          </mc:Choice>
          <mc:Fallback>
            <w:pict>
              <v:rect style="position:absolute;rotation:-0;width:357.15pt;height:297.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jc w:val="left"/>
                        <w:rPr>
                          <w:rFonts w:ascii="Arial;Helvetica;Sans-Serif" w:hAnsi="Arial;Helvetica;Sans-Serif"/>
                          <w:b/>
                          <w:i w:val="false"/>
                          <w:caps w:val="false"/>
                          <w:smallCaps w:val="false"/>
                          <w:sz w:val="30"/>
                        </w:rPr>
                      </w:pPr>
                      <w:r>
                        <w:rPr>
                          <w:rFonts w:ascii="Arial;Helvetica;Sans-Serif" w:hAnsi="Arial;Helvetica;Sans-Serif"/>
                          <w:b/>
                          <w:i w:val="false"/>
                          <w:caps w:val="false"/>
                          <w:smallCaps w:val="false"/>
                          <w:sz w:val="30"/>
                        </w:rPr>
                        <w:t>Tracy A. Atkinson</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738"/>
                        <w:gridCol w:w="300"/>
                        <w:gridCol w:w="4167"/>
                      </w:tblGrid>
                      <w:tr>
                        <w:trPr/>
                        <w:tc>
                          <w:tcPr>
                            <w:tcW w:w="5738" w:type="dxa"/>
                            <w:tcBorders/>
                            <w:vAlign w:val="center"/>
                          </w:tcPr>
                          <w:p>
                            <w:pPr>
                              <w:pStyle w:val="TableContents"/>
                              <w:bidi w:val="0"/>
                              <w:spacing w:before="0" w:after="60"/>
                              <w:jc w:val="left"/>
                              <w:rPr>
                                <w:b/>
                              </w:rPr>
                            </w:pPr>
                            <w:r>
                              <w:rPr>
                                <w:b/>
                              </w:rPr>
                              <w:t>INDEPENDENT DIRECTOR</w:t>
                            </w:r>
                          </w:p>
                          <w:p>
                            <w:pPr>
                              <w:pStyle w:val="TableContents"/>
                              <w:bidi w:val="0"/>
                              <w:spacing w:before="0" w:after="283"/>
                              <w:jc w:val="left"/>
                              <w:rPr>
                                <w:sz w:val="20"/>
                              </w:rPr>
                            </w:pPr>
                            <w:r>
                              <w:rPr>
                                <w:sz w:val="20"/>
                              </w:rPr>
                              <w:t>Retired Executive Vice President &amp; Chief Administrative Officer, State Street Corporation</w:t>
                            </w:r>
                          </w:p>
                        </w:tc>
                        <w:tc>
                          <w:tcPr>
                            <w:tcW w:w="300" w:type="dxa"/>
                            <w:tcBorders/>
                            <w:vAlign w:val="center"/>
                          </w:tcPr>
                          <w:p>
                            <w:pPr>
                              <w:pStyle w:val="TableContents"/>
                              <w:bidi w:val="0"/>
                              <w:spacing w:before="0" w:after="283"/>
                              <w:jc w:val="left"/>
                              <w:rPr/>
                            </w:pPr>
                            <w:r>
                              <w:rPr/>
                              <w:t>     </w:t>
                            </w:r>
                          </w:p>
                        </w:tc>
                        <w:tc>
                          <w:tcPr>
                            <w:tcW w:w="4167" w:type="dxa"/>
                            <w:tcBorders/>
                            <w:vAlign w:val="center"/>
                          </w:tcPr>
                          <w:p>
                            <w:pPr>
                              <w:pStyle w:val="TableContents"/>
                              <w:bidi w:val="0"/>
                              <w:spacing w:before="0" w:after="60"/>
                              <w:jc w:val="left"/>
                              <w:rPr/>
                            </w:pPr>
                            <w:r>
                              <w:rPr/>
                              <w:t xml:space="preserve">AGE </w:t>
                            </w:r>
                            <w:r>
                              <w:rPr>
                                <w:b/>
                              </w:rPr>
                              <w:t>61</w:t>
                            </w:r>
                          </w:p>
                          <w:p>
                            <w:pPr>
                              <w:pStyle w:val="TableContents"/>
                              <w:bidi w:val="0"/>
                              <w:jc w:val="left"/>
                              <w:rPr/>
                            </w:pPr>
                            <w:r>
                              <w:rPr/>
                              <w:t xml:space="preserve">DIRECTOR SINCE </w:t>
                            </w:r>
                            <w:r>
                              <w:rPr>
                                <w:b/>
                              </w:rPr>
                              <w:t>2020</w:t>
                            </w:r>
                          </w:p>
                          <w:p>
                            <w:pPr>
                              <w:pStyle w:val="TableContents"/>
                              <w:bidi w:val="0"/>
                              <w:jc w:val="left"/>
                              <w:rPr/>
                            </w:pPr>
                            <w:r>
                              <w:rPr/>
                              <w:t>BOARD COMMITTEES</w:t>
                            </w:r>
                          </w:p>
                          <w:p>
                            <w:pPr>
                              <w:pStyle w:val="TableContents"/>
                              <w:bidi w:val="0"/>
                              <w:spacing w:before="0" w:after="283"/>
                              <w:jc w:val="left"/>
                              <w:rPr>
                                <w:b/>
                              </w:rPr>
                            </w:pPr>
                            <w:r>
                              <w:rPr>
                                <w:b/>
                              </w:rPr>
                              <w:t>Human Capital &amp; Compensation (Chair), Finance</w:t>
                            </w:r>
                          </w:p>
                        </w:tc>
                      </w:tr>
                      <w:tr>
                        <w:trPr/>
                        <w:tc>
                          <w:tcPr>
                            <w:tcW w:w="5738" w:type="dxa"/>
                            <w:tcBorders/>
                            <w:vAlign w:val="center"/>
                          </w:tcPr>
                          <w:p>
                            <w:pPr>
                              <w:pStyle w:val="TableContents"/>
                              <w:bidi w:val="0"/>
                              <w:spacing w:before="0" w:after="283"/>
                              <w:jc w:val="left"/>
                              <w:rPr>
                                <w:b/>
                                <w:sz w:val="20"/>
                              </w:rPr>
                            </w:pPr>
                            <w:r>
                              <w:rPr>
                                <w:b/>
                                <w:sz w:val="20"/>
                              </w:rPr>
                              <w:t>Key Skills and Expertise</w:t>
                            </w:r>
                          </w:p>
                        </w:tc>
                        <w:tc>
                          <w:tcPr>
                            <w:tcW w:w="300" w:type="dxa"/>
                            <w:tcBorders/>
                            <w:vAlign w:val="center"/>
                          </w:tcPr>
                          <w:p>
                            <w:pPr>
                              <w:pStyle w:val="TableContents"/>
                              <w:bidi w:val="0"/>
                              <w:spacing w:before="0" w:after="283"/>
                              <w:jc w:val="left"/>
                              <w:rPr/>
                            </w:pPr>
                            <w:r>
                              <w:rPr/>
                              <w:t> </w:t>
                            </w:r>
                          </w:p>
                        </w:tc>
                        <w:tc>
                          <w:tcPr>
                            <w:tcW w:w="4167"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8625" w:type="dxa"/>
                        <w:jc w:val="left"/>
                        <w:tblInd w:w="0" w:type="dxa"/>
                        <w:tblLayout w:type="fixed"/>
                        <w:tblCellMar>
                          <w:top w:w="0" w:type="dxa"/>
                          <w:left w:w="0" w:type="dxa"/>
                          <w:bottom w:w="0" w:type="dxa"/>
                          <w:right w:w="0" w:type="dxa"/>
                        </w:tblCellMar>
                      </w:tblPr>
                      <w:tblGrid>
                        <w:gridCol w:w="315"/>
                        <w:gridCol w:w="1340"/>
                        <w:gridCol w:w="330"/>
                        <w:gridCol w:w="2465"/>
                        <w:gridCol w:w="300"/>
                        <w:gridCol w:w="3875"/>
                      </w:tblGrid>
                      <w:tr>
                        <w:trPr/>
                        <w:tc>
                          <w:tcPr>
                            <w:tcW w:w="315" w:type="dxa"/>
                            <w:tcBorders/>
                            <w:vAlign w:val="center"/>
                          </w:tcPr>
                          <w:p>
                            <w:pPr>
                              <w:pStyle w:val="TableContents"/>
                              <w:bidi w:val="0"/>
                              <w:spacing w:before="0" w:after="283"/>
                              <w:jc w:val="left"/>
                              <w:rPr/>
                            </w:pPr>
                            <w:r>
                              <w:rPr/>
                              <w:drawing>
                                <wp:inline distT="0" distB="0" distL="0" distR="0">
                                  <wp:extent cx="190500" cy="428625"/>
                                  <wp:effectExtent l="0" t="0" r="0" b="0"/>
                                  <wp:docPr id="144" name="Image1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132" descr=""/>
                                          <pic:cNvPicPr>
                                            <a:picLocks noChangeAspect="1" noChangeArrowheads="1"/>
                                          </pic:cNvPicPr>
                                        </pic:nvPicPr>
                                        <pic:blipFill>
                                          <a:blip r:embed="rId140"/>
                                          <a:stretch>
                                            <a:fillRect/>
                                          </a:stretch>
                                        </pic:blipFill>
                                        <pic:spPr bwMode="auto">
                                          <a:xfrm>
                                            <a:off x="0" y="0"/>
                                            <a:ext cx="190500" cy="428625"/>
                                          </a:xfrm>
                                          <a:prstGeom prst="rect">
                                            <a:avLst/>
                                          </a:prstGeom>
                                        </pic:spPr>
                                      </pic:pic>
                                    </a:graphicData>
                                  </a:graphic>
                                </wp:inline>
                              </w:drawing>
                            </w:r>
                          </w:p>
                        </w:tc>
                        <w:tc>
                          <w:tcPr>
                            <w:tcW w:w="1340" w:type="dxa"/>
                            <w:tcBorders/>
                            <w:vAlign w:val="center"/>
                          </w:tcPr>
                          <w:p>
                            <w:pPr>
                              <w:pStyle w:val="TableContents"/>
                              <w:bidi w:val="0"/>
                              <w:spacing w:before="0" w:after="283"/>
                              <w:jc w:val="left"/>
                              <w:rPr/>
                            </w:pPr>
                            <w:r>
                              <w:rPr/>
                              <w:t>FINANCIAL</w:t>
                            </w:r>
                          </w:p>
                        </w:tc>
                        <w:tc>
                          <w:tcPr>
                            <w:tcW w:w="330" w:type="dxa"/>
                            <w:tcBorders/>
                            <w:vAlign w:val="center"/>
                          </w:tcPr>
                          <w:p>
                            <w:pPr>
                              <w:pStyle w:val="TableContents"/>
                              <w:bidi w:val="0"/>
                              <w:spacing w:before="0" w:after="283"/>
                              <w:jc w:val="left"/>
                              <w:rPr/>
                            </w:pPr>
                            <w:r>
                              <w:rPr/>
                              <w:drawing>
                                <wp:inline distT="0" distB="0" distL="0" distR="0">
                                  <wp:extent cx="209550" cy="419100"/>
                                  <wp:effectExtent l="0" t="0" r="0" b="0"/>
                                  <wp:docPr id="145" name="Image1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133" descr=""/>
                                          <pic:cNvPicPr>
                                            <a:picLocks noChangeAspect="1" noChangeArrowheads="1"/>
                                          </pic:cNvPicPr>
                                        </pic:nvPicPr>
                                        <pic:blipFill>
                                          <a:blip r:embed="rId141"/>
                                          <a:stretch>
                                            <a:fillRect/>
                                          </a:stretch>
                                        </pic:blipFill>
                                        <pic:spPr bwMode="auto">
                                          <a:xfrm>
                                            <a:off x="0" y="0"/>
                                            <a:ext cx="209550" cy="419100"/>
                                          </a:xfrm>
                                          <a:prstGeom prst="rect">
                                            <a:avLst/>
                                          </a:prstGeom>
                                        </pic:spPr>
                                      </pic:pic>
                                    </a:graphicData>
                                  </a:graphic>
                                </wp:inline>
                              </w:drawing>
                            </w:r>
                          </w:p>
                        </w:tc>
                        <w:tc>
                          <w:tcPr>
                            <w:tcW w:w="2465" w:type="dxa"/>
                            <w:tcBorders/>
                            <w:vAlign w:val="center"/>
                          </w:tcPr>
                          <w:p>
                            <w:pPr>
                              <w:pStyle w:val="TableContents"/>
                              <w:bidi w:val="0"/>
                              <w:spacing w:before="0" w:after="283"/>
                              <w:jc w:val="left"/>
                              <w:rPr/>
                            </w:pPr>
                            <w:r>
                              <w:rPr/>
                              <w:t>SENIOR LEADERSHIP</w:t>
                            </w:r>
                          </w:p>
                        </w:tc>
                        <w:tc>
                          <w:tcPr>
                            <w:tcW w:w="300" w:type="dxa"/>
                            <w:tcBorders/>
                            <w:vAlign w:val="center"/>
                          </w:tcPr>
                          <w:p>
                            <w:pPr>
                              <w:pStyle w:val="TableContents"/>
                              <w:bidi w:val="0"/>
                              <w:spacing w:before="0" w:after="283"/>
                              <w:jc w:val="left"/>
                              <w:rPr/>
                            </w:pPr>
                            <w:r>
                              <w:rPr/>
                              <w:drawing>
                                <wp:inline distT="0" distB="0" distL="0" distR="0">
                                  <wp:extent cx="190500" cy="504825"/>
                                  <wp:effectExtent l="0" t="0" r="0" b="0"/>
                                  <wp:docPr id="146" name="Image1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134" descr=""/>
                                          <pic:cNvPicPr>
                                            <a:picLocks noChangeAspect="1" noChangeArrowheads="1"/>
                                          </pic:cNvPicPr>
                                        </pic:nvPicPr>
                                        <pic:blipFill>
                                          <a:blip r:embed="rId142"/>
                                          <a:stretch>
                                            <a:fillRect/>
                                          </a:stretch>
                                        </pic:blipFill>
                                        <pic:spPr bwMode="auto">
                                          <a:xfrm>
                                            <a:off x="0" y="0"/>
                                            <a:ext cx="190500" cy="504825"/>
                                          </a:xfrm>
                                          <a:prstGeom prst="rect">
                                            <a:avLst/>
                                          </a:prstGeom>
                                        </pic:spPr>
                                      </pic:pic>
                                    </a:graphicData>
                                  </a:graphic>
                                </wp:inline>
                              </w:drawing>
                            </w:r>
                          </w:p>
                        </w:tc>
                        <w:tc>
                          <w:tcPr>
                            <w:tcW w:w="3875" w:type="dxa"/>
                            <w:tcBorders/>
                            <w:vAlign w:val="center"/>
                          </w:tcPr>
                          <w:p>
                            <w:pPr>
                              <w:pStyle w:val="TableContents"/>
                              <w:bidi w:val="0"/>
                              <w:spacing w:before="0" w:after="283"/>
                              <w:jc w:val="left"/>
                              <w:rPr/>
                            </w:pPr>
                            <w:r>
                              <w:rPr/>
                              <w:t>RISK MANAGEMENT/OVERSIGHT</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54">
                <wp:simplePos x="0" y="0"/>
                <wp:positionH relativeFrom="column">
                  <wp:align>right</wp:align>
                </wp:positionH>
                <wp:positionV relativeFrom="line">
                  <wp:posOffset>635</wp:posOffset>
                </wp:positionV>
                <wp:extent cx="1943735" cy="5041265"/>
                <wp:effectExtent l="0" t="0" r="0" b="0"/>
                <wp:wrapSquare wrapText="left"/>
                <wp:docPr id="147" name="Frame6"/>
                <a:graphic xmlns:a="http://schemas.openxmlformats.org/drawingml/2006/main">
                  <a:graphicData uri="http://schemas.microsoft.com/office/word/2010/wordprocessingShape">
                    <wps:wsp>
                      <wps:cNvSpPr txBox="1"/>
                      <wps:spPr>
                        <a:xfrm>
                          <a:off x="0" y="0"/>
                          <a:ext cx="1943735" cy="5041265"/>
                        </a:xfrm>
                        <a:prstGeom prst="rect"/>
                        <a:solidFill>
                          <a:srgbClr val="FFFFFF"/>
                        </a:solidFill>
                      </wps:spPr>
                      <wps:txbx>
                        <w:txbxContent>
                          <w:p>
                            <w:pPr>
                              <w:pStyle w:val="TextBody"/>
                              <w:bidi w:val="0"/>
                              <w:ind w:left="0" w:right="0" w:hanging="0"/>
                              <w:jc w:val="right"/>
                              <w:rPr>
                                <w:caps w:val="false"/>
                                <w:smallCaps w:val="false"/>
                              </w:rPr>
                            </w:pPr>
                            <w:r>
                              <w:rPr>
                                <w:caps w:val="false"/>
                                <w:smallCaps w:val="false"/>
                              </w:rPr>
                              <w:t> </w:t>
                            </w:r>
                          </w:p>
                          <w:p>
                            <w:pPr>
                              <w:pStyle w:val="TextBody"/>
                              <w:bidi w:val="0"/>
                              <w:spacing w:before="0" w:after="283"/>
                              <w:ind w:left="0" w:right="100" w:hanging="0"/>
                              <w:jc w:val="right"/>
                              <w:rPr>
                                <w:caps w:val="false"/>
                                <w:smallCaps w:val="false"/>
                              </w:rPr>
                            </w:pPr>
                            <w:r>
                              <w:rPr>
                                <w:caps w:val="false"/>
                                <w:smallCaps w:val="false"/>
                              </w:rPr>
                              <w:drawing>
                                <wp:inline distT="0" distB="0" distL="0" distR="0">
                                  <wp:extent cx="1190625" cy="4686300"/>
                                  <wp:effectExtent l="0" t="0" r="0" b="0"/>
                                  <wp:docPr id="148" name="Image1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135" descr=""/>
                                          <pic:cNvPicPr>
                                            <a:picLocks noChangeAspect="1" noChangeArrowheads="1"/>
                                          </pic:cNvPicPr>
                                        </pic:nvPicPr>
                                        <pic:blipFill>
                                          <a:blip r:embed="rId143"/>
                                          <a:stretch>
                                            <a:fillRect/>
                                          </a:stretch>
                                        </pic:blipFill>
                                        <pic:spPr bwMode="auto">
                                          <a:xfrm>
                                            <a:off x="0" y="0"/>
                                            <a:ext cx="1190625" cy="4686300"/>
                                          </a:xfrm>
                                          <a:prstGeom prst="rect">
                                            <a:avLst/>
                                          </a:prstGeom>
                                        </pic:spPr>
                                      </pic:pic>
                                    </a:graphicData>
                                  </a:graphic>
                                </wp:inline>
                              </w:drawing>
                            </w:r>
                          </w:p>
                        </w:txbxContent>
                      </wps:txbx>
                      <wps:bodyPr anchor="t" lIns="0" tIns="0" rIns="0" bIns="0">
                        <a:noAutofit/>
                      </wps:bodyPr>
                    </wps:wsp>
                  </a:graphicData>
                </a:graphic>
                <wp14:sizeRelH relativeFrom="margin">
                  <wp14:pctWidth>30000</wp14:pctWidth>
                </wp14:sizeRelH>
              </wp:anchor>
            </w:drawing>
          </mc:Choice>
          <mc:Fallback>
            <w:pict>
              <v:rect style="position:absolute;rotation:-0;width:153.05pt;height:396.95pt;mso-wrap-distance-left:0pt;mso-wrap-distance-right:0pt;mso-wrap-distance-top:0pt;mso-wrap-distance-bottom:0pt;margin-top:0pt;mso-position-vertical:top;mso-position-vertical-relative:text;margin-left:357.2pt;mso-position-horizontal:right;mso-position-horizontal-relative:text">
                <v:textbox>
                  <w:txbxContent>
                    <w:p>
                      <w:pPr>
                        <w:pStyle w:val="TextBody"/>
                        <w:bidi w:val="0"/>
                        <w:ind w:left="0" w:right="0" w:hanging="0"/>
                        <w:jc w:val="right"/>
                        <w:rPr>
                          <w:caps w:val="false"/>
                          <w:smallCaps w:val="false"/>
                        </w:rPr>
                      </w:pPr>
                      <w:r>
                        <w:rPr>
                          <w:caps w:val="false"/>
                          <w:smallCaps w:val="false"/>
                        </w:rPr>
                        <w:t> </w:t>
                      </w:r>
                    </w:p>
                    <w:p>
                      <w:pPr>
                        <w:pStyle w:val="TextBody"/>
                        <w:bidi w:val="0"/>
                        <w:spacing w:before="0" w:after="283"/>
                        <w:ind w:left="0" w:right="100" w:hanging="0"/>
                        <w:jc w:val="right"/>
                        <w:rPr>
                          <w:caps w:val="false"/>
                          <w:smallCaps w:val="false"/>
                        </w:rPr>
                      </w:pPr>
                      <w:r>
                        <w:rPr>
                          <w:caps w:val="false"/>
                          <w:smallCaps w:val="false"/>
                        </w:rPr>
                        <w:drawing>
                          <wp:inline distT="0" distB="0" distL="0" distR="0">
                            <wp:extent cx="1190625" cy="4686300"/>
                            <wp:effectExtent l="0" t="0" r="0" b="0"/>
                            <wp:docPr id="149" name="Image1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mage135" descr=""/>
                                    <pic:cNvPicPr>
                                      <a:picLocks noChangeAspect="1" noChangeArrowheads="1"/>
                                    </pic:cNvPicPr>
                                  </pic:nvPicPr>
                                  <pic:blipFill>
                                    <a:blip r:embed="rId144"/>
                                    <a:stretch>
                                      <a:fillRect/>
                                    </a:stretch>
                                  </pic:blipFill>
                                  <pic:spPr bwMode="auto">
                                    <a:xfrm>
                                      <a:off x="0" y="0"/>
                                      <a:ext cx="1190625" cy="4686300"/>
                                    </a:xfrm>
                                    <a:prstGeom prst="rect">
                                      <a:avLst/>
                                    </a:prstGeom>
                                  </pic:spPr>
                                </pic:pic>
                              </a:graphicData>
                            </a:graphic>
                          </wp:inline>
                        </w:drawing>
                      </w:r>
                    </w:p>
                  </w:txbxContent>
                </v:textbox>
                <w10:wrap type="square" side="left"/>
              </v:rect>
            </w:pict>
          </mc:Fallback>
        </mc:AlternateContent>
      </w:r>
    </w:p>
    <w:p>
      <w:pPr>
        <w:pStyle w:val="TextBody"/>
        <w:bidi w:val="0"/>
        <w:jc w:val="left"/>
        <w:rPr>
          <w:caps w:val="false"/>
          <w:smallCaps w:val="false"/>
        </w:rPr>
      </w:pPr>
      <w:r>
        <w:rPr>
          <w:caps w:val="false"/>
          <w:smallCaps w:val="false"/>
        </w:rPr>
        <w:t> </w:t>
      </w:r>
    </w:p>
    <w:p>
      <w:pPr>
        <w:pStyle w:val="TextBody"/>
        <w:bidi w:val="0"/>
        <w:spacing w:before="200" w:after="283"/>
        <w:jc w:val="left"/>
        <w:rPr>
          <w:rFonts w:ascii="Arial;Helvetica;Sans-Serif" w:hAnsi="Arial;Helvetica;Sans-Serif"/>
          <w:b w:val="false"/>
          <w:i w:val="false"/>
          <w:caps w:val="false"/>
          <w:smallCaps w:val="false"/>
          <w:sz w:val="15"/>
        </w:rPr>
      </w:pPr>
      <w:r>
        <w:rPr>
          <w:rFonts w:ascii="Arial;Helvetica;Sans-Serif" w:hAnsi="Arial;Helvetica;Sans-Serif"/>
          <w:b/>
          <w:i w:val="false"/>
          <w:caps w:val="false"/>
          <w:smallCaps w:val="false"/>
          <w:sz w:val="15"/>
        </w:rPr>
        <w:t>14</w:t>
      </w:r>
      <w:r>
        <w:rPr>
          <w:rFonts w:ascii="Arial;Helvetica;Sans-Serif" w:hAnsi="Arial;Helvetica;Sans-Serif"/>
          <w:b w:val="false"/>
          <w:i w:val="false"/>
          <w:caps w:val="false"/>
          <w:smallCaps w:val="false"/>
          <w:sz w:val="15"/>
        </w:rPr>
        <w:t>    </w:t>
      </w:r>
      <w:r>
        <w:rPr>
          <w:rFonts w:ascii="Arial;Helvetica;Sans-Serif" w:hAnsi="Arial;Helvetica;Sans-Serif"/>
          <w:b/>
          <w:i w:val="false"/>
          <w:caps w:val="false"/>
          <w:smallCaps w:val="false"/>
          <w:sz w:val="15"/>
        </w:rPr>
        <w:t xml:space="preserve">RTX </w:t>
      </w:r>
      <w:r>
        <w:rPr>
          <w:rFonts w:ascii="Arial;Helvetica;Sans-Serif" w:hAnsi="Arial;Helvetica;Sans-Serif"/>
          <w:b w:val="false"/>
          <w:i w:val="false"/>
          <w:caps w:val="false"/>
          <w:smallCaps w:val="false"/>
          <w:sz w:val="15"/>
        </w:rPr>
        <w:t>2026 PROXY STATEMENT</w:t>
      </w:r>
      <w:r>
        <mc:AlternateContent>
          <mc:Choice Requires="wps">
            <w:drawing>
              <wp:anchor behindDoc="0" distT="0" distB="0" distL="0" distR="0" simplePos="0" locked="0" layoutInCell="1" allowOverlap="1" relativeHeight="287">
                <wp:simplePos x="0" y="0"/>
                <wp:positionH relativeFrom="column">
                  <wp:align>left</wp:align>
                </wp:positionH>
                <wp:positionV relativeFrom="line">
                  <wp:posOffset>635</wp:posOffset>
                </wp:positionV>
                <wp:extent cx="3110230" cy="4610735"/>
                <wp:effectExtent l="0" t="0" r="0" b="0"/>
                <wp:wrapSquare wrapText="right"/>
                <wp:docPr id="150" name="Frame7"/>
                <a:graphic xmlns:a="http://schemas.openxmlformats.org/drawingml/2006/main">
                  <a:graphicData uri="http://schemas.microsoft.com/office/word/2010/wordprocessingShape">
                    <wps:wsp>
                      <wps:cNvSpPr txBox="1"/>
                      <wps:spPr>
                        <a:xfrm>
                          <a:off x="0" y="0"/>
                          <a:ext cx="3110230" cy="4610735"/>
                        </a:xfrm>
                        <a:prstGeom prst="rect"/>
                        <a:solidFill>
                          <a:srgbClr val="FFFFFF"/>
                        </a:solidFill>
                      </wps:spPr>
                      <wps:txbx>
                        <w:txbxContent>
                          <w:p>
                            <w:pPr>
                              <w:pStyle w:val="TextBody"/>
                              <w:bidi w:val="0"/>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 xml:space="preserve">Qualifications </w:t>
                            </w:r>
                            <w:r>
                              <w:rPr>
                                <w:rFonts w:ascii="Arial;Helvetica;Sans-Serif" w:hAnsi="Arial;Helvetica;Sans-Serif"/>
                                <w:b w:val="false"/>
                                <w:i w:val="false"/>
                                <w:caps w:val="false"/>
                                <w:smallCaps w:val="false"/>
                                <w:sz w:val="20"/>
                              </w:rPr>
                              <w:t> </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Ms. Atkinson provides the Board with significant experience in finance, risk management and compliance matters, as well as executive leadership experience developed through her senior finance and compliance leadership roles at State Street and MFS Investment Management. She also brings valuable accounting expertise derived from her experience as a Certified Public Accountant and a partner at PricewaterhouseCoopers LLP.</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Experience</w:t>
                            </w:r>
                          </w:p>
                          <w:p>
                            <w:pPr>
                              <w:pStyle w:val="TextBody"/>
                              <w:bidi w:val="0"/>
                              <w:jc w:val="left"/>
                              <w:rPr>
                                <w:caps w:val="false"/>
                                <w:smallCaps w:val="false"/>
                              </w:rPr>
                            </w:pPr>
                            <w:r>
                              <w:rPr>
                                <w:caps w:val="false"/>
                                <w:smallCaps w:val="false"/>
                              </w:rPr>
                              <w:t> </w:t>
                            </w:r>
                          </w:p>
                          <w:tbl>
                            <w:tblPr>
                              <w:tblW w:w="8950" w:type="dxa"/>
                              <w:jc w:val="left"/>
                              <w:tblInd w:w="0" w:type="dxa"/>
                              <w:tblLayout w:type="fixed"/>
                              <w:tblCellMar>
                                <w:top w:w="0" w:type="dxa"/>
                                <w:left w:w="0" w:type="dxa"/>
                                <w:bottom w:w="0" w:type="dxa"/>
                                <w:right w:w="0" w:type="dxa"/>
                              </w:tblCellMar>
                            </w:tblPr>
                            <w:tblGrid>
                              <w:gridCol w:w="185"/>
                              <w:gridCol w:w="8765"/>
                            </w:tblGrid>
                            <w:tr>
                              <w:trPr/>
                              <w:tc>
                                <w:tcPr>
                                  <w:tcW w:w="185" w:type="dxa"/>
                                  <w:tcBorders/>
                                  <w:vAlign w:val="center"/>
                                </w:tcPr>
                                <w:p>
                                  <w:pPr>
                                    <w:pStyle w:val="TableContents"/>
                                    <w:bidi w:val="0"/>
                                    <w:spacing w:before="0" w:after="283"/>
                                    <w:jc w:val="left"/>
                                    <w:rPr/>
                                  </w:pPr>
                                  <w:r>
                                    <w:rPr/>
                                    <w:t>●</w:t>
                                  </w:r>
                                </w:p>
                              </w:tc>
                              <w:tc>
                                <w:tcPr>
                                  <w:tcW w:w="8765" w:type="dxa"/>
                                  <w:tcBorders/>
                                  <w:vAlign w:val="center"/>
                                </w:tcPr>
                                <w:p>
                                  <w:pPr>
                                    <w:pStyle w:val="TableContents"/>
                                    <w:bidi w:val="0"/>
                                    <w:spacing w:before="0" w:after="283"/>
                                    <w:jc w:val="left"/>
                                    <w:rPr/>
                                  </w:pPr>
                                  <w:r>
                                    <w:rPr/>
                                    <w:t>Chief Administrative Officer, State Street Corporation (financial services firm), 2019–2020</w:t>
                                  </w:r>
                                </w:p>
                              </w:tc>
                            </w:tr>
                            <w:tr>
                              <w:trPr/>
                              <w:tc>
                                <w:tcPr>
                                  <w:tcW w:w="185" w:type="dxa"/>
                                  <w:tcBorders/>
                                  <w:vAlign w:val="center"/>
                                </w:tcPr>
                                <w:p>
                                  <w:pPr>
                                    <w:pStyle w:val="TableContents"/>
                                    <w:bidi w:val="0"/>
                                    <w:spacing w:before="0" w:after="283"/>
                                    <w:jc w:val="left"/>
                                    <w:rPr/>
                                  </w:pPr>
                                  <w:r>
                                    <w:rPr/>
                                    <w:t>●</w:t>
                                  </w:r>
                                </w:p>
                              </w:tc>
                              <w:tc>
                                <w:tcPr>
                                  <w:tcW w:w="8765" w:type="dxa"/>
                                  <w:tcBorders/>
                                  <w:vAlign w:val="center"/>
                                </w:tcPr>
                                <w:p>
                                  <w:pPr>
                                    <w:pStyle w:val="TableContents"/>
                                    <w:bidi w:val="0"/>
                                    <w:spacing w:before="0" w:after="283"/>
                                    <w:jc w:val="left"/>
                                    <w:rPr/>
                                  </w:pPr>
                                  <w:r>
                                    <w:rPr/>
                                    <w:t>Executive Vice President &amp; Chief Compliance Officer, State Street Corporation, 2017–2019</w:t>
                                  </w:r>
                                </w:p>
                              </w:tc>
                            </w:tr>
                            <w:tr>
                              <w:trPr/>
                              <w:tc>
                                <w:tcPr>
                                  <w:tcW w:w="185" w:type="dxa"/>
                                  <w:tcBorders/>
                                  <w:vAlign w:val="center"/>
                                </w:tcPr>
                                <w:p>
                                  <w:pPr>
                                    <w:pStyle w:val="TableContents"/>
                                    <w:bidi w:val="0"/>
                                    <w:spacing w:before="0" w:after="283"/>
                                    <w:jc w:val="left"/>
                                    <w:rPr/>
                                  </w:pPr>
                                  <w:r>
                                    <w:rPr/>
                                    <w:t>●</w:t>
                                  </w:r>
                                </w:p>
                              </w:tc>
                              <w:tc>
                                <w:tcPr>
                                  <w:tcW w:w="8765" w:type="dxa"/>
                                  <w:tcBorders/>
                                  <w:vAlign w:val="center"/>
                                </w:tcPr>
                                <w:p>
                                  <w:pPr>
                                    <w:pStyle w:val="TableContents"/>
                                    <w:bidi w:val="0"/>
                                    <w:spacing w:before="0" w:after="283"/>
                                    <w:jc w:val="left"/>
                                    <w:rPr/>
                                  </w:pPr>
                                  <w:r>
                                    <w:rPr/>
                                    <w:t>Executive Vice President, Finance, State Street Corporation, 2010–2017</w:t>
                                  </w:r>
                                </w:p>
                              </w:tc>
                            </w:tr>
                            <w:tr>
                              <w:trPr/>
                              <w:tc>
                                <w:tcPr>
                                  <w:tcW w:w="185" w:type="dxa"/>
                                  <w:tcBorders/>
                                  <w:vAlign w:val="center"/>
                                </w:tcPr>
                                <w:p>
                                  <w:pPr>
                                    <w:pStyle w:val="TableContents"/>
                                    <w:bidi w:val="0"/>
                                    <w:spacing w:before="0" w:after="283"/>
                                    <w:jc w:val="left"/>
                                    <w:rPr/>
                                  </w:pPr>
                                  <w:r>
                                    <w:rPr/>
                                    <w:t>●</w:t>
                                  </w:r>
                                </w:p>
                              </w:tc>
                              <w:tc>
                                <w:tcPr>
                                  <w:tcW w:w="8765" w:type="dxa"/>
                                  <w:tcBorders/>
                                  <w:vAlign w:val="center"/>
                                </w:tcPr>
                                <w:p>
                                  <w:pPr>
                                    <w:pStyle w:val="TableContents"/>
                                    <w:bidi w:val="0"/>
                                    <w:spacing w:before="0" w:after="283"/>
                                    <w:jc w:val="left"/>
                                    <w:rPr/>
                                  </w:pPr>
                                  <w:r>
                                    <w:rPr/>
                                    <w:t>Treasurer, State Street Corporation, 2016–2017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363.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 xml:space="preserve">Qualifications </w:t>
                      </w:r>
                      <w:r>
                        <w:rPr>
                          <w:rFonts w:ascii="Arial;Helvetica;Sans-Serif" w:hAnsi="Arial;Helvetica;Sans-Serif"/>
                          <w:b w:val="false"/>
                          <w:i w:val="false"/>
                          <w:caps w:val="false"/>
                          <w:smallCaps w:val="false"/>
                          <w:sz w:val="20"/>
                        </w:rPr>
                        <w:t> </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Ms. Atkinson provides the Board with significant experience in finance, risk management and compliance matters, as well as executive leadership experience developed through her senior finance and compliance leadership roles at State Street and MFS Investment Management. She also brings valuable accounting expertise derived from her experience as a Certified Public Accountant and a partner at PricewaterhouseCoopers LLP.</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Experience</w:t>
                      </w:r>
                    </w:p>
                    <w:p>
                      <w:pPr>
                        <w:pStyle w:val="TextBody"/>
                        <w:bidi w:val="0"/>
                        <w:jc w:val="left"/>
                        <w:rPr>
                          <w:caps w:val="false"/>
                          <w:smallCaps w:val="false"/>
                        </w:rPr>
                      </w:pPr>
                      <w:r>
                        <w:rPr>
                          <w:caps w:val="false"/>
                          <w:smallCaps w:val="false"/>
                        </w:rPr>
                        <w:t> </w:t>
                      </w:r>
                    </w:p>
                    <w:tbl>
                      <w:tblPr>
                        <w:tblW w:w="8950" w:type="dxa"/>
                        <w:jc w:val="left"/>
                        <w:tblInd w:w="0" w:type="dxa"/>
                        <w:tblLayout w:type="fixed"/>
                        <w:tblCellMar>
                          <w:top w:w="0" w:type="dxa"/>
                          <w:left w:w="0" w:type="dxa"/>
                          <w:bottom w:w="0" w:type="dxa"/>
                          <w:right w:w="0" w:type="dxa"/>
                        </w:tblCellMar>
                      </w:tblPr>
                      <w:tblGrid>
                        <w:gridCol w:w="185"/>
                        <w:gridCol w:w="8765"/>
                      </w:tblGrid>
                      <w:tr>
                        <w:trPr/>
                        <w:tc>
                          <w:tcPr>
                            <w:tcW w:w="185" w:type="dxa"/>
                            <w:tcBorders/>
                            <w:vAlign w:val="center"/>
                          </w:tcPr>
                          <w:p>
                            <w:pPr>
                              <w:pStyle w:val="TableContents"/>
                              <w:bidi w:val="0"/>
                              <w:spacing w:before="0" w:after="283"/>
                              <w:jc w:val="left"/>
                              <w:rPr/>
                            </w:pPr>
                            <w:r>
                              <w:rPr/>
                              <w:t>●</w:t>
                            </w:r>
                          </w:p>
                        </w:tc>
                        <w:tc>
                          <w:tcPr>
                            <w:tcW w:w="8765" w:type="dxa"/>
                            <w:tcBorders/>
                            <w:vAlign w:val="center"/>
                          </w:tcPr>
                          <w:p>
                            <w:pPr>
                              <w:pStyle w:val="TableContents"/>
                              <w:bidi w:val="0"/>
                              <w:spacing w:before="0" w:after="283"/>
                              <w:jc w:val="left"/>
                              <w:rPr/>
                            </w:pPr>
                            <w:r>
                              <w:rPr/>
                              <w:t>Chief Administrative Officer, State Street Corporation (financial services firm), 2019–2020</w:t>
                            </w:r>
                          </w:p>
                        </w:tc>
                      </w:tr>
                      <w:tr>
                        <w:trPr/>
                        <w:tc>
                          <w:tcPr>
                            <w:tcW w:w="185" w:type="dxa"/>
                            <w:tcBorders/>
                            <w:vAlign w:val="center"/>
                          </w:tcPr>
                          <w:p>
                            <w:pPr>
                              <w:pStyle w:val="TableContents"/>
                              <w:bidi w:val="0"/>
                              <w:spacing w:before="0" w:after="283"/>
                              <w:jc w:val="left"/>
                              <w:rPr/>
                            </w:pPr>
                            <w:r>
                              <w:rPr/>
                              <w:t>●</w:t>
                            </w:r>
                          </w:p>
                        </w:tc>
                        <w:tc>
                          <w:tcPr>
                            <w:tcW w:w="8765" w:type="dxa"/>
                            <w:tcBorders/>
                            <w:vAlign w:val="center"/>
                          </w:tcPr>
                          <w:p>
                            <w:pPr>
                              <w:pStyle w:val="TableContents"/>
                              <w:bidi w:val="0"/>
                              <w:spacing w:before="0" w:after="283"/>
                              <w:jc w:val="left"/>
                              <w:rPr/>
                            </w:pPr>
                            <w:r>
                              <w:rPr/>
                              <w:t>Executive Vice President &amp; Chief Compliance Officer, State Street Corporation, 2017–2019</w:t>
                            </w:r>
                          </w:p>
                        </w:tc>
                      </w:tr>
                      <w:tr>
                        <w:trPr/>
                        <w:tc>
                          <w:tcPr>
                            <w:tcW w:w="185" w:type="dxa"/>
                            <w:tcBorders/>
                            <w:vAlign w:val="center"/>
                          </w:tcPr>
                          <w:p>
                            <w:pPr>
                              <w:pStyle w:val="TableContents"/>
                              <w:bidi w:val="0"/>
                              <w:spacing w:before="0" w:after="283"/>
                              <w:jc w:val="left"/>
                              <w:rPr/>
                            </w:pPr>
                            <w:r>
                              <w:rPr/>
                              <w:t>●</w:t>
                            </w:r>
                          </w:p>
                        </w:tc>
                        <w:tc>
                          <w:tcPr>
                            <w:tcW w:w="8765" w:type="dxa"/>
                            <w:tcBorders/>
                            <w:vAlign w:val="center"/>
                          </w:tcPr>
                          <w:p>
                            <w:pPr>
                              <w:pStyle w:val="TableContents"/>
                              <w:bidi w:val="0"/>
                              <w:spacing w:before="0" w:after="283"/>
                              <w:jc w:val="left"/>
                              <w:rPr/>
                            </w:pPr>
                            <w:r>
                              <w:rPr/>
                              <w:t>Executive Vice President, Finance, State Street Corporation, 2010–2017</w:t>
                            </w:r>
                          </w:p>
                        </w:tc>
                      </w:tr>
                      <w:tr>
                        <w:trPr/>
                        <w:tc>
                          <w:tcPr>
                            <w:tcW w:w="185" w:type="dxa"/>
                            <w:tcBorders/>
                            <w:vAlign w:val="center"/>
                          </w:tcPr>
                          <w:p>
                            <w:pPr>
                              <w:pStyle w:val="TableContents"/>
                              <w:bidi w:val="0"/>
                              <w:spacing w:before="0" w:after="283"/>
                              <w:jc w:val="left"/>
                              <w:rPr/>
                            </w:pPr>
                            <w:r>
                              <w:rPr/>
                              <w:t>●</w:t>
                            </w:r>
                          </w:p>
                        </w:tc>
                        <w:tc>
                          <w:tcPr>
                            <w:tcW w:w="8765" w:type="dxa"/>
                            <w:tcBorders/>
                            <w:vAlign w:val="center"/>
                          </w:tcPr>
                          <w:p>
                            <w:pPr>
                              <w:pStyle w:val="TableContents"/>
                              <w:bidi w:val="0"/>
                              <w:spacing w:before="0" w:after="283"/>
                              <w:jc w:val="left"/>
                              <w:rPr/>
                            </w:pPr>
                            <w:r>
                              <w:rPr/>
                              <w:t>Treasurer, State Street Corporation, 2016–2017</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288">
                <wp:simplePos x="0" y="0"/>
                <wp:positionH relativeFrom="column">
                  <wp:align>right</wp:align>
                </wp:positionH>
                <wp:positionV relativeFrom="line">
                  <wp:posOffset>635</wp:posOffset>
                </wp:positionV>
                <wp:extent cx="3110230" cy="6823075"/>
                <wp:effectExtent l="0" t="0" r="0" b="0"/>
                <wp:wrapSquare wrapText="left"/>
                <wp:docPr id="151" name="Frame8"/>
                <a:graphic xmlns:a="http://schemas.openxmlformats.org/drawingml/2006/main">
                  <a:graphicData uri="http://schemas.microsoft.com/office/word/2010/wordprocessingShape">
                    <wps:wsp>
                      <wps:cNvSpPr txBox="1"/>
                      <wps:spPr>
                        <a:xfrm>
                          <a:off x="0" y="0"/>
                          <a:ext cx="3110230" cy="6823075"/>
                        </a:xfrm>
                        <a:prstGeom prst="rect"/>
                        <a:solidFill>
                          <a:srgbClr val="FFFFFF"/>
                        </a:solidFill>
                      </wps:spPr>
                      <wps:txbx>
                        <w:txbxContent>
                          <w:tbl>
                            <w:tblPr>
                              <w:tblW w:w="9655" w:type="dxa"/>
                              <w:jc w:val="left"/>
                              <w:tblInd w:w="0" w:type="dxa"/>
                              <w:tblLayout w:type="fixed"/>
                              <w:tblCellMar>
                                <w:top w:w="0" w:type="dxa"/>
                                <w:left w:w="0" w:type="dxa"/>
                                <w:bottom w:w="0" w:type="dxa"/>
                                <w:right w:w="0" w:type="dxa"/>
                              </w:tblCellMar>
                            </w:tblPr>
                            <w:tblGrid>
                              <w:gridCol w:w="185"/>
                              <w:gridCol w:w="9470"/>
                            </w:tblGrid>
                            <w:tr>
                              <w:trPr/>
                              <w:tc>
                                <w:tcPr>
                                  <w:tcW w:w="185" w:type="dxa"/>
                                  <w:tcBorders/>
                                  <w:vAlign w:val="center"/>
                                </w:tcPr>
                                <w:p>
                                  <w:pPr>
                                    <w:pStyle w:val="TableContents"/>
                                    <w:bidi w:val="0"/>
                                    <w:spacing w:before="0" w:after="283"/>
                                    <w:jc w:val="left"/>
                                    <w:rPr/>
                                  </w:pPr>
                                  <w:r>
                                    <w:rPr/>
                                    <w:t>●</w:t>
                                  </w:r>
                                </w:p>
                              </w:tc>
                              <w:tc>
                                <w:tcPr>
                                  <w:tcW w:w="9470" w:type="dxa"/>
                                  <w:tcBorders/>
                                  <w:vAlign w:val="center"/>
                                </w:tcPr>
                                <w:p>
                                  <w:pPr>
                                    <w:pStyle w:val="TableContents"/>
                                    <w:bidi w:val="0"/>
                                    <w:spacing w:before="0" w:after="283"/>
                                    <w:jc w:val="left"/>
                                    <w:rPr/>
                                  </w:pPr>
                                  <w:r>
                                    <w:rPr/>
                                    <w:t>Executive Vice President, Chief Compliance Officer, State Street Corporation, 2009–2010</w:t>
                                  </w:r>
                                </w:p>
                              </w:tc>
                            </w:tr>
                            <w:tr>
                              <w:trPr/>
                              <w:tc>
                                <w:tcPr>
                                  <w:tcW w:w="185" w:type="dxa"/>
                                  <w:tcBorders/>
                                  <w:vAlign w:val="center"/>
                                </w:tcPr>
                                <w:p>
                                  <w:pPr>
                                    <w:pStyle w:val="TableContents"/>
                                    <w:bidi w:val="0"/>
                                    <w:spacing w:before="0" w:after="283"/>
                                    <w:jc w:val="left"/>
                                    <w:rPr/>
                                  </w:pPr>
                                  <w:r>
                                    <w:rPr/>
                                    <w:t>●</w:t>
                                  </w:r>
                                </w:p>
                              </w:tc>
                              <w:tc>
                                <w:tcPr>
                                  <w:tcW w:w="9470" w:type="dxa"/>
                                  <w:tcBorders/>
                                  <w:vAlign w:val="center"/>
                                </w:tcPr>
                                <w:p>
                                  <w:pPr>
                                    <w:pStyle w:val="TableContents"/>
                                    <w:bidi w:val="0"/>
                                    <w:spacing w:before="0" w:after="283"/>
                                    <w:jc w:val="left"/>
                                    <w:rPr/>
                                  </w:pPr>
                                  <w:r>
                                    <w:rPr/>
                                    <w:t>Executive Vice President, Chief Compliance Officer, State Street Global Advisors, 2008–2009</w:t>
                                  </w:r>
                                </w:p>
                              </w:tc>
                            </w:tr>
                            <w:tr>
                              <w:trPr/>
                              <w:tc>
                                <w:tcPr>
                                  <w:tcW w:w="185" w:type="dxa"/>
                                  <w:tcBorders/>
                                  <w:vAlign w:val="center"/>
                                </w:tcPr>
                                <w:p>
                                  <w:pPr>
                                    <w:pStyle w:val="TableContents"/>
                                    <w:bidi w:val="0"/>
                                    <w:spacing w:before="0" w:after="283"/>
                                    <w:jc w:val="left"/>
                                    <w:rPr/>
                                  </w:pPr>
                                  <w:r>
                                    <w:rPr/>
                                    <w:t>●</w:t>
                                  </w:r>
                                </w:p>
                              </w:tc>
                              <w:tc>
                                <w:tcPr>
                                  <w:tcW w:w="9470" w:type="dxa"/>
                                  <w:tcBorders/>
                                  <w:vAlign w:val="center"/>
                                </w:tcPr>
                                <w:p>
                                  <w:pPr>
                                    <w:pStyle w:val="TableContents"/>
                                    <w:bidi w:val="0"/>
                                    <w:spacing w:before="0" w:after="283"/>
                                    <w:jc w:val="left"/>
                                    <w:rPr/>
                                  </w:pPr>
                                  <w:r>
                                    <w:rPr/>
                                    <w:t>Senior positions with MFS Investment Management and PricewaterhouseCoopers LLP, 1999–2008</w:t>
                                  </w:r>
                                </w:p>
                              </w:tc>
                            </w:tr>
                          </w:tbl>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Other Current Directorships</w:t>
                            </w:r>
                          </w:p>
                          <w:p>
                            <w:pPr>
                              <w:pStyle w:val="TextBody"/>
                              <w:bidi w:val="0"/>
                              <w:jc w:val="left"/>
                              <w:rPr>
                                <w:caps w:val="false"/>
                                <w:smallCaps w:val="false"/>
                              </w:rPr>
                            </w:pPr>
                            <w:r>
                              <w:rPr>
                                <w:caps w:val="false"/>
                                <w:smallCaps w:val="false"/>
                              </w:rPr>
                              <w:t> </w:t>
                            </w:r>
                          </w:p>
                          <w:tbl>
                            <w:tblPr>
                              <w:tblW w:w="4210" w:type="dxa"/>
                              <w:jc w:val="left"/>
                              <w:tblInd w:w="0" w:type="dxa"/>
                              <w:tblLayout w:type="fixed"/>
                              <w:tblCellMar>
                                <w:top w:w="0" w:type="dxa"/>
                                <w:left w:w="0" w:type="dxa"/>
                                <w:bottom w:w="0" w:type="dxa"/>
                                <w:right w:w="0" w:type="dxa"/>
                              </w:tblCellMar>
                            </w:tblPr>
                            <w:tblGrid>
                              <w:gridCol w:w="185"/>
                              <w:gridCol w:w="4025"/>
                            </w:tblGrid>
                            <w:tr>
                              <w:trPr/>
                              <w:tc>
                                <w:tcPr>
                                  <w:tcW w:w="185" w:type="dxa"/>
                                  <w:tcBorders/>
                                  <w:vAlign w:val="center"/>
                                </w:tcPr>
                                <w:p>
                                  <w:pPr>
                                    <w:pStyle w:val="TableContents"/>
                                    <w:bidi w:val="0"/>
                                    <w:spacing w:before="0" w:after="283"/>
                                    <w:jc w:val="left"/>
                                    <w:rPr/>
                                  </w:pPr>
                                  <w:r>
                                    <w:rPr/>
                                    <w:t>●</w:t>
                                  </w:r>
                                </w:p>
                              </w:tc>
                              <w:tc>
                                <w:tcPr>
                                  <w:tcW w:w="4025" w:type="dxa"/>
                                  <w:tcBorders/>
                                  <w:vAlign w:val="center"/>
                                </w:tcPr>
                                <w:p>
                                  <w:pPr>
                                    <w:pStyle w:val="TableContents"/>
                                    <w:bidi w:val="0"/>
                                    <w:spacing w:before="0" w:after="283"/>
                                    <w:jc w:val="left"/>
                                    <w:rPr/>
                                  </w:pPr>
                                  <w:r>
                                    <w:rPr/>
                                    <w:t>Citizens Financial Group, Inc., since 2024</w:t>
                                  </w:r>
                                </w:p>
                              </w:tc>
                            </w:tr>
                          </w:tbl>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Former Public Company Directorships</w:t>
                            </w:r>
                          </w:p>
                          <w:p>
                            <w:pPr>
                              <w:pStyle w:val="TextBody"/>
                              <w:bidi w:val="0"/>
                              <w:jc w:val="left"/>
                              <w:rPr>
                                <w:caps w:val="false"/>
                                <w:smallCaps w:val="false"/>
                              </w:rPr>
                            </w:pPr>
                            <w:r>
                              <w:rPr>
                                <w:caps w:val="false"/>
                                <w:smallCaps w:val="false"/>
                              </w:rPr>
                              <w:t> </w:t>
                            </w:r>
                          </w:p>
                          <w:tbl>
                            <w:tblPr>
                              <w:tblW w:w="4405" w:type="dxa"/>
                              <w:jc w:val="left"/>
                              <w:tblInd w:w="0" w:type="dxa"/>
                              <w:tblLayout w:type="fixed"/>
                              <w:tblCellMar>
                                <w:top w:w="0" w:type="dxa"/>
                                <w:left w:w="0" w:type="dxa"/>
                                <w:bottom w:w="0" w:type="dxa"/>
                                <w:right w:w="0" w:type="dxa"/>
                              </w:tblCellMar>
                            </w:tblPr>
                            <w:tblGrid>
                              <w:gridCol w:w="185"/>
                              <w:gridCol w:w="4220"/>
                            </w:tblGrid>
                            <w:tr>
                              <w:trPr/>
                              <w:tc>
                                <w:tcPr>
                                  <w:tcW w:w="185" w:type="dxa"/>
                                  <w:tcBorders/>
                                  <w:vAlign w:val="center"/>
                                </w:tcPr>
                                <w:p>
                                  <w:pPr>
                                    <w:pStyle w:val="TableContents"/>
                                    <w:bidi w:val="0"/>
                                    <w:spacing w:before="0" w:after="283"/>
                                    <w:jc w:val="left"/>
                                    <w:rPr/>
                                  </w:pPr>
                                  <w:r>
                                    <w:rPr/>
                                    <w:t>●</w:t>
                                  </w:r>
                                </w:p>
                              </w:tc>
                              <w:tc>
                                <w:tcPr>
                                  <w:tcW w:w="4220" w:type="dxa"/>
                                  <w:tcBorders/>
                                  <w:vAlign w:val="center"/>
                                </w:tcPr>
                                <w:p>
                                  <w:pPr>
                                    <w:pStyle w:val="TableContents"/>
                                    <w:bidi w:val="0"/>
                                    <w:spacing w:before="0" w:after="283"/>
                                    <w:jc w:val="left"/>
                                    <w:rPr/>
                                  </w:pPr>
                                  <w:r>
                                    <w:rPr/>
                                    <w:t>United States Steel Corporation, 2020–2025</w:t>
                                  </w:r>
                                </w:p>
                              </w:tc>
                            </w:tr>
                            <w:tr>
                              <w:trPr/>
                              <w:tc>
                                <w:tcPr>
                                  <w:tcW w:w="185" w:type="dxa"/>
                                  <w:tcBorders/>
                                  <w:vAlign w:val="center"/>
                                </w:tcPr>
                                <w:p>
                                  <w:pPr>
                                    <w:pStyle w:val="TableContents"/>
                                    <w:bidi w:val="0"/>
                                    <w:spacing w:before="0" w:after="283"/>
                                    <w:jc w:val="left"/>
                                    <w:rPr/>
                                  </w:pPr>
                                  <w:r>
                                    <w:rPr/>
                                    <w:t>●</w:t>
                                  </w:r>
                                </w:p>
                              </w:tc>
                              <w:tc>
                                <w:tcPr>
                                  <w:tcW w:w="4220" w:type="dxa"/>
                                  <w:tcBorders/>
                                  <w:vAlign w:val="center"/>
                                </w:tcPr>
                                <w:p>
                                  <w:pPr>
                                    <w:pStyle w:val="TableContents"/>
                                    <w:bidi w:val="0"/>
                                    <w:spacing w:before="0" w:after="283"/>
                                    <w:jc w:val="left"/>
                                    <w:rPr/>
                                  </w:pPr>
                                  <w:r>
                                    <w:rPr/>
                                    <w:t>Affiliated Managers Group, 2020–2024</w:t>
                                  </w:r>
                                </w:p>
                              </w:tc>
                            </w:tr>
                            <w:tr>
                              <w:trPr/>
                              <w:tc>
                                <w:tcPr>
                                  <w:tcW w:w="185" w:type="dxa"/>
                                  <w:tcBorders/>
                                  <w:vAlign w:val="center"/>
                                </w:tcPr>
                                <w:p>
                                  <w:pPr>
                                    <w:pStyle w:val="TableContents"/>
                                    <w:bidi w:val="0"/>
                                    <w:spacing w:before="0" w:after="283"/>
                                    <w:jc w:val="left"/>
                                    <w:rPr/>
                                  </w:pPr>
                                  <w:r>
                                    <w:rPr/>
                                    <w:t>●</w:t>
                                  </w:r>
                                </w:p>
                              </w:tc>
                              <w:tc>
                                <w:tcPr>
                                  <w:tcW w:w="4220" w:type="dxa"/>
                                  <w:tcBorders/>
                                  <w:vAlign w:val="center"/>
                                </w:tcPr>
                                <w:p>
                                  <w:pPr>
                                    <w:pStyle w:val="TableContents"/>
                                    <w:bidi w:val="0"/>
                                    <w:spacing w:before="0" w:after="283"/>
                                    <w:jc w:val="left"/>
                                    <w:rPr/>
                                  </w:pPr>
                                  <w:r>
                                    <w:rPr/>
                                    <w:t>Raytheon Company, 2014–2020</w:t>
                                  </w:r>
                                </w:p>
                              </w:tc>
                            </w:tr>
                          </w:tbl>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Other Leadership Experience and Service</w:t>
                            </w:r>
                          </w:p>
                          <w:p>
                            <w:pPr>
                              <w:pStyle w:val="TextBody"/>
                              <w:bidi w:val="0"/>
                              <w:jc w:val="left"/>
                              <w:rPr>
                                <w:caps w:val="false"/>
                                <w:smallCaps w:val="false"/>
                              </w:rPr>
                            </w:pPr>
                            <w:r>
                              <w:rPr>
                                <w:caps w:val="false"/>
                                <w:smallCaps w:val="false"/>
                              </w:rPr>
                              <w:t> </w:t>
                            </w:r>
                          </w:p>
                          <w:tbl>
                            <w:tblPr>
                              <w:tblW w:w="5365" w:type="dxa"/>
                              <w:jc w:val="left"/>
                              <w:tblInd w:w="0" w:type="dxa"/>
                              <w:tblLayout w:type="fixed"/>
                              <w:tblCellMar>
                                <w:top w:w="0" w:type="dxa"/>
                                <w:left w:w="0" w:type="dxa"/>
                                <w:bottom w:w="0" w:type="dxa"/>
                                <w:right w:w="0" w:type="dxa"/>
                              </w:tblCellMar>
                            </w:tblPr>
                            <w:tblGrid>
                              <w:gridCol w:w="185"/>
                              <w:gridCol w:w="5180"/>
                            </w:tblGrid>
                            <w:tr>
                              <w:trPr/>
                              <w:tc>
                                <w:tcPr>
                                  <w:tcW w:w="185" w:type="dxa"/>
                                  <w:tcBorders/>
                                  <w:vAlign w:val="center"/>
                                </w:tcPr>
                                <w:p>
                                  <w:pPr>
                                    <w:pStyle w:val="TableContents"/>
                                    <w:bidi w:val="0"/>
                                    <w:spacing w:before="0" w:after="283"/>
                                    <w:jc w:val="left"/>
                                    <w:rPr/>
                                  </w:pPr>
                                  <w:r>
                                    <w:rPr/>
                                    <w:t>●</w:t>
                                  </w:r>
                                </w:p>
                              </w:tc>
                              <w:tc>
                                <w:tcPr>
                                  <w:tcW w:w="5180" w:type="dxa"/>
                                  <w:tcBorders/>
                                  <w:vAlign w:val="center"/>
                                </w:tcPr>
                                <w:p>
                                  <w:pPr>
                                    <w:pStyle w:val="TableContents"/>
                                    <w:bidi w:val="0"/>
                                    <w:spacing w:before="0" w:after="283"/>
                                    <w:jc w:val="left"/>
                                    <w:rPr/>
                                  </w:pPr>
                                  <w:r>
                                    <w:rPr/>
                                    <w:t>Director and Past President, The Arc of Massachusetts</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537.25pt;mso-wrap-distance-left:0pt;mso-wrap-distance-right:0pt;mso-wrap-distance-top:0pt;mso-wrap-distance-bottom:0pt;margin-top:0pt;mso-position-vertical:top;mso-position-vertical-relative:text;margin-left:265.35pt;mso-position-horizontal:right;mso-position-horizontal-relative:text">
                <v:textbox>
                  <w:txbxContent>
                    <w:tbl>
                      <w:tblPr>
                        <w:tblW w:w="9655" w:type="dxa"/>
                        <w:jc w:val="left"/>
                        <w:tblInd w:w="0" w:type="dxa"/>
                        <w:tblLayout w:type="fixed"/>
                        <w:tblCellMar>
                          <w:top w:w="0" w:type="dxa"/>
                          <w:left w:w="0" w:type="dxa"/>
                          <w:bottom w:w="0" w:type="dxa"/>
                          <w:right w:w="0" w:type="dxa"/>
                        </w:tblCellMar>
                      </w:tblPr>
                      <w:tblGrid>
                        <w:gridCol w:w="185"/>
                        <w:gridCol w:w="9470"/>
                      </w:tblGrid>
                      <w:tr>
                        <w:trPr/>
                        <w:tc>
                          <w:tcPr>
                            <w:tcW w:w="185" w:type="dxa"/>
                            <w:tcBorders/>
                            <w:vAlign w:val="center"/>
                          </w:tcPr>
                          <w:p>
                            <w:pPr>
                              <w:pStyle w:val="TableContents"/>
                              <w:bidi w:val="0"/>
                              <w:spacing w:before="0" w:after="283"/>
                              <w:jc w:val="left"/>
                              <w:rPr/>
                            </w:pPr>
                            <w:r>
                              <w:rPr/>
                              <w:t>●</w:t>
                            </w:r>
                          </w:p>
                        </w:tc>
                        <w:tc>
                          <w:tcPr>
                            <w:tcW w:w="9470" w:type="dxa"/>
                            <w:tcBorders/>
                            <w:vAlign w:val="center"/>
                          </w:tcPr>
                          <w:p>
                            <w:pPr>
                              <w:pStyle w:val="TableContents"/>
                              <w:bidi w:val="0"/>
                              <w:spacing w:before="0" w:after="283"/>
                              <w:jc w:val="left"/>
                              <w:rPr/>
                            </w:pPr>
                            <w:r>
                              <w:rPr/>
                              <w:t>Executive Vice President, Chief Compliance Officer, State Street Corporation, 2009–2010</w:t>
                            </w:r>
                          </w:p>
                        </w:tc>
                      </w:tr>
                      <w:tr>
                        <w:trPr/>
                        <w:tc>
                          <w:tcPr>
                            <w:tcW w:w="185" w:type="dxa"/>
                            <w:tcBorders/>
                            <w:vAlign w:val="center"/>
                          </w:tcPr>
                          <w:p>
                            <w:pPr>
                              <w:pStyle w:val="TableContents"/>
                              <w:bidi w:val="0"/>
                              <w:spacing w:before="0" w:after="283"/>
                              <w:jc w:val="left"/>
                              <w:rPr/>
                            </w:pPr>
                            <w:r>
                              <w:rPr/>
                              <w:t>●</w:t>
                            </w:r>
                          </w:p>
                        </w:tc>
                        <w:tc>
                          <w:tcPr>
                            <w:tcW w:w="9470" w:type="dxa"/>
                            <w:tcBorders/>
                            <w:vAlign w:val="center"/>
                          </w:tcPr>
                          <w:p>
                            <w:pPr>
                              <w:pStyle w:val="TableContents"/>
                              <w:bidi w:val="0"/>
                              <w:spacing w:before="0" w:after="283"/>
                              <w:jc w:val="left"/>
                              <w:rPr/>
                            </w:pPr>
                            <w:r>
                              <w:rPr/>
                              <w:t>Executive Vice President, Chief Compliance Officer, State Street Global Advisors, 2008–2009</w:t>
                            </w:r>
                          </w:p>
                        </w:tc>
                      </w:tr>
                      <w:tr>
                        <w:trPr/>
                        <w:tc>
                          <w:tcPr>
                            <w:tcW w:w="185" w:type="dxa"/>
                            <w:tcBorders/>
                            <w:vAlign w:val="center"/>
                          </w:tcPr>
                          <w:p>
                            <w:pPr>
                              <w:pStyle w:val="TableContents"/>
                              <w:bidi w:val="0"/>
                              <w:spacing w:before="0" w:after="283"/>
                              <w:jc w:val="left"/>
                              <w:rPr/>
                            </w:pPr>
                            <w:r>
                              <w:rPr/>
                              <w:t>●</w:t>
                            </w:r>
                          </w:p>
                        </w:tc>
                        <w:tc>
                          <w:tcPr>
                            <w:tcW w:w="9470" w:type="dxa"/>
                            <w:tcBorders/>
                            <w:vAlign w:val="center"/>
                          </w:tcPr>
                          <w:p>
                            <w:pPr>
                              <w:pStyle w:val="TableContents"/>
                              <w:bidi w:val="0"/>
                              <w:spacing w:before="0" w:after="283"/>
                              <w:jc w:val="left"/>
                              <w:rPr/>
                            </w:pPr>
                            <w:r>
                              <w:rPr/>
                              <w:t>Senior positions with MFS Investment Management and PricewaterhouseCoopers LLP, 1999–2008</w:t>
                            </w:r>
                          </w:p>
                        </w:tc>
                      </w:tr>
                    </w:tbl>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Other Current Directorships</w:t>
                      </w:r>
                    </w:p>
                    <w:p>
                      <w:pPr>
                        <w:pStyle w:val="TextBody"/>
                        <w:bidi w:val="0"/>
                        <w:jc w:val="left"/>
                        <w:rPr>
                          <w:caps w:val="false"/>
                          <w:smallCaps w:val="false"/>
                        </w:rPr>
                      </w:pPr>
                      <w:r>
                        <w:rPr>
                          <w:caps w:val="false"/>
                          <w:smallCaps w:val="false"/>
                        </w:rPr>
                        <w:t> </w:t>
                      </w:r>
                    </w:p>
                    <w:tbl>
                      <w:tblPr>
                        <w:tblW w:w="4210" w:type="dxa"/>
                        <w:jc w:val="left"/>
                        <w:tblInd w:w="0" w:type="dxa"/>
                        <w:tblLayout w:type="fixed"/>
                        <w:tblCellMar>
                          <w:top w:w="0" w:type="dxa"/>
                          <w:left w:w="0" w:type="dxa"/>
                          <w:bottom w:w="0" w:type="dxa"/>
                          <w:right w:w="0" w:type="dxa"/>
                        </w:tblCellMar>
                      </w:tblPr>
                      <w:tblGrid>
                        <w:gridCol w:w="185"/>
                        <w:gridCol w:w="4025"/>
                      </w:tblGrid>
                      <w:tr>
                        <w:trPr/>
                        <w:tc>
                          <w:tcPr>
                            <w:tcW w:w="185" w:type="dxa"/>
                            <w:tcBorders/>
                            <w:vAlign w:val="center"/>
                          </w:tcPr>
                          <w:p>
                            <w:pPr>
                              <w:pStyle w:val="TableContents"/>
                              <w:bidi w:val="0"/>
                              <w:spacing w:before="0" w:after="283"/>
                              <w:jc w:val="left"/>
                              <w:rPr/>
                            </w:pPr>
                            <w:r>
                              <w:rPr/>
                              <w:t>●</w:t>
                            </w:r>
                          </w:p>
                        </w:tc>
                        <w:tc>
                          <w:tcPr>
                            <w:tcW w:w="4025" w:type="dxa"/>
                            <w:tcBorders/>
                            <w:vAlign w:val="center"/>
                          </w:tcPr>
                          <w:p>
                            <w:pPr>
                              <w:pStyle w:val="TableContents"/>
                              <w:bidi w:val="0"/>
                              <w:spacing w:before="0" w:after="283"/>
                              <w:jc w:val="left"/>
                              <w:rPr/>
                            </w:pPr>
                            <w:r>
                              <w:rPr/>
                              <w:t>Citizens Financial Group, Inc., since 2024</w:t>
                            </w:r>
                          </w:p>
                        </w:tc>
                      </w:tr>
                    </w:tbl>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Former Public Company Directorships</w:t>
                      </w:r>
                    </w:p>
                    <w:p>
                      <w:pPr>
                        <w:pStyle w:val="TextBody"/>
                        <w:bidi w:val="0"/>
                        <w:jc w:val="left"/>
                        <w:rPr>
                          <w:caps w:val="false"/>
                          <w:smallCaps w:val="false"/>
                        </w:rPr>
                      </w:pPr>
                      <w:r>
                        <w:rPr>
                          <w:caps w:val="false"/>
                          <w:smallCaps w:val="false"/>
                        </w:rPr>
                        <w:t> </w:t>
                      </w:r>
                    </w:p>
                    <w:tbl>
                      <w:tblPr>
                        <w:tblW w:w="4405" w:type="dxa"/>
                        <w:jc w:val="left"/>
                        <w:tblInd w:w="0" w:type="dxa"/>
                        <w:tblLayout w:type="fixed"/>
                        <w:tblCellMar>
                          <w:top w:w="0" w:type="dxa"/>
                          <w:left w:w="0" w:type="dxa"/>
                          <w:bottom w:w="0" w:type="dxa"/>
                          <w:right w:w="0" w:type="dxa"/>
                        </w:tblCellMar>
                      </w:tblPr>
                      <w:tblGrid>
                        <w:gridCol w:w="185"/>
                        <w:gridCol w:w="4220"/>
                      </w:tblGrid>
                      <w:tr>
                        <w:trPr/>
                        <w:tc>
                          <w:tcPr>
                            <w:tcW w:w="185" w:type="dxa"/>
                            <w:tcBorders/>
                            <w:vAlign w:val="center"/>
                          </w:tcPr>
                          <w:p>
                            <w:pPr>
                              <w:pStyle w:val="TableContents"/>
                              <w:bidi w:val="0"/>
                              <w:spacing w:before="0" w:after="283"/>
                              <w:jc w:val="left"/>
                              <w:rPr/>
                            </w:pPr>
                            <w:r>
                              <w:rPr/>
                              <w:t>●</w:t>
                            </w:r>
                          </w:p>
                        </w:tc>
                        <w:tc>
                          <w:tcPr>
                            <w:tcW w:w="4220" w:type="dxa"/>
                            <w:tcBorders/>
                            <w:vAlign w:val="center"/>
                          </w:tcPr>
                          <w:p>
                            <w:pPr>
                              <w:pStyle w:val="TableContents"/>
                              <w:bidi w:val="0"/>
                              <w:spacing w:before="0" w:after="283"/>
                              <w:jc w:val="left"/>
                              <w:rPr/>
                            </w:pPr>
                            <w:r>
                              <w:rPr/>
                              <w:t>United States Steel Corporation, 2020–2025</w:t>
                            </w:r>
                          </w:p>
                        </w:tc>
                      </w:tr>
                      <w:tr>
                        <w:trPr/>
                        <w:tc>
                          <w:tcPr>
                            <w:tcW w:w="185" w:type="dxa"/>
                            <w:tcBorders/>
                            <w:vAlign w:val="center"/>
                          </w:tcPr>
                          <w:p>
                            <w:pPr>
                              <w:pStyle w:val="TableContents"/>
                              <w:bidi w:val="0"/>
                              <w:spacing w:before="0" w:after="283"/>
                              <w:jc w:val="left"/>
                              <w:rPr/>
                            </w:pPr>
                            <w:r>
                              <w:rPr/>
                              <w:t>●</w:t>
                            </w:r>
                          </w:p>
                        </w:tc>
                        <w:tc>
                          <w:tcPr>
                            <w:tcW w:w="4220" w:type="dxa"/>
                            <w:tcBorders/>
                            <w:vAlign w:val="center"/>
                          </w:tcPr>
                          <w:p>
                            <w:pPr>
                              <w:pStyle w:val="TableContents"/>
                              <w:bidi w:val="0"/>
                              <w:spacing w:before="0" w:after="283"/>
                              <w:jc w:val="left"/>
                              <w:rPr/>
                            </w:pPr>
                            <w:r>
                              <w:rPr/>
                              <w:t>Affiliated Managers Group, 2020–2024</w:t>
                            </w:r>
                          </w:p>
                        </w:tc>
                      </w:tr>
                      <w:tr>
                        <w:trPr/>
                        <w:tc>
                          <w:tcPr>
                            <w:tcW w:w="185" w:type="dxa"/>
                            <w:tcBorders/>
                            <w:vAlign w:val="center"/>
                          </w:tcPr>
                          <w:p>
                            <w:pPr>
                              <w:pStyle w:val="TableContents"/>
                              <w:bidi w:val="0"/>
                              <w:spacing w:before="0" w:after="283"/>
                              <w:jc w:val="left"/>
                              <w:rPr/>
                            </w:pPr>
                            <w:r>
                              <w:rPr/>
                              <w:t>●</w:t>
                            </w:r>
                          </w:p>
                        </w:tc>
                        <w:tc>
                          <w:tcPr>
                            <w:tcW w:w="4220" w:type="dxa"/>
                            <w:tcBorders/>
                            <w:vAlign w:val="center"/>
                          </w:tcPr>
                          <w:p>
                            <w:pPr>
                              <w:pStyle w:val="TableContents"/>
                              <w:bidi w:val="0"/>
                              <w:spacing w:before="0" w:after="283"/>
                              <w:jc w:val="left"/>
                              <w:rPr/>
                            </w:pPr>
                            <w:r>
                              <w:rPr/>
                              <w:t>Raytheon Company, 2014–2020</w:t>
                            </w:r>
                          </w:p>
                        </w:tc>
                      </w:tr>
                    </w:tbl>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Other Leadership Experience and Service</w:t>
                      </w:r>
                    </w:p>
                    <w:p>
                      <w:pPr>
                        <w:pStyle w:val="TextBody"/>
                        <w:bidi w:val="0"/>
                        <w:jc w:val="left"/>
                        <w:rPr>
                          <w:caps w:val="false"/>
                          <w:smallCaps w:val="false"/>
                        </w:rPr>
                      </w:pPr>
                      <w:r>
                        <w:rPr>
                          <w:caps w:val="false"/>
                          <w:smallCaps w:val="false"/>
                        </w:rPr>
                        <w:t> </w:t>
                      </w:r>
                    </w:p>
                    <w:tbl>
                      <w:tblPr>
                        <w:tblW w:w="5365" w:type="dxa"/>
                        <w:jc w:val="left"/>
                        <w:tblInd w:w="0" w:type="dxa"/>
                        <w:tblLayout w:type="fixed"/>
                        <w:tblCellMar>
                          <w:top w:w="0" w:type="dxa"/>
                          <w:left w:w="0" w:type="dxa"/>
                          <w:bottom w:w="0" w:type="dxa"/>
                          <w:right w:w="0" w:type="dxa"/>
                        </w:tblCellMar>
                      </w:tblPr>
                      <w:tblGrid>
                        <w:gridCol w:w="185"/>
                        <w:gridCol w:w="5180"/>
                      </w:tblGrid>
                      <w:tr>
                        <w:trPr/>
                        <w:tc>
                          <w:tcPr>
                            <w:tcW w:w="185" w:type="dxa"/>
                            <w:tcBorders/>
                            <w:vAlign w:val="center"/>
                          </w:tcPr>
                          <w:p>
                            <w:pPr>
                              <w:pStyle w:val="TableContents"/>
                              <w:bidi w:val="0"/>
                              <w:spacing w:before="0" w:after="283"/>
                              <w:jc w:val="left"/>
                              <w:rPr/>
                            </w:pPr>
                            <w:r>
                              <w:rPr/>
                              <w:t>●</w:t>
                            </w:r>
                          </w:p>
                        </w:tc>
                        <w:tc>
                          <w:tcPr>
                            <w:tcW w:w="5180" w:type="dxa"/>
                            <w:tcBorders/>
                            <w:vAlign w:val="center"/>
                          </w:tcPr>
                          <w:p>
                            <w:pPr>
                              <w:pStyle w:val="TableContents"/>
                              <w:bidi w:val="0"/>
                              <w:spacing w:before="0" w:after="283"/>
                              <w:jc w:val="left"/>
                              <w:rPr/>
                            </w:pPr>
                            <w:r>
                              <w:rPr/>
                              <w:t>Director and Past President, The Arc of Massachusetts</w:t>
                            </w:r>
                          </w:p>
                        </w:tc>
                      </w:tr>
                    </w:tbl>
                    <w:p>
                      <w:pPr>
                        <w:pStyle w:val="TextBody"/>
                        <w:bidi w:val="0"/>
                        <w:spacing w:before="0" w:after="283"/>
                        <w:jc w:val="left"/>
                        <w:rPr/>
                      </w:pPr>
                      <w:r>
                        <w:rPr/>
                      </w:r>
                    </w:p>
                  </w:txbxContent>
                </v:textbox>
                <w10:wrap type="square" side="left"/>
              </v:rect>
            </w:pict>
          </mc:Fallback>
        </mc:AlternateContent>
      </w:r>
    </w:p>
    <w:p>
      <w:pPr>
        <w:pStyle w:val="HorizontalLine"/>
        <w:pBdr>
          <w:bottom w:val="double" w:sz="2" w:space="0" w:color="808080"/>
        </w:pBdr>
        <w:bidi w:val="0"/>
        <w:spacing w:before="0" w:after="283"/>
        <w:jc w:val="left"/>
        <w:rPr/>
      </w:pPr>
      <w:r>
        <w:rPr/>
      </w:r>
    </w:p>
    <w:p>
      <w:pPr>
        <w:pStyle w:val="TextBody"/>
        <w:bidi w:val="0"/>
        <w:spacing w:before="200" w:after="200"/>
        <w:jc w:val="left"/>
        <w:rPr/>
      </w:pPr>
      <w:hyperlink w:anchor="toc">
        <w:r>
          <w:rPr>
            <w:rStyle w:val="InternetLink"/>
            <w:rFonts w:ascii="Arial;Helvetica;Sans-Serif" w:hAnsi="Arial;Helvetica;Sans-Serif"/>
            <w:b/>
            <w:i w:val="false"/>
            <w:caps w:val="false"/>
            <w:smallCaps w:val="false"/>
            <w:sz w:val="16"/>
          </w:rPr>
          <w:t>Table of Contents</w:t>
        </w:r>
      </w:hyperlink>
    </w:p>
    <w:p>
      <w:pPr>
        <w:pStyle w:val="TextBody"/>
        <w:bidi w:val="0"/>
        <w:spacing w:before="0" w:after="0"/>
        <w:ind w:left="0" w:right="0" w:hanging="0"/>
        <w:jc w:val="right"/>
        <w:rPr>
          <w:rFonts w:ascii="Arial;Helvetica;Sans-Serif" w:hAnsi="Arial;Helvetica;Sans-Serif"/>
          <w:b/>
          <w:i w:val="false"/>
          <w:caps w:val="false"/>
          <w:smallCaps w:val="false"/>
          <w:color w:val="C12E33"/>
          <w:sz w:val="15"/>
        </w:rPr>
      </w:pPr>
      <w:r>
        <w:rPr>
          <w:rFonts w:ascii="Arial;Helvetica;Sans-Serif" w:hAnsi="Arial;Helvetica;Sans-Serif"/>
          <w:b/>
          <w:i w:val="false"/>
          <w:caps w:val="false"/>
          <w:smallCaps w:val="false"/>
          <w:color w:val="C12E33"/>
          <w:sz w:val="15"/>
        </w:rPr>
        <w:t>PROPOSAL 1: ELECTION OF DIRECTORS</w:t>
      </w:r>
    </w:p>
    <w:p>
      <w:pPr>
        <w:pStyle w:val="TextBody"/>
        <w:bidi w:val="0"/>
        <w:spacing w:before="0" w:after="0"/>
        <w:ind w:left="0" w:right="0" w:hanging="0"/>
        <w:jc w:val="righ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NOMINEES</w:t>
      </w:r>
    </w:p>
    <w:p>
      <w:pPr>
        <w:pStyle w:val="TextBody"/>
        <w:bidi w:val="0"/>
        <w:jc w:val="left"/>
        <w:rPr>
          <w:caps w:val="false"/>
          <w:smallCaps w:val="false"/>
        </w:rPr>
      </w:pPr>
      <w:r>
        <w:rPr>
          <w:caps w:val="false"/>
          <w:smallCaps w:val="false"/>
        </w:rPr>
        <w:t> </w:t>
      </w:r>
    </w:p>
    <w:p>
      <w:pPr>
        <w:pStyle w:val="TextBody"/>
        <w:bidi w:val="0"/>
        <w:jc w:val="left"/>
        <w:rPr>
          <w:caps w:val="false"/>
          <w:smallCaps w:val="false"/>
          <w:shd w:fill="EDEDEE" w:val="clear"/>
        </w:rPr>
      </w:pPr>
      <w:r>
        <w:rPr>
          <w:caps w:val="false"/>
          <w:smallCaps w:val="false"/>
          <w:shd w:fill="EDEDEE" w:val="clear"/>
        </w:rPr>
        <w:t> </w:t>
      </w:r>
      <w:r>
        <mc:AlternateContent>
          <mc:Choice Requires="wps">
            <w:drawing>
              <wp:anchor behindDoc="0" distT="0" distB="0" distL="0" distR="0" simplePos="0" locked="0" layoutInCell="1" allowOverlap="1" relativeHeight="56">
                <wp:simplePos x="0" y="0"/>
                <wp:positionH relativeFrom="column">
                  <wp:align>left</wp:align>
                </wp:positionH>
                <wp:positionV relativeFrom="line">
                  <wp:posOffset>635</wp:posOffset>
                </wp:positionV>
                <wp:extent cx="4535805" cy="3776980"/>
                <wp:effectExtent l="0" t="0" r="0" b="0"/>
                <wp:wrapSquare wrapText="right"/>
                <wp:docPr id="152" name="Frame9"/>
                <a:graphic xmlns:a="http://schemas.openxmlformats.org/drawingml/2006/main">
                  <a:graphicData uri="http://schemas.microsoft.com/office/word/2010/wordprocessingShape">
                    <wps:wsp>
                      <wps:cNvSpPr txBox="1"/>
                      <wps:spPr>
                        <a:xfrm>
                          <a:off x="0" y="0"/>
                          <a:ext cx="4535805" cy="3776980"/>
                        </a:xfrm>
                        <a:prstGeom prst="rect"/>
                        <a:solidFill>
                          <a:srgbClr val="FFFFFF"/>
                        </a:solidFill>
                      </wps:spPr>
                      <wps:txbx>
                        <w:txbxContent>
                          <w:p>
                            <w:pPr>
                              <w:pStyle w:val="TextBody"/>
                              <w:bidi w:val="0"/>
                              <w:jc w:val="left"/>
                              <w:rPr>
                                <w:rFonts w:ascii="Arial;Helvetica;Sans-Serif" w:hAnsi="Arial;Helvetica;Sans-Serif"/>
                                <w:b/>
                                <w:i w:val="false"/>
                                <w:caps w:val="false"/>
                                <w:smallCaps w:val="false"/>
                                <w:sz w:val="30"/>
                              </w:rPr>
                            </w:pPr>
                            <w:r>
                              <w:rPr>
                                <w:rFonts w:ascii="Arial;Helvetica;Sans-Serif" w:hAnsi="Arial;Helvetica;Sans-Serif"/>
                                <w:b/>
                                <w:i w:val="false"/>
                                <w:caps w:val="false"/>
                                <w:smallCaps w:val="false"/>
                                <w:sz w:val="30"/>
                              </w:rPr>
                              <w:t>Christopher T. Calio</w:t>
                            </w:r>
                          </w:p>
                          <w:p>
                            <w:pPr>
                              <w:pStyle w:val="TextBody"/>
                              <w:bidi w:val="0"/>
                              <w:jc w:val="left"/>
                              <w:rPr>
                                <w:caps w:val="false"/>
                                <w:smallCaps w:val="false"/>
                              </w:rPr>
                            </w:pPr>
                            <w:r>
                              <w:rPr>
                                <w:caps w:val="false"/>
                                <w:smallCaps w:val="false"/>
                              </w:rPr>
                              <w:t> </w:t>
                            </w:r>
                          </w:p>
                          <w:tbl>
                            <w:tblPr>
                              <w:tblW w:w="9220" w:type="dxa"/>
                              <w:jc w:val="left"/>
                              <w:tblInd w:w="0" w:type="dxa"/>
                              <w:tblLayout w:type="fixed"/>
                              <w:tblCellMar>
                                <w:top w:w="0" w:type="dxa"/>
                                <w:left w:w="0" w:type="dxa"/>
                                <w:bottom w:w="0" w:type="dxa"/>
                                <w:right w:w="0" w:type="dxa"/>
                              </w:tblCellMar>
                            </w:tblPr>
                            <w:tblGrid>
                              <w:gridCol w:w="6245"/>
                              <w:gridCol w:w="300"/>
                              <w:gridCol w:w="2675"/>
                            </w:tblGrid>
                            <w:tr>
                              <w:trPr/>
                              <w:tc>
                                <w:tcPr>
                                  <w:tcW w:w="6245" w:type="dxa"/>
                                  <w:tcBorders/>
                                  <w:vAlign w:val="center"/>
                                </w:tcPr>
                                <w:p>
                                  <w:pPr>
                                    <w:pStyle w:val="TableContents"/>
                                    <w:bidi w:val="0"/>
                                    <w:spacing w:before="0" w:after="283"/>
                                    <w:jc w:val="left"/>
                                    <w:rPr>
                                      <w:sz w:val="20"/>
                                    </w:rPr>
                                  </w:pPr>
                                  <w:r>
                                    <w:rPr>
                                      <w:sz w:val="20"/>
                                    </w:rPr>
                                    <w:t>Chairman, President, Chief Executive Officer and Director, RTX Corporation</w:t>
                                  </w:r>
                                </w:p>
                              </w:tc>
                              <w:tc>
                                <w:tcPr>
                                  <w:tcW w:w="300" w:type="dxa"/>
                                  <w:tcBorders/>
                                  <w:vAlign w:val="center"/>
                                </w:tcPr>
                                <w:p>
                                  <w:pPr>
                                    <w:pStyle w:val="TableContents"/>
                                    <w:bidi w:val="0"/>
                                    <w:spacing w:before="0" w:after="283"/>
                                    <w:jc w:val="left"/>
                                    <w:rPr/>
                                  </w:pPr>
                                  <w:r>
                                    <w:rPr/>
                                    <w:t>     </w:t>
                                  </w:r>
                                </w:p>
                              </w:tc>
                              <w:tc>
                                <w:tcPr>
                                  <w:tcW w:w="2675" w:type="dxa"/>
                                  <w:tcBorders/>
                                  <w:vAlign w:val="center"/>
                                </w:tcPr>
                                <w:p>
                                  <w:pPr>
                                    <w:pStyle w:val="TableContents"/>
                                    <w:bidi w:val="0"/>
                                    <w:spacing w:before="0" w:after="60"/>
                                    <w:jc w:val="left"/>
                                    <w:rPr/>
                                  </w:pPr>
                                  <w:r>
                                    <w:rPr/>
                                    <w:t xml:space="preserve">AGE </w:t>
                                  </w:r>
                                  <w:r>
                                    <w:rPr>
                                      <w:b/>
                                    </w:rPr>
                                    <w:t>52</w:t>
                                  </w:r>
                                </w:p>
                                <w:p>
                                  <w:pPr>
                                    <w:pStyle w:val="TableContents"/>
                                    <w:bidi w:val="0"/>
                                    <w:jc w:val="left"/>
                                    <w:rPr/>
                                  </w:pPr>
                                  <w:r>
                                    <w:rPr/>
                                    <w:t xml:space="preserve">DIRECTOR SINCE </w:t>
                                  </w:r>
                                  <w:r>
                                    <w:rPr>
                                      <w:b/>
                                    </w:rPr>
                                    <w:t>2023</w:t>
                                  </w:r>
                                </w:p>
                                <w:p>
                                  <w:pPr>
                                    <w:pStyle w:val="TableContents"/>
                                    <w:bidi w:val="0"/>
                                    <w:jc w:val="left"/>
                                    <w:rPr/>
                                  </w:pPr>
                                  <w:r>
                                    <w:rPr/>
                                    <w:t>BOARD COMMITTEES</w:t>
                                  </w:r>
                                </w:p>
                                <w:p>
                                  <w:pPr>
                                    <w:pStyle w:val="TableContents"/>
                                    <w:bidi w:val="0"/>
                                    <w:spacing w:before="0" w:after="283"/>
                                    <w:jc w:val="left"/>
                                    <w:rPr>
                                      <w:b/>
                                    </w:rPr>
                                  </w:pPr>
                                  <w:r>
                                    <w:rPr>
                                      <w:b/>
                                    </w:rPr>
                                    <w:t>Finance, Special Activities</w:t>
                                  </w:r>
                                </w:p>
                              </w:tc>
                            </w:tr>
                            <w:tr>
                              <w:trPr/>
                              <w:tc>
                                <w:tcPr>
                                  <w:tcW w:w="6245" w:type="dxa"/>
                                  <w:tcBorders/>
                                  <w:vAlign w:val="center"/>
                                </w:tcPr>
                                <w:p>
                                  <w:pPr>
                                    <w:pStyle w:val="TableContents"/>
                                    <w:bidi w:val="0"/>
                                    <w:spacing w:before="0" w:after="283"/>
                                    <w:jc w:val="left"/>
                                    <w:rPr>
                                      <w:b/>
                                      <w:sz w:val="20"/>
                                    </w:rPr>
                                  </w:pPr>
                                  <w:r>
                                    <w:rPr>
                                      <w:b/>
                                      <w:sz w:val="20"/>
                                    </w:rPr>
                                    <w:t>Key Skills and Expertise</w:t>
                                  </w:r>
                                </w:p>
                              </w:tc>
                              <w:tc>
                                <w:tcPr>
                                  <w:tcW w:w="300" w:type="dxa"/>
                                  <w:tcBorders/>
                                  <w:vAlign w:val="center"/>
                                </w:tcPr>
                                <w:p>
                                  <w:pPr>
                                    <w:pStyle w:val="TableContents"/>
                                    <w:bidi w:val="0"/>
                                    <w:spacing w:before="0" w:after="283"/>
                                    <w:jc w:val="left"/>
                                    <w:rPr/>
                                  </w:pPr>
                                  <w:r>
                                    <w:rPr/>
                                    <w:t> </w:t>
                                  </w:r>
                                </w:p>
                              </w:tc>
                              <w:tc>
                                <w:tcPr>
                                  <w:tcW w:w="2675"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15"/>
                              <w:gridCol w:w="3140"/>
                              <w:gridCol w:w="330"/>
                              <w:gridCol w:w="3640"/>
                              <w:gridCol w:w="300"/>
                              <w:gridCol w:w="2480"/>
                            </w:tblGrid>
                            <w:tr>
                              <w:trPr/>
                              <w:tc>
                                <w:tcPr>
                                  <w:tcW w:w="315" w:type="dxa"/>
                                  <w:tcBorders/>
                                  <w:vAlign w:val="center"/>
                                </w:tcPr>
                                <w:p>
                                  <w:pPr>
                                    <w:pStyle w:val="TableContents"/>
                                    <w:bidi w:val="0"/>
                                    <w:spacing w:before="0" w:after="283"/>
                                    <w:jc w:val="left"/>
                                    <w:rPr/>
                                  </w:pPr>
                                  <w:r>
                                    <w:rPr/>
                                    <w:drawing>
                                      <wp:inline distT="0" distB="0" distL="0" distR="0">
                                        <wp:extent cx="190500" cy="495300"/>
                                        <wp:effectExtent l="0" t="0" r="0" b="0"/>
                                        <wp:docPr id="153" name="Image1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Image136" descr=""/>
                                                <pic:cNvPicPr>
                                                  <a:picLocks noChangeAspect="1" noChangeArrowheads="1"/>
                                                </pic:cNvPicPr>
                                              </pic:nvPicPr>
                                              <pic:blipFill>
                                                <a:blip r:embed="rId145"/>
                                                <a:stretch>
                                                  <a:fillRect/>
                                                </a:stretch>
                                              </pic:blipFill>
                                              <pic:spPr bwMode="auto">
                                                <a:xfrm>
                                                  <a:off x="0" y="0"/>
                                                  <a:ext cx="190500" cy="495300"/>
                                                </a:xfrm>
                                                <a:prstGeom prst="rect">
                                                  <a:avLst/>
                                                </a:prstGeom>
                                              </pic:spPr>
                                            </pic:pic>
                                          </a:graphicData>
                                        </a:graphic>
                                      </wp:inline>
                                    </w:drawing>
                                  </w:r>
                                </w:p>
                              </w:tc>
                              <w:tc>
                                <w:tcPr>
                                  <w:tcW w:w="3140" w:type="dxa"/>
                                  <w:tcBorders/>
                                  <w:vAlign w:val="center"/>
                                </w:tcPr>
                                <w:p>
                                  <w:pPr>
                                    <w:pStyle w:val="TableContents"/>
                                    <w:bidi w:val="0"/>
                                    <w:spacing w:before="0" w:after="283"/>
                                    <w:jc w:val="left"/>
                                    <w:rPr/>
                                  </w:pPr>
                                  <w:r>
                                    <w:rPr/>
                                    <w:t>EXPERIENCE IN INDUSTRY</w:t>
                                  </w:r>
                                </w:p>
                              </w:tc>
                              <w:tc>
                                <w:tcPr>
                                  <w:tcW w:w="330" w:type="dxa"/>
                                  <w:tcBorders/>
                                  <w:vAlign w:val="center"/>
                                </w:tcPr>
                                <w:p>
                                  <w:pPr>
                                    <w:pStyle w:val="TableContents"/>
                                    <w:bidi w:val="0"/>
                                    <w:spacing w:before="0" w:after="283"/>
                                    <w:jc w:val="left"/>
                                    <w:rPr/>
                                  </w:pPr>
                                  <w:r>
                                    <w:rPr/>
                                    <w:drawing>
                                      <wp:inline distT="0" distB="0" distL="0" distR="0">
                                        <wp:extent cx="209550" cy="504825"/>
                                        <wp:effectExtent l="0" t="0" r="0" b="0"/>
                                        <wp:docPr id="154" name="Image1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137" descr=""/>
                                                <pic:cNvPicPr>
                                                  <a:picLocks noChangeAspect="1" noChangeArrowheads="1"/>
                                                </pic:cNvPicPr>
                                              </pic:nvPicPr>
                                              <pic:blipFill>
                                                <a:blip r:embed="rId146"/>
                                                <a:stretch>
                                                  <a:fillRect/>
                                                </a:stretch>
                                              </pic:blipFill>
                                              <pic:spPr bwMode="auto">
                                                <a:xfrm>
                                                  <a:off x="0" y="0"/>
                                                  <a:ext cx="209550" cy="504825"/>
                                                </a:xfrm>
                                                <a:prstGeom prst="rect">
                                                  <a:avLst/>
                                                </a:prstGeom>
                                              </pic:spPr>
                                            </pic:pic>
                                          </a:graphicData>
                                        </a:graphic>
                                      </wp:inline>
                                    </w:drawing>
                                  </w:r>
                                </w:p>
                              </w:tc>
                              <w:tc>
                                <w:tcPr>
                                  <w:tcW w:w="3640" w:type="dxa"/>
                                  <w:tcBorders/>
                                  <w:vAlign w:val="center"/>
                                </w:tcPr>
                                <w:p>
                                  <w:pPr>
                                    <w:pStyle w:val="TableContents"/>
                                    <w:bidi w:val="0"/>
                                    <w:spacing w:before="0" w:after="283"/>
                                    <w:jc w:val="left"/>
                                    <w:rPr/>
                                  </w:pPr>
                                  <w:r>
                                    <w:rPr/>
                                    <w:t>RISK MANAGEMENT/OVERSIGHT</w:t>
                                  </w:r>
                                </w:p>
                              </w:tc>
                              <w:tc>
                                <w:tcPr>
                                  <w:tcW w:w="300" w:type="dxa"/>
                                  <w:tcBorders/>
                                  <w:vAlign w:val="center"/>
                                </w:tcPr>
                                <w:p>
                                  <w:pPr>
                                    <w:pStyle w:val="TableContents"/>
                                    <w:bidi w:val="0"/>
                                    <w:spacing w:before="0" w:after="283"/>
                                    <w:jc w:val="left"/>
                                    <w:rPr/>
                                  </w:pPr>
                                  <w:r>
                                    <w:rPr/>
                                    <w:drawing>
                                      <wp:inline distT="0" distB="0" distL="0" distR="0">
                                        <wp:extent cx="190500" cy="419100"/>
                                        <wp:effectExtent l="0" t="0" r="0" b="0"/>
                                        <wp:docPr id="155" name="Image1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Image138" descr=""/>
                                                <pic:cNvPicPr>
                                                  <a:picLocks noChangeAspect="1" noChangeArrowheads="1"/>
                                                </pic:cNvPicPr>
                                              </pic:nvPicPr>
                                              <pic:blipFill>
                                                <a:blip r:embed="rId147"/>
                                                <a:stretch>
                                                  <a:fillRect/>
                                                </a:stretch>
                                              </pic:blipFill>
                                              <pic:spPr bwMode="auto">
                                                <a:xfrm>
                                                  <a:off x="0" y="0"/>
                                                  <a:ext cx="190500" cy="419100"/>
                                                </a:xfrm>
                                                <a:prstGeom prst="rect">
                                                  <a:avLst/>
                                                </a:prstGeom>
                                              </pic:spPr>
                                            </pic:pic>
                                          </a:graphicData>
                                        </a:graphic>
                                      </wp:inline>
                                    </w:drawing>
                                  </w:r>
                                </w:p>
                              </w:tc>
                              <w:tc>
                                <w:tcPr>
                                  <w:tcW w:w="2480" w:type="dxa"/>
                                  <w:tcBorders/>
                                  <w:vAlign w:val="center"/>
                                </w:tcPr>
                                <w:p>
                                  <w:pPr>
                                    <w:pStyle w:val="TableContents"/>
                                    <w:bidi w:val="0"/>
                                    <w:spacing w:before="0" w:after="283"/>
                                    <w:jc w:val="left"/>
                                    <w:rPr/>
                                  </w:pPr>
                                  <w:r>
                                    <w:rPr/>
                                    <w:t>SENIOR LEADERSHIP</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70000</wp14:pctWidth>
                </wp14:sizeRelH>
              </wp:anchor>
            </w:drawing>
          </mc:Choice>
          <mc:Fallback>
            <w:pict>
              <v:rect style="position:absolute;rotation:-0;width:357.15pt;height:297.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jc w:val="left"/>
                        <w:rPr>
                          <w:rFonts w:ascii="Arial;Helvetica;Sans-Serif" w:hAnsi="Arial;Helvetica;Sans-Serif"/>
                          <w:b/>
                          <w:i w:val="false"/>
                          <w:caps w:val="false"/>
                          <w:smallCaps w:val="false"/>
                          <w:sz w:val="30"/>
                        </w:rPr>
                      </w:pPr>
                      <w:r>
                        <w:rPr>
                          <w:rFonts w:ascii="Arial;Helvetica;Sans-Serif" w:hAnsi="Arial;Helvetica;Sans-Serif"/>
                          <w:b/>
                          <w:i w:val="false"/>
                          <w:caps w:val="false"/>
                          <w:smallCaps w:val="false"/>
                          <w:sz w:val="30"/>
                        </w:rPr>
                        <w:t>Christopher T. Calio</w:t>
                      </w:r>
                    </w:p>
                    <w:p>
                      <w:pPr>
                        <w:pStyle w:val="TextBody"/>
                        <w:bidi w:val="0"/>
                        <w:jc w:val="left"/>
                        <w:rPr>
                          <w:caps w:val="false"/>
                          <w:smallCaps w:val="false"/>
                        </w:rPr>
                      </w:pPr>
                      <w:r>
                        <w:rPr>
                          <w:caps w:val="false"/>
                          <w:smallCaps w:val="false"/>
                        </w:rPr>
                        <w:t> </w:t>
                      </w:r>
                    </w:p>
                    <w:tbl>
                      <w:tblPr>
                        <w:tblW w:w="9220" w:type="dxa"/>
                        <w:jc w:val="left"/>
                        <w:tblInd w:w="0" w:type="dxa"/>
                        <w:tblLayout w:type="fixed"/>
                        <w:tblCellMar>
                          <w:top w:w="0" w:type="dxa"/>
                          <w:left w:w="0" w:type="dxa"/>
                          <w:bottom w:w="0" w:type="dxa"/>
                          <w:right w:w="0" w:type="dxa"/>
                        </w:tblCellMar>
                      </w:tblPr>
                      <w:tblGrid>
                        <w:gridCol w:w="6245"/>
                        <w:gridCol w:w="300"/>
                        <w:gridCol w:w="2675"/>
                      </w:tblGrid>
                      <w:tr>
                        <w:trPr/>
                        <w:tc>
                          <w:tcPr>
                            <w:tcW w:w="6245" w:type="dxa"/>
                            <w:tcBorders/>
                            <w:vAlign w:val="center"/>
                          </w:tcPr>
                          <w:p>
                            <w:pPr>
                              <w:pStyle w:val="TableContents"/>
                              <w:bidi w:val="0"/>
                              <w:spacing w:before="0" w:after="283"/>
                              <w:jc w:val="left"/>
                              <w:rPr>
                                <w:sz w:val="20"/>
                              </w:rPr>
                            </w:pPr>
                            <w:r>
                              <w:rPr>
                                <w:sz w:val="20"/>
                              </w:rPr>
                              <w:t>Chairman, President, Chief Executive Officer and Director, RTX Corporation</w:t>
                            </w:r>
                          </w:p>
                        </w:tc>
                        <w:tc>
                          <w:tcPr>
                            <w:tcW w:w="300" w:type="dxa"/>
                            <w:tcBorders/>
                            <w:vAlign w:val="center"/>
                          </w:tcPr>
                          <w:p>
                            <w:pPr>
                              <w:pStyle w:val="TableContents"/>
                              <w:bidi w:val="0"/>
                              <w:spacing w:before="0" w:after="283"/>
                              <w:jc w:val="left"/>
                              <w:rPr/>
                            </w:pPr>
                            <w:r>
                              <w:rPr/>
                              <w:t>     </w:t>
                            </w:r>
                          </w:p>
                        </w:tc>
                        <w:tc>
                          <w:tcPr>
                            <w:tcW w:w="2675" w:type="dxa"/>
                            <w:tcBorders/>
                            <w:vAlign w:val="center"/>
                          </w:tcPr>
                          <w:p>
                            <w:pPr>
                              <w:pStyle w:val="TableContents"/>
                              <w:bidi w:val="0"/>
                              <w:spacing w:before="0" w:after="60"/>
                              <w:jc w:val="left"/>
                              <w:rPr/>
                            </w:pPr>
                            <w:r>
                              <w:rPr/>
                              <w:t xml:space="preserve">AGE </w:t>
                            </w:r>
                            <w:r>
                              <w:rPr>
                                <w:b/>
                              </w:rPr>
                              <w:t>52</w:t>
                            </w:r>
                          </w:p>
                          <w:p>
                            <w:pPr>
                              <w:pStyle w:val="TableContents"/>
                              <w:bidi w:val="0"/>
                              <w:jc w:val="left"/>
                              <w:rPr/>
                            </w:pPr>
                            <w:r>
                              <w:rPr/>
                              <w:t xml:space="preserve">DIRECTOR SINCE </w:t>
                            </w:r>
                            <w:r>
                              <w:rPr>
                                <w:b/>
                              </w:rPr>
                              <w:t>2023</w:t>
                            </w:r>
                          </w:p>
                          <w:p>
                            <w:pPr>
                              <w:pStyle w:val="TableContents"/>
                              <w:bidi w:val="0"/>
                              <w:jc w:val="left"/>
                              <w:rPr/>
                            </w:pPr>
                            <w:r>
                              <w:rPr/>
                              <w:t>BOARD COMMITTEES</w:t>
                            </w:r>
                          </w:p>
                          <w:p>
                            <w:pPr>
                              <w:pStyle w:val="TableContents"/>
                              <w:bidi w:val="0"/>
                              <w:spacing w:before="0" w:after="283"/>
                              <w:jc w:val="left"/>
                              <w:rPr>
                                <w:b/>
                              </w:rPr>
                            </w:pPr>
                            <w:r>
                              <w:rPr>
                                <w:b/>
                              </w:rPr>
                              <w:t>Finance, Special Activities</w:t>
                            </w:r>
                          </w:p>
                        </w:tc>
                      </w:tr>
                      <w:tr>
                        <w:trPr/>
                        <w:tc>
                          <w:tcPr>
                            <w:tcW w:w="6245" w:type="dxa"/>
                            <w:tcBorders/>
                            <w:vAlign w:val="center"/>
                          </w:tcPr>
                          <w:p>
                            <w:pPr>
                              <w:pStyle w:val="TableContents"/>
                              <w:bidi w:val="0"/>
                              <w:spacing w:before="0" w:after="283"/>
                              <w:jc w:val="left"/>
                              <w:rPr>
                                <w:b/>
                                <w:sz w:val="20"/>
                              </w:rPr>
                            </w:pPr>
                            <w:r>
                              <w:rPr>
                                <w:b/>
                                <w:sz w:val="20"/>
                              </w:rPr>
                              <w:t>Key Skills and Expertise</w:t>
                            </w:r>
                          </w:p>
                        </w:tc>
                        <w:tc>
                          <w:tcPr>
                            <w:tcW w:w="300" w:type="dxa"/>
                            <w:tcBorders/>
                            <w:vAlign w:val="center"/>
                          </w:tcPr>
                          <w:p>
                            <w:pPr>
                              <w:pStyle w:val="TableContents"/>
                              <w:bidi w:val="0"/>
                              <w:spacing w:before="0" w:after="283"/>
                              <w:jc w:val="left"/>
                              <w:rPr/>
                            </w:pPr>
                            <w:r>
                              <w:rPr/>
                              <w:t> </w:t>
                            </w:r>
                          </w:p>
                        </w:tc>
                        <w:tc>
                          <w:tcPr>
                            <w:tcW w:w="2675"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15"/>
                        <w:gridCol w:w="3140"/>
                        <w:gridCol w:w="330"/>
                        <w:gridCol w:w="3640"/>
                        <w:gridCol w:w="300"/>
                        <w:gridCol w:w="2480"/>
                      </w:tblGrid>
                      <w:tr>
                        <w:trPr/>
                        <w:tc>
                          <w:tcPr>
                            <w:tcW w:w="315" w:type="dxa"/>
                            <w:tcBorders/>
                            <w:vAlign w:val="center"/>
                          </w:tcPr>
                          <w:p>
                            <w:pPr>
                              <w:pStyle w:val="TableContents"/>
                              <w:bidi w:val="0"/>
                              <w:spacing w:before="0" w:after="283"/>
                              <w:jc w:val="left"/>
                              <w:rPr/>
                            </w:pPr>
                            <w:r>
                              <w:rPr/>
                              <w:drawing>
                                <wp:inline distT="0" distB="0" distL="0" distR="0">
                                  <wp:extent cx="190500" cy="495300"/>
                                  <wp:effectExtent l="0" t="0" r="0" b="0"/>
                                  <wp:docPr id="156" name="Image1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Image136" descr=""/>
                                          <pic:cNvPicPr>
                                            <a:picLocks noChangeAspect="1" noChangeArrowheads="1"/>
                                          </pic:cNvPicPr>
                                        </pic:nvPicPr>
                                        <pic:blipFill>
                                          <a:blip r:embed="rId148"/>
                                          <a:stretch>
                                            <a:fillRect/>
                                          </a:stretch>
                                        </pic:blipFill>
                                        <pic:spPr bwMode="auto">
                                          <a:xfrm>
                                            <a:off x="0" y="0"/>
                                            <a:ext cx="190500" cy="495300"/>
                                          </a:xfrm>
                                          <a:prstGeom prst="rect">
                                            <a:avLst/>
                                          </a:prstGeom>
                                        </pic:spPr>
                                      </pic:pic>
                                    </a:graphicData>
                                  </a:graphic>
                                </wp:inline>
                              </w:drawing>
                            </w:r>
                          </w:p>
                        </w:tc>
                        <w:tc>
                          <w:tcPr>
                            <w:tcW w:w="3140" w:type="dxa"/>
                            <w:tcBorders/>
                            <w:vAlign w:val="center"/>
                          </w:tcPr>
                          <w:p>
                            <w:pPr>
                              <w:pStyle w:val="TableContents"/>
                              <w:bidi w:val="0"/>
                              <w:spacing w:before="0" w:after="283"/>
                              <w:jc w:val="left"/>
                              <w:rPr/>
                            </w:pPr>
                            <w:r>
                              <w:rPr/>
                              <w:t>EXPERIENCE IN INDUSTRY</w:t>
                            </w:r>
                          </w:p>
                        </w:tc>
                        <w:tc>
                          <w:tcPr>
                            <w:tcW w:w="330" w:type="dxa"/>
                            <w:tcBorders/>
                            <w:vAlign w:val="center"/>
                          </w:tcPr>
                          <w:p>
                            <w:pPr>
                              <w:pStyle w:val="TableContents"/>
                              <w:bidi w:val="0"/>
                              <w:spacing w:before="0" w:after="283"/>
                              <w:jc w:val="left"/>
                              <w:rPr/>
                            </w:pPr>
                            <w:r>
                              <w:rPr/>
                              <w:drawing>
                                <wp:inline distT="0" distB="0" distL="0" distR="0">
                                  <wp:extent cx="209550" cy="504825"/>
                                  <wp:effectExtent l="0" t="0" r="0" b="0"/>
                                  <wp:docPr id="157" name="Image1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Image137" descr=""/>
                                          <pic:cNvPicPr>
                                            <a:picLocks noChangeAspect="1" noChangeArrowheads="1"/>
                                          </pic:cNvPicPr>
                                        </pic:nvPicPr>
                                        <pic:blipFill>
                                          <a:blip r:embed="rId149"/>
                                          <a:stretch>
                                            <a:fillRect/>
                                          </a:stretch>
                                        </pic:blipFill>
                                        <pic:spPr bwMode="auto">
                                          <a:xfrm>
                                            <a:off x="0" y="0"/>
                                            <a:ext cx="209550" cy="504825"/>
                                          </a:xfrm>
                                          <a:prstGeom prst="rect">
                                            <a:avLst/>
                                          </a:prstGeom>
                                        </pic:spPr>
                                      </pic:pic>
                                    </a:graphicData>
                                  </a:graphic>
                                </wp:inline>
                              </w:drawing>
                            </w:r>
                          </w:p>
                        </w:tc>
                        <w:tc>
                          <w:tcPr>
                            <w:tcW w:w="3640" w:type="dxa"/>
                            <w:tcBorders/>
                            <w:vAlign w:val="center"/>
                          </w:tcPr>
                          <w:p>
                            <w:pPr>
                              <w:pStyle w:val="TableContents"/>
                              <w:bidi w:val="0"/>
                              <w:spacing w:before="0" w:after="283"/>
                              <w:jc w:val="left"/>
                              <w:rPr/>
                            </w:pPr>
                            <w:r>
                              <w:rPr/>
                              <w:t>RISK MANAGEMENT/OVERSIGHT</w:t>
                            </w:r>
                          </w:p>
                        </w:tc>
                        <w:tc>
                          <w:tcPr>
                            <w:tcW w:w="300" w:type="dxa"/>
                            <w:tcBorders/>
                            <w:vAlign w:val="center"/>
                          </w:tcPr>
                          <w:p>
                            <w:pPr>
                              <w:pStyle w:val="TableContents"/>
                              <w:bidi w:val="0"/>
                              <w:spacing w:before="0" w:after="283"/>
                              <w:jc w:val="left"/>
                              <w:rPr/>
                            </w:pPr>
                            <w:r>
                              <w:rPr/>
                              <w:drawing>
                                <wp:inline distT="0" distB="0" distL="0" distR="0">
                                  <wp:extent cx="190500" cy="419100"/>
                                  <wp:effectExtent l="0" t="0" r="0" b="0"/>
                                  <wp:docPr id="158" name="Image1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138" descr=""/>
                                          <pic:cNvPicPr>
                                            <a:picLocks noChangeAspect="1" noChangeArrowheads="1"/>
                                          </pic:cNvPicPr>
                                        </pic:nvPicPr>
                                        <pic:blipFill>
                                          <a:blip r:embed="rId150"/>
                                          <a:stretch>
                                            <a:fillRect/>
                                          </a:stretch>
                                        </pic:blipFill>
                                        <pic:spPr bwMode="auto">
                                          <a:xfrm>
                                            <a:off x="0" y="0"/>
                                            <a:ext cx="190500" cy="419100"/>
                                          </a:xfrm>
                                          <a:prstGeom prst="rect">
                                            <a:avLst/>
                                          </a:prstGeom>
                                        </pic:spPr>
                                      </pic:pic>
                                    </a:graphicData>
                                  </a:graphic>
                                </wp:inline>
                              </w:drawing>
                            </w:r>
                          </w:p>
                        </w:tc>
                        <w:tc>
                          <w:tcPr>
                            <w:tcW w:w="2480" w:type="dxa"/>
                            <w:tcBorders/>
                            <w:vAlign w:val="center"/>
                          </w:tcPr>
                          <w:p>
                            <w:pPr>
                              <w:pStyle w:val="TableContents"/>
                              <w:bidi w:val="0"/>
                              <w:spacing w:before="0" w:after="283"/>
                              <w:jc w:val="left"/>
                              <w:rPr/>
                            </w:pPr>
                            <w:r>
                              <w:rPr/>
                              <w:t>SENIOR LEADERSHIP</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60">
                <wp:simplePos x="0" y="0"/>
                <wp:positionH relativeFrom="column">
                  <wp:align>right</wp:align>
                </wp:positionH>
                <wp:positionV relativeFrom="line">
                  <wp:posOffset>635</wp:posOffset>
                </wp:positionV>
                <wp:extent cx="1943735" cy="5225415"/>
                <wp:effectExtent l="0" t="0" r="0" b="0"/>
                <wp:wrapSquare wrapText="left"/>
                <wp:docPr id="159" name="Frame10"/>
                <a:graphic xmlns:a="http://schemas.openxmlformats.org/drawingml/2006/main">
                  <a:graphicData uri="http://schemas.microsoft.com/office/word/2010/wordprocessingShape">
                    <wps:wsp>
                      <wps:cNvSpPr txBox="1"/>
                      <wps:spPr>
                        <a:xfrm>
                          <a:off x="0" y="0"/>
                          <a:ext cx="1943735" cy="5225415"/>
                        </a:xfrm>
                        <a:prstGeom prst="rect"/>
                        <a:solidFill>
                          <a:srgbClr val="FFFFFF"/>
                        </a:solidFill>
                      </wps:spPr>
                      <wps:txbx>
                        <w:txbxContent>
                          <w:p>
                            <w:pPr>
                              <w:pStyle w:val="TextBody"/>
                              <w:bidi w:val="0"/>
                              <w:ind w:left="0" w:right="0" w:hanging="0"/>
                              <w:jc w:val="right"/>
                              <w:rPr>
                                <w:caps w:val="false"/>
                                <w:smallCaps w:val="false"/>
                              </w:rPr>
                            </w:pPr>
                            <w:r>
                              <w:rPr>
                                <w:caps w:val="false"/>
                                <w:smallCaps w:val="false"/>
                              </w:rPr>
                              <w:t> </w:t>
                            </w:r>
                          </w:p>
                          <w:p>
                            <w:pPr>
                              <w:pStyle w:val="TextBody"/>
                              <w:bidi w:val="0"/>
                              <w:spacing w:before="0" w:after="283"/>
                              <w:ind w:left="0" w:right="0" w:hanging="0"/>
                              <w:jc w:val="right"/>
                              <w:rPr>
                                <w:caps w:val="false"/>
                                <w:smallCaps w:val="false"/>
                              </w:rPr>
                            </w:pPr>
                            <w:r>
                              <w:rPr>
                                <w:caps w:val="false"/>
                                <w:smallCaps w:val="false"/>
                              </w:rPr>
                              <w:drawing>
                                <wp:inline distT="0" distB="0" distL="0" distR="0">
                                  <wp:extent cx="1524000" cy="4781550"/>
                                  <wp:effectExtent l="0" t="0" r="0" b="0"/>
                                  <wp:docPr id="160" name="Image1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Image139" descr=""/>
                                          <pic:cNvPicPr>
                                            <a:picLocks noChangeAspect="1" noChangeArrowheads="1"/>
                                          </pic:cNvPicPr>
                                        </pic:nvPicPr>
                                        <pic:blipFill>
                                          <a:blip r:embed="rId151"/>
                                          <a:stretch>
                                            <a:fillRect/>
                                          </a:stretch>
                                        </pic:blipFill>
                                        <pic:spPr bwMode="auto">
                                          <a:xfrm>
                                            <a:off x="0" y="0"/>
                                            <a:ext cx="1524000" cy="4781550"/>
                                          </a:xfrm>
                                          <a:prstGeom prst="rect">
                                            <a:avLst/>
                                          </a:prstGeom>
                                        </pic:spPr>
                                      </pic:pic>
                                    </a:graphicData>
                                  </a:graphic>
                                </wp:inline>
                              </w:drawing>
                            </w:r>
                          </w:p>
                        </w:txbxContent>
                      </wps:txbx>
                      <wps:bodyPr anchor="t" lIns="0" tIns="0" rIns="0" bIns="0">
                        <a:noAutofit/>
                      </wps:bodyPr>
                    </wps:wsp>
                  </a:graphicData>
                </a:graphic>
                <wp14:sizeRelH relativeFrom="margin">
                  <wp14:pctWidth>30000</wp14:pctWidth>
                </wp14:sizeRelH>
              </wp:anchor>
            </w:drawing>
          </mc:Choice>
          <mc:Fallback>
            <w:pict>
              <v:rect style="position:absolute;rotation:-0;width:153.05pt;height:411.45pt;mso-wrap-distance-left:0pt;mso-wrap-distance-right:0pt;mso-wrap-distance-top:0pt;mso-wrap-distance-bottom:0pt;margin-top:0pt;mso-position-vertical:top;mso-position-vertical-relative:text;margin-left:357.2pt;mso-position-horizontal:right;mso-position-horizontal-relative:text">
                <v:textbox>
                  <w:txbxContent>
                    <w:p>
                      <w:pPr>
                        <w:pStyle w:val="TextBody"/>
                        <w:bidi w:val="0"/>
                        <w:ind w:left="0" w:right="0" w:hanging="0"/>
                        <w:jc w:val="right"/>
                        <w:rPr>
                          <w:caps w:val="false"/>
                          <w:smallCaps w:val="false"/>
                        </w:rPr>
                      </w:pPr>
                      <w:r>
                        <w:rPr>
                          <w:caps w:val="false"/>
                          <w:smallCaps w:val="false"/>
                        </w:rPr>
                        <w:t> </w:t>
                      </w:r>
                    </w:p>
                    <w:p>
                      <w:pPr>
                        <w:pStyle w:val="TextBody"/>
                        <w:bidi w:val="0"/>
                        <w:spacing w:before="0" w:after="283"/>
                        <w:ind w:left="0" w:right="0" w:hanging="0"/>
                        <w:jc w:val="right"/>
                        <w:rPr>
                          <w:caps w:val="false"/>
                          <w:smallCaps w:val="false"/>
                        </w:rPr>
                      </w:pPr>
                      <w:r>
                        <w:rPr>
                          <w:caps w:val="false"/>
                          <w:smallCaps w:val="false"/>
                        </w:rPr>
                        <w:drawing>
                          <wp:inline distT="0" distB="0" distL="0" distR="0">
                            <wp:extent cx="1524000" cy="4781550"/>
                            <wp:effectExtent l="0" t="0" r="0" b="0"/>
                            <wp:docPr id="161" name="Image1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Image139" descr=""/>
                                    <pic:cNvPicPr>
                                      <a:picLocks noChangeAspect="1" noChangeArrowheads="1"/>
                                    </pic:cNvPicPr>
                                  </pic:nvPicPr>
                                  <pic:blipFill>
                                    <a:blip r:embed="rId152"/>
                                    <a:stretch>
                                      <a:fillRect/>
                                    </a:stretch>
                                  </pic:blipFill>
                                  <pic:spPr bwMode="auto">
                                    <a:xfrm>
                                      <a:off x="0" y="0"/>
                                      <a:ext cx="1524000" cy="4781550"/>
                                    </a:xfrm>
                                    <a:prstGeom prst="rect">
                                      <a:avLst/>
                                    </a:prstGeom>
                                  </pic:spPr>
                                </pic:pic>
                              </a:graphicData>
                            </a:graphic>
                          </wp:inline>
                        </w:drawing>
                      </w:r>
                    </w:p>
                  </w:txbxContent>
                </v:textbox>
                <w10:wrap type="square" side="left"/>
              </v:rect>
            </w:pict>
          </mc:Fallback>
        </mc:AlternateConten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r>
        <mc:AlternateContent>
          <mc:Choice Requires="wps">
            <w:drawing>
              <wp:anchor behindDoc="0" distT="0" distB="0" distL="0" distR="0" simplePos="0" locked="0" layoutInCell="1" allowOverlap="1" relativeHeight="289">
                <wp:simplePos x="0" y="0"/>
                <wp:positionH relativeFrom="column">
                  <wp:align>left</wp:align>
                </wp:positionH>
                <wp:positionV relativeFrom="line">
                  <wp:posOffset>635</wp:posOffset>
                </wp:positionV>
                <wp:extent cx="3110230" cy="4610735"/>
                <wp:effectExtent l="0" t="0" r="0" b="0"/>
                <wp:wrapSquare wrapText="right"/>
                <wp:docPr id="162" name="Frame11"/>
                <a:graphic xmlns:a="http://schemas.openxmlformats.org/drawingml/2006/main">
                  <a:graphicData uri="http://schemas.microsoft.com/office/word/2010/wordprocessingShape">
                    <wps:wsp>
                      <wps:cNvSpPr txBox="1"/>
                      <wps:spPr>
                        <a:xfrm>
                          <a:off x="0" y="0"/>
                          <a:ext cx="3110230" cy="4610735"/>
                        </a:xfrm>
                        <a:prstGeom prst="rect"/>
                        <a:solidFill>
                          <a:srgbClr val="FFFFFF"/>
                        </a:solidFill>
                      </wps:spPr>
                      <wps:txbx>
                        <w:txbxContent>
                          <w:p>
                            <w:pPr>
                              <w:pStyle w:val="TextBody"/>
                              <w:bidi w:val="0"/>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 xml:space="preserve">Qualifications </w:t>
                            </w:r>
                            <w:r>
                              <w:rPr>
                                <w:rFonts w:ascii="Arial;Helvetica;Sans-Serif" w:hAnsi="Arial;Helvetica;Sans-Serif"/>
                                <w:b w:val="false"/>
                                <w:i w:val="false"/>
                                <w:caps w:val="false"/>
                                <w:smallCaps w:val="false"/>
                                <w:sz w:val="20"/>
                              </w:rPr>
                              <w:t> </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Mr. Calio has substantial experience in the aerospace and defense industry and executive leadership experience gained through his Chairman, President, CEO and COO roles at RTX and other senior leadership roles at RTX and Pratt &amp; Whitney. Through these roles and his legal roles at RTX-affiliated companies, he also brings risk management experience, as well as a significant background in manufacturing, operations and supply chain.</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Experience</w:t>
                            </w:r>
                          </w:p>
                          <w:p>
                            <w:pPr>
                              <w:pStyle w:val="TextBody"/>
                              <w:bidi w:val="0"/>
                              <w:jc w:val="left"/>
                              <w:rPr>
                                <w:caps w:val="false"/>
                                <w:smallCaps w:val="false"/>
                              </w:rPr>
                            </w:pPr>
                            <w:r>
                              <w:rPr>
                                <w:caps w:val="false"/>
                                <w:smallCaps w:val="false"/>
                              </w:rPr>
                              <w:t> </w:t>
                            </w:r>
                          </w:p>
                          <w:tbl>
                            <w:tblPr>
                              <w:tblW w:w="9280" w:type="dxa"/>
                              <w:jc w:val="left"/>
                              <w:tblInd w:w="0" w:type="dxa"/>
                              <w:tblLayout w:type="fixed"/>
                              <w:tblCellMar>
                                <w:top w:w="0" w:type="dxa"/>
                                <w:left w:w="0" w:type="dxa"/>
                                <w:bottom w:w="0" w:type="dxa"/>
                                <w:right w:w="0" w:type="dxa"/>
                              </w:tblCellMar>
                            </w:tblPr>
                            <w:tblGrid>
                              <w:gridCol w:w="185"/>
                              <w:gridCol w:w="9095"/>
                            </w:tblGrid>
                            <w:tr>
                              <w:trPr/>
                              <w:tc>
                                <w:tcPr>
                                  <w:tcW w:w="185" w:type="dxa"/>
                                  <w:tcBorders/>
                                  <w:vAlign w:val="center"/>
                                </w:tcPr>
                                <w:p>
                                  <w:pPr>
                                    <w:pStyle w:val="TableContents"/>
                                    <w:bidi w:val="0"/>
                                    <w:spacing w:before="0" w:after="283"/>
                                    <w:jc w:val="left"/>
                                    <w:rPr/>
                                  </w:pPr>
                                  <w:r>
                                    <w:rPr/>
                                    <w:t>●</w:t>
                                  </w:r>
                                </w:p>
                              </w:tc>
                              <w:tc>
                                <w:tcPr>
                                  <w:tcW w:w="9095" w:type="dxa"/>
                                  <w:tcBorders/>
                                  <w:vAlign w:val="center"/>
                                </w:tcPr>
                                <w:p>
                                  <w:pPr>
                                    <w:pStyle w:val="TableContents"/>
                                    <w:bidi w:val="0"/>
                                    <w:spacing w:before="0" w:after="283"/>
                                    <w:jc w:val="left"/>
                                    <w:rPr/>
                                  </w:pPr>
                                  <w:r>
                                    <w:rPr/>
                                    <w:t>Chairman, President, Chief Executive Officer and Director, RTX Corporation, since April 2025</w:t>
                                  </w:r>
                                </w:p>
                              </w:tc>
                            </w:tr>
                            <w:tr>
                              <w:trPr/>
                              <w:tc>
                                <w:tcPr>
                                  <w:tcW w:w="185" w:type="dxa"/>
                                  <w:tcBorders/>
                                  <w:vAlign w:val="center"/>
                                </w:tcPr>
                                <w:p>
                                  <w:pPr>
                                    <w:pStyle w:val="TableContents"/>
                                    <w:bidi w:val="0"/>
                                    <w:spacing w:before="0" w:after="283"/>
                                    <w:jc w:val="left"/>
                                    <w:rPr/>
                                  </w:pPr>
                                  <w:r>
                                    <w:rPr/>
                                    <w:t>●</w:t>
                                  </w:r>
                                </w:p>
                              </w:tc>
                              <w:tc>
                                <w:tcPr>
                                  <w:tcW w:w="9095" w:type="dxa"/>
                                  <w:tcBorders/>
                                  <w:vAlign w:val="center"/>
                                </w:tcPr>
                                <w:p>
                                  <w:pPr>
                                    <w:pStyle w:val="TableContents"/>
                                    <w:bidi w:val="0"/>
                                    <w:spacing w:before="0" w:after="283"/>
                                    <w:jc w:val="left"/>
                                    <w:rPr/>
                                  </w:pPr>
                                  <w:r>
                                    <w:rPr/>
                                    <w:t>President, Chief Executive Officer and Director, RTX Corporation, May 2024–April 2025</w:t>
                                  </w:r>
                                </w:p>
                              </w:tc>
                            </w:tr>
                            <w:tr>
                              <w:trPr/>
                              <w:tc>
                                <w:tcPr>
                                  <w:tcW w:w="185" w:type="dxa"/>
                                  <w:tcBorders/>
                                  <w:vAlign w:val="center"/>
                                </w:tcPr>
                                <w:p>
                                  <w:pPr>
                                    <w:pStyle w:val="TableContents"/>
                                    <w:bidi w:val="0"/>
                                    <w:spacing w:before="0" w:after="283"/>
                                    <w:jc w:val="left"/>
                                    <w:rPr/>
                                  </w:pPr>
                                  <w:r>
                                    <w:rPr/>
                                    <w:t>●</w:t>
                                  </w:r>
                                </w:p>
                              </w:tc>
                              <w:tc>
                                <w:tcPr>
                                  <w:tcW w:w="9095" w:type="dxa"/>
                                  <w:tcBorders/>
                                  <w:vAlign w:val="center"/>
                                </w:tcPr>
                                <w:p>
                                  <w:pPr>
                                    <w:pStyle w:val="TableContents"/>
                                    <w:bidi w:val="0"/>
                                    <w:spacing w:before="0" w:after="283"/>
                                    <w:jc w:val="left"/>
                                    <w:rPr/>
                                  </w:pPr>
                                  <w:r>
                                    <w:rPr/>
                                    <w:t>President, Chief Operating Officer and Director, RTX Corporation, December 2023–May 2024</w:t>
                                  </w:r>
                                </w:p>
                              </w:tc>
                            </w:tr>
                            <w:tr>
                              <w:trPr/>
                              <w:tc>
                                <w:tcPr>
                                  <w:tcW w:w="185" w:type="dxa"/>
                                  <w:tcBorders/>
                                  <w:vAlign w:val="center"/>
                                </w:tcPr>
                                <w:p>
                                  <w:pPr>
                                    <w:pStyle w:val="TableContents"/>
                                    <w:bidi w:val="0"/>
                                    <w:spacing w:before="0" w:after="283"/>
                                    <w:jc w:val="left"/>
                                    <w:rPr/>
                                  </w:pPr>
                                  <w:r>
                                    <w:rPr/>
                                    <w:t>●</w:t>
                                  </w:r>
                                </w:p>
                              </w:tc>
                              <w:tc>
                                <w:tcPr>
                                  <w:tcW w:w="9095" w:type="dxa"/>
                                  <w:tcBorders/>
                                  <w:vAlign w:val="center"/>
                                </w:tcPr>
                                <w:p>
                                  <w:pPr>
                                    <w:pStyle w:val="TableContents"/>
                                    <w:bidi w:val="0"/>
                                    <w:spacing w:before="0" w:after="283"/>
                                    <w:jc w:val="left"/>
                                    <w:rPr/>
                                  </w:pPr>
                                  <w:r>
                                    <w:rPr/>
                                    <w:t>President &amp; Chief Operating Officer, RTX Corporation, March 2023–December 2023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363.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 xml:space="preserve">Qualifications </w:t>
                      </w:r>
                      <w:r>
                        <w:rPr>
                          <w:rFonts w:ascii="Arial;Helvetica;Sans-Serif" w:hAnsi="Arial;Helvetica;Sans-Serif"/>
                          <w:b w:val="false"/>
                          <w:i w:val="false"/>
                          <w:caps w:val="false"/>
                          <w:smallCaps w:val="false"/>
                          <w:sz w:val="20"/>
                        </w:rPr>
                        <w:t> </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Mr. Calio has substantial experience in the aerospace and defense industry and executive leadership experience gained through his Chairman, President, CEO and COO roles at RTX and other senior leadership roles at RTX and Pratt &amp; Whitney. Through these roles and his legal roles at RTX-affiliated companies, he also brings risk management experience, as well as a significant background in manufacturing, operations and supply chain.</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Experience</w:t>
                      </w:r>
                    </w:p>
                    <w:p>
                      <w:pPr>
                        <w:pStyle w:val="TextBody"/>
                        <w:bidi w:val="0"/>
                        <w:jc w:val="left"/>
                        <w:rPr>
                          <w:caps w:val="false"/>
                          <w:smallCaps w:val="false"/>
                        </w:rPr>
                      </w:pPr>
                      <w:r>
                        <w:rPr>
                          <w:caps w:val="false"/>
                          <w:smallCaps w:val="false"/>
                        </w:rPr>
                        <w:t> </w:t>
                      </w:r>
                    </w:p>
                    <w:tbl>
                      <w:tblPr>
                        <w:tblW w:w="9280" w:type="dxa"/>
                        <w:jc w:val="left"/>
                        <w:tblInd w:w="0" w:type="dxa"/>
                        <w:tblLayout w:type="fixed"/>
                        <w:tblCellMar>
                          <w:top w:w="0" w:type="dxa"/>
                          <w:left w:w="0" w:type="dxa"/>
                          <w:bottom w:w="0" w:type="dxa"/>
                          <w:right w:w="0" w:type="dxa"/>
                        </w:tblCellMar>
                      </w:tblPr>
                      <w:tblGrid>
                        <w:gridCol w:w="185"/>
                        <w:gridCol w:w="9095"/>
                      </w:tblGrid>
                      <w:tr>
                        <w:trPr/>
                        <w:tc>
                          <w:tcPr>
                            <w:tcW w:w="185" w:type="dxa"/>
                            <w:tcBorders/>
                            <w:vAlign w:val="center"/>
                          </w:tcPr>
                          <w:p>
                            <w:pPr>
                              <w:pStyle w:val="TableContents"/>
                              <w:bidi w:val="0"/>
                              <w:spacing w:before="0" w:after="283"/>
                              <w:jc w:val="left"/>
                              <w:rPr/>
                            </w:pPr>
                            <w:r>
                              <w:rPr/>
                              <w:t>●</w:t>
                            </w:r>
                          </w:p>
                        </w:tc>
                        <w:tc>
                          <w:tcPr>
                            <w:tcW w:w="9095" w:type="dxa"/>
                            <w:tcBorders/>
                            <w:vAlign w:val="center"/>
                          </w:tcPr>
                          <w:p>
                            <w:pPr>
                              <w:pStyle w:val="TableContents"/>
                              <w:bidi w:val="0"/>
                              <w:spacing w:before="0" w:after="283"/>
                              <w:jc w:val="left"/>
                              <w:rPr/>
                            </w:pPr>
                            <w:r>
                              <w:rPr/>
                              <w:t>Chairman, President, Chief Executive Officer and Director, RTX Corporation, since April 2025</w:t>
                            </w:r>
                          </w:p>
                        </w:tc>
                      </w:tr>
                      <w:tr>
                        <w:trPr/>
                        <w:tc>
                          <w:tcPr>
                            <w:tcW w:w="185" w:type="dxa"/>
                            <w:tcBorders/>
                            <w:vAlign w:val="center"/>
                          </w:tcPr>
                          <w:p>
                            <w:pPr>
                              <w:pStyle w:val="TableContents"/>
                              <w:bidi w:val="0"/>
                              <w:spacing w:before="0" w:after="283"/>
                              <w:jc w:val="left"/>
                              <w:rPr/>
                            </w:pPr>
                            <w:r>
                              <w:rPr/>
                              <w:t>●</w:t>
                            </w:r>
                          </w:p>
                        </w:tc>
                        <w:tc>
                          <w:tcPr>
                            <w:tcW w:w="9095" w:type="dxa"/>
                            <w:tcBorders/>
                            <w:vAlign w:val="center"/>
                          </w:tcPr>
                          <w:p>
                            <w:pPr>
                              <w:pStyle w:val="TableContents"/>
                              <w:bidi w:val="0"/>
                              <w:spacing w:before="0" w:after="283"/>
                              <w:jc w:val="left"/>
                              <w:rPr/>
                            </w:pPr>
                            <w:r>
                              <w:rPr/>
                              <w:t>President, Chief Executive Officer and Director, RTX Corporation, May 2024–April 2025</w:t>
                            </w:r>
                          </w:p>
                        </w:tc>
                      </w:tr>
                      <w:tr>
                        <w:trPr/>
                        <w:tc>
                          <w:tcPr>
                            <w:tcW w:w="185" w:type="dxa"/>
                            <w:tcBorders/>
                            <w:vAlign w:val="center"/>
                          </w:tcPr>
                          <w:p>
                            <w:pPr>
                              <w:pStyle w:val="TableContents"/>
                              <w:bidi w:val="0"/>
                              <w:spacing w:before="0" w:after="283"/>
                              <w:jc w:val="left"/>
                              <w:rPr/>
                            </w:pPr>
                            <w:r>
                              <w:rPr/>
                              <w:t>●</w:t>
                            </w:r>
                          </w:p>
                        </w:tc>
                        <w:tc>
                          <w:tcPr>
                            <w:tcW w:w="9095" w:type="dxa"/>
                            <w:tcBorders/>
                            <w:vAlign w:val="center"/>
                          </w:tcPr>
                          <w:p>
                            <w:pPr>
                              <w:pStyle w:val="TableContents"/>
                              <w:bidi w:val="0"/>
                              <w:spacing w:before="0" w:after="283"/>
                              <w:jc w:val="left"/>
                              <w:rPr/>
                            </w:pPr>
                            <w:r>
                              <w:rPr/>
                              <w:t>President, Chief Operating Officer and Director, RTX Corporation, December 2023–May 2024</w:t>
                            </w:r>
                          </w:p>
                        </w:tc>
                      </w:tr>
                      <w:tr>
                        <w:trPr/>
                        <w:tc>
                          <w:tcPr>
                            <w:tcW w:w="185" w:type="dxa"/>
                            <w:tcBorders/>
                            <w:vAlign w:val="center"/>
                          </w:tcPr>
                          <w:p>
                            <w:pPr>
                              <w:pStyle w:val="TableContents"/>
                              <w:bidi w:val="0"/>
                              <w:spacing w:before="0" w:after="283"/>
                              <w:jc w:val="left"/>
                              <w:rPr/>
                            </w:pPr>
                            <w:r>
                              <w:rPr/>
                              <w:t>●</w:t>
                            </w:r>
                          </w:p>
                        </w:tc>
                        <w:tc>
                          <w:tcPr>
                            <w:tcW w:w="9095" w:type="dxa"/>
                            <w:tcBorders/>
                            <w:vAlign w:val="center"/>
                          </w:tcPr>
                          <w:p>
                            <w:pPr>
                              <w:pStyle w:val="TableContents"/>
                              <w:bidi w:val="0"/>
                              <w:spacing w:before="0" w:after="283"/>
                              <w:jc w:val="left"/>
                              <w:rPr/>
                            </w:pPr>
                            <w:r>
                              <w:rPr/>
                              <w:t>President &amp; Chief Operating Officer, RTX Corporation, March 2023–December 2023</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290">
                <wp:simplePos x="0" y="0"/>
                <wp:positionH relativeFrom="column">
                  <wp:align>right</wp:align>
                </wp:positionH>
                <wp:positionV relativeFrom="line">
                  <wp:posOffset>635</wp:posOffset>
                </wp:positionV>
                <wp:extent cx="3110230" cy="4221480"/>
                <wp:effectExtent l="0" t="0" r="0" b="0"/>
                <wp:wrapSquare wrapText="left"/>
                <wp:docPr id="163" name="Frame12"/>
                <a:graphic xmlns:a="http://schemas.openxmlformats.org/drawingml/2006/main">
                  <a:graphicData uri="http://schemas.microsoft.com/office/word/2010/wordprocessingShape">
                    <wps:wsp>
                      <wps:cNvSpPr txBox="1"/>
                      <wps:spPr>
                        <a:xfrm>
                          <a:off x="0" y="0"/>
                          <a:ext cx="3110230" cy="4221480"/>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pPr>
                                  <w:r>
                                    <w:rPr/>
                                    <w:t>Chief Operating Officer, Raytheon Technologies Corporation, March 2022–February 2023</w:t>
                                  </w:r>
                                </w:p>
                              </w:tc>
                            </w:tr>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pPr>
                                  <w:r>
                                    <w:rPr/>
                                    <w:t>President, Pratt &amp; Whitney, Raytheon Technologies Corporation (formerly United Technologies Corporation (“UTC”)), January 2020–February 2022</w:t>
                                  </w:r>
                                </w:p>
                              </w:tc>
                            </w:tr>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pPr>
                                  <w:r>
                                    <w:rPr/>
                                    <w:t>President, Commercial Engines, Pratt &amp; Whitney, UTC, February 2017–December 2019</w:t>
                                  </w:r>
                                </w:p>
                              </w:tc>
                            </w:tr>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pPr>
                                  <w:r>
                                    <w:rPr/>
                                    <w:t>Chief of Staff to the Chairman and Chief Executive Officer, UTC, February 2015–January 2017</w:t>
                                  </w:r>
                                </w:p>
                              </w:tc>
                            </w:tr>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pPr>
                                  <w:r>
                                    <w:rPr/>
                                    <w:t>Various senior positions since joining UTC in 2005, including Vice President and General Counsel of UTC Aerospace Systems, and Vice President and Counsel, Commercial Engines, Pratt &amp; Whitney</w:t>
                                  </w:r>
                                </w:p>
                              </w:tc>
                            </w:tr>
                          </w:tbl>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Other Leadership Experience and Service</w:t>
                            </w:r>
                          </w:p>
                          <w:p>
                            <w:pPr>
                              <w:pStyle w:val="TextBody"/>
                              <w:bidi w:val="0"/>
                              <w:jc w:val="left"/>
                              <w:rPr>
                                <w:caps w:val="false"/>
                                <w:smallCaps w:val="false"/>
                              </w:rPr>
                            </w:pPr>
                            <w:r>
                              <w:rPr>
                                <w:caps w:val="false"/>
                                <w:smallCaps w:val="false"/>
                              </w:rPr>
                              <w:t> </w:t>
                            </w:r>
                          </w:p>
                          <w:tbl>
                            <w:tblPr>
                              <w:tblW w:w="5680" w:type="dxa"/>
                              <w:jc w:val="left"/>
                              <w:tblInd w:w="0" w:type="dxa"/>
                              <w:tblLayout w:type="fixed"/>
                              <w:tblCellMar>
                                <w:top w:w="0" w:type="dxa"/>
                                <w:left w:w="0" w:type="dxa"/>
                                <w:bottom w:w="0" w:type="dxa"/>
                                <w:right w:w="0" w:type="dxa"/>
                              </w:tblCellMar>
                            </w:tblPr>
                            <w:tblGrid>
                              <w:gridCol w:w="185"/>
                              <w:gridCol w:w="5495"/>
                            </w:tblGrid>
                            <w:tr>
                              <w:trPr/>
                              <w:tc>
                                <w:tcPr>
                                  <w:tcW w:w="185" w:type="dxa"/>
                                  <w:tcBorders/>
                                  <w:vAlign w:val="center"/>
                                </w:tcPr>
                                <w:p>
                                  <w:pPr>
                                    <w:pStyle w:val="TableContents"/>
                                    <w:bidi w:val="0"/>
                                    <w:spacing w:before="0" w:after="283"/>
                                    <w:jc w:val="left"/>
                                    <w:rPr/>
                                  </w:pPr>
                                  <w:r>
                                    <w:rPr/>
                                    <w:t>●</w:t>
                                  </w:r>
                                </w:p>
                              </w:tc>
                              <w:tc>
                                <w:tcPr>
                                  <w:tcW w:w="5495" w:type="dxa"/>
                                  <w:tcBorders/>
                                  <w:vAlign w:val="center"/>
                                </w:tcPr>
                                <w:p>
                                  <w:pPr>
                                    <w:pStyle w:val="TableContents"/>
                                    <w:bidi w:val="0"/>
                                    <w:spacing w:before="0" w:after="283"/>
                                    <w:jc w:val="left"/>
                                    <w:rPr/>
                                  </w:pPr>
                                  <w:r>
                                    <w:rPr/>
                                    <w:t>Vice Chair, Aerospace Industries Association</w:t>
                                  </w:r>
                                </w:p>
                              </w:tc>
                            </w:tr>
                            <w:tr>
                              <w:trPr/>
                              <w:tc>
                                <w:tcPr>
                                  <w:tcW w:w="185" w:type="dxa"/>
                                  <w:tcBorders/>
                                  <w:vAlign w:val="center"/>
                                </w:tcPr>
                                <w:p>
                                  <w:pPr>
                                    <w:pStyle w:val="TableContents"/>
                                    <w:bidi w:val="0"/>
                                    <w:spacing w:before="0" w:after="283"/>
                                    <w:jc w:val="left"/>
                                    <w:rPr/>
                                  </w:pPr>
                                  <w:r>
                                    <w:rPr/>
                                    <w:t>●</w:t>
                                  </w:r>
                                </w:p>
                              </w:tc>
                              <w:tc>
                                <w:tcPr>
                                  <w:tcW w:w="5495" w:type="dxa"/>
                                  <w:tcBorders/>
                                  <w:vAlign w:val="center"/>
                                </w:tcPr>
                                <w:p>
                                  <w:pPr>
                                    <w:pStyle w:val="TableContents"/>
                                    <w:bidi w:val="0"/>
                                    <w:spacing w:before="0" w:after="283"/>
                                    <w:jc w:val="left"/>
                                    <w:rPr/>
                                  </w:pPr>
                                  <w:r>
                                    <w:rPr/>
                                    <w:t>Board of Directors, US-India Strategic Partnership Forum</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332.4pt;mso-wrap-distance-left:0pt;mso-wrap-distance-right:0pt;mso-wrap-distance-top:0pt;mso-wrap-distance-bottom:0pt;margin-top:0pt;mso-position-vertical:top;mso-position-vertical-relative:text;margin-left:265.35pt;mso-position-horizontal:right;mso-position-horizontal-relative:text">
                <v:textbox>
                  <w:txbxContent>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pPr>
                            <w:r>
                              <w:rPr/>
                              <w:t>Chief Operating Officer, Raytheon Technologies Corporation, March 2022–February 2023</w:t>
                            </w:r>
                          </w:p>
                        </w:tc>
                      </w:tr>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pPr>
                            <w:r>
                              <w:rPr/>
                              <w:t>President, Pratt &amp; Whitney, Raytheon Technologies Corporation (formerly United Technologies Corporation (“UTC”)), January 2020–February 2022</w:t>
                            </w:r>
                          </w:p>
                        </w:tc>
                      </w:tr>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pPr>
                            <w:r>
                              <w:rPr/>
                              <w:t>President, Commercial Engines, Pratt &amp; Whitney, UTC, February 2017–December 2019</w:t>
                            </w:r>
                          </w:p>
                        </w:tc>
                      </w:tr>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pPr>
                            <w:r>
                              <w:rPr/>
                              <w:t>Chief of Staff to the Chairman and Chief Executive Officer, UTC, February 2015–January 2017</w:t>
                            </w:r>
                          </w:p>
                        </w:tc>
                      </w:tr>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pPr>
                            <w:r>
                              <w:rPr/>
                              <w:t>Various senior positions since joining UTC in 2005, including Vice President and General Counsel of UTC Aerospace Systems, and Vice President and Counsel, Commercial Engines, Pratt &amp; Whitney</w:t>
                            </w:r>
                          </w:p>
                        </w:tc>
                      </w:tr>
                    </w:tbl>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Other Leadership Experience and Service</w:t>
                      </w:r>
                    </w:p>
                    <w:p>
                      <w:pPr>
                        <w:pStyle w:val="TextBody"/>
                        <w:bidi w:val="0"/>
                        <w:jc w:val="left"/>
                        <w:rPr>
                          <w:caps w:val="false"/>
                          <w:smallCaps w:val="false"/>
                        </w:rPr>
                      </w:pPr>
                      <w:r>
                        <w:rPr>
                          <w:caps w:val="false"/>
                          <w:smallCaps w:val="false"/>
                        </w:rPr>
                        <w:t> </w:t>
                      </w:r>
                    </w:p>
                    <w:tbl>
                      <w:tblPr>
                        <w:tblW w:w="5680" w:type="dxa"/>
                        <w:jc w:val="left"/>
                        <w:tblInd w:w="0" w:type="dxa"/>
                        <w:tblLayout w:type="fixed"/>
                        <w:tblCellMar>
                          <w:top w:w="0" w:type="dxa"/>
                          <w:left w:w="0" w:type="dxa"/>
                          <w:bottom w:w="0" w:type="dxa"/>
                          <w:right w:w="0" w:type="dxa"/>
                        </w:tblCellMar>
                      </w:tblPr>
                      <w:tblGrid>
                        <w:gridCol w:w="185"/>
                        <w:gridCol w:w="5495"/>
                      </w:tblGrid>
                      <w:tr>
                        <w:trPr/>
                        <w:tc>
                          <w:tcPr>
                            <w:tcW w:w="185" w:type="dxa"/>
                            <w:tcBorders/>
                            <w:vAlign w:val="center"/>
                          </w:tcPr>
                          <w:p>
                            <w:pPr>
                              <w:pStyle w:val="TableContents"/>
                              <w:bidi w:val="0"/>
                              <w:spacing w:before="0" w:after="283"/>
                              <w:jc w:val="left"/>
                              <w:rPr/>
                            </w:pPr>
                            <w:r>
                              <w:rPr/>
                              <w:t>●</w:t>
                            </w:r>
                          </w:p>
                        </w:tc>
                        <w:tc>
                          <w:tcPr>
                            <w:tcW w:w="5495" w:type="dxa"/>
                            <w:tcBorders/>
                            <w:vAlign w:val="center"/>
                          </w:tcPr>
                          <w:p>
                            <w:pPr>
                              <w:pStyle w:val="TableContents"/>
                              <w:bidi w:val="0"/>
                              <w:spacing w:before="0" w:after="283"/>
                              <w:jc w:val="left"/>
                              <w:rPr/>
                            </w:pPr>
                            <w:r>
                              <w:rPr/>
                              <w:t>Vice Chair, Aerospace Industries Association</w:t>
                            </w:r>
                          </w:p>
                        </w:tc>
                      </w:tr>
                      <w:tr>
                        <w:trPr/>
                        <w:tc>
                          <w:tcPr>
                            <w:tcW w:w="185" w:type="dxa"/>
                            <w:tcBorders/>
                            <w:vAlign w:val="center"/>
                          </w:tcPr>
                          <w:p>
                            <w:pPr>
                              <w:pStyle w:val="TableContents"/>
                              <w:bidi w:val="0"/>
                              <w:spacing w:before="0" w:after="283"/>
                              <w:jc w:val="left"/>
                              <w:rPr/>
                            </w:pPr>
                            <w:r>
                              <w:rPr/>
                              <w:t>●</w:t>
                            </w:r>
                          </w:p>
                        </w:tc>
                        <w:tc>
                          <w:tcPr>
                            <w:tcW w:w="5495" w:type="dxa"/>
                            <w:tcBorders/>
                            <w:vAlign w:val="center"/>
                          </w:tcPr>
                          <w:p>
                            <w:pPr>
                              <w:pStyle w:val="TableContents"/>
                              <w:bidi w:val="0"/>
                              <w:spacing w:before="0" w:after="283"/>
                              <w:jc w:val="left"/>
                              <w:rPr/>
                            </w:pPr>
                            <w:r>
                              <w:rPr/>
                              <w:t>Board of Directors, US-India Strategic Partnership Forum</w:t>
                            </w:r>
                          </w:p>
                        </w:tc>
                      </w:tr>
                    </w:tbl>
                    <w:p>
                      <w:pPr>
                        <w:pStyle w:val="TextBody"/>
                        <w:bidi w:val="0"/>
                        <w:spacing w:before="0" w:after="283"/>
                        <w:jc w:val="left"/>
                        <w:rPr/>
                      </w:pPr>
                      <w:r>
                        <w:rPr/>
                      </w:r>
                    </w:p>
                  </w:txbxContent>
                </v:textbox>
                <w10:wrap type="square" side="left"/>
              </v:rect>
            </w:pict>
          </mc:Fallback>
        </mc:AlternateContent>
      </w:r>
    </w:p>
    <w:p>
      <w:pPr>
        <w:pStyle w:val="TextBody"/>
        <w:bidi w:val="0"/>
        <w:jc w:val="left"/>
        <w:rPr>
          <w:caps w:val="false"/>
          <w:smallCaps w:val="false"/>
        </w:rPr>
      </w:pPr>
      <w:r>
        <w:rPr>
          <w:caps w:val="false"/>
          <w:smallCaps w:val="false"/>
        </w:rPr>
        <w:t> </w:t>
      </w:r>
    </w:p>
    <w:p>
      <w:pPr>
        <w:pStyle w:val="TextBody"/>
        <w:bidi w:val="0"/>
        <w:jc w:val="left"/>
        <w:rPr>
          <w:caps w:val="false"/>
          <w:smallCaps w:val="false"/>
          <w:shd w:fill="EDEDEE" w:val="clear"/>
        </w:rPr>
      </w:pPr>
      <w:r>
        <w:rPr>
          <w:caps w:val="false"/>
          <w:smallCaps w:val="false"/>
          <w:shd w:fill="EDEDEE" w:val="clear"/>
        </w:rPr>
        <w:t> </w:t>
      </w:r>
      <w:r>
        <mc:AlternateContent>
          <mc:Choice Requires="wps">
            <w:drawing>
              <wp:anchor behindDoc="0" distT="0" distB="0" distL="0" distR="0" simplePos="0" locked="0" layoutInCell="1" allowOverlap="1" relativeHeight="42">
                <wp:simplePos x="0" y="0"/>
                <wp:positionH relativeFrom="column">
                  <wp:align>left</wp:align>
                </wp:positionH>
                <wp:positionV relativeFrom="line">
                  <wp:posOffset>635</wp:posOffset>
                </wp:positionV>
                <wp:extent cx="4535805" cy="3767455"/>
                <wp:effectExtent l="0" t="0" r="0" b="0"/>
                <wp:wrapSquare wrapText="right"/>
                <wp:docPr id="164" name="Frame13"/>
                <a:graphic xmlns:a="http://schemas.openxmlformats.org/drawingml/2006/main">
                  <a:graphicData uri="http://schemas.microsoft.com/office/word/2010/wordprocessingShape">
                    <wps:wsp>
                      <wps:cNvSpPr txBox="1"/>
                      <wps:spPr>
                        <a:xfrm>
                          <a:off x="0" y="0"/>
                          <a:ext cx="4535805" cy="3767455"/>
                        </a:xfrm>
                        <a:prstGeom prst="rect"/>
                        <a:solidFill>
                          <a:srgbClr val="FFFFFF"/>
                        </a:solidFill>
                      </wps:spPr>
                      <wps:txbx>
                        <w:txbxContent>
                          <w:p>
                            <w:pPr>
                              <w:pStyle w:val="TextBody"/>
                              <w:bidi w:val="0"/>
                              <w:jc w:val="left"/>
                              <w:rPr>
                                <w:rFonts w:ascii="Arial;Helvetica;Sans-Serif" w:hAnsi="Arial;Helvetica;Sans-Serif"/>
                                <w:b/>
                                <w:i w:val="false"/>
                                <w:caps w:val="false"/>
                                <w:smallCaps w:val="false"/>
                                <w:sz w:val="30"/>
                              </w:rPr>
                            </w:pPr>
                            <w:r>
                              <w:rPr>
                                <w:rFonts w:ascii="Arial;Helvetica;Sans-Serif" w:hAnsi="Arial;Helvetica;Sans-Serif"/>
                                <w:b/>
                                <w:i w:val="false"/>
                                <w:caps w:val="false"/>
                                <w:smallCaps w:val="false"/>
                                <w:sz w:val="30"/>
                              </w:rPr>
                              <w:t>Leanne G. Caret</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088"/>
                              <w:gridCol w:w="300"/>
                              <w:gridCol w:w="2817"/>
                            </w:tblGrid>
                            <w:tr>
                              <w:trPr/>
                              <w:tc>
                                <w:tcPr>
                                  <w:tcW w:w="7088" w:type="dxa"/>
                                  <w:tcBorders/>
                                  <w:vAlign w:val="center"/>
                                </w:tcPr>
                                <w:p>
                                  <w:pPr>
                                    <w:pStyle w:val="TableContents"/>
                                    <w:bidi w:val="0"/>
                                    <w:spacing w:before="0" w:after="60"/>
                                    <w:jc w:val="left"/>
                                    <w:rPr>
                                      <w:b/>
                                    </w:rPr>
                                  </w:pPr>
                                  <w:r>
                                    <w:rPr>
                                      <w:b/>
                                    </w:rPr>
                                    <w:t>INDEPENDENT DIRECTOR</w:t>
                                  </w:r>
                                </w:p>
                                <w:p>
                                  <w:pPr>
                                    <w:pStyle w:val="TableContents"/>
                                    <w:bidi w:val="0"/>
                                    <w:spacing w:before="0" w:after="283"/>
                                    <w:jc w:val="left"/>
                                    <w:rPr>
                                      <w:sz w:val="20"/>
                                    </w:rPr>
                                  </w:pPr>
                                  <w:r>
                                    <w:rPr>
                                      <w:sz w:val="20"/>
                                    </w:rPr>
                                    <w:t>Retired Executive Vice President, The Boeing Company and Former CEO, Boeing Defense, Space and Security</w:t>
                                  </w:r>
                                </w:p>
                              </w:tc>
                              <w:tc>
                                <w:tcPr>
                                  <w:tcW w:w="300" w:type="dxa"/>
                                  <w:tcBorders/>
                                  <w:vAlign w:val="center"/>
                                </w:tcPr>
                                <w:p>
                                  <w:pPr>
                                    <w:pStyle w:val="TableContents"/>
                                    <w:bidi w:val="0"/>
                                    <w:spacing w:before="0" w:after="283"/>
                                    <w:jc w:val="left"/>
                                    <w:rPr/>
                                  </w:pPr>
                                  <w:r>
                                    <w:rPr/>
                                    <w:t>     </w:t>
                                  </w:r>
                                </w:p>
                              </w:tc>
                              <w:tc>
                                <w:tcPr>
                                  <w:tcW w:w="2817" w:type="dxa"/>
                                  <w:tcBorders/>
                                  <w:vAlign w:val="center"/>
                                </w:tcPr>
                                <w:p>
                                  <w:pPr>
                                    <w:pStyle w:val="TableContents"/>
                                    <w:bidi w:val="0"/>
                                    <w:spacing w:before="0" w:after="60"/>
                                    <w:jc w:val="left"/>
                                    <w:rPr/>
                                  </w:pPr>
                                  <w:r>
                                    <w:rPr/>
                                    <w:t xml:space="preserve">AGE </w:t>
                                  </w:r>
                                  <w:r>
                                    <w:rPr>
                                      <w:b/>
                                    </w:rPr>
                                    <w:t>59</w:t>
                                  </w:r>
                                </w:p>
                                <w:p>
                                  <w:pPr>
                                    <w:pStyle w:val="TableContents"/>
                                    <w:bidi w:val="0"/>
                                    <w:jc w:val="left"/>
                                    <w:rPr/>
                                  </w:pPr>
                                  <w:r>
                                    <w:rPr/>
                                    <w:t xml:space="preserve">DIRECTOR SINCE </w:t>
                                  </w:r>
                                  <w:r>
                                    <w:rPr>
                                      <w:b/>
                                    </w:rPr>
                                    <w:t>2023</w:t>
                                  </w:r>
                                </w:p>
                                <w:p>
                                  <w:pPr>
                                    <w:pStyle w:val="TableContents"/>
                                    <w:bidi w:val="0"/>
                                    <w:jc w:val="left"/>
                                    <w:rPr/>
                                  </w:pPr>
                                  <w:r>
                                    <w:rPr/>
                                    <w:t>BOARD COMMITTEES</w:t>
                                  </w:r>
                                </w:p>
                                <w:p>
                                  <w:pPr>
                                    <w:pStyle w:val="TableContents"/>
                                    <w:bidi w:val="0"/>
                                    <w:spacing w:before="0" w:after="283"/>
                                    <w:jc w:val="left"/>
                                    <w:rPr>
                                      <w:b/>
                                    </w:rPr>
                                  </w:pPr>
                                  <w:r>
                                    <w:rPr>
                                      <w:b/>
                                    </w:rPr>
                                    <w:t>Audit (Chair), Special Activities</w:t>
                                  </w:r>
                                </w:p>
                              </w:tc>
                            </w:tr>
                            <w:tr>
                              <w:trPr/>
                              <w:tc>
                                <w:tcPr>
                                  <w:tcW w:w="7088" w:type="dxa"/>
                                  <w:tcBorders/>
                                  <w:vAlign w:val="center"/>
                                </w:tcPr>
                                <w:p>
                                  <w:pPr>
                                    <w:pStyle w:val="TableContents"/>
                                    <w:bidi w:val="0"/>
                                    <w:spacing w:before="0" w:after="283"/>
                                    <w:jc w:val="left"/>
                                    <w:rPr>
                                      <w:b/>
                                      <w:sz w:val="20"/>
                                    </w:rPr>
                                  </w:pPr>
                                  <w:r>
                                    <w:rPr>
                                      <w:b/>
                                      <w:sz w:val="20"/>
                                    </w:rPr>
                                    <w:t>Key Skills and Expertise</w:t>
                                  </w:r>
                                </w:p>
                              </w:tc>
                              <w:tc>
                                <w:tcPr>
                                  <w:tcW w:w="300" w:type="dxa"/>
                                  <w:tcBorders/>
                                  <w:vAlign w:val="center"/>
                                </w:tcPr>
                                <w:p>
                                  <w:pPr>
                                    <w:pStyle w:val="TableContents"/>
                                    <w:bidi w:val="0"/>
                                    <w:spacing w:before="0" w:after="283"/>
                                    <w:jc w:val="left"/>
                                    <w:rPr/>
                                  </w:pPr>
                                  <w:r>
                                    <w:rPr/>
                                    <w:t> </w:t>
                                  </w:r>
                                </w:p>
                              </w:tc>
                              <w:tc>
                                <w:tcPr>
                                  <w:tcW w:w="2817"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15"/>
                              <w:gridCol w:w="1340"/>
                              <w:gridCol w:w="300"/>
                              <w:gridCol w:w="3140"/>
                              <w:gridCol w:w="300"/>
                              <w:gridCol w:w="4810"/>
                            </w:tblGrid>
                            <w:tr>
                              <w:trPr/>
                              <w:tc>
                                <w:tcPr>
                                  <w:tcW w:w="315" w:type="dxa"/>
                                  <w:tcBorders/>
                                  <w:vAlign w:val="center"/>
                                </w:tcPr>
                                <w:p>
                                  <w:pPr>
                                    <w:pStyle w:val="TableContents"/>
                                    <w:bidi w:val="0"/>
                                    <w:spacing w:before="0" w:after="283"/>
                                    <w:jc w:val="left"/>
                                    <w:rPr/>
                                  </w:pPr>
                                  <w:r>
                                    <w:rPr/>
                                    <w:drawing>
                                      <wp:inline distT="0" distB="0" distL="0" distR="0">
                                        <wp:extent cx="190500" cy="428625"/>
                                        <wp:effectExtent l="0" t="0" r="0" b="0"/>
                                        <wp:docPr id="165" name="Image1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Image140" descr=""/>
                                                <pic:cNvPicPr>
                                                  <a:picLocks noChangeAspect="1" noChangeArrowheads="1"/>
                                                </pic:cNvPicPr>
                                              </pic:nvPicPr>
                                              <pic:blipFill>
                                                <a:blip r:embed="rId153"/>
                                                <a:stretch>
                                                  <a:fillRect/>
                                                </a:stretch>
                                              </pic:blipFill>
                                              <pic:spPr bwMode="auto">
                                                <a:xfrm>
                                                  <a:off x="0" y="0"/>
                                                  <a:ext cx="190500" cy="428625"/>
                                                </a:xfrm>
                                                <a:prstGeom prst="rect">
                                                  <a:avLst/>
                                                </a:prstGeom>
                                              </pic:spPr>
                                            </pic:pic>
                                          </a:graphicData>
                                        </a:graphic>
                                      </wp:inline>
                                    </w:drawing>
                                  </w:r>
                                </w:p>
                              </w:tc>
                              <w:tc>
                                <w:tcPr>
                                  <w:tcW w:w="1340" w:type="dxa"/>
                                  <w:tcBorders/>
                                  <w:vAlign w:val="center"/>
                                </w:tcPr>
                                <w:p>
                                  <w:pPr>
                                    <w:pStyle w:val="TableContents"/>
                                    <w:bidi w:val="0"/>
                                    <w:spacing w:before="0" w:after="283"/>
                                    <w:jc w:val="left"/>
                                    <w:rPr/>
                                  </w:pPr>
                                  <w:r>
                                    <w:rPr/>
                                    <w:t>FINANCIAL</w:t>
                                  </w:r>
                                </w:p>
                              </w:tc>
                              <w:tc>
                                <w:tcPr>
                                  <w:tcW w:w="300" w:type="dxa"/>
                                  <w:tcBorders/>
                                  <w:vAlign w:val="center"/>
                                </w:tcPr>
                                <w:p>
                                  <w:pPr>
                                    <w:pStyle w:val="TableContents"/>
                                    <w:bidi w:val="0"/>
                                    <w:spacing w:before="0" w:after="283"/>
                                    <w:jc w:val="left"/>
                                    <w:rPr/>
                                  </w:pPr>
                                  <w:r>
                                    <w:rPr/>
                                    <w:drawing>
                                      <wp:inline distT="0" distB="0" distL="0" distR="0">
                                        <wp:extent cx="190500" cy="495300"/>
                                        <wp:effectExtent l="0" t="0" r="0" b="0"/>
                                        <wp:docPr id="166" name="Image1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Image141" descr=""/>
                                                <pic:cNvPicPr>
                                                  <a:picLocks noChangeAspect="1" noChangeArrowheads="1"/>
                                                </pic:cNvPicPr>
                                              </pic:nvPicPr>
                                              <pic:blipFill>
                                                <a:blip r:embed="rId154"/>
                                                <a:stretch>
                                                  <a:fillRect/>
                                                </a:stretch>
                                              </pic:blipFill>
                                              <pic:spPr bwMode="auto">
                                                <a:xfrm>
                                                  <a:off x="0" y="0"/>
                                                  <a:ext cx="190500" cy="495300"/>
                                                </a:xfrm>
                                                <a:prstGeom prst="rect">
                                                  <a:avLst/>
                                                </a:prstGeom>
                                              </pic:spPr>
                                            </pic:pic>
                                          </a:graphicData>
                                        </a:graphic>
                                      </wp:inline>
                                    </w:drawing>
                                  </w:r>
                                </w:p>
                              </w:tc>
                              <w:tc>
                                <w:tcPr>
                                  <w:tcW w:w="3140" w:type="dxa"/>
                                  <w:tcBorders/>
                                  <w:vAlign w:val="center"/>
                                </w:tcPr>
                                <w:p>
                                  <w:pPr>
                                    <w:pStyle w:val="TableContents"/>
                                    <w:bidi w:val="0"/>
                                    <w:spacing w:before="0" w:after="283"/>
                                    <w:jc w:val="left"/>
                                    <w:rPr/>
                                  </w:pPr>
                                  <w:r>
                                    <w:rPr/>
                                    <w:t>EXPERIENCE IN INDUSTRY</w:t>
                                  </w:r>
                                </w:p>
                              </w:tc>
                              <w:tc>
                                <w:tcPr>
                                  <w:tcW w:w="300" w:type="dxa"/>
                                  <w:tcBorders/>
                                  <w:vAlign w:val="center"/>
                                </w:tcPr>
                                <w:p>
                                  <w:pPr>
                                    <w:pStyle w:val="TableContents"/>
                                    <w:bidi w:val="0"/>
                                    <w:spacing w:before="0" w:after="283"/>
                                    <w:jc w:val="left"/>
                                    <w:rPr/>
                                  </w:pPr>
                                  <w:r>
                                    <w:rPr/>
                                    <w:drawing>
                                      <wp:inline distT="0" distB="0" distL="0" distR="0">
                                        <wp:extent cx="190500" cy="180975"/>
                                        <wp:effectExtent l="0" t="0" r="0" b="0"/>
                                        <wp:docPr id="167" name="Image1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Image142" descr=""/>
                                                <pic:cNvPicPr>
                                                  <a:picLocks noChangeAspect="1" noChangeArrowheads="1"/>
                                                </pic:cNvPicPr>
                                              </pic:nvPicPr>
                                              <pic:blipFill>
                                                <a:blip r:embed="rId155"/>
                                                <a:stretch>
                                                  <a:fillRect/>
                                                </a:stretch>
                                              </pic:blipFill>
                                              <pic:spPr bwMode="auto">
                                                <a:xfrm>
                                                  <a:off x="0" y="0"/>
                                                  <a:ext cx="190500" cy="180975"/>
                                                </a:xfrm>
                                                <a:prstGeom prst="rect">
                                                  <a:avLst/>
                                                </a:prstGeom>
                                              </pic:spPr>
                                            </pic:pic>
                                          </a:graphicData>
                                        </a:graphic>
                                      </wp:inline>
                                    </w:drawing>
                                  </w:r>
                                </w:p>
                              </w:tc>
                              <w:tc>
                                <w:tcPr>
                                  <w:tcW w:w="4810" w:type="dxa"/>
                                  <w:tcBorders/>
                                  <w:vAlign w:val="center"/>
                                </w:tcPr>
                                <w:p>
                                  <w:pPr>
                                    <w:pStyle w:val="TableContents"/>
                                    <w:bidi w:val="0"/>
                                    <w:spacing w:before="0" w:after="283"/>
                                    <w:jc w:val="left"/>
                                    <w:rPr/>
                                  </w:pPr>
                                  <w:r>
                                    <w:rPr/>
                                    <w:t>MANUFACTURING, OPERATIONS &amp; SUPPLY CHAIN</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70000</wp14:pctWidth>
                </wp14:sizeRelH>
              </wp:anchor>
            </w:drawing>
          </mc:Choice>
          <mc:Fallback>
            <w:pict>
              <v:rect style="position:absolute;rotation:-0;width:357.15pt;height:296.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jc w:val="left"/>
                        <w:rPr>
                          <w:rFonts w:ascii="Arial;Helvetica;Sans-Serif" w:hAnsi="Arial;Helvetica;Sans-Serif"/>
                          <w:b/>
                          <w:i w:val="false"/>
                          <w:caps w:val="false"/>
                          <w:smallCaps w:val="false"/>
                          <w:sz w:val="30"/>
                        </w:rPr>
                      </w:pPr>
                      <w:r>
                        <w:rPr>
                          <w:rFonts w:ascii="Arial;Helvetica;Sans-Serif" w:hAnsi="Arial;Helvetica;Sans-Serif"/>
                          <w:b/>
                          <w:i w:val="false"/>
                          <w:caps w:val="false"/>
                          <w:smallCaps w:val="false"/>
                          <w:sz w:val="30"/>
                        </w:rPr>
                        <w:t>Leanne G. Caret</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088"/>
                        <w:gridCol w:w="300"/>
                        <w:gridCol w:w="2817"/>
                      </w:tblGrid>
                      <w:tr>
                        <w:trPr/>
                        <w:tc>
                          <w:tcPr>
                            <w:tcW w:w="7088" w:type="dxa"/>
                            <w:tcBorders/>
                            <w:vAlign w:val="center"/>
                          </w:tcPr>
                          <w:p>
                            <w:pPr>
                              <w:pStyle w:val="TableContents"/>
                              <w:bidi w:val="0"/>
                              <w:spacing w:before="0" w:after="60"/>
                              <w:jc w:val="left"/>
                              <w:rPr>
                                <w:b/>
                              </w:rPr>
                            </w:pPr>
                            <w:r>
                              <w:rPr>
                                <w:b/>
                              </w:rPr>
                              <w:t>INDEPENDENT DIRECTOR</w:t>
                            </w:r>
                          </w:p>
                          <w:p>
                            <w:pPr>
                              <w:pStyle w:val="TableContents"/>
                              <w:bidi w:val="0"/>
                              <w:spacing w:before="0" w:after="283"/>
                              <w:jc w:val="left"/>
                              <w:rPr>
                                <w:sz w:val="20"/>
                              </w:rPr>
                            </w:pPr>
                            <w:r>
                              <w:rPr>
                                <w:sz w:val="20"/>
                              </w:rPr>
                              <w:t>Retired Executive Vice President, The Boeing Company and Former CEO, Boeing Defense, Space and Security</w:t>
                            </w:r>
                          </w:p>
                        </w:tc>
                        <w:tc>
                          <w:tcPr>
                            <w:tcW w:w="300" w:type="dxa"/>
                            <w:tcBorders/>
                            <w:vAlign w:val="center"/>
                          </w:tcPr>
                          <w:p>
                            <w:pPr>
                              <w:pStyle w:val="TableContents"/>
                              <w:bidi w:val="0"/>
                              <w:spacing w:before="0" w:after="283"/>
                              <w:jc w:val="left"/>
                              <w:rPr/>
                            </w:pPr>
                            <w:r>
                              <w:rPr/>
                              <w:t>     </w:t>
                            </w:r>
                          </w:p>
                        </w:tc>
                        <w:tc>
                          <w:tcPr>
                            <w:tcW w:w="2817" w:type="dxa"/>
                            <w:tcBorders/>
                            <w:vAlign w:val="center"/>
                          </w:tcPr>
                          <w:p>
                            <w:pPr>
                              <w:pStyle w:val="TableContents"/>
                              <w:bidi w:val="0"/>
                              <w:spacing w:before="0" w:after="60"/>
                              <w:jc w:val="left"/>
                              <w:rPr/>
                            </w:pPr>
                            <w:r>
                              <w:rPr/>
                              <w:t xml:space="preserve">AGE </w:t>
                            </w:r>
                            <w:r>
                              <w:rPr>
                                <w:b/>
                              </w:rPr>
                              <w:t>59</w:t>
                            </w:r>
                          </w:p>
                          <w:p>
                            <w:pPr>
                              <w:pStyle w:val="TableContents"/>
                              <w:bidi w:val="0"/>
                              <w:jc w:val="left"/>
                              <w:rPr/>
                            </w:pPr>
                            <w:r>
                              <w:rPr/>
                              <w:t xml:space="preserve">DIRECTOR SINCE </w:t>
                            </w:r>
                            <w:r>
                              <w:rPr>
                                <w:b/>
                              </w:rPr>
                              <w:t>2023</w:t>
                            </w:r>
                          </w:p>
                          <w:p>
                            <w:pPr>
                              <w:pStyle w:val="TableContents"/>
                              <w:bidi w:val="0"/>
                              <w:jc w:val="left"/>
                              <w:rPr/>
                            </w:pPr>
                            <w:r>
                              <w:rPr/>
                              <w:t>BOARD COMMITTEES</w:t>
                            </w:r>
                          </w:p>
                          <w:p>
                            <w:pPr>
                              <w:pStyle w:val="TableContents"/>
                              <w:bidi w:val="0"/>
                              <w:spacing w:before="0" w:after="283"/>
                              <w:jc w:val="left"/>
                              <w:rPr>
                                <w:b/>
                              </w:rPr>
                            </w:pPr>
                            <w:r>
                              <w:rPr>
                                <w:b/>
                              </w:rPr>
                              <w:t>Audit (Chair), Special Activities</w:t>
                            </w:r>
                          </w:p>
                        </w:tc>
                      </w:tr>
                      <w:tr>
                        <w:trPr/>
                        <w:tc>
                          <w:tcPr>
                            <w:tcW w:w="7088" w:type="dxa"/>
                            <w:tcBorders/>
                            <w:vAlign w:val="center"/>
                          </w:tcPr>
                          <w:p>
                            <w:pPr>
                              <w:pStyle w:val="TableContents"/>
                              <w:bidi w:val="0"/>
                              <w:spacing w:before="0" w:after="283"/>
                              <w:jc w:val="left"/>
                              <w:rPr>
                                <w:b/>
                                <w:sz w:val="20"/>
                              </w:rPr>
                            </w:pPr>
                            <w:r>
                              <w:rPr>
                                <w:b/>
                                <w:sz w:val="20"/>
                              </w:rPr>
                              <w:t>Key Skills and Expertise</w:t>
                            </w:r>
                          </w:p>
                        </w:tc>
                        <w:tc>
                          <w:tcPr>
                            <w:tcW w:w="300" w:type="dxa"/>
                            <w:tcBorders/>
                            <w:vAlign w:val="center"/>
                          </w:tcPr>
                          <w:p>
                            <w:pPr>
                              <w:pStyle w:val="TableContents"/>
                              <w:bidi w:val="0"/>
                              <w:spacing w:before="0" w:after="283"/>
                              <w:jc w:val="left"/>
                              <w:rPr/>
                            </w:pPr>
                            <w:r>
                              <w:rPr/>
                              <w:t> </w:t>
                            </w:r>
                          </w:p>
                        </w:tc>
                        <w:tc>
                          <w:tcPr>
                            <w:tcW w:w="2817"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15"/>
                        <w:gridCol w:w="1340"/>
                        <w:gridCol w:w="300"/>
                        <w:gridCol w:w="3140"/>
                        <w:gridCol w:w="300"/>
                        <w:gridCol w:w="4810"/>
                      </w:tblGrid>
                      <w:tr>
                        <w:trPr/>
                        <w:tc>
                          <w:tcPr>
                            <w:tcW w:w="315" w:type="dxa"/>
                            <w:tcBorders/>
                            <w:vAlign w:val="center"/>
                          </w:tcPr>
                          <w:p>
                            <w:pPr>
                              <w:pStyle w:val="TableContents"/>
                              <w:bidi w:val="0"/>
                              <w:spacing w:before="0" w:after="283"/>
                              <w:jc w:val="left"/>
                              <w:rPr/>
                            </w:pPr>
                            <w:r>
                              <w:rPr/>
                              <w:drawing>
                                <wp:inline distT="0" distB="0" distL="0" distR="0">
                                  <wp:extent cx="190500" cy="428625"/>
                                  <wp:effectExtent l="0" t="0" r="0" b="0"/>
                                  <wp:docPr id="168" name="Image1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Image140" descr=""/>
                                          <pic:cNvPicPr>
                                            <a:picLocks noChangeAspect="1" noChangeArrowheads="1"/>
                                          </pic:cNvPicPr>
                                        </pic:nvPicPr>
                                        <pic:blipFill>
                                          <a:blip r:embed="rId156"/>
                                          <a:stretch>
                                            <a:fillRect/>
                                          </a:stretch>
                                        </pic:blipFill>
                                        <pic:spPr bwMode="auto">
                                          <a:xfrm>
                                            <a:off x="0" y="0"/>
                                            <a:ext cx="190500" cy="428625"/>
                                          </a:xfrm>
                                          <a:prstGeom prst="rect">
                                            <a:avLst/>
                                          </a:prstGeom>
                                        </pic:spPr>
                                      </pic:pic>
                                    </a:graphicData>
                                  </a:graphic>
                                </wp:inline>
                              </w:drawing>
                            </w:r>
                          </w:p>
                        </w:tc>
                        <w:tc>
                          <w:tcPr>
                            <w:tcW w:w="1340" w:type="dxa"/>
                            <w:tcBorders/>
                            <w:vAlign w:val="center"/>
                          </w:tcPr>
                          <w:p>
                            <w:pPr>
                              <w:pStyle w:val="TableContents"/>
                              <w:bidi w:val="0"/>
                              <w:spacing w:before="0" w:after="283"/>
                              <w:jc w:val="left"/>
                              <w:rPr/>
                            </w:pPr>
                            <w:r>
                              <w:rPr/>
                              <w:t>FINANCIAL</w:t>
                            </w:r>
                          </w:p>
                        </w:tc>
                        <w:tc>
                          <w:tcPr>
                            <w:tcW w:w="300" w:type="dxa"/>
                            <w:tcBorders/>
                            <w:vAlign w:val="center"/>
                          </w:tcPr>
                          <w:p>
                            <w:pPr>
                              <w:pStyle w:val="TableContents"/>
                              <w:bidi w:val="0"/>
                              <w:spacing w:before="0" w:after="283"/>
                              <w:jc w:val="left"/>
                              <w:rPr/>
                            </w:pPr>
                            <w:r>
                              <w:rPr/>
                              <w:drawing>
                                <wp:inline distT="0" distB="0" distL="0" distR="0">
                                  <wp:extent cx="190500" cy="495300"/>
                                  <wp:effectExtent l="0" t="0" r="0" b="0"/>
                                  <wp:docPr id="169" name="Image1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Image141" descr=""/>
                                          <pic:cNvPicPr>
                                            <a:picLocks noChangeAspect="1" noChangeArrowheads="1"/>
                                          </pic:cNvPicPr>
                                        </pic:nvPicPr>
                                        <pic:blipFill>
                                          <a:blip r:embed="rId157"/>
                                          <a:stretch>
                                            <a:fillRect/>
                                          </a:stretch>
                                        </pic:blipFill>
                                        <pic:spPr bwMode="auto">
                                          <a:xfrm>
                                            <a:off x="0" y="0"/>
                                            <a:ext cx="190500" cy="495300"/>
                                          </a:xfrm>
                                          <a:prstGeom prst="rect">
                                            <a:avLst/>
                                          </a:prstGeom>
                                        </pic:spPr>
                                      </pic:pic>
                                    </a:graphicData>
                                  </a:graphic>
                                </wp:inline>
                              </w:drawing>
                            </w:r>
                          </w:p>
                        </w:tc>
                        <w:tc>
                          <w:tcPr>
                            <w:tcW w:w="3140" w:type="dxa"/>
                            <w:tcBorders/>
                            <w:vAlign w:val="center"/>
                          </w:tcPr>
                          <w:p>
                            <w:pPr>
                              <w:pStyle w:val="TableContents"/>
                              <w:bidi w:val="0"/>
                              <w:spacing w:before="0" w:after="283"/>
                              <w:jc w:val="left"/>
                              <w:rPr/>
                            </w:pPr>
                            <w:r>
                              <w:rPr/>
                              <w:t>EXPERIENCE IN INDUSTRY</w:t>
                            </w:r>
                          </w:p>
                        </w:tc>
                        <w:tc>
                          <w:tcPr>
                            <w:tcW w:w="300" w:type="dxa"/>
                            <w:tcBorders/>
                            <w:vAlign w:val="center"/>
                          </w:tcPr>
                          <w:p>
                            <w:pPr>
                              <w:pStyle w:val="TableContents"/>
                              <w:bidi w:val="0"/>
                              <w:spacing w:before="0" w:after="283"/>
                              <w:jc w:val="left"/>
                              <w:rPr/>
                            </w:pPr>
                            <w:r>
                              <w:rPr/>
                              <w:drawing>
                                <wp:inline distT="0" distB="0" distL="0" distR="0">
                                  <wp:extent cx="190500" cy="180975"/>
                                  <wp:effectExtent l="0" t="0" r="0" b="0"/>
                                  <wp:docPr id="170" name="Image1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Image142" descr=""/>
                                          <pic:cNvPicPr>
                                            <a:picLocks noChangeAspect="1" noChangeArrowheads="1"/>
                                          </pic:cNvPicPr>
                                        </pic:nvPicPr>
                                        <pic:blipFill>
                                          <a:blip r:embed="rId158"/>
                                          <a:stretch>
                                            <a:fillRect/>
                                          </a:stretch>
                                        </pic:blipFill>
                                        <pic:spPr bwMode="auto">
                                          <a:xfrm>
                                            <a:off x="0" y="0"/>
                                            <a:ext cx="190500" cy="180975"/>
                                          </a:xfrm>
                                          <a:prstGeom prst="rect">
                                            <a:avLst/>
                                          </a:prstGeom>
                                        </pic:spPr>
                                      </pic:pic>
                                    </a:graphicData>
                                  </a:graphic>
                                </wp:inline>
                              </w:drawing>
                            </w:r>
                          </w:p>
                        </w:tc>
                        <w:tc>
                          <w:tcPr>
                            <w:tcW w:w="4810" w:type="dxa"/>
                            <w:tcBorders/>
                            <w:vAlign w:val="center"/>
                          </w:tcPr>
                          <w:p>
                            <w:pPr>
                              <w:pStyle w:val="TableContents"/>
                              <w:bidi w:val="0"/>
                              <w:spacing w:before="0" w:after="283"/>
                              <w:jc w:val="left"/>
                              <w:rPr/>
                            </w:pPr>
                            <w:r>
                              <w:rPr/>
                              <w:t>MANUFACTURING, OPERATIONS &amp; SUPPLY CHAIN</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65">
                <wp:simplePos x="0" y="0"/>
                <wp:positionH relativeFrom="column">
                  <wp:align>right</wp:align>
                </wp:positionH>
                <wp:positionV relativeFrom="line">
                  <wp:posOffset>635</wp:posOffset>
                </wp:positionV>
                <wp:extent cx="1943735" cy="5092700"/>
                <wp:effectExtent l="0" t="0" r="0" b="0"/>
                <wp:wrapSquare wrapText="left"/>
                <wp:docPr id="171" name="Frame14"/>
                <a:graphic xmlns:a="http://schemas.openxmlformats.org/drawingml/2006/main">
                  <a:graphicData uri="http://schemas.microsoft.com/office/word/2010/wordprocessingShape">
                    <wps:wsp>
                      <wps:cNvSpPr txBox="1"/>
                      <wps:spPr>
                        <a:xfrm>
                          <a:off x="0" y="0"/>
                          <a:ext cx="1943735" cy="5092700"/>
                        </a:xfrm>
                        <a:prstGeom prst="rect"/>
                        <a:solidFill>
                          <a:srgbClr val="FFFFFF"/>
                        </a:solidFill>
                      </wps:spPr>
                      <wps:txbx>
                        <w:txbxContent>
                          <w:p>
                            <w:pPr>
                              <w:pStyle w:val="TextBody"/>
                              <w:bidi w:val="0"/>
                              <w:spacing w:before="0" w:after="283"/>
                              <w:ind w:left="0" w:right="0" w:hanging="0"/>
                              <w:jc w:val="right"/>
                              <w:rPr>
                                <w:caps w:val="false"/>
                                <w:smallCaps w:val="false"/>
                              </w:rPr>
                            </w:pPr>
                            <w:r>
                              <w:rPr>
                                <w:caps w:val="false"/>
                                <w:smallCaps w:val="false"/>
                              </w:rPr>
                              <w:drawing>
                                <wp:inline distT="0" distB="0" distL="0" distR="0">
                                  <wp:extent cx="1619250" cy="4800600"/>
                                  <wp:effectExtent l="0" t="0" r="0" b="0"/>
                                  <wp:docPr id="172" name="Image1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Image143" descr=""/>
                                          <pic:cNvPicPr>
                                            <a:picLocks noChangeAspect="1" noChangeArrowheads="1"/>
                                          </pic:cNvPicPr>
                                        </pic:nvPicPr>
                                        <pic:blipFill>
                                          <a:blip r:embed="rId159"/>
                                          <a:stretch>
                                            <a:fillRect/>
                                          </a:stretch>
                                        </pic:blipFill>
                                        <pic:spPr bwMode="auto">
                                          <a:xfrm>
                                            <a:off x="0" y="0"/>
                                            <a:ext cx="1619250" cy="4800600"/>
                                          </a:xfrm>
                                          <a:prstGeom prst="rect">
                                            <a:avLst/>
                                          </a:prstGeom>
                                        </pic:spPr>
                                      </pic:pic>
                                    </a:graphicData>
                                  </a:graphic>
                                </wp:inline>
                              </w:drawing>
                            </w:r>
                          </w:p>
                        </w:txbxContent>
                      </wps:txbx>
                      <wps:bodyPr anchor="t" lIns="0" tIns="0" rIns="0" bIns="0">
                        <a:noAutofit/>
                      </wps:bodyPr>
                    </wps:wsp>
                  </a:graphicData>
                </a:graphic>
                <wp14:sizeRelH relativeFrom="margin">
                  <wp14:pctWidth>30000</wp14:pctWidth>
                </wp14:sizeRelH>
              </wp:anchor>
            </w:drawing>
          </mc:Choice>
          <mc:Fallback>
            <w:pict>
              <v:rect style="position:absolute;rotation:-0;width:153.05pt;height:401pt;mso-wrap-distance-left:0pt;mso-wrap-distance-right:0pt;mso-wrap-distance-top:0pt;mso-wrap-distance-bottom:0pt;margin-top:0pt;mso-position-vertical:top;mso-position-vertical-relative:text;margin-left:357.2pt;mso-position-horizontal:right;mso-position-horizontal-relative:text">
                <v:textbox>
                  <w:txbxContent>
                    <w:p>
                      <w:pPr>
                        <w:pStyle w:val="TextBody"/>
                        <w:bidi w:val="0"/>
                        <w:spacing w:before="0" w:after="283"/>
                        <w:ind w:left="0" w:right="0" w:hanging="0"/>
                        <w:jc w:val="right"/>
                        <w:rPr>
                          <w:caps w:val="false"/>
                          <w:smallCaps w:val="false"/>
                        </w:rPr>
                      </w:pPr>
                      <w:r>
                        <w:rPr>
                          <w:caps w:val="false"/>
                          <w:smallCaps w:val="false"/>
                        </w:rPr>
                        <w:drawing>
                          <wp:inline distT="0" distB="0" distL="0" distR="0">
                            <wp:extent cx="1619250" cy="4800600"/>
                            <wp:effectExtent l="0" t="0" r="0" b="0"/>
                            <wp:docPr id="173" name="Image1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Image143" descr=""/>
                                    <pic:cNvPicPr>
                                      <a:picLocks noChangeAspect="1" noChangeArrowheads="1"/>
                                    </pic:cNvPicPr>
                                  </pic:nvPicPr>
                                  <pic:blipFill>
                                    <a:blip r:embed="rId160"/>
                                    <a:stretch>
                                      <a:fillRect/>
                                    </a:stretch>
                                  </pic:blipFill>
                                  <pic:spPr bwMode="auto">
                                    <a:xfrm>
                                      <a:off x="0" y="0"/>
                                      <a:ext cx="1619250" cy="4800600"/>
                                    </a:xfrm>
                                    <a:prstGeom prst="rect">
                                      <a:avLst/>
                                    </a:prstGeom>
                                  </pic:spPr>
                                </pic:pic>
                              </a:graphicData>
                            </a:graphic>
                          </wp:inline>
                        </w:drawing>
                      </w:r>
                    </w:p>
                  </w:txbxContent>
                </v:textbox>
                <w10:wrap type="square" side="left"/>
              </v:rect>
            </w:pict>
          </mc:Fallback>
        </mc:AlternateContent>
      </w:r>
    </w:p>
    <w:p>
      <w:pPr>
        <w:pStyle w:val="TextBody"/>
        <w:bidi w:val="0"/>
        <w:jc w:val="left"/>
        <w:rPr>
          <w:caps w:val="false"/>
          <w:smallCaps w:val="false"/>
        </w:rPr>
      </w:pPr>
      <w:r>
        <w:rPr>
          <w:caps w:val="false"/>
          <w:smallCaps w:val="false"/>
        </w:rPr>
        <w:t> </w:t>
      </w:r>
    </w:p>
    <w:p>
      <w:pPr>
        <w:pStyle w:val="TextBody"/>
        <w:bidi w:val="0"/>
        <w:spacing w:before="200" w:after="283"/>
        <w:jc w:val="right"/>
        <w:rPr/>
      </w:pPr>
      <w:r>
        <w:rPr>
          <w:rFonts w:ascii="Arial;Helvetica;Sans-Serif" w:hAnsi="Arial;Helvetica;Sans-Serif"/>
          <w:b/>
          <w:i w:val="false"/>
          <w:caps w:val="false"/>
          <w:smallCaps w:val="false"/>
          <w:sz w:val="15"/>
        </w:rPr>
        <w:t xml:space="preserve">RTX </w:t>
      </w:r>
      <w:r>
        <w:rPr>
          <w:rFonts w:ascii="Arial;Helvetica;Sans-Serif" w:hAnsi="Arial;Helvetica;Sans-Serif"/>
          <w:b w:val="false"/>
          <w:i w:val="false"/>
          <w:caps w:val="false"/>
          <w:smallCaps w:val="false"/>
          <w:sz w:val="15"/>
        </w:rPr>
        <w:t>2026 PROXY STATEMENT    </w:t>
      </w:r>
      <w:r>
        <w:rPr>
          <w:rFonts w:ascii="Arial;Helvetica;Sans-Serif" w:hAnsi="Arial;Helvetica;Sans-Serif"/>
          <w:b/>
          <w:i w:val="false"/>
          <w:caps w:val="false"/>
          <w:smallCaps w:val="false"/>
          <w:sz w:val="15"/>
        </w:rPr>
        <w:t>15</w:t>
      </w:r>
      <w:r>
        <mc:AlternateContent>
          <mc:Choice Requires="wps">
            <w:drawing>
              <wp:anchor behindDoc="0" distT="0" distB="0" distL="0" distR="0" simplePos="0" locked="0" layoutInCell="1" allowOverlap="1" relativeHeight="291">
                <wp:simplePos x="0" y="0"/>
                <wp:positionH relativeFrom="column">
                  <wp:align>left</wp:align>
                </wp:positionH>
                <wp:positionV relativeFrom="line">
                  <wp:posOffset>635</wp:posOffset>
                </wp:positionV>
                <wp:extent cx="3110230" cy="4080510"/>
                <wp:effectExtent l="0" t="0" r="0" b="0"/>
                <wp:wrapSquare wrapText="right"/>
                <wp:docPr id="174" name="Frame15"/>
                <a:graphic xmlns:a="http://schemas.openxmlformats.org/drawingml/2006/main">
                  <a:graphicData uri="http://schemas.microsoft.com/office/word/2010/wordprocessingShape">
                    <wps:wsp>
                      <wps:cNvSpPr txBox="1"/>
                      <wps:spPr>
                        <a:xfrm>
                          <a:off x="0" y="0"/>
                          <a:ext cx="3110230" cy="4080510"/>
                        </a:xfrm>
                        <a:prstGeom prst="rect"/>
                        <a:solidFill>
                          <a:srgbClr val="FFFFFF"/>
                        </a:solidFill>
                      </wps:spPr>
                      <wps:txbx>
                        <w:txbxContent>
                          <w:p>
                            <w:pPr>
                              <w:pStyle w:val="TextBody"/>
                              <w:bidi w:val="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Qualifications</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Ms. Caret provides the Board with significant experience in the aerospace and defense industry and finance experience gained through her CEO and CFO roles with Boeing Defense, Space &amp; Security and other senior leadership roles at The Boeing Company. Through these roles she also brings executive leadership experience, as well as a significant background in oversight of risk management and of manufacturing, operations and supply chain.</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Experience</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pPr>
                                  <w:r>
                                    <w:rPr/>
                                    <w:t>Executive Vice President and Senior Advisor, The Boeing Company (aerospace and defense systems &amp; services), April 2022–December 2022</w:t>
                                  </w:r>
                                </w:p>
                              </w:tc>
                            </w:tr>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pPr>
                                  <w:r>
                                    <w:rPr/>
                                    <w:t>President &amp; CEO, Defense, Space &amp; Security, The Boeing Company, 2016–2022</w:t>
                                  </w:r>
                                </w:p>
                              </w:tc>
                            </w:tr>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pPr>
                                  <w:r>
                                    <w:rPr/>
                                    <w:t>President, Global Services &amp; Support, The Boeing Company, 2015–2016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321.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Qualifications</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Ms. Caret provides the Board with significant experience in the aerospace and defense industry and finance experience gained through her CEO and CFO roles with Boeing Defense, Space &amp; Security and other senior leadership roles at The Boeing Company. Through these roles she also brings executive leadership experience, as well as a significant background in oversight of risk management and of manufacturing, operations and supply chain.</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Experience</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pPr>
                            <w:r>
                              <w:rPr/>
                              <w:t>Executive Vice President and Senior Advisor, The Boeing Company (aerospace and defense systems &amp; services), April 2022–December 2022</w:t>
                            </w:r>
                          </w:p>
                        </w:tc>
                      </w:tr>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pPr>
                            <w:r>
                              <w:rPr/>
                              <w:t>President &amp; CEO, Defense, Space &amp; Security, The Boeing Company, 2016–2022</w:t>
                            </w:r>
                          </w:p>
                        </w:tc>
                      </w:tr>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pPr>
                            <w:r>
                              <w:rPr/>
                              <w:t>President, Global Services &amp; Support, The Boeing Company, 2015–2016</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292">
                <wp:simplePos x="0" y="0"/>
                <wp:positionH relativeFrom="column">
                  <wp:align>right</wp:align>
                </wp:positionH>
                <wp:positionV relativeFrom="line">
                  <wp:posOffset>635</wp:posOffset>
                </wp:positionV>
                <wp:extent cx="3110230" cy="5081905"/>
                <wp:effectExtent l="0" t="0" r="0" b="0"/>
                <wp:wrapSquare wrapText="left"/>
                <wp:docPr id="175" name="Frame16"/>
                <a:graphic xmlns:a="http://schemas.openxmlformats.org/drawingml/2006/main">
                  <a:graphicData uri="http://schemas.microsoft.com/office/word/2010/wordprocessingShape">
                    <wps:wsp>
                      <wps:cNvSpPr txBox="1"/>
                      <wps:spPr>
                        <a:xfrm>
                          <a:off x="0" y="0"/>
                          <a:ext cx="3110230" cy="5081905"/>
                        </a:xfrm>
                        <a:prstGeom prst="rect"/>
                        <a:solidFill>
                          <a:srgbClr val="FFFFFF"/>
                        </a:solidFill>
                      </wps:spPr>
                      <wps:txbx>
                        <w:txbxContent>
                          <w:tbl>
                            <w:tblPr>
                              <w:tblW w:w="9130" w:type="dxa"/>
                              <w:jc w:val="left"/>
                              <w:tblInd w:w="0" w:type="dxa"/>
                              <w:tblLayout w:type="fixed"/>
                              <w:tblCellMar>
                                <w:top w:w="0" w:type="dxa"/>
                                <w:left w:w="0" w:type="dxa"/>
                                <w:bottom w:w="0" w:type="dxa"/>
                                <w:right w:w="0" w:type="dxa"/>
                              </w:tblCellMar>
                            </w:tblPr>
                            <w:tblGrid>
                              <w:gridCol w:w="185"/>
                              <w:gridCol w:w="8945"/>
                            </w:tblGrid>
                            <w:tr>
                              <w:trPr/>
                              <w:tc>
                                <w:tcPr>
                                  <w:tcW w:w="185" w:type="dxa"/>
                                  <w:tcBorders/>
                                  <w:vAlign w:val="center"/>
                                </w:tcPr>
                                <w:p>
                                  <w:pPr>
                                    <w:pStyle w:val="TableContents"/>
                                    <w:bidi w:val="0"/>
                                    <w:spacing w:before="0" w:after="283"/>
                                    <w:jc w:val="left"/>
                                    <w:rPr/>
                                  </w:pPr>
                                  <w:r>
                                    <w:rPr/>
                                    <w:t>●</w:t>
                                  </w:r>
                                </w:p>
                              </w:tc>
                              <w:tc>
                                <w:tcPr>
                                  <w:tcW w:w="8945" w:type="dxa"/>
                                  <w:tcBorders/>
                                  <w:vAlign w:val="center"/>
                                </w:tcPr>
                                <w:p>
                                  <w:pPr>
                                    <w:pStyle w:val="TableContents"/>
                                    <w:bidi w:val="0"/>
                                    <w:spacing w:before="0" w:after="283"/>
                                    <w:jc w:val="left"/>
                                    <w:rPr/>
                                  </w:pPr>
                                  <w:r>
                                    <w:rPr/>
                                    <w:t>Chief Financial Officer, Defense, Space &amp; Security, The Boeing Company, 2014–2015</w:t>
                                  </w:r>
                                </w:p>
                              </w:tc>
                            </w:tr>
                            <w:tr>
                              <w:trPr/>
                              <w:tc>
                                <w:tcPr>
                                  <w:tcW w:w="185" w:type="dxa"/>
                                  <w:tcBorders/>
                                  <w:vAlign w:val="center"/>
                                </w:tcPr>
                                <w:p>
                                  <w:pPr>
                                    <w:pStyle w:val="TableContents"/>
                                    <w:bidi w:val="0"/>
                                    <w:spacing w:before="0" w:after="283"/>
                                    <w:jc w:val="left"/>
                                    <w:rPr/>
                                  </w:pPr>
                                  <w:r>
                                    <w:rPr/>
                                    <w:t>●</w:t>
                                  </w:r>
                                </w:p>
                              </w:tc>
                              <w:tc>
                                <w:tcPr>
                                  <w:tcW w:w="8945" w:type="dxa"/>
                                  <w:tcBorders/>
                                  <w:vAlign w:val="center"/>
                                </w:tcPr>
                                <w:p>
                                  <w:pPr>
                                    <w:pStyle w:val="TableContents"/>
                                    <w:bidi w:val="0"/>
                                    <w:spacing w:before="0" w:after="283"/>
                                    <w:jc w:val="left"/>
                                    <w:rPr/>
                                  </w:pPr>
                                  <w:r>
                                    <w:rPr/>
                                    <w:t>Vice President &amp; General Manager, Vertical Lift, The Boeing Company, 2013–2014</w:t>
                                  </w:r>
                                </w:p>
                              </w:tc>
                            </w:tr>
                            <w:tr>
                              <w:trPr/>
                              <w:tc>
                                <w:tcPr>
                                  <w:tcW w:w="185" w:type="dxa"/>
                                  <w:tcBorders/>
                                  <w:vAlign w:val="center"/>
                                </w:tcPr>
                                <w:p>
                                  <w:pPr>
                                    <w:pStyle w:val="TableContents"/>
                                    <w:bidi w:val="0"/>
                                    <w:spacing w:before="0" w:after="283"/>
                                    <w:jc w:val="left"/>
                                    <w:rPr/>
                                  </w:pPr>
                                  <w:r>
                                    <w:rPr/>
                                    <w:t>●</w:t>
                                  </w:r>
                                </w:p>
                              </w:tc>
                              <w:tc>
                                <w:tcPr>
                                  <w:tcW w:w="8945" w:type="dxa"/>
                                  <w:tcBorders/>
                                  <w:vAlign w:val="center"/>
                                </w:tcPr>
                                <w:p>
                                  <w:pPr>
                                    <w:pStyle w:val="TableContents"/>
                                    <w:bidi w:val="0"/>
                                    <w:spacing w:before="0" w:after="283"/>
                                    <w:jc w:val="left"/>
                                    <w:rPr/>
                                  </w:pPr>
                                  <w:r>
                                    <w:rPr/>
                                    <w:t>Vice President, H-47 Programs, The Boeing Company, 2009–2013</w:t>
                                  </w:r>
                                </w:p>
                              </w:tc>
                            </w:tr>
                            <w:tr>
                              <w:trPr/>
                              <w:tc>
                                <w:tcPr>
                                  <w:tcW w:w="185" w:type="dxa"/>
                                  <w:tcBorders/>
                                  <w:vAlign w:val="center"/>
                                </w:tcPr>
                                <w:p>
                                  <w:pPr>
                                    <w:pStyle w:val="TableContents"/>
                                    <w:bidi w:val="0"/>
                                    <w:spacing w:before="0" w:after="283"/>
                                    <w:jc w:val="left"/>
                                    <w:rPr/>
                                  </w:pPr>
                                  <w:r>
                                    <w:rPr/>
                                    <w:t>●</w:t>
                                  </w:r>
                                </w:p>
                              </w:tc>
                              <w:tc>
                                <w:tcPr>
                                  <w:tcW w:w="8945" w:type="dxa"/>
                                  <w:tcBorders/>
                                  <w:vAlign w:val="center"/>
                                </w:tcPr>
                                <w:p>
                                  <w:pPr>
                                    <w:pStyle w:val="TableContents"/>
                                    <w:bidi w:val="0"/>
                                    <w:spacing w:before="0" w:after="283"/>
                                    <w:jc w:val="left"/>
                                    <w:rPr/>
                                  </w:pPr>
                                  <w:r>
                                    <w:rPr/>
                                    <w:t>General Manager, Global Transport &amp; Executive Systems, The Boeing Company, 1998–2009</w:t>
                                  </w:r>
                                </w:p>
                              </w:tc>
                            </w:tr>
                          </w:tbl>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Other Current Directorships</w:t>
                            </w:r>
                          </w:p>
                          <w:p>
                            <w:pPr>
                              <w:pStyle w:val="TextBody"/>
                              <w:bidi w:val="0"/>
                              <w:jc w:val="left"/>
                              <w:rPr>
                                <w:caps w:val="false"/>
                                <w:smallCaps w:val="false"/>
                              </w:rPr>
                            </w:pPr>
                            <w:r>
                              <w:rPr>
                                <w:caps w:val="false"/>
                                <w:smallCaps w:val="false"/>
                              </w:rPr>
                              <w:t> </w:t>
                            </w:r>
                          </w:p>
                          <w:tbl>
                            <w:tblPr>
                              <w:tblW w:w="3160" w:type="dxa"/>
                              <w:jc w:val="left"/>
                              <w:tblInd w:w="0" w:type="dxa"/>
                              <w:tblLayout w:type="fixed"/>
                              <w:tblCellMar>
                                <w:top w:w="0" w:type="dxa"/>
                                <w:left w:w="0" w:type="dxa"/>
                                <w:bottom w:w="0" w:type="dxa"/>
                                <w:right w:w="0" w:type="dxa"/>
                              </w:tblCellMar>
                            </w:tblPr>
                            <w:tblGrid>
                              <w:gridCol w:w="185"/>
                              <w:gridCol w:w="2975"/>
                            </w:tblGrid>
                            <w:tr>
                              <w:trPr/>
                              <w:tc>
                                <w:tcPr>
                                  <w:tcW w:w="185" w:type="dxa"/>
                                  <w:tcBorders/>
                                  <w:vAlign w:val="center"/>
                                </w:tcPr>
                                <w:p>
                                  <w:pPr>
                                    <w:pStyle w:val="TableContents"/>
                                    <w:bidi w:val="0"/>
                                    <w:spacing w:before="0" w:after="283"/>
                                    <w:jc w:val="left"/>
                                    <w:rPr/>
                                  </w:pPr>
                                  <w:r>
                                    <w:rPr/>
                                    <w:t>●</w:t>
                                  </w:r>
                                </w:p>
                              </w:tc>
                              <w:tc>
                                <w:tcPr>
                                  <w:tcW w:w="2975" w:type="dxa"/>
                                  <w:tcBorders/>
                                  <w:vAlign w:val="center"/>
                                </w:tcPr>
                                <w:p>
                                  <w:pPr>
                                    <w:pStyle w:val="TableContents"/>
                                    <w:bidi w:val="0"/>
                                    <w:spacing w:before="0" w:after="283"/>
                                    <w:jc w:val="left"/>
                                    <w:rPr/>
                                  </w:pPr>
                                  <w:r>
                                    <w:rPr/>
                                    <w:t>Deere &amp; Company, since 2021</w:t>
                                  </w:r>
                                </w:p>
                              </w:tc>
                            </w:tr>
                          </w:tbl>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Other Leadership Experience and Service</w:t>
                            </w:r>
                          </w:p>
                          <w:p>
                            <w:pPr>
                              <w:pStyle w:val="TextBody"/>
                              <w:bidi w:val="0"/>
                              <w:jc w:val="left"/>
                              <w:rPr>
                                <w:caps w:val="false"/>
                                <w:smallCaps w:val="false"/>
                              </w:rPr>
                            </w:pPr>
                            <w:r>
                              <w:rPr>
                                <w:caps w:val="false"/>
                                <w:smallCaps w:val="false"/>
                              </w:rPr>
                              <w:t> </w:t>
                            </w:r>
                          </w:p>
                          <w:tbl>
                            <w:tblPr>
                              <w:tblW w:w="6820" w:type="dxa"/>
                              <w:jc w:val="left"/>
                              <w:tblInd w:w="0" w:type="dxa"/>
                              <w:tblLayout w:type="fixed"/>
                              <w:tblCellMar>
                                <w:top w:w="0" w:type="dxa"/>
                                <w:left w:w="0" w:type="dxa"/>
                                <w:bottom w:w="0" w:type="dxa"/>
                                <w:right w:w="0" w:type="dxa"/>
                              </w:tblCellMar>
                            </w:tblPr>
                            <w:tblGrid>
                              <w:gridCol w:w="185"/>
                              <w:gridCol w:w="6635"/>
                            </w:tblGrid>
                            <w:tr>
                              <w:trPr/>
                              <w:tc>
                                <w:tcPr>
                                  <w:tcW w:w="185" w:type="dxa"/>
                                  <w:tcBorders/>
                                  <w:vAlign w:val="center"/>
                                </w:tcPr>
                                <w:p>
                                  <w:pPr>
                                    <w:pStyle w:val="TableContents"/>
                                    <w:bidi w:val="0"/>
                                    <w:spacing w:before="0" w:after="283"/>
                                    <w:jc w:val="left"/>
                                    <w:rPr/>
                                  </w:pPr>
                                  <w:r>
                                    <w:rPr/>
                                    <w:t>●</w:t>
                                  </w:r>
                                </w:p>
                              </w:tc>
                              <w:tc>
                                <w:tcPr>
                                  <w:tcW w:w="6635" w:type="dxa"/>
                                  <w:tcBorders/>
                                  <w:vAlign w:val="center"/>
                                </w:tcPr>
                                <w:p>
                                  <w:pPr>
                                    <w:pStyle w:val="TableContents"/>
                                    <w:bidi w:val="0"/>
                                    <w:spacing w:before="0" w:after="283"/>
                                    <w:jc w:val="left"/>
                                    <w:rPr/>
                                  </w:pPr>
                                  <w:r>
                                    <w:rPr/>
                                    <w:t>Associate Fellow, American Institute of Aeronautics and Astronautics</w:t>
                                  </w:r>
                                </w:p>
                              </w:tc>
                            </w:tr>
                            <w:tr>
                              <w:trPr/>
                              <w:tc>
                                <w:tcPr>
                                  <w:tcW w:w="185" w:type="dxa"/>
                                  <w:tcBorders/>
                                  <w:vAlign w:val="center"/>
                                </w:tcPr>
                                <w:p>
                                  <w:pPr>
                                    <w:pStyle w:val="TableContents"/>
                                    <w:bidi w:val="0"/>
                                    <w:spacing w:before="0" w:after="283"/>
                                    <w:jc w:val="left"/>
                                    <w:rPr/>
                                  </w:pPr>
                                  <w:r>
                                    <w:rPr/>
                                    <w:t>●</w:t>
                                  </w:r>
                                </w:p>
                              </w:tc>
                              <w:tc>
                                <w:tcPr>
                                  <w:tcW w:w="6635" w:type="dxa"/>
                                  <w:tcBorders/>
                                  <w:vAlign w:val="center"/>
                                </w:tcPr>
                                <w:p>
                                  <w:pPr>
                                    <w:pStyle w:val="TableContents"/>
                                    <w:bidi w:val="0"/>
                                    <w:spacing w:before="0" w:after="283"/>
                                    <w:jc w:val="left"/>
                                    <w:rPr/>
                                  </w:pPr>
                                  <w:r>
                                    <w:rPr/>
                                    <w:t>Fellow, Royal Aeronautical Society</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400.15pt;mso-wrap-distance-left:0pt;mso-wrap-distance-right:0pt;mso-wrap-distance-top:0pt;mso-wrap-distance-bottom:0pt;margin-top:0pt;mso-position-vertical:top;mso-position-vertical-relative:text;margin-left:265.35pt;mso-position-horizontal:right;mso-position-horizontal-relative:text">
                <v:textbox>
                  <w:txbxContent>
                    <w:tbl>
                      <w:tblPr>
                        <w:tblW w:w="9130" w:type="dxa"/>
                        <w:jc w:val="left"/>
                        <w:tblInd w:w="0" w:type="dxa"/>
                        <w:tblLayout w:type="fixed"/>
                        <w:tblCellMar>
                          <w:top w:w="0" w:type="dxa"/>
                          <w:left w:w="0" w:type="dxa"/>
                          <w:bottom w:w="0" w:type="dxa"/>
                          <w:right w:w="0" w:type="dxa"/>
                        </w:tblCellMar>
                      </w:tblPr>
                      <w:tblGrid>
                        <w:gridCol w:w="185"/>
                        <w:gridCol w:w="8945"/>
                      </w:tblGrid>
                      <w:tr>
                        <w:trPr/>
                        <w:tc>
                          <w:tcPr>
                            <w:tcW w:w="185" w:type="dxa"/>
                            <w:tcBorders/>
                            <w:vAlign w:val="center"/>
                          </w:tcPr>
                          <w:p>
                            <w:pPr>
                              <w:pStyle w:val="TableContents"/>
                              <w:bidi w:val="0"/>
                              <w:spacing w:before="0" w:after="283"/>
                              <w:jc w:val="left"/>
                              <w:rPr/>
                            </w:pPr>
                            <w:r>
                              <w:rPr/>
                              <w:t>●</w:t>
                            </w:r>
                          </w:p>
                        </w:tc>
                        <w:tc>
                          <w:tcPr>
                            <w:tcW w:w="8945" w:type="dxa"/>
                            <w:tcBorders/>
                            <w:vAlign w:val="center"/>
                          </w:tcPr>
                          <w:p>
                            <w:pPr>
                              <w:pStyle w:val="TableContents"/>
                              <w:bidi w:val="0"/>
                              <w:spacing w:before="0" w:after="283"/>
                              <w:jc w:val="left"/>
                              <w:rPr/>
                            </w:pPr>
                            <w:r>
                              <w:rPr/>
                              <w:t>Chief Financial Officer, Defense, Space &amp; Security, The Boeing Company, 2014–2015</w:t>
                            </w:r>
                          </w:p>
                        </w:tc>
                      </w:tr>
                      <w:tr>
                        <w:trPr/>
                        <w:tc>
                          <w:tcPr>
                            <w:tcW w:w="185" w:type="dxa"/>
                            <w:tcBorders/>
                            <w:vAlign w:val="center"/>
                          </w:tcPr>
                          <w:p>
                            <w:pPr>
                              <w:pStyle w:val="TableContents"/>
                              <w:bidi w:val="0"/>
                              <w:spacing w:before="0" w:after="283"/>
                              <w:jc w:val="left"/>
                              <w:rPr/>
                            </w:pPr>
                            <w:r>
                              <w:rPr/>
                              <w:t>●</w:t>
                            </w:r>
                          </w:p>
                        </w:tc>
                        <w:tc>
                          <w:tcPr>
                            <w:tcW w:w="8945" w:type="dxa"/>
                            <w:tcBorders/>
                            <w:vAlign w:val="center"/>
                          </w:tcPr>
                          <w:p>
                            <w:pPr>
                              <w:pStyle w:val="TableContents"/>
                              <w:bidi w:val="0"/>
                              <w:spacing w:before="0" w:after="283"/>
                              <w:jc w:val="left"/>
                              <w:rPr/>
                            </w:pPr>
                            <w:r>
                              <w:rPr/>
                              <w:t>Vice President &amp; General Manager, Vertical Lift, The Boeing Company, 2013–2014</w:t>
                            </w:r>
                          </w:p>
                        </w:tc>
                      </w:tr>
                      <w:tr>
                        <w:trPr/>
                        <w:tc>
                          <w:tcPr>
                            <w:tcW w:w="185" w:type="dxa"/>
                            <w:tcBorders/>
                            <w:vAlign w:val="center"/>
                          </w:tcPr>
                          <w:p>
                            <w:pPr>
                              <w:pStyle w:val="TableContents"/>
                              <w:bidi w:val="0"/>
                              <w:spacing w:before="0" w:after="283"/>
                              <w:jc w:val="left"/>
                              <w:rPr/>
                            </w:pPr>
                            <w:r>
                              <w:rPr/>
                              <w:t>●</w:t>
                            </w:r>
                          </w:p>
                        </w:tc>
                        <w:tc>
                          <w:tcPr>
                            <w:tcW w:w="8945" w:type="dxa"/>
                            <w:tcBorders/>
                            <w:vAlign w:val="center"/>
                          </w:tcPr>
                          <w:p>
                            <w:pPr>
                              <w:pStyle w:val="TableContents"/>
                              <w:bidi w:val="0"/>
                              <w:spacing w:before="0" w:after="283"/>
                              <w:jc w:val="left"/>
                              <w:rPr/>
                            </w:pPr>
                            <w:r>
                              <w:rPr/>
                              <w:t>Vice President, H-47 Programs, The Boeing Company, 2009–2013</w:t>
                            </w:r>
                          </w:p>
                        </w:tc>
                      </w:tr>
                      <w:tr>
                        <w:trPr/>
                        <w:tc>
                          <w:tcPr>
                            <w:tcW w:w="185" w:type="dxa"/>
                            <w:tcBorders/>
                            <w:vAlign w:val="center"/>
                          </w:tcPr>
                          <w:p>
                            <w:pPr>
                              <w:pStyle w:val="TableContents"/>
                              <w:bidi w:val="0"/>
                              <w:spacing w:before="0" w:after="283"/>
                              <w:jc w:val="left"/>
                              <w:rPr/>
                            </w:pPr>
                            <w:r>
                              <w:rPr/>
                              <w:t>●</w:t>
                            </w:r>
                          </w:p>
                        </w:tc>
                        <w:tc>
                          <w:tcPr>
                            <w:tcW w:w="8945" w:type="dxa"/>
                            <w:tcBorders/>
                            <w:vAlign w:val="center"/>
                          </w:tcPr>
                          <w:p>
                            <w:pPr>
                              <w:pStyle w:val="TableContents"/>
                              <w:bidi w:val="0"/>
                              <w:spacing w:before="0" w:after="283"/>
                              <w:jc w:val="left"/>
                              <w:rPr/>
                            </w:pPr>
                            <w:r>
                              <w:rPr/>
                              <w:t>General Manager, Global Transport &amp; Executive Systems, The Boeing Company, 1998–2009</w:t>
                            </w:r>
                          </w:p>
                        </w:tc>
                      </w:tr>
                    </w:tbl>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Other Current Directorships</w:t>
                      </w:r>
                    </w:p>
                    <w:p>
                      <w:pPr>
                        <w:pStyle w:val="TextBody"/>
                        <w:bidi w:val="0"/>
                        <w:jc w:val="left"/>
                        <w:rPr>
                          <w:caps w:val="false"/>
                          <w:smallCaps w:val="false"/>
                        </w:rPr>
                      </w:pPr>
                      <w:r>
                        <w:rPr>
                          <w:caps w:val="false"/>
                          <w:smallCaps w:val="false"/>
                        </w:rPr>
                        <w:t> </w:t>
                      </w:r>
                    </w:p>
                    <w:tbl>
                      <w:tblPr>
                        <w:tblW w:w="3160" w:type="dxa"/>
                        <w:jc w:val="left"/>
                        <w:tblInd w:w="0" w:type="dxa"/>
                        <w:tblLayout w:type="fixed"/>
                        <w:tblCellMar>
                          <w:top w:w="0" w:type="dxa"/>
                          <w:left w:w="0" w:type="dxa"/>
                          <w:bottom w:w="0" w:type="dxa"/>
                          <w:right w:w="0" w:type="dxa"/>
                        </w:tblCellMar>
                      </w:tblPr>
                      <w:tblGrid>
                        <w:gridCol w:w="185"/>
                        <w:gridCol w:w="2975"/>
                      </w:tblGrid>
                      <w:tr>
                        <w:trPr/>
                        <w:tc>
                          <w:tcPr>
                            <w:tcW w:w="185" w:type="dxa"/>
                            <w:tcBorders/>
                            <w:vAlign w:val="center"/>
                          </w:tcPr>
                          <w:p>
                            <w:pPr>
                              <w:pStyle w:val="TableContents"/>
                              <w:bidi w:val="0"/>
                              <w:spacing w:before="0" w:after="283"/>
                              <w:jc w:val="left"/>
                              <w:rPr/>
                            </w:pPr>
                            <w:r>
                              <w:rPr/>
                              <w:t>●</w:t>
                            </w:r>
                          </w:p>
                        </w:tc>
                        <w:tc>
                          <w:tcPr>
                            <w:tcW w:w="2975" w:type="dxa"/>
                            <w:tcBorders/>
                            <w:vAlign w:val="center"/>
                          </w:tcPr>
                          <w:p>
                            <w:pPr>
                              <w:pStyle w:val="TableContents"/>
                              <w:bidi w:val="0"/>
                              <w:spacing w:before="0" w:after="283"/>
                              <w:jc w:val="left"/>
                              <w:rPr/>
                            </w:pPr>
                            <w:r>
                              <w:rPr/>
                              <w:t>Deere &amp; Company, since 2021</w:t>
                            </w:r>
                          </w:p>
                        </w:tc>
                      </w:tr>
                    </w:tbl>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Other Leadership Experience and Service</w:t>
                      </w:r>
                    </w:p>
                    <w:p>
                      <w:pPr>
                        <w:pStyle w:val="TextBody"/>
                        <w:bidi w:val="0"/>
                        <w:jc w:val="left"/>
                        <w:rPr>
                          <w:caps w:val="false"/>
                          <w:smallCaps w:val="false"/>
                        </w:rPr>
                      </w:pPr>
                      <w:r>
                        <w:rPr>
                          <w:caps w:val="false"/>
                          <w:smallCaps w:val="false"/>
                        </w:rPr>
                        <w:t> </w:t>
                      </w:r>
                    </w:p>
                    <w:tbl>
                      <w:tblPr>
                        <w:tblW w:w="6820" w:type="dxa"/>
                        <w:jc w:val="left"/>
                        <w:tblInd w:w="0" w:type="dxa"/>
                        <w:tblLayout w:type="fixed"/>
                        <w:tblCellMar>
                          <w:top w:w="0" w:type="dxa"/>
                          <w:left w:w="0" w:type="dxa"/>
                          <w:bottom w:w="0" w:type="dxa"/>
                          <w:right w:w="0" w:type="dxa"/>
                        </w:tblCellMar>
                      </w:tblPr>
                      <w:tblGrid>
                        <w:gridCol w:w="185"/>
                        <w:gridCol w:w="6635"/>
                      </w:tblGrid>
                      <w:tr>
                        <w:trPr/>
                        <w:tc>
                          <w:tcPr>
                            <w:tcW w:w="185" w:type="dxa"/>
                            <w:tcBorders/>
                            <w:vAlign w:val="center"/>
                          </w:tcPr>
                          <w:p>
                            <w:pPr>
                              <w:pStyle w:val="TableContents"/>
                              <w:bidi w:val="0"/>
                              <w:spacing w:before="0" w:after="283"/>
                              <w:jc w:val="left"/>
                              <w:rPr/>
                            </w:pPr>
                            <w:r>
                              <w:rPr/>
                              <w:t>●</w:t>
                            </w:r>
                          </w:p>
                        </w:tc>
                        <w:tc>
                          <w:tcPr>
                            <w:tcW w:w="6635" w:type="dxa"/>
                            <w:tcBorders/>
                            <w:vAlign w:val="center"/>
                          </w:tcPr>
                          <w:p>
                            <w:pPr>
                              <w:pStyle w:val="TableContents"/>
                              <w:bidi w:val="0"/>
                              <w:spacing w:before="0" w:after="283"/>
                              <w:jc w:val="left"/>
                              <w:rPr/>
                            </w:pPr>
                            <w:r>
                              <w:rPr/>
                              <w:t>Associate Fellow, American Institute of Aeronautics and Astronautics</w:t>
                            </w:r>
                          </w:p>
                        </w:tc>
                      </w:tr>
                      <w:tr>
                        <w:trPr/>
                        <w:tc>
                          <w:tcPr>
                            <w:tcW w:w="185" w:type="dxa"/>
                            <w:tcBorders/>
                            <w:vAlign w:val="center"/>
                          </w:tcPr>
                          <w:p>
                            <w:pPr>
                              <w:pStyle w:val="TableContents"/>
                              <w:bidi w:val="0"/>
                              <w:spacing w:before="0" w:after="283"/>
                              <w:jc w:val="left"/>
                              <w:rPr/>
                            </w:pPr>
                            <w:r>
                              <w:rPr/>
                              <w:t>●</w:t>
                            </w:r>
                          </w:p>
                        </w:tc>
                        <w:tc>
                          <w:tcPr>
                            <w:tcW w:w="6635" w:type="dxa"/>
                            <w:tcBorders/>
                            <w:vAlign w:val="center"/>
                          </w:tcPr>
                          <w:p>
                            <w:pPr>
                              <w:pStyle w:val="TableContents"/>
                              <w:bidi w:val="0"/>
                              <w:spacing w:before="0" w:after="283"/>
                              <w:jc w:val="left"/>
                              <w:rPr/>
                            </w:pPr>
                            <w:r>
                              <w:rPr/>
                              <w:t>Fellow, Royal Aeronautical Society</w:t>
                            </w:r>
                          </w:p>
                        </w:tc>
                      </w:tr>
                    </w:tbl>
                    <w:p>
                      <w:pPr>
                        <w:pStyle w:val="TextBody"/>
                        <w:bidi w:val="0"/>
                        <w:spacing w:before="0" w:after="283"/>
                        <w:jc w:val="left"/>
                        <w:rPr/>
                      </w:pPr>
                      <w:r>
                        <w:rPr/>
                      </w:r>
                    </w:p>
                  </w:txbxContent>
                </v:textbox>
                <w10:wrap type="square" side="left"/>
              </v:rect>
            </w:pict>
          </mc:Fallback>
        </mc:AlternateContent>
      </w:r>
    </w:p>
    <w:p>
      <w:pPr>
        <w:pStyle w:val="HorizontalLine"/>
        <w:pBdr>
          <w:bottom w:val="double" w:sz="2" w:space="0" w:color="808080"/>
        </w:pBdr>
        <w:bidi w:val="0"/>
        <w:spacing w:before="0" w:after="283"/>
        <w:jc w:val="left"/>
        <w:rPr/>
      </w:pPr>
      <w:r>
        <w:rPr/>
      </w:r>
    </w:p>
    <w:p>
      <w:pPr>
        <w:pStyle w:val="TextBody"/>
        <w:bidi w:val="0"/>
        <w:spacing w:before="200" w:after="200"/>
        <w:jc w:val="left"/>
        <w:rPr/>
      </w:pPr>
      <w:hyperlink w:anchor="toc">
        <w:r>
          <w:rPr>
            <w:rStyle w:val="InternetLink"/>
            <w:rFonts w:ascii="Arial;Helvetica;Sans-Serif" w:hAnsi="Arial;Helvetica;Sans-Serif"/>
            <w:b/>
            <w:i w:val="false"/>
            <w:caps w:val="false"/>
            <w:smallCaps w:val="false"/>
            <w:sz w:val="16"/>
          </w:rPr>
          <w:t>Table of Contents</w:t>
        </w:r>
      </w:hyperlink>
    </w:p>
    <w:p>
      <w:pPr>
        <w:pStyle w:val="TextBody"/>
        <w:bidi w:val="0"/>
        <w:spacing w:before="0" w:after="0"/>
        <w:ind w:left="0" w:right="0" w:hanging="0"/>
        <w:jc w:val="left"/>
        <w:rPr>
          <w:rFonts w:ascii="Arial;Helvetica;Sans-Serif" w:hAnsi="Arial;Helvetica;Sans-Serif"/>
          <w:b/>
          <w:i w:val="false"/>
          <w:caps w:val="false"/>
          <w:smallCaps w:val="false"/>
          <w:color w:val="C12E33"/>
          <w:sz w:val="15"/>
        </w:rPr>
      </w:pPr>
      <w:r>
        <w:rPr>
          <w:rFonts w:ascii="Arial;Helvetica;Sans-Serif" w:hAnsi="Arial;Helvetica;Sans-Serif"/>
          <w:b/>
          <w:i w:val="false"/>
          <w:caps w:val="false"/>
          <w:smallCaps w:val="false"/>
          <w:color w:val="C12E33"/>
          <w:sz w:val="15"/>
        </w:rPr>
        <w:t>PROPOSAL 1: ELECTION OF DIRECTORS</w:t>
      </w:r>
    </w:p>
    <w:p>
      <w:pPr>
        <w:pStyle w:val="TextBody"/>
        <w:bidi w:val="0"/>
        <w:spacing w:before="0" w:after="0"/>
        <w:ind w:left="0" w:right="0" w:hanging="0"/>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NOMINEES</w:t>
      </w:r>
    </w:p>
    <w:p>
      <w:pPr>
        <w:pStyle w:val="TextBody"/>
        <w:bidi w:val="0"/>
        <w:jc w:val="left"/>
        <w:rPr>
          <w:caps w:val="false"/>
          <w:smallCaps w:val="false"/>
        </w:rPr>
      </w:pPr>
      <w:r>
        <w:rPr>
          <w:caps w:val="false"/>
          <w:smallCaps w:val="false"/>
        </w:rPr>
        <w:t> </w:t>
      </w:r>
    </w:p>
    <w:p>
      <w:pPr>
        <w:pStyle w:val="TextBody"/>
        <w:bidi w:val="0"/>
        <w:jc w:val="left"/>
        <w:rPr>
          <w:caps w:val="false"/>
          <w:smallCaps w:val="false"/>
          <w:shd w:fill="EDEDEE" w:val="clear"/>
        </w:rPr>
      </w:pPr>
      <w:r>
        <w:rPr>
          <w:caps w:val="false"/>
          <w:smallCaps w:val="false"/>
          <w:shd w:fill="EDEDEE" w:val="clear"/>
        </w:rPr>
        <w:t> </w:t>
      </w:r>
      <w:r>
        <mc:AlternateContent>
          <mc:Choice Requires="wps">
            <w:drawing>
              <wp:anchor behindDoc="0" distT="0" distB="0" distL="0" distR="0" simplePos="0" locked="0" layoutInCell="1" allowOverlap="1" relativeHeight="67">
                <wp:simplePos x="0" y="0"/>
                <wp:positionH relativeFrom="column">
                  <wp:align>left</wp:align>
                </wp:positionH>
                <wp:positionV relativeFrom="line">
                  <wp:posOffset>635</wp:posOffset>
                </wp:positionV>
                <wp:extent cx="4535805" cy="3620770"/>
                <wp:effectExtent l="0" t="0" r="0" b="0"/>
                <wp:wrapSquare wrapText="right"/>
                <wp:docPr id="176" name="Frame17"/>
                <a:graphic xmlns:a="http://schemas.openxmlformats.org/drawingml/2006/main">
                  <a:graphicData uri="http://schemas.microsoft.com/office/word/2010/wordprocessingShape">
                    <wps:wsp>
                      <wps:cNvSpPr txBox="1"/>
                      <wps:spPr>
                        <a:xfrm>
                          <a:off x="0" y="0"/>
                          <a:ext cx="4535805" cy="3620770"/>
                        </a:xfrm>
                        <a:prstGeom prst="rect"/>
                        <a:solidFill>
                          <a:srgbClr val="FFFFFF"/>
                        </a:solidFill>
                      </wps:spPr>
                      <wps:txbx>
                        <w:txbxContent>
                          <w:p>
                            <w:pPr>
                              <w:pStyle w:val="TextBody"/>
                              <w:bidi w:val="0"/>
                              <w:jc w:val="left"/>
                              <w:rPr>
                                <w:rFonts w:ascii="Arial;Helvetica;Sans-Serif" w:hAnsi="Arial;Helvetica;Sans-Serif"/>
                                <w:b/>
                                <w:i w:val="false"/>
                                <w:caps w:val="false"/>
                                <w:smallCaps w:val="false"/>
                                <w:sz w:val="30"/>
                              </w:rPr>
                            </w:pPr>
                            <w:r>
                              <w:rPr>
                                <w:rFonts w:ascii="Arial;Helvetica;Sans-Serif" w:hAnsi="Arial;Helvetica;Sans-Serif"/>
                                <w:b/>
                                <w:i w:val="false"/>
                                <w:caps w:val="false"/>
                                <w:smallCaps w:val="false"/>
                                <w:sz w:val="30"/>
                              </w:rPr>
                              <w:t>Bernard A. Harris, Jr.</w:t>
                            </w:r>
                          </w:p>
                          <w:p>
                            <w:pPr>
                              <w:pStyle w:val="TextBody"/>
                              <w:bidi w:val="0"/>
                              <w:jc w:val="left"/>
                              <w:rPr>
                                <w:caps w:val="false"/>
                                <w:smallCaps w:val="false"/>
                              </w:rPr>
                            </w:pPr>
                            <w:r>
                              <w:rPr>
                                <w:caps w:val="false"/>
                                <w:smallCaps w:val="false"/>
                              </w:rPr>
                              <w:t> </w:t>
                            </w:r>
                          </w:p>
                          <w:tbl>
                            <w:tblPr>
                              <w:tblW w:w="8605" w:type="dxa"/>
                              <w:jc w:val="left"/>
                              <w:tblInd w:w="0" w:type="dxa"/>
                              <w:tblLayout w:type="fixed"/>
                              <w:tblCellMar>
                                <w:top w:w="0" w:type="dxa"/>
                                <w:left w:w="0" w:type="dxa"/>
                                <w:bottom w:w="0" w:type="dxa"/>
                                <w:right w:w="0" w:type="dxa"/>
                              </w:tblCellMar>
                            </w:tblPr>
                            <w:tblGrid>
                              <w:gridCol w:w="5735"/>
                              <w:gridCol w:w="300"/>
                              <w:gridCol w:w="2570"/>
                            </w:tblGrid>
                            <w:tr>
                              <w:trPr/>
                              <w:tc>
                                <w:tcPr>
                                  <w:tcW w:w="5735" w:type="dxa"/>
                                  <w:tcBorders/>
                                  <w:vAlign w:val="center"/>
                                </w:tcPr>
                                <w:p>
                                  <w:pPr>
                                    <w:pStyle w:val="TableContents"/>
                                    <w:bidi w:val="0"/>
                                    <w:spacing w:before="0" w:after="60"/>
                                    <w:jc w:val="left"/>
                                    <w:rPr>
                                      <w:b/>
                                    </w:rPr>
                                  </w:pPr>
                                  <w:r>
                                    <w:rPr>
                                      <w:b/>
                                    </w:rPr>
                                    <w:t>INDEPENDENT DIRECTOR</w:t>
                                  </w:r>
                                </w:p>
                                <w:p>
                                  <w:pPr>
                                    <w:pStyle w:val="TableContents"/>
                                    <w:bidi w:val="0"/>
                                    <w:spacing w:before="0" w:after="283"/>
                                    <w:jc w:val="left"/>
                                    <w:rPr>
                                      <w:sz w:val="20"/>
                                    </w:rPr>
                                  </w:pPr>
                                  <w:r>
                                    <w:rPr>
                                      <w:sz w:val="20"/>
                                    </w:rPr>
                                    <w:t>Chief Executive Officer and Managing Partner, Vesalius Ventures, Inc.</w:t>
                                  </w:r>
                                </w:p>
                              </w:tc>
                              <w:tc>
                                <w:tcPr>
                                  <w:tcW w:w="300" w:type="dxa"/>
                                  <w:tcBorders/>
                                  <w:vAlign w:val="center"/>
                                </w:tcPr>
                                <w:p>
                                  <w:pPr>
                                    <w:pStyle w:val="TableContents"/>
                                    <w:bidi w:val="0"/>
                                    <w:spacing w:before="0" w:after="283"/>
                                    <w:jc w:val="left"/>
                                    <w:rPr/>
                                  </w:pPr>
                                  <w:r>
                                    <w:rPr/>
                                    <w:t>     </w:t>
                                  </w:r>
                                </w:p>
                              </w:tc>
                              <w:tc>
                                <w:tcPr>
                                  <w:tcW w:w="2570" w:type="dxa"/>
                                  <w:tcBorders/>
                                  <w:vAlign w:val="center"/>
                                </w:tcPr>
                                <w:p>
                                  <w:pPr>
                                    <w:pStyle w:val="TableContents"/>
                                    <w:bidi w:val="0"/>
                                    <w:spacing w:before="0" w:after="60"/>
                                    <w:jc w:val="left"/>
                                    <w:rPr/>
                                  </w:pPr>
                                  <w:r>
                                    <w:rPr/>
                                    <w:t xml:space="preserve">AGE </w:t>
                                  </w:r>
                                  <w:r>
                                    <w:rPr>
                                      <w:b/>
                                    </w:rPr>
                                    <w:t>69</w:t>
                                  </w:r>
                                </w:p>
                                <w:p>
                                  <w:pPr>
                                    <w:pStyle w:val="TableContents"/>
                                    <w:bidi w:val="0"/>
                                    <w:jc w:val="left"/>
                                    <w:rPr/>
                                  </w:pPr>
                                  <w:r>
                                    <w:rPr/>
                                    <w:t xml:space="preserve">DIRECTOR SINCE </w:t>
                                  </w:r>
                                  <w:r>
                                    <w:rPr>
                                      <w:b/>
                                    </w:rPr>
                                    <w:t>2021</w:t>
                                  </w:r>
                                </w:p>
                                <w:p>
                                  <w:pPr>
                                    <w:pStyle w:val="TableContents"/>
                                    <w:bidi w:val="0"/>
                                    <w:jc w:val="left"/>
                                    <w:rPr/>
                                  </w:pPr>
                                  <w:r>
                                    <w:rPr/>
                                    <w:t>BOARD COMMITTEES</w:t>
                                  </w:r>
                                </w:p>
                                <w:p>
                                  <w:pPr>
                                    <w:pStyle w:val="TableContents"/>
                                    <w:bidi w:val="0"/>
                                    <w:spacing w:before="0" w:after="283"/>
                                    <w:jc w:val="left"/>
                                    <w:rPr>
                                      <w:b/>
                                    </w:rPr>
                                  </w:pPr>
                                  <w:r>
                                    <w:rPr>
                                      <w:b/>
                                    </w:rPr>
                                    <w:t>Audit, Special Activities</w:t>
                                  </w:r>
                                </w:p>
                              </w:tc>
                            </w:tr>
                            <w:tr>
                              <w:trPr/>
                              <w:tc>
                                <w:tcPr>
                                  <w:tcW w:w="5735" w:type="dxa"/>
                                  <w:tcBorders/>
                                  <w:vAlign w:val="center"/>
                                </w:tcPr>
                                <w:p>
                                  <w:pPr>
                                    <w:pStyle w:val="TableContents"/>
                                    <w:bidi w:val="0"/>
                                    <w:spacing w:before="0" w:after="283"/>
                                    <w:jc w:val="left"/>
                                    <w:rPr>
                                      <w:b/>
                                      <w:sz w:val="20"/>
                                    </w:rPr>
                                  </w:pPr>
                                  <w:r>
                                    <w:rPr>
                                      <w:b/>
                                      <w:sz w:val="20"/>
                                    </w:rPr>
                                    <w:t>Key Skills and Expertise</w:t>
                                  </w:r>
                                </w:p>
                              </w:tc>
                              <w:tc>
                                <w:tcPr>
                                  <w:tcW w:w="300" w:type="dxa"/>
                                  <w:tcBorders/>
                                  <w:vAlign w:val="center"/>
                                </w:tcPr>
                                <w:p>
                                  <w:pPr>
                                    <w:pStyle w:val="TableContents"/>
                                    <w:bidi w:val="0"/>
                                    <w:spacing w:before="0" w:after="283"/>
                                    <w:jc w:val="left"/>
                                    <w:rPr/>
                                  </w:pPr>
                                  <w:r>
                                    <w:rPr/>
                                    <w:t> </w:t>
                                  </w:r>
                                </w:p>
                              </w:tc>
                              <w:tc>
                                <w:tcPr>
                                  <w:tcW w:w="2570"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15"/>
                              <w:gridCol w:w="3140"/>
                              <w:gridCol w:w="330"/>
                              <w:gridCol w:w="3138"/>
                              <w:gridCol w:w="300"/>
                              <w:gridCol w:w="2982"/>
                            </w:tblGrid>
                            <w:tr>
                              <w:trPr/>
                              <w:tc>
                                <w:tcPr>
                                  <w:tcW w:w="315" w:type="dxa"/>
                                  <w:tcBorders/>
                                  <w:vAlign w:val="center"/>
                                </w:tcPr>
                                <w:p>
                                  <w:pPr>
                                    <w:pStyle w:val="TableContents"/>
                                    <w:bidi w:val="0"/>
                                    <w:spacing w:before="0" w:after="283"/>
                                    <w:jc w:val="left"/>
                                    <w:rPr/>
                                  </w:pPr>
                                  <w:r>
                                    <w:rPr/>
                                    <w:drawing>
                                      <wp:inline distT="0" distB="0" distL="0" distR="0">
                                        <wp:extent cx="190500" cy="495300"/>
                                        <wp:effectExtent l="0" t="0" r="0" b="0"/>
                                        <wp:docPr id="177" name="Image1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Image144" descr=""/>
                                                <pic:cNvPicPr>
                                                  <a:picLocks noChangeAspect="1" noChangeArrowheads="1"/>
                                                </pic:cNvPicPr>
                                              </pic:nvPicPr>
                                              <pic:blipFill>
                                                <a:blip r:embed="rId161"/>
                                                <a:stretch>
                                                  <a:fillRect/>
                                                </a:stretch>
                                              </pic:blipFill>
                                              <pic:spPr bwMode="auto">
                                                <a:xfrm>
                                                  <a:off x="0" y="0"/>
                                                  <a:ext cx="190500" cy="495300"/>
                                                </a:xfrm>
                                                <a:prstGeom prst="rect">
                                                  <a:avLst/>
                                                </a:prstGeom>
                                              </pic:spPr>
                                            </pic:pic>
                                          </a:graphicData>
                                        </a:graphic>
                                      </wp:inline>
                                    </w:drawing>
                                  </w:r>
                                </w:p>
                              </w:tc>
                              <w:tc>
                                <w:tcPr>
                                  <w:tcW w:w="3140" w:type="dxa"/>
                                  <w:tcBorders/>
                                  <w:vAlign w:val="center"/>
                                </w:tcPr>
                                <w:p>
                                  <w:pPr>
                                    <w:pStyle w:val="TableContents"/>
                                    <w:bidi w:val="0"/>
                                    <w:spacing w:before="0" w:after="283"/>
                                    <w:jc w:val="left"/>
                                    <w:rPr/>
                                  </w:pPr>
                                  <w:r>
                                    <w:rPr/>
                                    <w:t>EXPERIENCE IN INDUSTRY</w:t>
                                  </w:r>
                                </w:p>
                              </w:tc>
                              <w:tc>
                                <w:tcPr>
                                  <w:tcW w:w="330" w:type="dxa"/>
                                  <w:tcBorders/>
                                  <w:vAlign w:val="center"/>
                                </w:tcPr>
                                <w:p>
                                  <w:pPr>
                                    <w:pStyle w:val="TableContents"/>
                                    <w:bidi w:val="0"/>
                                    <w:spacing w:before="0" w:after="283"/>
                                    <w:jc w:val="left"/>
                                    <w:rPr/>
                                  </w:pPr>
                                  <w:r>
                                    <w:rPr/>
                                    <w:drawing>
                                      <wp:inline distT="0" distB="0" distL="0" distR="0">
                                        <wp:extent cx="209550" cy="523875"/>
                                        <wp:effectExtent l="0" t="0" r="0" b="0"/>
                                        <wp:docPr id="178" name="Image1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Image145" descr=""/>
                                                <pic:cNvPicPr>
                                                  <a:picLocks noChangeAspect="1" noChangeArrowheads="1"/>
                                                </pic:cNvPicPr>
                                              </pic:nvPicPr>
                                              <pic:blipFill>
                                                <a:blip r:embed="rId162"/>
                                                <a:stretch>
                                                  <a:fillRect/>
                                                </a:stretch>
                                              </pic:blipFill>
                                              <pic:spPr bwMode="auto">
                                                <a:xfrm>
                                                  <a:off x="0" y="0"/>
                                                  <a:ext cx="209550" cy="523875"/>
                                                </a:xfrm>
                                                <a:prstGeom prst="rect">
                                                  <a:avLst/>
                                                </a:prstGeom>
                                              </pic:spPr>
                                            </pic:pic>
                                          </a:graphicData>
                                        </a:graphic>
                                      </wp:inline>
                                    </w:drawing>
                                  </w:r>
                                </w:p>
                              </w:tc>
                              <w:tc>
                                <w:tcPr>
                                  <w:tcW w:w="3138" w:type="dxa"/>
                                  <w:tcBorders/>
                                  <w:vAlign w:val="center"/>
                                </w:tcPr>
                                <w:p>
                                  <w:pPr>
                                    <w:pStyle w:val="TableContents"/>
                                    <w:bidi w:val="0"/>
                                    <w:spacing w:before="0" w:after="283"/>
                                    <w:jc w:val="left"/>
                                    <w:rPr/>
                                  </w:pPr>
                                  <w:r>
                                    <w:rPr/>
                                    <w:t>GOVERNANCE &amp; RESPONSIBILITY</w:t>
                                  </w:r>
                                </w:p>
                              </w:tc>
                              <w:tc>
                                <w:tcPr>
                                  <w:tcW w:w="300" w:type="dxa"/>
                                  <w:tcBorders/>
                                  <w:vAlign w:val="center"/>
                                </w:tcPr>
                                <w:p>
                                  <w:pPr>
                                    <w:pStyle w:val="TableContents"/>
                                    <w:bidi w:val="0"/>
                                    <w:spacing w:before="0" w:after="283"/>
                                    <w:jc w:val="left"/>
                                    <w:rPr/>
                                  </w:pPr>
                                  <w:r>
                                    <w:rPr/>
                                    <w:drawing>
                                      <wp:inline distT="0" distB="0" distL="0" distR="0">
                                        <wp:extent cx="190500" cy="457200"/>
                                        <wp:effectExtent l="0" t="0" r="0" b="0"/>
                                        <wp:docPr id="179" name="Image1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 name="Image146" descr=""/>
                                                <pic:cNvPicPr>
                                                  <a:picLocks noChangeAspect="1" noChangeArrowheads="1"/>
                                                </pic:cNvPicPr>
                                              </pic:nvPicPr>
                                              <pic:blipFill>
                                                <a:blip r:embed="rId163"/>
                                                <a:stretch>
                                                  <a:fillRect/>
                                                </a:stretch>
                                              </pic:blipFill>
                                              <pic:spPr bwMode="auto">
                                                <a:xfrm>
                                                  <a:off x="0" y="0"/>
                                                  <a:ext cx="190500" cy="457200"/>
                                                </a:xfrm>
                                                <a:prstGeom prst="rect">
                                                  <a:avLst/>
                                                </a:prstGeom>
                                              </pic:spPr>
                                            </pic:pic>
                                          </a:graphicData>
                                        </a:graphic>
                                      </wp:inline>
                                    </w:drawing>
                                  </w:r>
                                </w:p>
                              </w:tc>
                              <w:tc>
                                <w:tcPr>
                                  <w:tcW w:w="2982" w:type="dxa"/>
                                  <w:tcBorders/>
                                  <w:vAlign w:val="center"/>
                                </w:tcPr>
                                <w:p>
                                  <w:pPr>
                                    <w:pStyle w:val="TableContents"/>
                                    <w:bidi w:val="0"/>
                                    <w:spacing w:before="0" w:after="283"/>
                                    <w:jc w:val="left"/>
                                    <w:rPr/>
                                  </w:pPr>
                                  <w:r>
                                    <w:rPr/>
                                    <w:t>TECHNOLOGY/CYBERSECURITY</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70000</wp14:pctWidth>
                </wp14:sizeRelH>
              </wp:anchor>
            </w:drawing>
          </mc:Choice>
          <mc:Fallback>
            <w:pict>
              <v:rect style="position:absolute;rotation:-0;width:357.15pt;height:285.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jc w:val="left"/>
                        <w:rPr>
                          <w:rFonts w:ascii="Arial;Helvetica;Sans-Serif" w:hAnsi="Arial;Helvetica;Sans-Serif"/>
                          <w:b/>
                          <w:i w:val="false"/>
                          <w:caps w:val="false"/>
                          <w:smallCaps w:val="false"/>
                          <w:sz w:val="30"/>
                        </w:rPr>
                      </w:pPr>
                      <w:r>
                        <w:rPr>
                          <w:rFonts w:ascii="Arial;Helvetica;Sans-Serif" w:hAnsi="Arial;Helvetica;Sans-Serif"/>
                          <w:b/>
                          <w:i w:val="false"/>
                          <w:caps w:val="false"/>
                          <w:smallCaps w:val="false"/>
                          <w:sz w:val="30"/>
                        </w:rPr>
                        <w:t>Bernard A. Harris, Jr.</w:t>
                      </w:r>
                    </w:p>
                    <w:p>
                      <w:pPr>
                        <w:pStyle w:val="TextBody"/>
                        <w:bidi w:val="0"/>
                        <w:jc w:val="left"/>
                        <w:rPr>
                          <w:caps w:val="false"/>
                          <w:smallCaps w:val="false"/>
                        </w:rPr>
                      </w:pPr>
                      <w:r>
                        <w:rPr>
                          <w:caps w:val="false"/>
                          <w:smallCaps w:val="false"/>
                        </w:rPr>
                        <w:t> </w:t>
                      </w:r>
                    </w:p>
                    <w:tbl>
                      <w:tblPr>
                        <w:tblW w:w="8605" w:type="dxa"/>
                        <w:jc w:val="left"/>
                        <w:tblInd w:w="0" w:type="dxa"/>
                        <w:tblLayout w:type="fixed"/>
                        <w:tblCellMar>
                          <w:top w:w="0" w:type="dxa"/>
                          <w:left w:w="0" w:type="dxa"/>
                          <w:bottom w:w="0" w:type="dxa"/>
                          <w:right w:w="0" w:type="dxa"/>
                        </w:tblCellMar>
                      </w:tblPr>
                      <w:tblGrid>
                        <w:gridCol w:w="5735"/>
                        <w:gridCol w:w="300"/>
                        <w:gridCol w:w="2570"/>
                      </w:tblGrid>
                      <w:tr>
                        <w:trPr/>
                        <w:tc>
                          <w:tcPr>
                            <w:tcW w:w="5735" w:type="dxa"/>
                            <w:tcBorders/>
                            <w:vAlign w:val="center"/>
                          </w:tcPr>
                          <w:p>
                            <w:pPr>
                              <w:pStyle w:val="TableContents"/>
                              <w:bidi w:val="0"/>
                              <w:spacing w:before="0" w:after="60"/>
                              <w:jc w:val="left"/>
                              <w:rPr>
                                <w:b/>
                              </w:rPr>
                            </w:pPr>
                            <w:r>
                              <w:rPr>
                                <w:b/>
                              </w:rPr>
                              <w:t>INDEPENDENT DIRECTOR</w:t>
                            </w:r>
                          </w:p>
                          <w:p>
                            <w:pPr>
                              <w:pStyle w:val="TableContents"/>
                              <w:bidi w:val="0"/>
                              <w:spacing w:before="0" w:after="283"/>
                              <w:jc w:val="left"/>
                              <w:rPr>
                                <w:sz w:val="20"/>
                              </w:rPr>
                            </w:pPr>
                            <w:r>
                              <w:rPr>
                                <w:sz w:val="20"/>
                              </w:rPr>
                              <w:t>Chief Executive Officer and Managing Partner, Vesalius Ventures, Inc.</w:t>
                            </w:r>
                          </w:p>
                        </w:tc>
                        <w:tc>
                          <w:tcPr>
                            <w:tcW w:w="300" w:type="dxa"/>
                            <w:tcBorders/>
                            <w:vAlign w:val="center"/>
                          </w:tcPr>
                          <w:p>
                            <w:pPr>
                              <w:pStyle w:val="TableContents"/>
                              <w:bidi w:val="0"/>
                              <w:spacing w:before="0" w:after="283"/>
                              <w:jc w:val="left"/>
                              <w:rPr/>
                            </w:pPr>
                            <w:r>
                              <w:rPr/>
                              <w:t>     </w:t>
                            </w:r>
                          </w:p>
                        </w:tc>
                        <w:tc>
                          <w:tcPr>
                            <w:tcW w:w="2570" w:type="dxa"/>
                            <w:tcBorders/>
                            <w:vAlign w:val="center"/>
                          </w:tcPr>
                          <w:p>
                            <w:pPr>
                              <w:pStyle w:val="TableContents"/>
                              <w:bidi w:val="0"/>
                              <w:spacing w:before="0" w:after="60"/>
                              <w:jc w:val="left"/>
                              <w:rPr/>
                            </w:pPr>
                            <w:r>
                              <w:rPr/>
                              <w:t xml:space="preserve">AGE </w:t>
                            </w:r>
                            <w:r>
                              <w:rPr>
                                <w:b/>
                              </w:rPr>
                              <w:t>69</w:t>
                            </w:r>
                          </w:p>
                          <w:p>
                            <w:pPr>
                              <w:pStyle w:val="TableContents"/>
                              <w:bidi w:val="0"/>
                              <w:jc w:val="left"/>
                              <w:rPr/>
                            </w:pPr>
                            <w:r>
                              <w:rPr/>
                              <w:t xml:space="preserve">DIRECTOR SINCE </w:t>
                            </w:r>
                            <w:r>
                              <w:rPr>
                                <w:b/>
                              </w:rPr>
                              <w:t>2021</w:t>
                            </w:r>
                          </w:p>
                          <w:p>
                            <w:pPr>
                              <w:pStyle w:val="TableContents"/>
                              <w:bidi w:val="0"/>
                              <w:jc w:val="left"/>
                              <w:rPr/>
                            </w:pPr>
                            <w:r>
                              <w:rPr/>
                              <w:t>BOARD COMMITTEES</w:t>
                            </w:r>
                          </w:p>
                          <w:p>
                            <w:pPr>
                              <w:pStyle w:val="TableContents"/>
                              <w:bidi w:val="0"/>
                              <w:spacing w:before="0" w:after="283"/>
                              <w:jc w:val="left"/>
                              <w:rPr>
                                <w:b/>
                              </w:rPr>
                            </w:pPr>
                            <w:r>
                              <w:rPr>
                                <w:b/>
                              </w:rPr>
                              <w:t>Audit, Special Activities</w:t>
                            </w:r>
                          </w:p>
                        </w:tc>
                      </w:tr>
                      <w:tr>
                        <w:trPr/>
                        <w:tc>
                          <w:tcPr>
                            <w:tcW w:w="5735" w:type="dxa"/>
                            <w:tcBorders/>
                            <w:vAlign w:val="center"/>
                          </w:tcPr>
                          <w:p>
                            <w:pPr>
                              <w:pStyle w:val="TableContents"/>
                              <w:bidi w:val="0"/>
                              <w:spacing w:before="0" w:after="283"/>
                              <w:jc w:val="left"/>
                              <w:rPr>
                                <w:b/>
                                <w:sz w:val="20"/>
                              </w:rPr>
                            </w:pPr>
                            <w:r>
                              <w:rPr>
                                <w:b/>
                                <w:sz w:val="20"/>
                              </w:rPr>
                              <w:t>Key Skills and Expertise</w:t>
                            </w:r>
                          </w:p>
                        </w:tc>
                        <w:tc>
                          <w:tcPr>
                            <w:tcW w:w="300" w:type="dxa"/>
                            <w:tcBorders/>
                            <w:vAlign w:val="center"/>
                          </w:tcPr>
                          <w:p>
                            <w:pPr>
                              <w:pStyle w:val="TableContents"/>
                              <w:bidi w:val="0"/>
                              <w:spacing w:before="0" w:after="283"/>
                              <w:jc w:val="left"/>
                              <w:rPr/>
                            </w:pPr>
                            <w:r>
                              <w:rPr/>
                              <w:t> </w:t>
                            </w:r>
                          </w:p>
                        </w:tc>
                        <w:tc>
                          <w:tcPr>
                            <w:tcW w:w="2570"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15"/>
                        <w:gridCol w:w="3140"/>
                        <w:gridCol w:w="330"/>
                        <w:gridCol w:w="3138"/>
                        <w:gridCol w:w="300"/>
                        <w:gridCol w:w="2982"/>
                      </w:tblGrid>
                      <w:tr>
                        <w:trPr/>
                        <w:tc>
                          <w:tcPr>
                            <w:tcW w:w="315" w:type="dxa"/>
                            <w:tcBorders/>
                            <w:vAlign w:val="center"/>
                          </w:tcPr>
                          <w:p>
                            <w:pPr>
                              <w:pStyle w:val="TableContents"/>
                              <w:bidi w:val="0"/>
                              <w:spacing w:before="0" w:after="283"/>
                              <w:jc w:val="left"/>
                              <w:rPr/>
                            </w:pPr>
                            <w:r>
                              <w:rPr/>
                              <w:drawing>
                                <wp:inline distT="0" distB="0" distL="0" distR="0">
                                  <wp:extent cx="190500" cy="495300"/>
                                  <wp:effectExtent l="0" t="0" r="0" b="0"/>
                                  <wp:docPr id="180" name="Image1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Image144" descr=""/>
                                          <pic:cNvPicPr>
                                            <a:picLocks noChangeAspect="1" noChangeArrowheads="1"/>
                                          </pic:cNvPicPr>
                                        </pic:nvPicPr>
                                        <pic:blipFill>
                                          <a:blip r:embed="rId164"/>
                                          <a:stretch>
                                            <a:fillRect/>
                                          </a:stretch>
                                        </pic:blipFill>
                                        <pic:spPr bwMode="auto">
                                          <a:xfrm>
                                            <a:off x="0" y="0"/>
                                            <a:ext cx="190500" cy="495300"/>
                                          </a:xfrm>
                                          <a:prstGeom prst="rect">
                                            <a:avLst/>
                                          </a:prstGeom>
                                        </pic:spPr>
                                      </pic:pic>
                                    </a:graphicData>
                                  </a:graphic>
                                </wp:inline>
                              </w:drawing>
                            </w:r>
                          </w:p>
                        </w:tc>
                        <w:tc>
                          <w:tcPr>
                            <w:tcW w:w="3140" w:type="dxa"/>
                            <w:tcBorders/>
                            <w:vAlign w:val="center"/>
                          </w:tcPr>
                          <w:p>
                            <w:pPr>
                              <w:pStyle w:val="TableContents"/>
                              <w:bidi w:val="0"/>
                              <w:spacing w:before="0" w:after="283"/>
                              <w:jc w:val="left"/>
                              <w:rPr/>
                            </w:pPr>
                            <w:r>
                              <w:rPr/>
                              <w:t>EXPERIENCE IN INDUSTRY</w:t>
                            </w:r>
                          </w:p>
                        </w:tc>
                        <w:tc>
                          <w:tcPr>
                            <w:tcW w:w="330" w:type="dxa"/>
                            <w:tcBorders/>
                            <w:vAlign w:val="center"/>
                          </w:tcPr>
                          <w:p>
                            <w:pPr>
                              <w:pStyle w:val="TableContents"/>
                              <w:bidi w:val="0"/>
                              <w:spacing w:before="0" w:after="283"/>
                              <w:jc w:val="left"/>
                              <w:rPr/>
                            </w:pPr>
                            <w:r>
                              <w:rPr/>
                              <w:drawing>
                                <wp:inline distT="0" distB="0" distL="0" distR="0">
                                  <wp:extent cx="209550" cy="523875"/>
                                  <wp:effectExtent l="0" t="0" r="0" b="0"/>
                                  <wp:docPr id="181" name="Image1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Image145" descr=""/>
                                          <pic:cNvPicPr>
                                            <a:picLocks noChangeAspect="1" noChangeArrowheads="1"/>
                                          </pic:cNvPicPr>
                                        </pic:nvPicPr>
                                        <pic:blipFill>
                                          <a:blip r:embed="rId165"/>
                                          <a:stretch>
                                            <a:fillRect/>
                                          </a:stretch>
                                        </pic:blipFill>
                                        <pic:spPr bwMode="auto">
                                          <a:xfrm>
                                            <a:off x="0" y="0"/>
                                            <a:ext cx="209550" cy="523875"/>
                                          </a:xfrm>
                                          <a:prstGeom prst="rect">
                                            <a:avLst/>
                                          </a:prstGeom>
                                        </pic:spPr>
                                      </pic:pic>
                                    </a:graphicData>
                                  </a:graphic>
                                </wp:inline>
                              </w:drawing>
                            </w:r>
                          </w:p>
                        </w:tc>
                        <w:tc>
                          <w:tcPr>
                            <w:tcW w:w="3138" w:type="dxa"/>
                            <w:tcBorders/>
                            <w:vAlign w:val="center"/>
                          </w:tcPr>
                          <w:p>
                            <w:pPr>
                              <w:pStyle w:val="TableContents"/>
                              <w:bidi w:val="0"/>
                              <w:spacing w:before="0" w:after="283"/>
                              <w:jc w:val="left"/>
                              <w:rPr/>
                            </w:pPr>
                            <w:r>
                              <w:rPr/>
                              <w:t>GOVERNANCE &amp; RESPONSIBILITY</w:t>
                            </w:r>
                          </w:p>
                        </w:tc>
                        <w:tc>
                          <w:tcPr>
                            <w:tcW w:w="300" w:type="dxa"/>
                            <w:tcBorders/>
                            <w:vAlign w:val="center"/>
                          </w:tcPr>
                          <w:p>
                            <w:pPr>
                              <w:pStyle w:val="TableContents"/>
                              <w:bidi w:val="0"/>
                              <w:spacing w:before="0" w:after="283"/>
                              <w:jc w:val="left"/>
                              <w:rPr/>
                            </w:pPr>
                            <w:r>
                              <w:rPr/>
                              <w:drawing>
                                <wp:inline distT="0" distB="0" distL="0" distR="0">
                                  <wp:extent cx="190500" cy="457200"/>
                                  <wp:effectExtent l="0" t="0" r="0" b="0"/>
                                  <wp:docPr id="182" name="Image1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Image146" descr=""/>
                                          <pic:cNvPicPr>
                                            <a:picLocks noChangeAspect="1" noChangeArrowheads="1"/>
                                          </pic:cNvPicPr>
                                        </pic:nvPicPr>
                                        <pic:blipFill>
                                          <a:blip r:embed="rId166"/>
                                          <a:stretch>
                                            <a:fillRect/>
                                          </a:stretch>
                                        </pic:blipFill>
                                        <pic:spPr bwMode="auto">
                                          <a:xfrm>
                                            <a:off x="0" y="0"/>
                                            <a:ext cx="190500" cy="457200"/>
                                          </a:xfrm>
                                          <a:prstGeom prst="rect">
                                            <a:avLst/>
                                          </a:prstGeom>
                                        </pic:spPr>
                                      </pic:pic>
                                    </a:graphicData>
                                  </a:graphic>
                                </wp:inline>
                              </w:drawing>
                            </w:r>
                          </w:p>
                        </w:tc>
                        <w:tc>
                          <w:tcPr>
                            <w:tcW w:w="2982" w:type="dxa"/>
                            <w:tcBorders/>
                            <w:vAlign w:val="center"/>
                          </w:tcPr>
                          <w:p>
                            <w:pPr>
                              <w:pStyle w:val="TableContents"/>
                              <w:bidi w:val="0"/>
                              <w:spacing w:before="0" w:after="283"/>
                              <w:jc w:val="left"/>
                              <w:rPr/>
                            </w:pPr>
                            <w:r>
                              <w:rPr/>
                              <w:t>TECHNOLOGY/CYBERSECURITY</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71">
                <wp:simplePos x="0" y="0"/>
                <wp:positionH relativeFrom="column">
                  <wp:align>right</wp:align>
                </wp:positionH>
                <wp:positionV relativeFrom="line">
                  <wp:posOffset>635</wp:posOffset>
                </wp:positionV>
                <wp:extent cx="1943735" cy="4978400"/>
                <wp:effectExtent l="0" t="0" r="0" b="0"/>
                <wp:wrapSquare wrapText="left"/>
                <wp:docPr id="183" name="Frame18"/>
                <a:graphic xmlns:a="http://schemas.openxmlformats.org/drawingml/2006/main">
                  <a:graphicData uri="http://schemas.microsoft.com/office/word/2010/wordprocessingShape">
                    <wps:wsp>
                      <wps:cNvSpPr txBox="1"/>
                      <wps:spPr>
                        <a:xfrm>
                          <a:off x="0" y="0"/>
                          <a:ext cx="1943735" cy="4978400"/>
                        </a:xfrm>
                        <a:prstGeom prst="rect"/>
                        <a:solidFill>
                          <a:srgbClr val="FFFFFF"/>
                        </a:solidFill>
                      </wps:spPr>
                      <wps:txbx>
                        <w:txbxContent>
                          <w:p>
                            <w:pPr>
                              <w:pStyle w:val="TextBody"/>
                              <w:bidi w:val="0"/>
                              <w:spacing w:before="0" w:after="283"/>
                              <w:ind w:left="0" w:right="0" w:hanging="0"/>
                              <w:jc w:val="right"/>
                              <w:rPr>
                                <w:caps w:val="false"/>
                                <w:smallCaps w:val="false"/>
                              </w:rPr>
                            </w:pPr>
                            <w:r>
                              <w:rPr>
                                <w:caps w:val="false"/>
                                <w:smallCaps w:val="false"/>
                              </w:rPr>
                              <w:drawing>
                                <wp:inline distT="0" distB="0" distL="0" distR="0">
                                  <wp:extent cx="1619250" cy="4876800"/>
                                  <wp:effectExtent l="0" t="0" r="0" b="0"/>
                                  <wp:docPr id="184" name="Image1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Image147" descr=""/>
                                          <pic:cNvPicPr>
                                            <a:picLocks noChangeAspect="1" noChangeArrowheads="1"/>
                                          </pic:cNvPicPr>
                                        </pic:nvPicPr>
                                        <pic:blipFill>
                                          <a:blip r:embed="rId167"/>
                                          <a:stretch>
                                            <a:fillRect/>
                                          </a:stretch>
                                        </pic:blipFill>
                                        <pic:spPr bwMode="auto">
                                          <a:xfrm>
                                            <a:off x="0" y="0"/>
                                            <a:ext cx="1619250" cy="4876800"/>
                                          </a:xfrm>
                                          <a:prstGeom prst="rect">
                                            <a:avLst/>
                                          </a:prstGeom>
                                        </pic:spPr>
                                      </pic:pic>
                                    </a:graphicData>
                                  </a:graphic>
                                </wp:inline>
                              </w:drawing>
                            </w:r>
                          </w:p>
                        </w:txbxContent>
                      </wps:txbx>
                      <wps:bodyPr anchor="t" lIns="0" tIns="0" rIns="0" bIns="0">
                        <a:noAutofit/>
                      </wps:bodyPr>
                    </wps:wsp>
                  </a:graphicData>
                </a:graphic>
                <wp14:sizeRelH relativeFrom="margin">
                  <wp14:pctWidth>30000</wp14:pctWidth>
                </wp14:sizeRelH>
              </wp:anchor>
            </w:drawing>
          </mc:Choice>
          <mc:Fallback>
            <w:pict>
              <v:rect style="position:absolute;rotation:-0;width:153.05pt;height:392pt;mso-wrap-distance-left:0pt;mso-wrap-distance-right:0pt;mso-wrap-distance-top:0pt;mso-wrap-distance-bottom:0pt;margin-top:0pt;mso-position-vertical:top;mso-position-vertical-relative:text;margin-left:357.2pt;mso-position-horizontal:right;mso-position-horizontal-relative:text">
                <v:textbox>
                  <w:txbxContent>
                    <w:p>
                      <w:pPr>
                        <w:pStyle w:val="TextBody"/>
                        <w:bidi w:val="0"/>
                        <w:spacing w:before="0" w:after="283"/>
                        <w:ind w:left="0" w:right="0" w:hanging="0"/>
                        <w:jc w:val="right"/>
                        <w:rPr>
                          <w:caps w:val="false"/>
                          <w:smallCaps w:val="false"/>
                        </w:rPr>
                      </w:pPr>
                      <w:r>
                        <w:rPr>
                          <w:caps w:val="false"/>
                          <w:smallCaps w:val="false"/>
                        </w:rPr>
                        <w:drawing>
                          <wp:inline distT="0" distB="0" distL="0" distR="0">
                            <wp:extent cx="1619250" cy="4876800"/>
                            <wp:effectExtent l="0" t="0" r="0" b="0"/>
                            <wp:docPr id="185" name="Image1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 name="Image147" descr=""/>
                                    <pic:cNvPicPr>
                                      <a:picLocks noChangeAspect="1" noChangeArrowheads="1"/>
                                    </pic:cNvPicPr>
                                  </pic:nvPicPr>
                                  <pic:blipFill>
                                    <a:blip r:embed="rId168"/>
                                    <a:stretch>
                                      <a:fillRect/>
                                    </a:stretch>
                                  </pic:blipFill>
                                  <pic:spPr bwMode="auto">
                                    <a:xfrm>
                                      <a:off x="0" y="0"/>
                                      <a:ext cx="1619250" cy="4876800"/>
                                    </a:xfrm>
                                    <a:prstGeom prst="rect">
                                      <a:avLst/>
                                    </a:prstGeom>
                                  </pic:spPr>
                                </pic:pic>
                              </a:graphicData>
                            </a:graphic>
                          </wp:inline>
                        </w:drawing>
                      </w:r>
                    </w:p>
                  </w:txbxContent>
                </v:textbox>
                <w10:wrap type="square" side="left"/>
              </v:rect>
            </w:pict>
          </mc:Fallback>
        </mc:AlternateConten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r>
        <mc:AlternateContent>
          <mc:Choice Requires="wps">
            <w:drawing>
              <wp:anchor behindDoc="0" distT="0" distB="0" distL="0" distR="0" simplePos="0" locked="0" layoutInCell="1" allowOverlap="1" relativeHeight="293">
                <wp:simplePos x="0" y="0"/>
                <wp:positionH relativeFrom="column">
                  <wp:align>left</wp:align>
                </wp:positionH>
                <wp:positionV relativeFrom="line">
                  <wp:posOffset>635</wp:posOffset>
                </wp:positionV>
                <wp:extent cx="3110230" cy="4410075"/>
                <wp:effectExtent l="0" t="0" r="0" b="0"/>
                <wp:wrapSquare wrapText="right"/>
                <wp:docPr id="186" name="Frame19"/>
                <a:graphic xmlns:a="http://schemas.openxmlformats.org/drawingml/2006/main">
                  <a:graphicData uri="http://schemas.microsoft.com/office/word/2010/wordprocessingShape">
                    <wps:wsp>
                      <wps:cNvSpPr txBox="1"/>
                      <wps:spPr>
                        <a:xfrm>
                          <a:off x="0" y="0"/>
                          <a:ext cx="3110230" cy="4410075"/>
                        </a:xfrm>
                        <a:prstGeom prst="rect"/>
                        <a:solidFill>
                          <a:srgbClr val="FFFFFF"/>
                        </a:solidFill>
                      </wps:spPr>
                      <wps:txbx>
                        <w:txbxContent>
                          <w:p>
                            <w:pPr>
                              <w:pStyle w:val="TextBody"/>
                              <w:bidi w:val="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Qualifications</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Dr. Harris has significant aerospace industry knowledge, a deep understanding of science and technology, and executive leadership experience gained through his CEO and other senior leadership roles at Vesalius Ventures and the National Math and Science Initiative, his service as Chief Medical Officer of SPACEHAB, and his years as an astronaut and flight surgeon at NASA. He has significant experience in technology innovation and strategic planning. He also brings valuable expertise in guiding organizations to leverage their resources in support of business operations, investment, community development and philanthropic endeavors.</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Experience</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pPr>
                                  <w:r>
                                    <w:rPr/>
                                    <w:t>Chief Executive Officer and Managing Partner, Vesalius Ventures (venture capital), since 1998</w:t>
                                  </w:r>
                                </w:p>
                              </w:tc>
                            </w:tr>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pPr>
                                  <w:r>
                                    <w:rPr/>
                                    <w:t>Executive Director, National Math and Science Initiative Inc. (education nonprofit), August 2022–March 2023</w:t>
                                  </w:r>
                                </w:p>
                              </w:tc>
                            </w:tr>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pPr>
                                  <w:r>
                                    <w:rPr/>
                                    <w:t>Chief Executive Officer, National Math and Science Initiative Inc., 2018–2022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347.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Qualifications</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Dr. Harris has significant aerospace industry knowledge, a deep understanding of science and technology, and executive leadership experience gained through his CEO and other senior leadership roles at Vesalius Ventures and the National Math and Science Initiative, his service as Chief Medical Officer of SPACEHAB, and his years as an astronaut and flight surgeon at NASA. He has significant experience in technology innovation and strategic planning. He also brings valuable expertise in guiding organizations to leverage their resources in support of business operations, investment, community development and philanthropic endeavors.</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Experience</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pPr>
                            <w:r>
                              <w:rPr/>
                              <w:t>Chief Executive Officer and Managing Partner, Vesalius Ventures (venture capital), since 1998</w:t>
                            </w:r>
                          </w:p>
                        </w:tc>
                      </w:tr>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pPr>
                            <w:r>
                              <w:rPr/>
                              <w:t>Executive Director, National Math and Science Initiative Inc. (education nonprofit), August 2022–March 2023</w:t>
                            </w:r>
                          </w:p>
                        </w:tc>
                      </w:tr>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pPr>
                            <w:r>
                              <w:rPr/>
                              <w:t>Chief Executive Officer, National Math and Science Initiative Inc., 2018–2022</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294">
                <wp:simplePos x="0" y="0"/>
                <wp:positionH relativeFrom="column">
                  <wp:align>right</wp:align>
                </wp:positionH>
                <wp:positionV relativeFrom="line">
                  <wp:posOffset>635</wp:posOffset>
                </wp:positionV>
                <wp:extent cx="3110230" cy="7887970"/>
                <wp:effectExtent l="0" t="0" r="0" b="0"/>
                <wp:wrapSquare wrapText="left"/>
                <wp:docPr id="187" name="Frame20"/>
                <a:graphic xmlns:a="http://schemas.openxmlformats.org/drawingml/2006/main">
                  <a:graphicData uri="http://schemas.microsoft.com/office/word/2010/wordprocessingShape">
                    <wps:wsp>
                      <wps:cNvSpPr txBox="1"/>
                      <wps:spPr>
                        <a:xfrm>
                          <a:off x="0" y="0"/>
                          <a:ext cx="3110230" cy="7887970"/>
                        </a:xfrm>
                        <a:prstGeom prst="rect"/>
                        <a:solidFill>
                          <a:srgbClr val="FFFFFF"/>
                        </a:solidFill>
                      </wps:spPr>
                      <wps:txbx>
                        <w:txbxContent>
                          <w:tbl>
                            <w:tblPr>
                              <w:tblW w:w="8095" w:type="dxa"/>
                              <w:jc w:val="left"/>
                              <w:tblInd w:w="0" w:type="dxa"/>
                              <w:tblLayout w:type="fixed"/>
                              <w:tblCellMar>
                                <w:top w:w="0" w:type="dxa"/>
                                <w:left w:w="0" w:type="dxa"/>
                                <w:bottom w:w="0" w:type="dxa"/>
                                <w:right w:w="0" w:type="dxa"/>
                              </w:tblCellMar>
                            </w:tblPr>
                            <w:tblGrid>
                              <w:gridCol w:w="185"/>
                              <w:gridCol w:w="7910"/>
                            </w:tblGrid>
                            <w:tr>
                              <w:trPr/>
                              <w:tc>
                                <w:tcPr>
                                  <w:tcW w:w="185" w:type="dxa"/>
                                  <w:tcBorders/>
                                  <w:vAlign w:val="center"/>
                                </w:tcPr>
                                <w:p>
                                  <w:pPr>
                                    <w:pStyle w:val="TableContents"/>
                                    <w:bidi w:val="0"/>
                                    <w:spacing w:before="0" w:after="283"/>
                                    <w:jc w:val="left"/>
                                    <w:rPr/>
                                  </w:pPr>
                                  <w:r>
                                    <w:rPr/>
                                    <w:t>●</w:t>
                                  </w:r>
                                </w:p>
                              </w:tc>
                              <w:tc>
                                <w:tcPr>
                                  <w:tcW w:w="7910" w:type="dxa"/>
                                  <w:tcBorders/>
                                  <w:vAlign w:val="center"/>
                                </w:tcPr>
                                <w:p>
                                  <w:pPr>
                                    <w:pStyle w:val="TableContents"/>
                                    <w:bidi w:val="0"/>
                                    <w:spacing w:before="0" w:after="283"/>
                                    <w:jc w:val="left"/>
                                    <w:rPr/>
                                  </w:pPr>
                                  <w:r>
                                    <w:rPr/>
                                    <w:t>Vice President, Business Development, Space Media Inc., 1999–2001</w:t>
                                  </w:r>
                                </w:p>
                              </w:tc>
                            </w:tr>
                            <w:tr>
                              <w:trPr/>
                              <w:tc>
                                <w:tcPr>
                                  <w:tcW w:w="185" w:type="dxa"/>
                                  <w:tcBorders/>
                                  <w:vAlign w:val="center"/>
                                </w:tcPr>
                                <w:p>
                                  <w:pPr>
                                    <w:pStyle w:val="TableContents"/>
                                    <w:bidi w:val="0"/>
                                    <w:spacing w:before="0" w:after="283"/>
                                    <w:jc w:val="left"/>
                                    <w:rPr/>
                                  </w:pPr>
                                  <w:r>
                                    <w:rPr/>
                                    <w:t>●</w:t>
                                  </w:r>
                                </w:p>
                              </w:tc>
                              <w:tc>
                                <w:tcPr>
                                  <w:tcW w:w="7910" w:type="dxa"/>
                                  <w:tcBorders/>
                                  <w:vAlign w:val="center"/>
                                </w:tcPr>
                                <w:p>
                                  <w:pPr>
                                    <w:pStyle w:val="TableContents"/>
                                    <w:bidi w:val="0"/>
                                    <w:spacing w:before="0" w:after="283"/>
                                    <w:jc w:val="left"/>
                                    <w:rPr/>
                                  </w:pPr>
                                  <w:r>
                                    <w:rPr/>
                                    <w:t>Vice President, Chief Medical Officer and Scientist, SPACEHAB Inc., 1996–2001</w:t>
                                  </w:r>
                                </w:p>
                              </w:tc>
                            </w:tr>
                            <w:tr>
                              <w:trPr/>
                              <w:tc>
                                <w:tcPr>
                                  <w:tcW w:w="185" w:type="dxa"/>
                                  <w:tcBorders/>
                                  <w:vAlign w:val="center"/>
                                </w:tcPr>
                                <w:p>
                                  <w:pPr>
                                    <w:pStyle w:val="TableContents"/>
                                    <w:bidi w:val="0"/>
                                    <w:spacing w:before="0" w:after="283"/>
                                    <w:jc w:val="left"/>
                                    <w:rPr/>
                                  </w:pPr>
                                  <w:r>
                                    <w:rPr/>
                                    <w:t>●</w:t>
                                  </w:r>
                                </w:p>
                              </w:tc>
                              <w:tc>
                                <w:tcPr>
                                  <w:tcW w:w="7910" w:type="dxa"/>
                                  <w:tcBorders/>
                                  <w:vAlign w:val="center"/>
                                </w:tcPr>
                                <w:p>
                                  <w:pPr>
                                    <w:pStyle w:val="TableContents"/>
                                    <w:bidi w:val="0"/>
                                    <w:spacing w:before="0" w:after="283"/>
                                    <w:jc w:val="left"/>
                                    <w:rPr/>
                                  </w:pPr>
                                  <w:r>
                                    <w:rPr/>
                                    <w:t>Astronaut, NASA, 1991–1996</w:t>
                                  </w:r>
                                </w:p>
                              </w:tc>
                            </w:tr>
                            <w:tr>
                              <w:trPr/>
                              <w:tc>
                                <w:tcPr>
                                  <w:tcW w:w="185" w:type="dxa"/>
                                  <w:tcBorders/>
                                  <w:vAlign w:val="center"/>
                                </w:tcPr>
                                <w:p>
                                  <w:pPr>
                                    <w:pStyle w:val="TableContents"/>
                                    <w:bidi w:val="0"/>
                                    <w:spacing w:before="0" w:after="283"/>
                                    <w:jc w:val="left"/>
                                    <w:rPr/>
                                  </w:pPr>
                                  <w:r>
                                    <w:rPr/>
                                    <w:t>●</w:t>
                                  </w:r>
                                </w:p>
                              </w:tc>
                              <w:tc>
                                <w:tcPr>
                                  <w:tcW w:w="7910" w:type="dxa"/>
                                  <w:tcBorders/>
                                  <w:vAlign w:val="center"/>
                                </w:tcPr>
                                <w:p>
                                  <w:pPr>
                                    <w:pStyle w:val="TableContents"/>
                                    <w:bidi w:val="0"/>
                                    <w:spacing w:before="0" w:after="283"/>
                                    <w:jc w:val="left"/>
                                    <w:rPr/>
                                  </w:pPr>
                                  <w:r>
                                    <w:rPr/>
                                    <w:t>Clinical Scientist &amp; Flight Surgeon, Johnson Space Center, NASA, 1987–1990</w:t>
                                  </w:r>
                                </w:p>
                              </w:tc>
                            </w:tr>
                          </w:tbl>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Other Current Directorships</w:t>
                            </w:r>
                          </w:p>
                          <w:p>
                            <w:pPr>
                              <w:pStyle w:val="TextBody"/>
                              <w:bidi w:val="0"/>
                              <w:jc w:val="left"/>
                              <w:rPr>
                                <w:caps w:val="false"/>
                                <w:smallCaps w:val="false"/>
                              </w:rPr>
                            </w:pPr>
                            <w:r>
                              <w:rPr>
                                <w:caps w:val="false"/>
                                <w:smallCaps w:val="false"/>
                              </w:rPr>
                              <w:t> </w:t>
                            </w:r>
                          </w:p>
                          <w:tbl>
                            <w:tblPr>
                              <w:tblW w:w="3580" w:type="dxa"/>
                              <w:jc w:val="left"/>
                              <w:tblInd w:w="0" w:type="dxa"/>
                              <w:tblLayout w:type="fixed"/>
                              <w:tblCellMar>
                                <w:top w:w="0" w:type="dxa"/>
                                <w:left w:w="0" w:type="dxa"/>
                                <w:bottom w:w="0" w:type="dxa"/>
                                <w:right w:w="0" w:type="dxa"/>
                              </w:tblCellMar>
                            </w:tblPr>
                            <w:tblGrid>
                              <w:gridCol w:w="185"/>
                              <w:gridCol w:w="3395"/>
                            </w:tblGrid>
                            <w:tr>
                              <w:trPr/>
                              <w:tc>
                                <w:tcPr>
                                  <w:tcW w:w="185" w:type="dxa"/>
                                  <w:tcBorders/>
                                  <w:vAlign w:val="center"/>
                                </w:tcPr>
                                <w:p>
                                  <w:pPr>
                                    <w:pStyle w:val="TableContents"/>
                                    <w:bidi w:val="0"/>
                                    <w:spacing w:before="0" w:after="283"/>
                                    <w:jc w:val="left"/>
                                    <w:rPr/>
                                  </w:pPr>
                                  <w:r>
                                    <w:rPr/>
                                    <w:t>●</w:t>
                                  </w:r>
                                </w:p>
                              </w:tc>
                              <w:tc>
                                <w:tcPr>
                                  <w:tcW w:w="3395" w:type="dxa"/>
                                  <w:tcBorders/>
                                  <w:vAlign w:val="center"/>
                                </w:tcPr>
                                <w:p>
                                  <w:pPr>
                                    <w:pStyle w:val="TableContents"/>
                                    <w:bidi w:val="0"/>
                                    <w:spacing w:before="0" w:after="283"/>
                                    <w:jc w:val="left"/>
                                    <w:rPr/>
                                  </w:pPr>
                                  <w:r>
                                    <w:rPr/>
                                    <w:t>U.S. Physical Therapy, since 2005</w:t>
                                  </w:r>
                                </w:p>
                              </w:tc>
                            </w:tr>
                            <w:tr>
                              <w:trPr/>
                              <w:tc>
                                <w:tcPr>
                                  <w:tcW w:w="185" w:type="dxa"/>
                                  <w:tcBorders/>
                                  <w:vAlign w:val="center"/>
                                </w:tcPr>
                                <w:p>
                                  <w:pPr>
                                    <w:pStyle w:val="TableContents"/>
                                    <w:bidi w:val="0"/>
                                    <w:spacing w:before="0" w:after="283"/>
                                    <w:jc w:val="left"/>
                                    <w:rPr/>
                                  </w:pPr>
                                  <w:r>
                                    <w:rPr/>
                                    <w:t>●</w:t>
                                  </w:r>
                                </w:p>
                              </w:tc>
                              <w:tc>
                                <w:tcPr>
                                  <w:tcW w:w="3395" w:type="dxa"/>
                                  <w:tcBorders/>
                                  <w:vAlign w:val="center"/>
                                </w:tcPr>
                                <w:p>
                                  <w:pPr>
                                    <w:pStyle w:val="TableContents"/>
                                    <w:bidi w:val="0"/>
                                    <w:spacing w:before="0" w:after="283"/>
                                    <w:jc w:val="left"/>
                                    <w:rPr/>
                                  </w:pPr>
                                  <w:r>
                                    <w:rPr/>
                                    <w:t>Solventum Corporation, since 2024</w:t>
                                  </w:r>
                                </w:p>
                              </w:tc>
                            </w:tr>
                            <w:tr>
                              <w:trPr/>
                              <w:tc>
                                <w:tcPr>
                                  <w:tcW w:w="185" w:type="dxa"/>
                                  <w:tcBorders/>
                                  <w:vAlign w:val="center"/>
                                </w:tcPr>
                                <w:p>
                                  <w:pPr>
                                    <w:pStyle w:val="TableContents"/>
                                    <w:bidi w:val="0"/>
                                    <w:spacing w:before="0" w:after="283"/>
                                    <w:jc w:val="left"/>
                                    <w:rPr/>
                                  </w:pPr>
                                  <w:r>
                                    <w:rPr/>
                                    <w:t>●</w:t>
                                  </w:r>
                                </w:p>
                              </w:tc>
                              <w:tc>
                                <w:tcPr>
                                  <w:tcW w:w="3395" w:type="dxa"/>
                                  <w:tcBorders/>
                                  <w:vAlign w:val="center"/>
                                </w:tcPr>
                                <w:p>
                                  <w:pPr>
                                    <w:pStyle w:val="TableContents"/>
                                    <w:bidi w:val="0"/>
                                    <w:spacing w:before="0" w:after="283"/>
                                    <w:jc w:val="left"/>
                                    <w:rPr/>
                                  </w:pPr>
                                  <w:r>
                                    <w:rPr/>
                                    <w:t>MassMutual (non-public)</w:t>
                                  </w:r>
                                </w:p>
                              </w:tc>
                            </w:tr>
                          </w:tbl>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Former Public Company Directorships</w:t>
                            </w:r>
                          </w:p>
                          <w:p>
                            <w:pPr>
                              <w:pStyle w:val="TextBody"/>
                              <w:bidi w:val="0"/>
                              <w:jc w:val="left"/>
                              <w:rPr>
                                <w:caps w:val="false"/>
                                <w:smallCaps w:val="false"/>
                              </w:rPr>
                            </w:pPr>
                            <w:r>
                              <w:rPr>
                                <w:caps w:val="false"/>
                                <w:smallCaps w:val="false"/>
                              </w:rPr>
                              <w:t> </w:t>
                            </w:r>
                          </w:p>
                          <w:tbl>
                            <w:tblPr>
                              <w:tblW w:w="3715" w:type="dxa"/>
                              <w:jc w:val="left"/>
                              <w:tblInd w:w="0" w:type="dxa"/>
                              <w:tblLayout w:type="fixed"/>
                              <w:tblCellMar>
                                <w:top w:w="0" w:type="dxa"/>
                                <w:left w:w="0" w:type="dxa"/>
                                <w:bottom w:w="0" w:type="dxa"/>
                                <w:right w:w="0" w:type="dxa"/>
                              </w:tblCellMar>
                            </w:tblPr>
                            <w:tblGrid>
                              <w:gridCol w:w="185"/>
                              <w:gridCol w:w="3530"/>
                            </w:tblGrid>
                            <w:tr>
                              <w:trPr/>
                              <w:tc>
                                <w:tcPr>
                                  <w:tcW w:w="185" w:type="dxa"/>
                                  <w:tcBorders/>
                                  <w:vAlign w:val="center"/>
                                </w:tcPr>
                                <w:p>
                                  <w:pPr>
                                    <w:pStyle w:val="TableContents"/>
                                    <w:bidi w:val="0"/>
                                    <w:spacing w:before="0" w:after="283"/>
                                    <w:jc w:val="left"/>
                                    <w:rPr/>
                                  </w:pPr>
                                  <w:r>
                                    <w:rPr/>
                                    <w:t>●</w:t>
                                  </w:r>
                                </w:p>
                              </w:tc>
                              <w:tc>
                                <w:tcPr>
                                  <w:tcW w:w="3530" w:type="dxa"/>
                                  <w:tcBorders/>
                                  <w:vAlign w:val="center"/>
                                </w:tcPr>
                                <w:p>
                                  <w:pPr>
                                    <w:pStyle w:val="TableContents"/>
                                    <w:bidi w:val="0"/>
                                    <w:spacing w:before="0" w:after="283"/>
                                    <w:jc w:val="left"/>
                                    <w:rPr/>
                                  </w:pPr>
                                  <w:r>
                                    <w:rPr/>
                                    <w:t>Sterling Bancshares Inc., 2006–2011</w:t>
                                  </w:r>
                                </w:p>
                              </w:tc>
                            </w:tr>
                          </w:tbl>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Other Leadership Experience and Service</w:t>
                            </w:r>
                          </w:p>
                          <w:p>
                            <w:pPr>
                              <w:pStyle w:val="TextBody"/>
                              <w:bidi w:val="0"/>
                              <w:jc w:val="left"/>
                              <w:rPr>
                                <w:caps w:val="false"/>
                                <w:smallCaps w:val="false"/>
                              </w:rPr>
                            </w:pPr>
                            <w:r>
                              <w:rPr>
                                <w:caps w:val="false"/>
                                <w:smallCaps w:val="false"/>
                              </w:rPr>
                              <w:t> </w:t>
                            </w:r>
                          </w:p>
                          <w:tbl>
                            <w:tblPr>
                              <w:tblW w:w="5350" w:type="dxa"/>
                              <w:jc w:val="left"/>
                              <w:tblInd w:w="0" w:type="dxa"/>
                              <w:tblLayout w:type="fixed"/>
                              <w:tblCellMar>
                                <w:top w:w="0" w:type="dxa"/>
                                <w:left w:w="0" w:type="dxa"/>
                                <w:bottom w:w="0" w:type="dxa"/>
                                <w:right w:w="0" w:type="dxa"/>
                              </w:tblCellMar>
                            </w:tblPr>
                            <w:tblGrid>
                              <w:gridCol w:w="185"/>
                              <w:gridCol w:w="5165"/>
                            </w:tblGrid>
                            <w:tr>
                              <w:trPr/>
                              <w:tc>
                                <w:tcPr>
                                  <w:tcW w:w="185" w:type="dxa"/>
                                  <w:tcBorders/>
                                  <w:vAlign w:val="center"/>
                                </w:tcPr>
                                <w:p>
                                  <w:pPr>
                                    <w:pStyle w:val="TableContents"/>
                                    <w:bidi w:val="0"/>
                                    <w:spacing w:before="0" w:after="283"/>
                                    <w:jc w:val="left"/>
                                    <w:rPr/>
                                  </w:pPr>
                                  <w:r>
                                    <w:rPr/>
                                    <w:t>●</w:t>
                                  </w:r>
                                </w:p>
                              </w:tc>
                              <w:tc>
                                <w:tcPr>
                                  <w:tcW w:w="5165" w:type="dxa"/>
                                  <w:tcBorders/>
                                  <w:vAlign w:val="center"/>
                                </w:tcPr>
                                <w:p>
                                  <w:pPr>
                                    <w:pStyle w:val="TableContents"/>
                                    <w:bidi w:val="0"/>
                                    <w:spacing w:before="0" w:after="283"/>
                                    <w:jc w:val="left"/>
                                    <w:rPr/>
                                  </w:pPr>
                                  <w:r>
                                    <w:rPr/>
                                    <w:t>Board of Directors, Astronaut Scholarship Foundation</w:t>
                                  </w:r>
                                </w:p>
                              </w:tc>
                            </w:tr>
                            <w:tr>
                              <w:trPr/>
                              <w:tc>
                                <w:tcPr>
                                  <w:tcW w:w="185" w:type="dxa"/>
                                  <w:tcBorders/>
                                  <w:vAlign w:val="center"/>
                                </w:tcPr>
                                <w:p>
                                  <w:pPr>
                                    <w:pStyle w:val="TableContents"/>
                                    <w:bidi w:val="0"/>
                                    <w:spacing w:before="0" w:after="283"/>
                                    <w:jc w:val="left"/>
                                    <w:rPr/>
                                  </w:pPr>
                                  <w:r>
                                    <w:rPr/>
                                    <w:t>●</w:t>
                                  </w:r>
                                </w:p>
                              </w:tc>
                              <w:tc>
                                <w:tcPr>
                                  <w:tcW w:w="5165" w:type="dxa"/>
                                  <w:tcBorders/>
                                  <w:vAlign w:val="center"/>
                                </w:tcPr>
                                <w:p>
                                  <w:pPr>
                                    <w:pStyle w:val="TableContents"/>
                                    <w:bidi w:val="0"/>
                                    <w:spacing w:before="0" w:after="283"/>
                                    <w:jc w:val="left"/>
                                    <w:rPr/>
                                  </w:pPr>
                                  <w:r>
                                    <w:rPr/>
                                    <w:t>Board of Directors, Texas Medical Center</w:t>
                                  </w:r>
                                </w:p>
                              </w:tc>
                            </w:tr>
                            <w:tr>
                              <w:trPr/>
                              <w:tc>
                                <w:tcPr>
                                  <w:tcW w:w="185" w:type="dxa"/>
                                  <w:tcBorders/>
                                  <w:vAlign w:val="center"/>
                                </w:tcPr>
                                <w:p>
                                  <w:pPr>
                                    <w:pStyle w:val="TableContents"/>
                                    <w:bidi w:val="0"/>
                                    <w:spacing w:before="0" w:after="283"/>
                                    <w:jc w:val="left"/>
                                    <w:rPr/>
                                  </w:pPr>
                                  <w:r>
                                    <w:rPr/>
                                    <w:t>●</w:t>
                                  </w:r>
                                </w:p>
                              </w:tc>
                              <w:tc>
                                <w:tcPr>
                                  <w:tcW w:w="5165" w:type="dxa"/>
                                  <w:tcBorders/>
                                  <w:vAlign w:val="center"/>
                                </w:tcPr>
                                <w:p>
                                  <w:pPr>
                                    <w:pStyle w:val="TableContents"/>
                                    <w:bidi w:val="0"/>
                                    <w:spacing w:before="0" w:after="283"/>
                                    <w:jc w:val="left"/>
                                    <w:rPr/>
                                  </w:pPr>
                                  <w:r>
                                    <w:rPr/>
                                    <w:t>The Harris Foundation (founder)</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621.1pt;mso-wrap-distance-left:0pt;mso-wrap-distance-right:0pt;mso-wrap-distance-top:0pt;mso-wrap-distance-bottom:0pt;margin-top:0pt;mso-position-vertical:top;mso-position-vertical-relative:text;margin-left:265.35pt;mso-position-horizontal:right;mso-position-horizontal-relative:text">
                <v:textbox>
                  <w:txbxContent>
                    <w:tbl>
                      <w:tblPr>
                        <w:tblW w:w="8095" w:type="dxa"/>
                        <w:jc w:val="left"/>
                        <w:tblInd w:w="0" w:type="dxa"/>
                        <w:tblLayout w:type="fixed"/>
                        <w:tblCellMar>
                          <w:top w:w="0" w:type="dxa"/>
                          <w:left w:w="0" w:type="dxa"/>
                          <w:bottom w:w="0" w:type="dxa"/>
                          <w:right w:w="0" w:type="dxa"/>
                        </w:tblCellMar>
                      </w:tblPr>
                      <w:tblGrid>
                        <w:gridCol w:w="185"/>
                        <w:gridCol w:w="7910"/>
                      </w:tblGrid>
                      <w:tr>
                        <w:trPr/>
                        <w:tc>
                          <w:tcPr>
                            <w:tcW w:w="185" w:type="dxa"/>
                            <w:tcBorders/>
                            <w:vAlign w:val="center"/>
                          </w:tcPr>
                          <w:p>
                            <w:pPr>
                              <w:pStyle w:val="TableContents"/>
                              <w:bidi w:val="0"/>
                              <w:spacing w:before="0" w:after="283"/>
                              <w:jc w:val="left"/>
                              <w:rPr/>
                            </w:pPr>
                            <w:r>
                              <w:rPr/>
                              <w:t>●</w:t>
                            </w:r>
                          </w:p>
                        </w:tc>
                        <w:tc>
                          <w:tcPr>
                            <w:tcW w:w="7910" w:type="dxa"/>
                            <w:tcBorders/>
                            <w:vAlign w:val="center"/>
                          </w:tcPr>
                          <w:p>
                            <w:pPr>
                              <w:pStyle w:val="TableContents"/>
                              <w:bidi w:val="0"/>
                              <w:spacing w:before="0" w:after="283"/>
                              <w:jc w:val="left"/>
                              <w:rPr/>
                            </w:pPr>
                            <w:r>
                              <w:rPr/>
                              <w:t>Vice President, Business Development, Space Media Inc., 1999–2001</w:t>
                            </w:r>
                          </w:p>
                        </w:tc>
                      </w:tr>
                      <w:tr>
                        <w:trPr/>
                        <w:tc>
                          <w:tcPr>
                            <w:tcW w:w="185" w:type="dxa"/>
                            <w:tcBorders/>
                            <w:vAlign w:val="center"/>
                          </w:tcPr>
                          <w:p>
                            <w:pPr>
                              <w:pStyle w:val="TableContents"/>
                              <w:bidi w:val="0"/>
                              <w:spacing w:before="0" w:after="283"/>
                              <w:jc w:val="left"/>
                              <w:rPr/>
                            </w:pPr>
                            <w:r>
                              <w:rPr/>
                              <w:t>●</w:t>
                            </w:r>
                          </w:p>
                        </w:tc>
                        <w:tc>
                          <w:tcPr>
                            <w:tcW w:w="7910" w:type="dxa"/>
                            <w:tcBorders/>
                            <w:vAlign w:val="center"/>
                          </w:tcPr>
                          <w:p>
                            <w:pPr>
                              <w:pStyle w:val="TableContents"/>
                              <w:bidi w:val="0"/>
                              <w:spacing w:before="0" w:after="283"/>
                              <w:jc w:val="left"/>
                              <w:rPr/>
                            </w:pPr>
                            <w:r>
                              <w:rPr/>
                              <w:t>Vice President, Chief Medical Officer and Scientist, SPACEHAB Inc., 1996–2001</w:t>
                            </w:r>
                          </w:p>
                        </w:tc>
                      </w:tr>
                      <w:tr>
                        <w:trPr/>
                        <w:tc>
                          <w:tcPr>
                            <w:tcW w:w="185" w:type="dxa"/>
                            <w:tcBorders/>
                            <w:vAlign w:val="center"/>
                          </w:tcPr>
                          <w:p>
                            <w:pPr>
                              <w:pStyle w:val="TableContents"/>
                              <w:bidi w:val="0"/>
                              <w:spacing w:before="0" w:after="283"/>
                              <w:jc w:val="left"/>
                              <w:rPr/>
                            </w:pPr>
                            <w:r>
                              <w:rPr/>
                              <w:t>●</w:t>
                            </w:r>
                          </w:p>
                        </w:tc>
                        <w:tc>
                          <w:tcPr>
                            <w:tcW w:w="7910" w:type="dxa"/>
                            <w:tcBorders/>
                            <w:vAlign w:val="center"/>
                          </w:tcPr>
                          <w:p>
                            <w:pPr>
                              <w:pStyle w:val="TableContents"/>
                              <w:bidi w:val="0"/>
                              <w:spacing w:before="0" w:after="283"/>
                              <w:jc w:val="left"/>
                              <w:rPr/>
                            </w:pPr>
                            <w:r>
                              <w:rPr/>
                              <w:t>Astronaut, NASA, 1991–1996</w:t>
                            </w:r>
                          </w:p>
                        </w:tc>
                      </w:tr>
                      <w:tr>
                        <w:trPr/>
                        <w:tc>
                          <w:tcPr>
                            <w:tcW w:w="185" w:type="dxa"/>
                            <w:tcBorders/>
                            <w:vAlign w:val="center"/>
                          </w:tcPr>
                          <w:p>
                            <w:pPr>
                              <w:pStyle w:val="TableContents"/>
                              <w:bidi w:val="0"/>
                              <w:spacing w:before="0" w:after="283"/>
                              <w:jc w:val="left"/>
                              <w:rPr/>
                            </w:pPr>
                            <w:r>
                              <w:rPr/>
                              <w:t>●</w:t>
                            </w:r>
                          </w:p>
                        </w:tc>
                        <w:tc>
                          <w:tcPr>
                            <w:tcW w:w="7910" w:type="dxa"/>
                            <w:tcBorders/>
                            <w:vAlign w:val="center"/>
                          </w:tcPr>
                          <w:p>
                            <w:pPr>
                              <w:pStyle w:val="TableContents"/>
                              <w:bidi w:val="0"/>
                              <w:spacing w:before="0" w:after="283"/>
                              <w:jc w:val="left"/>
                              <w:rPr/>
                            </w:pPr>
                            <w:r>
                              <w:rPr/>
                              <w:t>Clinical Scientist &amp; Flight Surgeon, Johnson Space Center, NASA, 1987–1990</w:t>
                            </w:r>
                          </w:p>
                        </w:tc>
                      </w:tr>
                    </w:tbl>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Other Current Directorships</w:t>
                      </w:r>
                    </w:p>
                    <w:p>
                      <w:pPr>
                        <w:pStyle w:val="TextBody"/>
                        <w:bidi w:val="0"/>
                        <w:jc w:val="left"/>
                        <w:rPr>
                          <w:caps w:val="false"/>
                          <w:smallCaps w:val="false"/>
                        </w:rPr>
                      </w:pPr>
                      <w:r>
                        <w:rPr>
                          <w:caps w:val="false"/>
                          <w:smallCaps w:val="false"/>
                        </w:rPr>
                        <w:t> </w:t>
                      </w:r>
                    </w:p>
                    <w:tbl>
                      <w:tblPr>
                        <w:tblW w:w="3580" w:type="dxa"/>
                        <w:jc w:val="left"/>
                        <w:tblInd w:w="0" w:type="dxa"/>
                        <w:tblLayout w:type="fixed"/>
                        <w:tblCellMar>
                          <w:top w:w="0" w:type="dxa"/>
                          <w:left w:w="0" w:type="dxa"/>
                          <w:bottom w:w="0" w:type="dxa"/>
                          <w:right w:w="0" w:type="dxa"/>
                        </w:tblCellMar>
                      </w:tblPr>
                      <w:tblGrid>
                        <w:gridCol w:w="185"/>
                        <w:gridCol w:w="3395"/>
                      </w:tblGrid>
                      <w:tr>
                        <w:trPr/>
                        <w:tc>
                          <w:tcPr>
                            <w:tcW w:w="185" w:type="dxa"/>
                            <w:tcBorders/>
                            <w:vAlign w:val="center"/>
                          </w:tcPr>
                          <w:p>
                            <w:pPr>
                              <w:pStyle w:val="TableContents"/>
                              <w:bidi w:val="0"/>
                              <w:spacing w:before="0" w:after="283"/>
                              <w:jc w:val="left"/>
                              <w:rPr/>
                            </w:pPr>
                            <w:r>
                              <w:rPr/>
                              <w:t>●</w:t>
                            </w:r>
                          </w:p>
                        </w:tc>
                        <w:tc>
                          <w:tcPr>
                            <w:tcW w:w="3395" w:type="dxa"/>
                            <w:tcBorders/>
                            <w:vAlign w:val="center"/>
                          </w:tcPr>
                          <w:p>
                            <w:pPr>
                              <w:pStyle w:val="TableContents"/>
                              <w:bidi w:val="0"/>
                              <w:spacing w:before="0" w:after="283"/>
                              <w:jc w:val="left"/>
                              <w:rPr/>
                            </w:pPr>
                            <w:r>
                              <w:rPr/>
                              <w:t>U.S. Physical Therapy, since 2005</w:t>
                            </w:r>
                          </w:p>
                        </w:tc>
                      </w:tr>
                      <w:tr>
                        <w:trPr/>
                        <w:tc>
                          <w:tcPr>
                            <w:tcW w:w="185" w:type="dxa"/>
                            <w:tcBorders/>
                            <w:vAlign w:val="center"/>
                          </w:tcPr>
                          <w:p>
                            <w:pPr>
                              <w:pStyle w:val="TableContents"/>
                              <w:bidi w:val="0"/>
                              <w:spacing w:before="0" w:after="283"/>
                              <w:jc w:val="left"/>
                              <w:rPr/>
                            </w:pPr>
                            <w:r>
                              <w:rPr/>
                              <w:t>●</w:t>
                            </w:r>
                          </w:p>
                        </w:tc>
                        <w:tc>
                          <w:tcPr>
                            <w:tcW w:w="3395" w:type="dxa"/>
                            <w:tcBorders/>
                            <w:vAlign w:val="center"/>
                          </w:tcPr>
                          <w:p>
                            <w:pPr>
                              <w:pStyle w:val="TableContents"/>
                              <w:bidi w:val="0"/>
                              <w:spacing w:before="0" w:after="283"/>
                              <w:jc w:val="left"/>
                              <w:rPr/>
                            </w:pPr>
                            <w:r>
                              <w:rPr/>
                              <w:t>Solventum Corporation, since 2024</w:t>
                            </w:r>
                          </w:p>
                        </w:tc>
                      </w:tr>
                      <w:tr>
                        <w:trPr/>
                        <w:tc>
                          <w:tcPr>
                            <w:tcW w:w="185" w:type="dxa"/>
                            <w:tcBorders/>
                            <w:vAlign w:val="center"/>
                          </w:tcPr>
                          <w:p>
                            <w:pPr>
                              <w:pStyle w:val="TableContents"/>
                              <w:bidi w:val="0"/>
                              <w:spacing w:before="0" w:after="283"/>
                              <w:jc w:val="left"/>
                              <w:rPr/>
                            </w:pPr>
                            <w:r>
                              <w:rPr/>
                              <w:t>●</w:t>
                            </w:r>
                          </w:p>
                        </w:tc>
                        <w:tc>
                          <w:tcPr>
                            <w:tcW w:w="3395" w:type="dxa"/>
                            <w:tcBorders/>
                            <w:vAlign w:val="center"/>
                          </w:tcPr>
                          <w:p>
                            <w:pPr>
                              <w:pStyle w:val="TableContents"/>
                              <w:bidi w:val="0"/>
                              <w:spacing w:before="0" w:after="283"/>
                              <w:jc w:val="left"/>
                              <w:rPr/>
                            </w:pPr>
                            <w:r>
                              <w:rPr/>
                              <w:t>MassMutual (non-public)</w:t>
                            </w:r>
                          </w:p>
                        </w:tc>
                      </w:tr>
                    </w:tbl>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Former Public Company Directorships</w:t>
                      </w:r>
                    </w:p>
                    <w:p>
                      <w:pPr>
                        <w:pStyle w:val="TextBody"/>
                        <w:bidi w:val="0"/>
                        <w:jc w:val="left"/>
                        <w:rPr>
                          <w:caps w:val="false"/>
                          <w:smallCaps w:val="false"/>
                        </w:rPr>
                      </w:pPr>
                      <w:r>
                        <w:rPr>
                          <w:caps w:val="false"/>
                          <w:smallCaps w:val="false"/>
                        </w:rPr>
                        <w:t> </w:t>
                      </w:r>
                    </w:p>
                    <w:tbl>
                      <w:tblPr>
                        <w:tblW w:w="3715" w:type="dxa"/>
                        <w:jc w:val="left"/>
                        <w:tblInd w:w="0" w:type="dxa"/>
                        <w:tblLayout w:type="fixed"/>
                        <w:tblCellMar>
                          <w:top w:w="0" w:type="dxa"/>
                          <w:left w:w="0" w:type="dxa"/>
                          <w:bottom w:w="0" w:type="dxa"/>
                          <w:right w:w="0" w:type="dxa"/>
                        </w:tblCellMar>
                      </w:tblPr>
                      <w:tblGrid>
                        <w:gridCol w:w="185"/>
                        <w:gridCol w:w="3530"/>
                      </w:tblGrid>
                      <w:tr>
                        <w:trPr/>
                        <w:tc>
                          <w:tcPr>
                            <w:tcW w:w="185" w:type="dxa"/>
                            <w:tcBorders/>
                            <w:vAlign w:val="center"/>
                          </w:tcPr>
                          <w:p>
                            <w:pPr>
                              <w:pStyle w:val="TableContents"/>
                              <w:bidi w:val="0"/>
                              <w:spacing w:before="0" w:after="283"/>
                              <w:jc w:val="left"/>
                              <w:rPr/>
                            </w:pPr>
                            <w:r>
                              <w:rPr/>
                              <w:t>●</w:t>
                            </w:r>
                          </w:p>
                        </w:tc>
                        <w:tc>
                          <w:tcPr>
                            <w:tcW w:w="3530" w:type="dxa"/>
                            <w:tcBorders/>
                            <w:vAlign w:val="center"/>
                          </w:tcPr>
                          <w:p>
                            <w:pPr>
                              <w:pStyle w:val="TableContents"/>
                              <w:bidi w:val="0"/>
                              <w:spacing w:before="0" w:after="283"/>
                              <w:jc w:val="left"/>
                              <w:rPr/>
                            </w:pPr>
                            <w:r>
                              <w:rPr/>
                              <w:t>Sterling Bancshares Inc., 2006–2011</w:t>
                            </w:r>
                          </w:p>
                        </w:tc>
                      </w:tr>
                    </w:tbl>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Other Leadership Experience and Service</w:t>
                      </w:r>
                    </w:p>
                    <w:p>
                      <w:pPr>
                        <w:pStyle w:val="TextBody"/>
                        <w:bidi w:val="0"/>
                        <w:jc w:val="left"/>
                        <w:rPr>
                          <w:caps w:val="false"/>
                          <w:smallCaps w:val="false"/>
                        </w:rPr>
                      </w:pPr>
                      <w:r>
                        <w:rPr>
                          <w:caps w:val="false"/>
                          <w:smallCaps w:val="false"/>
                        </w:rPr>
                        <w:t> </w:t>
                      </w:r>
                    </w:p>
                    <w:tbl>
                      <w:tblPr>
                        <w:tblW w:w="5350" w:type="dxa"/>
                        <w:jc w:val="left"/>
                        <w:tblInd w:w="0" w:type="dxa"/>
                        <w:tblLayout w:type="fixed"/>
                        <w:tblCellMar>
                          <w:top w:w="0" w:type="dxa"/>
                          <w:left w:w="0" w:type="dxa"/>
                          <w:bottom w:w="0" w:type="dxa"/>
                          <w:right w:w="0" w:type="dxa"/>
                        </w:tblCellMar>
                      </w:tblPr>
                      <w:tblGrid>
                        <w:gridCol w:w="185"/>
                        <w:gridCol w:w="5165"/>
                      </w:tblGrid>
                      <w:tr>
                        <w:trPr/>
                        <w:tc>
                          <w:tcPr>
                            <w:tcW w:w="185" w:type="dxa"/>
                            <w:tcBorders/>
                            <w:vAlign w:val="center"/>
                          </w:tcPr>
                          <w:p>
                            <w:pPr>
                              <w:pStyle w:val="TableContents"/>
                              <w:bidi w:val="0"/>
                              <w:spacing w:before="0" w:after="283"/>
                              <w:jc w:val="left"/>
                              <w:rPr/>
                            </w:pPr>
                            <w:r>
                              <w:rPr/>
                              <w:t>●</w:t>
                            </w:r>
                          </w:p>
                        </w:tc>
                        <w:tc>
                          <w:tcPr>
                            <w:tcW w:w="5165" w:type="dxa"/>
                            <w:tcBorders/>
                            <w:vAlign w:val="center"/>
                          </w:tcPr>
                          <w:p>
                            <w:pPr>
                              <w:pStyle w:val="TableContents"/>
                              <w:bidi w:val="0"/>
                              <w:spacing w:before="0" w:after="283"/>
                              <w:jc w:val="left"/>
                              <w:rPr/>
                            </w:pPr>
                            <w:r>
                              <w:rPr/>
                              <w:t>Board of Directors, Astronaut Scholarship Foundation</w:t>
                            </w:r>
                          </w:p>
                        </w:tc>
                      </w:tr>
                      <w:tr>
                        <w:trPr/>
                        <w:tc>
                          <w:tcPr>
                            <w:tcW w:w="185" w:type="dxa"/>
                            <w:tcBorders/>
                            <w:vAlign w:val="center"/>
                          </w:tcPr>
                          <w:p>
                            <w:pPr>
                              <w:pStyle w:val="TableContents"/>
                              <w:bidi w:val="0"/>
                              <w:spacing w:before="0" w:after="283"/>
                              <w:jc w:val="left"/>
                              <w:rPr/>
                            </w:pPr>
                            <w:r>
                              <w:rPr/>
                              <w:t>●</w:t>
                            </w:r>
                          </w:p>
                        </w:tc>
                        <w:tc>
                          <w:tcPr>
                            <w:tcW w:w="5165" w:type="dxa"/>
                            <w:tcBorders/>
                            <w:vAlign w:val="center"/>
                          </w:tcPr>
                          <w:p>
                            <w:pPr>
                              <w:pStyle w:val="TableContents"/>
                              <w:bidi w:val="0"/>
                              <w:spacing w:before="0" w:after="283"/>
                              <w:jc w:val="left"/>
                              <w:rPr/>
                            </w:pPr>
                            <w:r>
                              <w:rPr/>
                              <w:t>Board of Directors, Texas Medical Center</w:t>
                            </w:r>
                          </w:p>
                        </w:tc>
                      </w:tr>
                      <w:tr>
                        <w:trPr/>
                        <w:tc>
                          <w:tcPr>
                            <w:tcW w:w="185" w:type="dxa"/>
                            <w:tcBorders/>
                            <w:vAlign w:val="center"/>
                          </w:tcPr>
                          <w:p>
                            <w:pPr>
                              <w:pStyle w:val="TableContents"/>
                              <w:bidi w:val="0"/>
                              <w:spacing w:before="0" w:after="283"/>
                              <w:jc w:val="left"/>
                              <w:rPr/>
                            </w:pPr>
                            <w:r>
                              <w:rPr/>
                              <w:t>●</w:t>
                            </w:r>
                          </w:p>
                        </w:tc>
                        <w:tc>
                          <w:tcPr>
                            <w:tcW w:w="5165" w:type="dxa"/>
                            <w:tcBorders/>
                            <w:vAlign w:val="center"/>
                          </w:tcPr>
                          <w:p>
                            <w:pPr>
                              <w:pStyle w:val="TableContents"/>
                              <w:bidi w:val="0"/>
                              <w:spacing w:before="0" w:after="283"/>
                              <w:jc w:val="left"/>
                              <w:rPr/>
                            </w:pPr>
                            <w:r>
                              <w:rPr/>
                              <w:t>The Harris Foundation (founder)</w:t>
                            </w:r>
                          </w:p>
                        </w:tc>
                      </w:tr>
                    </w:tbl>
                    <w:p>
                      <w:pPr>
                        <w:pStyle w:val="TextBody"/>
                        <w:bidi w:val="0"/>
                        <w:spacing w:before="0" w:after="283"/>
                        <w:jc w:val="left"/>
                        <w:rPr/>
                      </w:pPr>
                      <w:r>
                        <w:rPr/>
                      </w:r>
                    </w:p>
                  </w:txbxContent>
                </v:textbox>
                <w10:wrap type="square" side="left"/>
              </v:rect>
            </w:pict>
          </mc:Fallback>
        </mc:AlternateContent>
      </w:r>
    </w:p>
    <w:p>
      <w:pPr>
        <w:pStyle w:val="TextBody"/>
        <w:bidi w:val="0"/>
        <w:jc w:val="left"/>
        <w:rPr>
          <w:caps w:val="false"/>
          <w:smallCaps w:val="false"/>
          <w:shd w:fill="EDEDEE" w:val="clear"/>
        </w:rPr>
      </w:pPr>
      <w:r>
        <w:rPr>
          <w:caps w:val="false"/>
          <w:smallCaps w:val="false"/>
          <w:shd w:fill="EDEDEE" w:val="clear"/>
        </w:rPr>
        <w:t> </w:t>
      </w:r>
      <w:r>
        <mc:AlternateContent>
          <mc:Choice Requires="wps">
            <w:drawing>
              <wp:anchor behindDoc="0" distT="0" distB="0" distL="0" distR="0" simplePos="0" locked="0" layoutInCell="1" allowOverlap="1" relativeHeight="73">
                <wp:simplePos x="0" y="0"/>
                <wp:positionH relativeFrom="column">
                  <wp:align>left</wp:align>
                </wp:positionH>
                <wp:positionV relativeFrom="line">
                  <wp:posOffset>635</wp:posOffset>
                </wp:positionV>
                <wp:extent cx="4535805" cy="3738880"/>
                <wp:effectExtent l="0" t="0" r="0" b="0"/>
                <wp:wrapSquare wrapText="right"/>
                <wp:docPr id="188" name="Frame21"/>
                <a:graphic xmlns:a="http://schemas.openxmlformats.org/drawingml/2006/main">
                  <a:graphicData uri="http://schemas.microsoft.com/office/word/2010/wordprocessingShape">
                    <wps:wsp>
                      <wps:cNvSpPr txBox="1"/>
                      <wps:spPr>
                        <a:xfrm>
                          <a:off x="0" y="0"/>
                          <a:ext cx="4535805" cy="3738880"/>
                        </a:xfrm>
                        <a:prstGeom prst="rect"/>
                        <a:solidFill>
                          <a:srgbClr val="FFFFFF"/>
                        </a:solidFill>
                      </wps:spPr>
                      <wps:txbx>
                        <w:txbxContent>
                          <w:p>
                            <w:pPr>
                              <w:pStyle w:val="TextBody"/>
                              <w:bidi w:val="0"/>
                              <w:jc w:val="left"/>
                              <w:rPr>
                                <w:rFonts w:ascii="Arial;Helvetica;Sans-Serif" w:hAnsi="Arial;Helvetica;Sans-Serif"/>
                                <w:b/>
                                <w:i w:val="false"/>
                                <w:caps w:val="false"/>
                                <w:smallCaps w:val="false"/>
                                <w:sz w:val="30"/>
                              </w:rPr>
                            </w:pPr>
                            <w:r>
                              <w:rPr>
                                <w:rFonts w:ascii="Arial;Helvetica;Sans-Serif" w:hAnsi="Arial;Helvetica;Sans-Serif"/>
                                <w:b/>
                                <w:i w:val="false"/>
                                <w:caps w:val="false"/>
                                <w:smallCaps w:val="false"/>
                                <w:sz w:val="30"/>
                              </w:rPr>
                              <w:t>George R. Oliver</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915"/>
                              <w:gridCol w:w="300"/>
                              <w:gridCol w:w="3990"/>
                            </w:tblGrid>
                            <w:tr>
                              <w:trPr/>
                              <w:tc>
                                <w:tcPr>
                                  <w:tcW w:w="5915" w:type="dxa"/>
                                  <w:tcBorders/>
                                  <w:vAlign w:val="center"/>
                                </w:tcPr>
                                <w:p>
                                  <w:pPr>
                                    <w:pStyle w:val="TableContents"/>
                                    <w:bidi w:val="0"/>
                                    <w:spacing w:before="0" w:after="60"/>
                                    <w:jc w:val="left"/>
                                    <w:rPr>
                                      <w:b/>
                                    </w:rPr>
                                  </w:pPr>
                                  <w:r>
                                    <w:rPr>
                                      <w:b/>
                                    </w:rPr>
                                    <w:t>INDEPENDENT DIRECTOR</w:t>
                                  </w:r>
                                </w:p>
                                <w:p>
                                  <w:pPr>
                                    <w:pStyle w:val="TableContents"/>
                                    <w:bidi w:val="0"/>
                                    <w:spacing w:before="0" w:after="283"/>
                                    <w:jc w:val="left"/>
                                    <w:rPr>
                                      <w:sz w:val="20"/>
                                    </w:rPr>
                                  </w:pPr>
                                  <w:r>
                                    <w:rPr>
                                      <w:sz w:val="20"/>
                                    </w:rPr>
                                    <w:t>Retired Chairman &amp; Chief Executive Officer, Johnson Controls International plc</w:t>
                                  </w:r>
                                </w:p>
                              </w:tc>
                              <w:tc>
                                <w:tcPr>
                                  <w:tcW w:w="300" w:type="dxa"/>
                                  <w:tcBorders/>
                                  <w:vAlign w:val="center"/>
                                </w:tcPr>
                                <w:p>
                                  <w:pPr>
                                    <w:pStyle w:val="TableContents"/>
                                    <w:bidi w:val="0"/>
                                    <w:spacing w:before="0" w:after="283"/>
                                    <w:jc w:val="left"/>
                                    <w:rPr/>
                                  </w:pPr>
                                  <w:r>
                                    <w:rPr/>
                                    <w:t>     </w:t>
                                  </w:r>
                                </w:p>
                              </w:tc>
                              <w:tc>
                                <w:tcPr>
                                  <w:tcW w:w="3990" w:type="dxa"/>
                                  <w:tcBorders/>
                                  <w:vAlign w:val="center"/>
                                </w:tcPr>
                                <w:p>
                                  <w:pPr>
                                    <w:pStyle w:val="TableContents"/>
                                    <w:bidi w:val="0"/>
                                    <w:spacing w:before="0" w:after="60"/>
                                    <w:jc w:val="left"/>
                                    <w:rPr/>
                                  </w:pPr>
                                  <w:r>
                                    <w:rPr/>
                                    <w:t xml:space="preserve">AGE </w:t>
                                  </w:r>
                                  <w:r>
                                    <w:rPr>
                                      <w:b/>
                                    </w:rPr>
                                    <w:t>65</w:t>
                                  </w:r>
                                </w:p>
                                <w:p>
                                  <w:pPr>
                                    <w:pStyle w:val="TableContents"/>
                                    <w:bidi w:val="0"/>
                                    <w:jc w:val="left"/>
                                    <w:rPr/>
                                  </w:pPr>
                                  <w:r>
                                    <w:rPr/>
                                    <w:t xml:space="preserve">DIRECTOR SINCE </w:t>
                                  </w:r>
                                  <w:r>
                                    <w:rPr>
                                      <w:b/>
                                    </w:rPr>
                                    <w:t>2020</w:t>
                                  </w:r>
                                </w:p>
                                <w:p>
                                  <w:pPr>
                                    <w:pStyle w:val="TableContents"/>
                                    <w:bidi w:val="0"/>
                                    <w:jc w:val="left"/>
                                    <w:rPr/>
                                  </w:pPr>
                                  <w:r>
                                    <w:rPr/>
                                    <w:t>BOARD COMMITTEES</w:t>
                                  </w:r>
                                </w:p>
                                <w:p>
                                  <w:pPr>
                                    <w:pStyle w:val="TableContents"/>
                                    <w:bidi w:val="0"/>
                                    <w:spacing w:before="0" w:after="283"/>
                                    <w:jc w:val="left"/>
                                    <w:rPr>
                                      <w:b/>
                                    </w:rPr>
                                  </w:pPr>
                                  <w:r>
                                    <w:rPr>
                                      <w:b/>
                                    </w:rPr>
                                    <w:t>Human Capital &amp; Compensation, Finance</w:t>
                                  </w:r>
                                </w:p>
                              </w:tc>
                            </w:tr>
                            <w:tr>
                              <w:trPr/>
                              <w:tc>
                                <w:tcPr>
                                  <w:tcW w:w="5915" w:type="dxa"/>
                                  <w:tcBorders/>
                                  <w:vAlign w:val="center"/>
                                </w:tcPr>
                                <w:p>
                                  <w:pPr>
                                    <w:pStyle w:val="TableContents"/>
                                    <w:bidi w:val="0"/>
                                    <w:spacing w:before="0" w:after="283"/>
                                    <w:jc w:val="left"/>
                                    <w:rPr>
                                      <w:b/>
                                      <w:sz w:val="20"/>
                                    </w:rPr>
                                  </w:pPr>
                                  <w:r>
                                    <w:rPr>
                                      <w:b/>
                                      <w:sz w:val="20"/>
                                    </w:rPr>
                                    <w:t>Key Skills and Expertise</w:t>
                                  </w:r>
                                </w:p>
                              </w:tc>
                              <w:tc>
                                <w:tcPr>
                                  <w:tcW w:w="300" w:type="dxa"/>
                                  <w:tcBorders/>
                                  <w:vAlign w:val="center"/>
                                </w:tcPr>
                                <w:p>
                                  <w:pPr>
                                    <w:pStyle w:val="TableContents"/>
                                    <w:bidi w:val="0"/>
                                    <w:spacing w:before="0" w:after="283"/>
                                    <w:jc w:val="left"/>
                                    <w:rPr/>
                                  </w:pPr>
                                  <w:r>
                                    <w:rPr/>
                                    <w:t> </w:t>
                                  </w:r>
                                </w:p>
                              </w:tc>
                              <w:tc>
                                <w:tcPr>
                                  <w:tcW w:w="3990"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15"/>
                              <w:gridCol w:w="2015"/>
                              <w:gridCol w:w="330"/>
                              <w:gridCol w:w="2465"/>
                              <w:gridCol w:w="300"/>
                              <w:gridCol w:w="4780"/>
                            </w:tblGrid>
                            <w:tr>
                              <w:trPr/>
                              <w:tc>
                                <w:tcPr>
                                  <w:tcW w:w="315" w:type="dxa"/>
                                  <w:tcBorders/>
                                  <w:vAlign w:val="center"/>
                                </w:tcPr>
                                <w:p>
                                  <w:pPr>
                                    <w:pStyle w:val="TableContents"/>
                                    <w:bidi w:val="0"/>
                                    <w:spacing w:before="0" w:after="283"/>
                                    <w:jc w:val="left"/>
                                    <w:rPr/>
                                  </w:pPr>
                                  <w:r>
                                    <w:rPr/>
                                    <w:drawing>
                                      <wp:inline distT="0" distB="0" distL="0" distR="0">
                                        <wp:extent cx="190500" cy="466725"/>
                                        <wp:effectExtent l="0" t="0" r="0" b="0"/>
                                        <wp:docPr id="189" name="Image1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 name="Image148" descr=""/>
                                                <pic:cNvPicPr>
                                                  <a:picLocks noChangeAspect="1" noChangeArrowheads="1"/>
                                                </pic:cNvPicPr>
                                              </pic:nvPicPr>
                                              <pic:blipFill>
                                                <a:blip r:embed="rId169"/>
                                                <a:stretch>
                                                  <a:fillRect/>
                                                </a:stretch>
                                              </pic:blipFill>
                                              <pic:spPr bwMode="auto">
                                                <a:xfrm>
                                                  <a:off x="0" y="0"/>
                                                  <a:ext cx="190500" cy="466725"/>
                                                </a:xfrm>
                                                <a:prstGeom prst="rect">
                                                  <a:avLst/>
                                                </a:prstGeom>
                                              </pic:spPr>
                                            </pic:pic>
                                          </a:graphicData>
                                        </a:graphic>
                                      </wp:inline>
                                    </w:drawing>
                                  </w:r>
                                </w:p>
                              </w:tc>
                              <w:tc>
                                <w:tcPr>
                                  <w:tcW w:w="2015" w:type="dxa"/>
                                  <w:tcBorders/>
                                  <w:vAlign w:val="center"/>
                                </w:tcPr>
                                <w:p>
                                  <w:pPr>
                                    <w:pStyle w:val="TableContents"/>
                                    <w:bidi w:val="0"/>
                                    <w:spacing w:before="0" w:after="283"/>
                                    <w:jc w:val="left"/>
                                    <w:rPr/>
                                  </w:pPr>
                                  <w:r>
                                    <w:rPr/>
                                    <w:t>INTERNATIONAL</w:t>
                                  </w:r>
                                </w:p>
                              </w:tc>
                              <w:tc>
                                <w:tcPr>
                                  <w:tcW w:w="330" w:type="dxa"/>
                                  <w:tcBorders/>
                                  <w:vAlign w:val="center"/>
                                </w:tcPr>
                                <w:p>
                                  <w:pPr>
                                    <w:pStyle w:val="TableContents"/>
                                    <w:bidi w:val="0"/>
                                    <w:spacing w:before="0" w:after="283"/>
                                    <w:jc w:val="left"/>
                                    <w:rPr/>
                                  </w:pPr>
                                  <w:r>
                                    <w:rPr/>
                                    <w:drawing>
                                      <wp:inline distT="0" distB="0" distL="0" distR="0">
                                        <wp:extent cx="209550" cy="419100"/>
                                        <wp:effectExtent l="0" t="0" r="0" b="0"/>
                                        <wp:docPr id="190" name="Image1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Image149" descr=""/>
                                                <pic:cNvPicPr>
                                                  <a:picLocks noChangeAspect="1" noChangeArrowheads="1"/>
                                                </pic:cNvPicPr>
                                              </pic:nvPicPr>
                                              <pic:blipFill>
                                                <a:blip r:embed="rId170"/>
                                                <a:stretch>
                                                  <a:fillRect/>
                                                </a:stretch>
                                              </pic:blipFill>
                                              <pic:spPr bwMode="auto">
                                                <a:xfrm>
                                                  <a:off x="0" y="0"/>
                                                  <a:ext cx="209550" cy="419100"/>
                                                </a:xfrm>
                                                <a:prstGeom prst="rect">
                                                  <a:avLst/>
                                                </a:prstGeom>
                                              </pic:spPr>
                                            </pic:pic>
                                          </a:graphicData>
                                        </a:graphic>
                                      </wp:inline>
                                    </w:drawing>
                                  </w:r>
                                </w:p>
                              </w:tc>
                              <w:tc>
                                <w:tcPr>
                                  <w:tcW w:w="2465" w:type="dxa"/>
                                  <w:tcBorders/>
                                  <w:vAlign w:val="center"/>
                                </w:tcPr>
                                <w:p>
                                  <w:pPr>
                                    <w:pStyle w:val="TableContents"/>
                                    <w:bidi w:val="0"/>
                                    <w:spacing w:before="0" w:after="283"/>
                                    <w:jc w:val="left"/>
                                    <w:rPr/>
                                  </w:pPr>
                                  <w:r>
                                    <w:rPr/>
                                    <w:t>SENIOR LEADERSHIP</w:t>
                                  </w:r>
                                </w:p>
                              </w:tc>
                              <w:tc>
                                <w:tcPr>
                                  <w:tcW w:w="300" w:type="dxa"/>
                                  <w:tcBorders/>
                                  <w:vAlign w:val="center"/>
                                </w:tcPr>
                                <w:p>
                                  <w:pPr>
                                    <w:pStyle w:val="TableContents"/>
                                    <w:bidi w:val="0"/>
                                    <w:spacing w:before="0" w:after="283"/>
                                    <w:jc w:val="left"/>
                                    <w:rPr/>
                                  </w:pPr>
                                  <w:r>
                                    <w:rPr/>
                                    <w:drawing>
                                      <wp:inline distT="0" distB="0" distL="0" distR="0">
                                        <wp:extent cx="190500" cy="419100"/>
                                        <wp:effectExtent l="0" t="0" r="0" b="0"/>
                                        <wp:docPr id="191" name="Image1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 name="Image150" descr=""/>
                                                <pic:cNvPicPr>
                                                  <a:picLocks noChangeAspect="1" noChangeArrowheads="1"/>
                                                </pic:cNvPicPr>
                                              </pic:nvPicPr>
                                              <pic:blipFill>
                                                <a:blip r:embed="rId171"/>
                                                <a:stretch>
                                                  <a:fillRect/>
                                                </a:stretch>
                                              </pic:blipFill>
                                              <pic:spPr bwMode="auto">
                                                <a:xfrm>
                                                  <a:off x="0" y="0"/>
                                                  <a:ext cx="190500" cy="419100"/>
                                                </a:xfrm>
                                                <a:prstGeom prst="rect">
                                                  <a:avLst/>
                                                </a:prstGeom>
                                              </pic:spPr>
                                            </pic:pic>
                                          </a:graphicData>
                                        </a:graphic>
                                      </wp:inline>
                                    </w:drawing>
                                  </w:r>
                                </w:p>
                              </w:tc>
                              <w:tc>
                                <w:tcPr>
                                  <w:tcW w:w="4780" w:type="dxa"/>
                                  <w:tcBorders/>
                                  <w:vAlign w:val="center"/>
                                </w:tcPr>
                                <w:p>
                                  <w:pPr>
                                    <w:pStyle w:val="TableContents"/>
                                    <w:bidi w:val="0"/>
                                    <w:spacing w:before="0" w:after="283"/>
                                    <w:jc w:val="left"/>
                                    <w:rPr/>
                                  </w:pPr>
                                  <w:r>
                                    <w:rPr/>
                                    <w:t>MANUFACTURING, OPERATIONS &amp; SUPPLY CHAIN</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70000</wp14:pctWidth>
                </wp14:sizeRelH>
              </wp:anchor>
            </w:drawing>
          </mc:Choice>
          <mc:Fallback>
            <w:pict>
              <v:rect style="position:absolute;rotation:-0;width:357.15pt;height:294.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jc w:val="left"/>
                        <w:rPr>
                          <w:rFonts w:ascii="Arial;Helvetica;Sans-Serif" w:hAnsi="Arial;Helvetica;Sans-Serif"/>
                          <w:b/>
                          <w:i w:val="false"/>
                          <w:caps w:val="false"/>
                          <w:smallCaps w:val="false"/>
                          <w:sz w:val="30"/>
                        </w:rPr>
                      </w:pPr>
                      <w:r>
                        <w:rPr>
                          <w:rFonts w:ascii="Arial;Helvetica;Sans-Serif" w:hAnsi="Arial;Helvetica;Sans-Serif"/>
                          <w:b/>
                          <w:i w:val="false"/>
                          <w:caps w:val="false"/>
                          <w:smallCaps w:val="false"/>
                          <w:sz w:val="30"/>
                        </w:rPr>
                        <w:t>George R. Oliver</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915"/>
                        <w:gridCol w:w="300"/>
                        <w:gridCol w:w="3990"/>
                      </w:tblGrid>
                      <w:tr>
                        <w:trPr/>
                        <w:tc>
                          <w:tcPr>
                            <w:tcW w:w="5915" w:type="dxa"/>
                            <w:tcBorders/>
                            <w:vAlign w:val="center"/>
                          </w:tcPr>
                          <w:p>
                            <w:pPr>
                              <w:pStyle w:val="TableContents"/>
                              <w:bidi w:val="0"/>
                              <w:spacing w:before="0" w:after="60"/>
                              <w:jc w:val="left"/>
                              <w:rPr>
                                <w:b/>
                              </w:rPr>
                            </w:pPr>
                            <w:r>
                              <w:rPr>
                                <w:b/>
                              </w:rPr>
                              <w:t>INDEPENDENT DIRECTOR</w:t>
                            </w:r>
                          </w:p>
                          <w:p>
                            <w:pPr>
                              <w:pStyle w:val="TableContents"/>
                              <w:bidi w:val="0"/>
                              <w:spacing w:before="0" w:after="283"/>
                              <w:jc w:val="left"/>
                              <w:rPr>
                                <w:sz w:val="20"/>
                              </w:rPr>
                            </w:pPr>
                            <w:r>
                              <w:rPr>
                                <w:sz w:val="20"/>
                              </w:rPr>
                              <w:t>Retired Chairman &amp; Chief Executive Officer, Johnson Controls International plc</w:t>
                            </w:r>
                          </w:p>
                        </w:tc>
                        <w:tc>
                          <w:tcPr>
                            <w:tcW w:w="300" w:type="dxa"/>
                            <w:tcBorders/>
                            <w:vAlign w:val="center"/>
                          </w:tcPr>
                          <w:p>
                            <w:pPr>
                              <w:pStyle w:val="TableContents"/>
                              <w:bidi w:val="0"/>
                              <w:spacing w:before="0" w:after="283"/>
                              <w:jc w:val="left"/>
                              <w:rPr/>
                            </w:pPr>
                            <w:r>
                              <w:rPr/>
                              <w:t>     </w:t>
                            </w:r>
                          </w:p>
                        </w:tc>
                        <w:tc>
                          <w:tcPr>
                            <w:tcW w:w="3990" w:type="dxa"/>
                            <w:tcBorders/>
                            <w:vAlign w:val="center"/>
                          </w:tcPr>
                          <w:p>
                            <w:pPr>
                              <w:pStyle w:val="TableContents"/>
                              <w:bidi w:val="0"/>
                              <w:spacing w:before="0" w:after="60"/>
                              <w:jc w:val="left"/>
                              <w:rPr/>
                            </w:pPr>
                            <w:r>
                              <w:rPr/>
                              <w:t xml:space="preserve">AGE </w:t>
                            </w:r>
                            <w:r>
                              <w:rPr>
                                <w:b/>
                              </w:rPr>
                              <w:t>65</w:t>
                            </w:r>
                          </w:p>
                          <w:p>
                            <w:pPr>
                              <w:pStyle w:val="TableContents"/>
                              <w:bidi w:val="0"/>
                              <w:jc w:val="left"/>
                              <w:rPr/>
                            </w:pPr>
                            <w:r>
                              <w:rPr/>
                              <w:t xml:space="preserve">DIRECTOR SINCE </w:t>
                            </w:r>
                            <w:r>
                              <w:rPr>
                                <w:b/>
                              </w:rPr>
                              <w:t>2020</w:t>
                            </w:r>
                          </w:p>
                          <w:p>
                            <w:pPr>
                              <w:pStyle w:val="TableContents"/>
                              <w:bidi w:val="0"/>
                              <w:jc w:val="left"/>
                              <w:rPr/>
                            </w:pPr>
                            <w:r>
                              <w:rPr/>
                              <w:t>BOARD COMMITTEES</w:t>
                            </w:r>
                          </w:p>
                          <w:p>
                            <w:pPr>
                              <w:pStyle w:val="TableContents"/>
                              <w:bidi w:val="0"/>
                              <w:spacing w:before="0" w:after="283"/>
                              <w:jc w:val="left"/>
                              <w:rPr>
                                <w:b/>
                              </w:rPr>
                            </w:pPr>
                            <w:r>
                              <w:rPr>
                                <w:b/>
                              </w:rPr>
                              <w:t>Human Capital &amp; Compensation, Finance</w:t>
                            </w:r>
                          </w:p>
                        </w:tc>
                      </w:tr>
                      <w:tr>
                        <w:trPr/>
                        <w:tc>
                          <w:tcPr>
                            <w:tcW w:w="5915" w:type="dxa"/>
                            <w:tcBorders/>
                            <w:vAlign w:val="center"/>
                          </w:tcPr>
                          <w:p>
                            <w:pPr>
                              <w:pStyle w:val="TableContents"/>
                              <w:bidi w:val="0"/>
                              <w:spacing w:before="0" w:after="283"/>
                              <w:jc w:val="left"/>
                              <w:rPr>
                                <w:b/>
                                <w:sz w:val="20"/>
                              </w:rPr>
                            </w:pPr>
                            <w:r>
                              <w:rPr>
                                <w:b/>
                                <w:sz w:val="20"/>
                              </w:rPr>
                              <w:t>Key Skills and Expertise</w:t>
                            </w:r>
                          </w:p>
                        </w:tc>
                        <w:tc>
                          <w:tcPr>
                            <w:tcW w:w="300" w:type="dxa"/>
                            <w:tcBorders/>
                            <w:vAlign w:val="center"/>
                          </w:tcPr>
                          <w:p>
                            <w:pPr>
                              <w:pStyle w:val="TableContents"/>
                              <w:bidi w:val="0"/>
                              <w:spacing w:before="0" w:after="283"/>
                              <w:jc w:val="left"/>
                              <w:rPr/>
                            </w:pPr>
                            <w:r>
                              <w:rPr/>
                              <w:t> </w:t>
                            </w:r>
                          </w:p>
                        </w:tc>
                        <w:tc>
                          <w:tcPr>
                            <w:tcW w:w="3990"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15"/>
                        <w:gridCol w:w="2015"/>
                        <w:gridCol w:w="330"/>
                        <w:gridCol w:w="2465"/>
                        <w:gridCol w:w="300"/>
                        <w:gridCol w:w="4780"/>
                      </w:tblGrid>
                      <w:tr>
                        <w:trPr/>
                        <w:tc>
                          <w:tcPr>
                            <w:tcW w:w="315" w:type="dxa"/>
                            <w:tcBorders/>
                            <w:vAlign w:val="center"/>
                          </w:tcPr>
                          <w:p>
                            <w:pPr>
                              <w:pStyle w:val="TableContents"/>
                              <w:bidi w:val="0"/>
                              <w:spacing w:before="0" w:after="283"/>
                              <w:jc w:val="left"/>
                              <w:rPr/>
                            </w:pPr>
                            <w:r>
                              <w:rPr/>
                              <w:drawing>
                                <wp:inline distT="0" distB="0" distL="0" distR="0">
                                  <wp:extent cx="190500" cy="466725"/>
                                  <wp:effectExtent l="0" t="0" r="0" b="0"/>
                                  <wp:docPr id="192" name="Image1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Image148" descr=""/>
                                          <pic:cNvPicPr>
                                            <a:picLocks noChangeAspect="1" noChangeArrowheads="1"/>
                                          </pic:cNvPicPr>
                                        </pic:nvPicPr>
                                        <pic:blipFill>
                                          <a:blip r:embed="rId172"/>
                                          <a:stretch>
                                            <a:fillRect/>
                                          </a:stretch>
                                        </pic:blipFill>
                                        <pic:spPr bwMode="auto">
                                          <a:xfrm>
                                            <a:off x="0" y="0"/>
                                            <a:ext cx="190500" cy="466725"/>
                                          </a:xfrm>
                                          <a:prstGeom prst="rect">
                                            <a:avLst/>
                                          </a:prstGeom>
                                        </pic:spPr>
                                      </pic:pic>
                                    </a:graphicData>
                                  </a:graphic>
                                </wp:inline>
                              </w:drawing>
                            </w:r>
                          </w:p>
                        </w:tc>
                        <w:tc>
                          <w:tcPr>
                            <w:tcW w:w="2015" w:type="dxa"/>
                            <w:tcBorders/>
                            <w:vAlign w:val="center"/>
                          </w:tcPr>
                          <w:p>
                            <w:pPr>
                              <w:pStyle w:val="TableContents"/>
                              <w:bidi w:val="0"/>
                              <w:spacing w:before="0" w:after="283"/>
                              <w:jc w:val="left"/>
                              <w:rPr/>
                            </w:pPr>
                            <w:r>
                              <w:rPr/>
                              <w:t>INTERNATIONAL</w:t>
                            </w:r>
                          </w:p>
                        </w:tc>
                        <w:tc>
                          <w:tcPr>
                            <w:tcW w:w="330" w:type="dxa"/>
                            <w:tcBorders/>
                            <w:vAlign w:val="center"/>
                          </w:tcPr>
                          <w:p>
                            <w:pPr>
                              <w:pStyle w:val="TableContents"/>
                              <w:bidi w:val="0"/>
                              <w:spacing w:before="0" w:after="283"/>
                              <w:jc w:val="left"/>
                              <w:rPr/>
                            </w:pPr>
                            <w:r>
                              <w:rPr/>
                              <w:drawing>
                                <wp:inline distT="0" distB="0" distL="0" distR="0">
                                  <wp:extent cx="209550" cy="419100"/>
                                  <wp:effectExtent l="0" t="0" r="0" b="0"/>
                                  <wp:docPr id="193" name="Image1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Image149" descr=""/>
                                          <pic:cNvPicPr>
                                            <a:picLocks noChangeAspect="1" noChangeArrowheads="1"/>
                                          </pic:cNvPicPr>
                                        </pic:nvPicPr>
                                        <pic:blipFill>
                                          <a:blip r:embed="rId173"/>
                                          <a:stretch>
                                            <a:fillRect/>
                                          </a:stretch>
                                        </pic:blipFill>
                                        <pic:spPr bwMode="auto">
                                          <a:xfrm>
                                            <a:off x="0" y="0"/>
                                            <a:ext cx="209550" cy="419100"/>
                                          </a:xfrm>
                                          <a:prstGeom prst="rect">
                                            <a:avLst/>
                                          </a:prstGeom>
                                        </pic:spPr>
                                      </pic:pic>
                                    </a:graphicData>
                                  </a:graphic>
                                </wp:inline>
                              </w:drawing>
                            </w:r>
                          </w:p>
                        </w:tc>
                        <w:tc>
                          <w:tcPr>
                            <w:tcW w:w="2465" w:type="dxa"/>
                            <w:tcBorders/>
                            <w:vAlign w:val="center"/>
                          </w:tcPr>
                          <w:p>
                            <w:pPr>
                              <w:pStyle w:val="TableContents"/>
                              <w:bidi w:val="0"/>
                              <w:spacing w:before="0" w:after="283"/>
                              <w:jc w:val="left"/>
                              <w:rPr/>
                            </w:pPr>
                            <w:r>
                              <w:rPr/>
                              <w:t>SENIOR LEADERSHIP</w:t>
                            </w:r>
                          </w:p>
                        </w:tc>
                        <w:tc>
                          <w:tcPr>
                            <w:tcW w:w="300" w:type="dxa"/>
                            <w:tcBorders/>
                            <w:vAlign w:val="center"/>
                          </w:tcPr>
                          <w:p>
                            <w:pPr>
                              <w:pStyle w:val="TableContents"/>
                              <w:bidi w:val="0"/>
                              <w:spacing w:before="0" w:after="283"/>
                              <w:jc w:val="left"/>
                              <w:rPr/>
                            </w:pPr>
                            <w:r>
                              <w:rPr/>
                              <w:drawing>
                                <wp:inline distT="0" distB="0" distL="0" distR="0">
                                  <wp:extent cx="190500" cy="419100"/>
                                  <wp:effectExtent l="0" t="0" r="0" b="0"/>
                                  <wp:docPr id="194" name="Image1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Image150" descr=""/>
                                          <pic:cNvPicPr>
                                            <a:picLocks noChangeAspect="1" noChangeArrowheads="1"/>
                                          </pic:cNvPicPr>
                                        </pic:nvPicPr>
                                        <pic:blipFill>
                                          <a:blip r:embed="rId174"/>
                                          <a:stretch>
                                            <a:fillRect/>
                                          </a:stretch>
                                        </pic:blipFill>
                                        <pic:spPr bwMode="auto">
                                          <a:xfrm>
                                            <a:off x="0" y="0"/>
                                            <a:ext cx="190500" cy="419100"/>
                                          </a:xfrm>
                                          <a:prstGeom prst="rect">
                                            <a:avLst/>
                                          </a:prstGeom>
                                        </pic:spPr>
                                      </pic:pic>
                                    </a:graphicData>
                                  </a:graphic>
                                </wp:inline>
                              </w:drawing>
                            </w:r>
                          </w:p>
                        </w:tc>
                        <w:tc>
                          <w:tcPr>
                            <w:tcW w:w="4780" w:type="dxa"/>
                            <w:tcBorders/>
                            <w:vAlign w:val="center"/>
                          </w:tcPr>
                          <w:p>
                            <w:pPr>
                              <w:pStyle w:val="TableContents"/>
                              <w:bidi w:val="0"/>
                              <w:spacing w:before="0" w:after="283"/>
                              <w:jc w:val="left"/>
                              <w:rPr/>
                            </w:pPr>
                            <w:r>
                              <w:rPr/>
                              <w:t>MANUFACTURING, OPERATIONS &amp; SUPPLY CHAIN</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77">
                <wp:simplePos x="0" y="0"/>
                <wp:positionH relativeFrom="column">
                  <wp:align>right</wp:align>
                </wp:positionH>
                <wp:positionV relativeFrom="line">
                  <wp:posOffset>635</wp:posOffset>
                </wp:positionV>
                <wp:extent cx="1943735" cy="5057775"/>
                <wp:effectExtent l="0" t="0" r="0" b="0"/>
                <wp:wrapSquare wrapText="left"/>
                <wp:docPr id="195" name="Frame22"/>
                <a:graphic xmlns:a="http://schemas.openxmlformats.org/drawingml/2006/main">
                  <a:graphicData uri="http://schemas.microsoft.com/office/word/2010/wordprocessingShape">
                    <wps:wsp>
                      <wps:cNvSpPr txBox="1"/>
                      <wps:spPr>
                        <a:xfrm>
                          <a:off x="0" y="0"/>
                          <a:ext cx="1943735" cy="5057775"/>
                        </a:xfrm>
                        <a:prstGeom prst="rect"/>
                        <a:solidFill>
                          <a:srgbClr val="FFFFFF"/>
                        </a:solidFill>
                      </wps:spPr>
                      <wps:txbx>
                        <w:txbxContent>
                          <w:p>
                            <w:pPr>
                              <w:pStyle w:val="TextBody"/>
                              <w:bidi w:val="0"/>
                              <w:spacing w:before="0" w:after="283"/>
                              <w:ind w:left="0" w:right="0" w:hanging="0"/>
                              <w:jc w:val="right"/>
                              <w:rPr>
                                <w:caps w:val="false"/>
                                <w:smallCaps w:val="false"/>
                              </w:rPr>
                            </w:pPr>
                            <w:r>
                              <w:rPr>
                                <w:caps w:val="false"/>
                                <w:smallCaps w:val="false"/>
                              </w:rPr>
                              <w:drawing>
                                <wp:inline distT="0" distB="0" distL="0" distR="0">
                                  <wp:extent cx="1619250" cy="4867275"/>
                                  <wp:effectExtent l="0" t="0" r="0" b="0"/>
                                  <wp:docPr id="196" name="Image1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Image151" descr=""/>
                                          <pic:cNvPicPr>
                                            <a:picLocks noChangeAspect="1" noChangeArrowheads="1"/>
                                          </pic:cNvPicPr>
                                        </pic:nvPicPr>
                                        <pic:blipFill>
                                          <a:blip r:embed="rId175"/>
                                          <a:stretch>
                                            <a:fillRect/>
                                          </a:stretch>
                                        </pic:blipFill>
                                        <pic:spPr bwMode="auto">
                                          <a:xfrm>
                                            <a:off x="0" y="0"/>
                                            <a:ext cx="1619250" cy="4867275"/>
                                          </a:xfrm>
                                          <a:prstGeom prst="rect">
                                            <a:avLst/>
                                          </a:prstGeom>
                                        </pic:spPr>
                                      </pic:pic>
                                    </a:graphicData>
                                  </a:graphic>
                                </wp:inline>
                              </w:drawing>
                            </w:r>
                          </w:p>
                        </w:txbxContent>
                      </wps:txbx>
                      <wps:bodyPr anchor="t" lIns="0" tIns="0" rIns="0" bIns="0">
                        <a:noAutofit/>
                      </wps:bodyPr>
                    </wps:wsp>
                  </a:graphicData>
                </a:graphic>
                <wp14:sizeRelH relativeFrom="margin">
                  <wp14:pctWidth>30000</wp14:pctWidth>
                </wp14:sizeRelH>
              </wp:anchor>
            </w:drawing>
          </mc:Choice>
          <mc:Fallback>
            <w:pict>
              <v:rect style="position:absolute;rotation:-0;width:153.05pt;height:398.25pt;mso-wrap-distance-left:0pt;mso-wrap-distance-right:0pt;mso-wrap-distance-top:0pt;mso-wrap-distance-bottom:0pt;margin-top:0pt;mso-position-vertical:top;mso-position-vertical-relative:text;margin-left:357.2pt;mso-position-horizontal:right;mso-position-horizontal-relative:text">
                <v:textbox>
                  <w:txbxContent>
                    <w:p>
                      <w:pPr>
                        <w:pStyle w:val="TextBody"/>
                        <w:bidi w:val="0"/>
                        <w:spacing w:before="0" w:after="283"/>
                        <w:ind w:left="0" w:right="0" w:hanging="0"/>
                        <w:jc w:val="right"/>
                        <w:rPr>
                          <w:caps w:val="false"/>
                          <w:smallCaps w:val="false"/>
                        </w:rPr>
                      </w:pPr>
                      <w:r>
                        <w:rPr>
                          <w:caps w:val="false"/>
                          <w:smallCaps w:val="false"/>
                        </w:rPr>
                        <w:drawing>
                          <wp:inline distT="0" distB="0" distL="0" distR="0">
                            <wp:extent cx="1619250" cy="4867275"/>
                            <wp:effectExtent l="0" t="0" r="0" b="0"/>
                            <wp:docPr id="197" name="Image1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 name="Image151" descr=""/>
                                    <pic:cNvPicPr>
                                      <a:picLocks noChangeAspect="1" noChangeArrowheads="1"/>
                                    </pic:cNvPicPr>
                                  </pic:nvPicPr>
                                  <pic:blipFill>
                                    <a:blip r:embed="rId176"/>
                                    <a:stretch>
                                      <a:fillRect/>
                                    </a:stretch>
                                  </pic:blipFill>
                                  <pic:spPr bwMode="auto">
                                    <a:xfrm>
                                      <a:off x="0" y="0"/>
                                      <a:ext cx="1619250" cy="4867275"/>
                                    </a:xfrm>
                                    <a:prstGeom prst="rect">
                                      <a:avLst/>
                                    </a:prstGeom>
                                  </pic:spPr>
                                </pic:pic>
                              </a:graphicData>
                            </a:graphic>
                          </wp:inline>
                        </w:drawing>
                      </w:r>
                    </w:p>
                  </w:txbxContent>
                </v:textbox>
                <w10:wrap type="square" side="left"/>
              </v:rect>
            </w:pict>
          </mc:Fallback>
        </mc:AlternateContent>
      </w:r>
    </w:p>
    <w:p>
      <w:pPr>
        <w:pStyle w:val="TextBody"/>
        <w:bidi w:val="0"/>
        <w:jc w:val="left"/>
        <w:rPr>
          <w:caps w:val="false"/>
          <w:smallCaps w:val="false"/>
        </w:rPr>
      </w:pPr>
      <w:r>
        <w:rPr>
          <w:caps w:val="false"/>
          <w:smallCaps w:val="false"/>
        </w:rPr>
        <w:t> </w:t>
      </w:r>
    </w:p>
    <w:p>
      <w:pPr>
        <w:pStyle w:val="TextBody"/>
        <w:bidi w:val="0"/>
        <w:spacing w:before="200" w:after="283"/>
        <w:jc w:val="left"/>
        <w:rPr>
          <w:rFonts w:ascii="Arial;Helvetica;Sans-Serif" w:hAnsi="Arial;Helvetica;Sans-Serif"/>
          <w:b w:val="false"/>
          <w:i w:val="false"/>
          <w:caps w:val="false"/>
          <w:smallCaps w:val="false"/>
          <w:sz w:val="15"/>
        </w:rPr>
      </w:pPr>
      <w:r>
        <w:rPr>
          <w:rFonts w:ascii="Arial;Helvetica;Sans-Serif" w:hAnsi="Arial;Helvetica;Sans-Serif"/>
          <w:b/>
          <w:i w:val="false"/>
          <w:caps w:val="false"/>
          <w:smallCaps w:val="false"/>
          <w:sz w:val="15"/>
        </w:rPr>
        <w:t>16</w:t>
      </w:r>
      <w:r>
        <w:rPr>
          <w:rFonts w:ascii="Arial;Helvetica;Sans-Serif" w:hAnsi="Arial;Helvetica;Sans-Serif"/>
          <w:b w:val="false"/>
          <w:i w:val="false"/>
          <w:caps w:val="false"/>
          <w:smallCaps w:val="false"/>
          <w:sz w:val="15"/>
        </w:rPr>
        <w:t>    </w:t>
      </w:r>
      <w:r>
        <w:rPr>
          <w:rFonts w:ascii="Arial;Helvetica;Sans-Serif" w:hAnsi="Arial;Helvetica;Sans-Serif"/>
          <w:b/>
          <w:i w:val="false"/>
          <w:caps w:val="false"/>
          <w:smallCaps w:val="false"/>
          <w:sz w:val="15"/>
        </w:rPr>
        <w:t xml:space="preserve">RTX </w:t>
      </w:r>
      <w:r>
        <w:rPr>
          <w:rFonts w:ascii="Arial;Helvetica;Sans-Serif" w:hAnsi="Arial;Helvetica;Sans-Serif"/>
          <w:b w:val="false"/>
          <w:i w:val="false"/>
          <w:caps w:val="false"/>
          <w:smallCaps w:val="false"/>
          <w:sz w:val="15"/>
        </w:rPr>
        <w:t>2026 PROXY STATEMENT</w:t>
      </w:r>
      <w:r>
        <mc:AlternateContent>
          <mc:Choice Requires="wps">
            <w:drawing>
              <wp:anchor behindDoc="0" distT="0" distB="0" distL="0" distR="0" simplePos="0" locked="0" layoutInCell="1" allowOverlap="1" relativeHeight="295">
                <wp:simplePos x="0" y="0"/>
                <wp:positionH relativeFrom="column">
                  <wp:align>left</wp:align>
                </wp:positionH>
                <wp:positionV relativeFrom="line">
                  <wp:posOffset>635</wp:posOffset>
                </wp:positionV>
                <wp:extent cx="3110230" cy="4680585"/>
                <wp:effectExtent l="0" t="0" r="0" b="0"/>
                <wp:wrapSquare wrapText="right"/>
                <wp:docPr id="198" name="Frame23"/>
                <a:graphic xmlns:a="http://schemas.openxmlformats.org/drawingml/2006/main">
                  <a:graphicData uri="http://schemas.microsoft.com/office/word/2010/wordprocessingShape">
                    <wps:wsp>
                      <wps:cNvSpPr txBox="1"/>
                      <wps:spPr>
                        <a:xfrm>
                          <a:off x="0" y="0"/>
                          <a:ext cx="3110230" cy="4680585"/>
                        </a:xfrm>
                        <a:prstGeom prst="rect"/>
                        <a:solidFill>
                          <a:srgbClr val="FFFFFF"/>
                        </a:solidFill>
                      </wps:spPr>
                      <wps:txbx>
                        <w:txbxContent>
                          <w:p>
                            <w:pPr>
                              <w:pStyle w:val="TextBody"/>
                              <w:bidi w:val="0"/>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 xml:space="preserve">Qualifications </w:t>
                            </w:r>
                            <w:r>
                              <w:rPr>
                                <w:rFonts w:ascii="Arial;Helvetica;Sans-Serif" w:hAnsi="Arial;Helvetica;Sans-Serif"/>
                                <w:b w:val="false"/>
                                <w:i w:val="false"/>
                                <w:caps w:val="false"/>
                                <w:smallCaps w:val="false"/>
                                <w:sz w:val="20"/>
                              </w:rPr>
                              <w:t> </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Mr. Oliver provides the Board with substantial executive leadership experience and global operational and management expertise, gained through his CEO and other leadership roles at the global industrial and technology companies Johnson Controls, Tyco International and General Electric. He also has significant experience in strategic planning, mergers and acquisitions, finance, risk management and technology.</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Experience</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pPr>
                                  <w:r>
                                    <w:rPr/>
                                    <w:t>Chairman of the Board &amp; Chief Executive Officer, Johnson Controls International plc (diversified technology and multi-industrial company), 2017–2025</w:t>
                                  </w:r>
                                </w:p>
                              </w:tc>
                            </w:tr>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pPr>
                                  <w:r>
                                    <w:rPr/>
                                    <w:t>President &amp; Chief Operating Officer, Johnson Controls International plc, 2016–2017</w:t>
                                  </w:r>
                                </w:p>
                              </w:tc>
                            </w:tr>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pPr>
                                  <w:r>
                                    <w:rPr/>
                                    <w:t>Chief Executive Officer, Tyco International Ltd., 2012–2016</w:t>
                                  </w:r>
                                </w:p>
                              </w:tc>
                            </w:tr>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pPr>
                                  <w:r>
                                    <w:rPr/>
                                    <w:t>President, Tyco International Ltd., 2011–2012</w:t>
                                  </w:r>
                                </w:p>
                              </w:tc>
                            </w:tr>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pPr>
                                  <w:r>
                                    <w:rPr/>
                                    <w:t>President, Tyco Electrical and Metal Products, 2007–2010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368.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 xml:space="preserve">Qualifications </w:t>
                      </w:r>
                      <w:r>
                        <w:rPr>
                          <w:rFonts w:ascii="Arial;Helvetica;Sans-Serif" w:hAnsi="Arial;Helvetica;Sans-Serif"/>
                          <w:b w:val="false"/>
                          <w:i w:val="false"/>
                          <w:caps w:val="false"/>
                          <w:smallCaps w:val="false"/>
                          <w:sz w:val="20"/>
                        </w:rPr>
                        <w:t> </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Mr. Oliver provides the Board with substantial executive leadership experience and global operational and management expertise, gained through his CEO and other leadership roles at the global industrial and technology companies Johnson Controls, Tyco International and General Electric. He also has significant experience in strategic planning, mergers and acquisitions, finance, risk management and technology.</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Experience</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pPr>
                            <w:r>
                              <w:rPr/>
                              <w:t>Chairman of the Board &amp; Chief Executive Officer, Johnson Controls International plc (diversified technology and multi-industrial company), 2017–2025</w:t>
                            </w:r>
                          </w:p>
                        </w:tc>
                      </w:tr>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pPr>
                            <w:r>
                              <w:rPr/>
                              <w:t>President &amp; Chief Operating Officer, Johnson Controls International plc, 2016–2017</w:t>
                            </w:r>
                          </w:p>
                        </w:tc>
                      </w:tr>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pPr>
                            <w:r>
                              <w:rPr/>
                              <w:t>Chief Executive Officer, Tyco International Ltd., 2012–2016</w:t>
                            </w:r>
                          </w:p>
                        </w:tc>
                      </w:tr>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pPr>
                            <w:r>
                              <w:rPr/>
                              <w:t>President, Tyco International Ltd., 2011–2012</w:t>
                            </w:r>
                          </w:p>
                        </w:tc>
                      </w:tr>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pPr>
                            <w:r>
                              <w:rPr/>
                              <w:t>President, Tyco Electrical and Metal Products, 2007–2010</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296">
                <wp:simplePos x="0" y="0"/>
                <wp:positionH relativeFrom="column">
                  <wp:align>right</wp:align>
                </wp:positionH>
                <wp:positionV relativeFrom="line">
                  <wp:posOffset>635</wp:posOffset>
                </wp:positionV>
                <wp:extent cx="3110230" cy="6647815"/>
                <wp:effectExtent l="0" t="0" r="0" b="0"/>
                <wp:wrapSquare wrapText="left"/>
                <wp:docPr id="199" name="Frame24"/>
                <a:graphic xmlns:a="http://schemas.openxmlformats.org/drawingml/2006/main">
                  <a:graphicData uri="http://schemas.microsoft.com/office/word/2010/wordprocessingShape">
                    <wps:wsp>
                      <wps:cNvSpPr txBox="1"/>
                      <wps:spPr>
                        <a:xfrm>
                          <a:off x="0" y="0"/>
                          <a:ext cx="3110230" cy="6647815"/>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pPr>
                                  <w:r>
                                    <w:rPr/>
                                    <w:t>President, Tyco Safety Products, 2006–2010</w:t>
                                  </w:r>
                                </w:p>
                              </w:tc>
                            </w:tr>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pPr>
                                  <w:r>
                                    <w:rPr/>
                                    <w:t>Various leadership roles of increasing responsibility at several General Electric divisions, culminating as President of GE Water and Process Technologies, until 2006</w:t>
                                  </w:r>
                                </w:p>
                              </w:tc>
                            </w:tr>
                          </w:tbl>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Other Current Directorships</w:t>
                            </w:r>
                          </w:p>
                          <w:p>
                            <w:pPr>
                              <w:pStyle w:val="TextBody"/>
                              <w:bidi w:val="0"/>
                              <w:jc w:val="left"/>
                              <w:rPr>
                                <w:caps w:val="false"/>
                                <w:smallCaps w:val="false"/>
                              </w:rPr>
                            </w:pPr>
                            <w:r>
                              <w:rPr>
                                <w:caps w:val="false"/>
                                <w:smallCaps w:val="false"/>
                              </w:rPr>
                              <w:t> </w:t>
                            </w:r>
                          </w:p>
                          <w:tbl>
                            <w:tblPr>
                              <w:tblW w:w="2365" w:type="dxa"/>
                              <w:jc w:val="left"/>
                              <w:tblInd w:w="0" w:type="dxa"/>
                              <w:tblLayout w:type="fixed"/>
                              <w:tblCellMar>
                                <w:top w:w="0" w:type="dxa"/>
                                <w:left w:w="0" w:type="dxa"/>
                                <w:bottom w:w="0" w:type="dxa"/>
                                <w:right w:w="0" w:type="dxa"/>
                              </w:tblCellMar>
                            </w:tblPr>
                            <w:tblGrid>
                              <w:gridCol w:w="185"/>
                              <w:gridCol w:w="2180"/>
                            </w:tblGrid>
                            <w:tr>
                              <w:trPr/>
                              <w:tc>
                                <w:tcPr>
                                  <w:tcW w:w="185" w:type="dxa"/>
                                  <w:tcBorders/>
                                  <w:vAlign w:val="center"/>
                                </w:tcPr>
                                <w:p>
                                  <w:pPr>
                                    <w:pStyle w:val="TableContents"/>
                                    <w:bidi w:val="0"/>
                                    <w:spacing w:before="0" w:after="283"/>
                                    <w:jc w:val="left"/>
                                    <w:rPr/>
                                  </w:pPr>
                                  <w:r>
                                    <w:rPr/>
                                    <w:t>●</w:t>
                                  </w:r>
                                </w:p>
                              </w:tc>
                              <w:tc>
                                <w:tcPr>
                                  <w:tcW w:w="2180" w:type="dxa"/>
                                  <w:tcBorders/>
                                  <w:vAlign w:val="center"/>
                                </w:tcPr>
                                <w:p>
                                  <w:pPr>
                                    <w:pStyle w:val="TableContents"/>
                                    <w:bidi w:val="0"/>
                                    <w:spacing w:before="0" w:after="283"/>
                                    <w:jc w:val="left"/>
                                    <w:rPr/>
                                  </w:pPr>
                                  <w:r>
                                    <w:rPr/>
                                    <w:t>NVR, Inc., since 2025</w:t>
                                  </w:r>
                                </w:p>
                              </w:tc>
                            </w:tr>
                          </w:tbl>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Former Public Company Directorships</w:t>
                            </w:r>
                          </w:p>
                          <w:p>
                            <w:pPr>
                              <w:pStyle w:val="TextBody"/>
                              <w:bidi w:val="0"/>
                              <w:jc w:val="left"/>
                              <w:rPr>
                                <w:caps w:val="false"/>
                                <w:smallCaps w:val="false"/>
                              </w:rPr>
                            </w:pPr>
                            <w:r>
                              <w:rPr>
                                <w:caps w:val="false"/>
                                <w:smallCaps w:val="false"/>
                              </w:rPr>
                              <w:t> </w:t>
                            </w:r>
                          </w:p>
                          <w:tbl>
                            <w:tblPr>
                              <w:tblW w:w="4660" w:type="dxa"/>
                              <w:jc w:val="left"/>
                              <w:tblInd w:w="0" w:type="dxa"/>
                              <w:tblLayout w:type="fixed"/>
                              <w:tblCellMar>
                                <w:top w:w="0" w:type="dxa"/>
                                <w:left w:w="0" w:type="dxa"/>
                                <w:bottom w:w="0" w:type="dxa"/>
                                <w:right w:w="0" w:type="dxa"/>
                              </w:tblCellMar>
                            </w:tblPr>
                            <w:tblGrid>
                              <w:gridCol w:w="185"/>
                              <w:gridCol w:w="4475"/>
                            </w:tblGrid>
                            <w:tr>
                              <w:trPr/>
                              <w:tc>
                                <w:tcPr>
                                  <w:tcW w:w="185" w:type="dxa"/>
                                  <w:tcBorders/>
                                  <w:vAlign w:val="center"/>
                                </w:tcPr>
                                <w:p>
                                  <w:pPr>
                                    <w:pStyle w:val="TableContents"/>
                                    <w:bidi w:val="0"/>
                                    <w:spacing w:before="0" w:after="283"/>
                                    <w:jc w:val="left"/>
                                    <w:rPr/>
                                  </w:pPr>
                                  <w:r>
                                    <w:rPr/>
                                    <w:t>●</w:t>
                                  </w:r>
                                </w:p>
                              </w:tc>
                              <w:tc>
                                <w:tcPr>
                                  <w:tcW w:w="4475" w:type="dxa"/>
                                  <w:tcBorders/>
                                  <w:vAlign w:val="center"/>
                                </w:tcPr>
                                <w:p>
                                  <w:pPr>
                                    <w:pStyle w:val="TableContents"/>
                                    <w:bidi w:val="0"/>
                                    <w:spacing w:before="0" w:after="283"/>
                                    <w:jc w:val="left"/>
                                    <w:rPr/>
                                  </w:pPr>
                                  <w:r>
                                    <w:rPr/>
                                    <w:t>Johnson Controls International plc, 2016–2025</w:t>
                                  </w:r>
                                </w:p>
                              </w:tc>
                            </w:tr>
                            <w:tr>
                              <w:trPr/>
                              <w:tc>
                                <w:tcPr>
                                  <w:tcW w:w="185" w:type="dxa"/>
                                  <w:tcBorders/>
                                  <w:vAlign w:val="center"/>
                                </w:tcPr>
                                <w:p>
                                  <w:pPr>
                                    <w:pStyle w:val="TableContents"/>
                                    <w:bidi w:val="0"/>
                                    <w:spacing w:before="0" w:after="283"/>
                                    <w:jc w:val="left"/>
                                    <w:rPr/>
                                  </w:pPr>
                                  <w:r>
                                    <w:rPr/>
                                    <w:t>●</w:t>
                                  </w:r>
                                </w:p>
                              </w:tc>
                              <w:tc>
                                <w:tcPr>
                                  <w:tcW w:w="4475" w:type="dxa"/>
                                  <w:tcBorders/>
                                  <w:vAlign w:val="center"/>
                                </w:tcPr>
                                <w:p>
                                  <w:pPr>
                                    <w:pStyle w:val="TableContents"/>
                                    <w:bidi w:val="0"/>
                                    <w:spacing w:before="0" w:after="283"/>
                                    <w:jc w:val="left"/>
                                    <w:rPr/>
                                  </w:pPr>
                                  <w:r>
                                    <w:rPr/>
                                    <w:t>Raytheon Company, 2013–2020</w:t>
                                  </w:r>
                                </w:p>
                              </w:tc>
                            </w:tr>
                            <w:tr>
                              <w:trPr/>
                              <w:tc>
                                <w:tcPr>
                                  <w:tcW w:w="185" w:type="dxa"/>
                                  <w:tcBorders/>
                                  <w:vAlign w:val="center"/>
                                </w:tcPr>
                                <w:p>
                                  <w:pPr>
                                    <w:pStyle w:val="TableContents"/>
                                    <w:bidi w:val="0"/>
                                    <w:spacing w:before="0" w:after="283"/>
                                    <w:jc w:val="left"/>
                                    <w:rPr/>
                                  </w:pPr>
                                  <w:r>
                                    <w:rPr/>
                                    <w:t>●</w:t>
                                  </w:r>
                                </w:p>
                              </w:tc>
                              <w:tc>
                                <w:tcPr>
                                  <w:tcW w:w="4475" w:type="dxa"/>
                                  <w:tcBorders/>
                                  <w:vAlign w:val="center"/>
                                </w:tcPr>
                                <w:p>
                                  <w:pPr>
                                    <w:pStyle w:val="TableContents"/>
                                    <w:bidi w:val="0"/>
                                    <w:spacing w:before="0" w:after="283"/>
                                    <w:jc w:val="left"/>
                                    <w:rPr/>
                                  </w:pPr>
                                  <w:r>
                                    <w:rPr/>
                                    <w:t>Tyco International Ltd., 2012–2016</w:t>
                                  </w:r>
                                </w:p>
                              </w:tc>
                            </w:tr>
                          </w:tbl>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Other Leadership Experience and Service</w:t>
                            </w:r>
                          </w:p>
                          <w:p>
                            <w:pPr>
                              <w:pStyle w:val="TextBody"/>
                              <w:bidi w:val="0"/>
                              <w:jc w:val="left"/>
                              <w:rPr>
                                <w:caps w:val="false"/>
                                <w:smallCaps w:val="false"/>
                              </w:rPr>
                            </w:pPr>
                            <w:r>
                              <w:rPr>
                                <w:caps w:val="false"/>
                                <w:smallCaps w:val="false"/>
                              </w:rPr>
                              <w:t> </w:t>
                            </w:r>
                          </w:p>
                          <w:tbl>
                            <w:tblPr>
                              <w:tblW w:w="7600" w:type="dxa"/>
                              <w:jc w:val="left"/>
                              <w:tblInd w:w="0" w:type="dxa"/>
                              <w:tblLayout w:type="fixed"/>
                              <w:tblCellMar>
                                <w:top w:w="0" w:type="dxa"/>
                                <w:left w:w="0" w:type="dxa"/>
                                <w:bottom w:w="0" w:type="dxa"/>
                                <w:right w:w="0" w:type="dxa"/>
                              </w:tblCellMar>
                            </w:tblPr>
                            <w:tblGrid>
                              <w:gridCol w:w="185"/>
                              <w:gridCol w:w="7415"/>
                            </w:tblGrid>
                            <w:tr>
                              <w:trPr/>
                              <w:tc>
                                <w:tcPr>
                                  <w:tcW w:w="185" w:type="dxa"/>
                                  <w:tcBorders/>
                                  <w:vAlign w:val="center"/>
                                </w:tcPr>
                                <w:p>
                                  <w:pPr>
                                    <w:pStyle w:val="TableContents"/>
                                    <w:bidi w:val="0"/>
                                    <w:spacing w:before="0" w:after="283"/>
                                    <w:jc w:val="left"/>
                                    <w:rPr/>
                                  </w:pPr>
                                  <w:r>
                                    <w:rPr/>
                                    <w:t>●</w:t>
                                  </w:r>
                                </w:p>
                              </w:tc>
                              <w:tc>
                                <w:tcPr>
                                  <w:tcW w:w="7415" w:type="dxa"/>
                                  <w:tcBorders/>
                                  <w:vAlign w:val="center"/>
                                </w:tcPr>
                                <w:p>
                                  <w:pPr>
                                    <w:pStyle w:val="TableContents"/>
                                    <w:bidi w:val="0"/>
                                    <w:spacing w:before="0" w:after="283"/>
                                    <w:jc w:val="left"/>
                                    <w:rPr/>
                                  </w:pPr>
                                  <w:r>
                                    <w:rPr/>
                                    <w:t>Board of Trustees, Worcester Polytechnic Institute</w:t>
                                  </w:r>
                                </w:p>
                              </w:tc>
                            </w:tr>
                            <w:tr>
                              <w:trPr/>
                              <w:tc>
                                <w:tcPr>
                                  <w:tcW w:w="185" w:type="dxa"/>
                                  <w:tcBorders/>
                                  <w:vAlign w:val="center"/>
                                </w:tcPr>
                                <w:p>
                                  <w:pPr>
                                    <w:pStyle w:val="TableContents"/>
                                    <w:bidi w:val="0"/>
                                    <w:spacing w:before="0" w:after="283"/>
                                    <w:jc w:val="left"/>
                                    <w:rPr/>
                                  </w:pPr>
                                  <w:r>
                                    <w:rPr/>
                                    <w:t>●</w:t>
                                  </w:r>
                                </w:p>
                              </w:tc>
                              <w:tc>
                                <w:tcPr>
                                  <w:tcW w:w="7415" w:type="dxa"/>
                                  <w:tcBorders/>
                                  <w:vAlign w:val="center"/>
                                </w:tcPr>
                                <w:p>
                                  <w:pPr>
                                    <w:pStyle w:val="TableContents"/>
                                    <w:bidi w:val="0"/>
                                    <w:spacing w:before="0" w:after="283"/>
                                    <w:jc w:val="left"/>
                                    <w:rPr/>
                                  </w:pPr>
                                  <w:r>
                                    <w:rPr/>
                                    <w:t>Board of Directors, United Way of Greater Milwaukee &amp; Waukesha Counties</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523.45pt;mso-wrap-distance-left:0pt;mso-wrap-distance-right:0pt;mso-wrap-distance-top:0pt;mso-wrap-distance-bottom:0pt;margin-top:0pt;mso-position-vertical:top;mso-position-vertical-relative:text;margin-left:265.35pt;mso-position-horizontal:right;mso-position-horizontal-relative:text">
                <v:textbox>
                  <w:txbxContent>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pPr>
                            <w:r>
                              <w:rPr/>
                              <w:t>President, Tyco Safety Products, 2006–2010</w:t>
                            </w:r>
                          </w:p>
                        </w:tc>
                      </w:tr>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pPr>
                            <w:r>
                              <w:rPr/>
                              <w:t>Various leadership roles of increasing responsibility at several General Electric divisions, culminating as President of GE Water and Process Technologies, until 2006</w:t>
                            </w:r>
                          </w:p>
                        </w:tc>
                      </w:tr>
                    </w:tbl>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Other Current Directorships</w:t>
                      </w:r>
                    </w:p>
                    <w:p>
                      <w:pPr>
                        <w:pStyle w:val="TextBody"/>
                        <w:bidi w:val="0"/>
                        <w:jc w:val="left"/>
                        <w:rPr>
                          <w:caps w:val="false"/>
                          <w:smallCaps w:val="false"/>
                        </w:rPr>
                      </w:pPr>
                      <w:r>
                        <w:rPr>
                          <w:caps w:val="false"/>
                          <w:smallCaps w:val="false"/>
                        </w:rPr>
                        <w:t> </w:t>
                      </w:r>
                    </w:p>
                    <w:tbl>
                      <w:tblPr>
                        <w:tblW w:w="2365" w:type="dxa"/>
                        <w:jc w:val="left"/>
                        <w:tblInd w:w="0" w:type="dxa"/>
                        <w:tblLayout w:type="fixed"/>
                        <w:tblCellMar>
                          <w:top w:w="0" w:type="dxa"/>
                          <w:left w:w="0" w:type="dxa"/>
                          <w:bottom w:w="0" w:type="dxa"/>
                          <w:right w:w="0" w:type="dxa"/>
                        </w:tblCellMar>
                      </w:tblPr>
                      <w:tblGrid>
                        <w:gridCol w:w="185"/>
                        <w:gridCol w:w="2180"/>
                      </w:tblGrid>
                      <w:tr>
                        <w:trPr/>
                        <w:tc>
                          <w:tcPr>
                            <w:tcW w:w="185" w:type="dxa"/>
                            <w:tcBorders/>
                            <w:vAlign w:val="center"/>
                          </w:tcPr>
                          <w:p>
                            <w:pPr>
                              <w:pStyle w:val="TableContents"/>
                              <w:bidi w:val="0"/>
                              <w:spacing w:before="0" w:after="283"/>
                              <w:jc w:val="left"/>
                              <w:rPr/>
                            </w:pPr>
                            <w:r>
                              <w:rPr/>
                              <w:t>●</w:t>
                            </w:r>
                          </w:p>
                        </w:tc>
                        <w:tc>
                          <w:tcPr>
                            <w:tcW w:w="2180" w:type="dxa"/>
                            <w:tcBorders/>
                            <w:vAlign w:val="center"/>
                          </w:tcPr>
                          <w:p>
                            <w:pPr>
                              <w:pStyle w:val="TableContents"/>
                              <w:bidi w:val="0"/>
                              <w:spacing w:before="0" w:after="283"/>
                              <w:jc w:val="left"/>
                              <w:rPr/>
                            </w:pPr>
                            <w:r>
                              <w:rPr/>
                              <w:t>NVR, Inc., since 2025</w:t>
                            </w:r>
                          </w:p>
                        </w:tc>
                      </w:tr>
                    </w:tbl>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Former Public Company Directorships</w:t>
                      </w:r>
                    </w:p>
                    <w:p>
                      <w:pPr>
                        <w:pStyle w:val="TextBody"/>
                        <w:bidi w:val="0"/>
                        <w:jc w:val="left"/>
                        <w:rPr>
                          <w:caps w:val="false"/>
                          <w:smallCaps w:val="false"/>
                        </w:rPr>
                      </w:pPr>
                      <w:r>
                        <w:rPr>
                          <w:caps w:val="false"/>
                          <w:smallCaps w:val="false"/>
                        </w:rPr>
                        <w:t> </w:t>
                      </w:r>
                    </w:p>
                    <w:tbl>
                      <w:tblPr>
                        <w:tblW w:w="4660" w:type="dxa"/>
                        <w:jc w:val="left"/>
                        <w:tblInd w:w="0" w:type="dxa"/>
                        <w:tblLayout w:type="fixed"/>
                        <w:tblCellMar>
                          <w:top w:w="0" w:type="dxa"/>
                          <w:left w:w="0" w:type="dxa"/>
                          <w:bottom w:w="0" w:type="dxa"/>
                          <w:right w:w="0" w:type="dxa"/>
                        </w:tblCellMar>
                      </w:tblPr>
                      <w:tblGrid>
                        <w:gridCol w:w="185"/>
                        <w:gridCol w:w="4475"/>
                      </w:tblGrid>
                      <w:tr>
                        <w:trPr/>
                        <w:tc>
                          <w:tcPr>
                            <w:tcW w:w="185" w:type="dxa"/>
                            <w:tcBorders/>
                            <w:vAlign w:val="center"/>
                          </w:tcPr>
                          <w:p>
                            <w:pPr>
                              <w:pStyle w:val="TableContents"/>
                              <w:bidi w:val="0"/>
                              <w:spacing w:before="0" w:after="283"/>
                              <w:jc w:val="left"/>
                              <w:rPr/>
                            </w:pPr>
                            <w:r>
                              <w:rPr/>
                              <w:t>●</w:t>
                            </w:r>
                          </w:p>
                        </w:tc>
                        <w:tc>
                          <w:tcPr>
                            <w:tcW w:w="4475" w:type="dxa"/>
                            <w:tcBorders/>
                            <w:vAlign w:val="center"/>
                          </w:tcPr>
                          <w:p>
                            <w:pPr>
                              <w:pStyle w:val="TableContents"/>
                              <w:bidi w:val="0"/>
                              <w:spacing w:before="0" w:after="283"/>
                              <w:jc w:val="left"/>
                              <w:rPr/>
                            </w:pPr>
                            <w:r>
                              <w:rPr/>
                              <w:t>Johnson Controls International plc, 2016–2025</w:t>
                            </w:r>
                          </w:p>
                        </w:tc>
                      </w:tr>
                      <w:tr>
                        <w:trPr/>
                        <w:tc>
                          <w:tcPr>
                            <w:tcW w:w="185" w:type="dxa"/>
                            <w:tcBorders/>
                            <w:vAlign w:val="center"/>
                          </w:tcPr>
                          <w:p>
                            <w:pPr>
                              <w:pStyle w:val="TableContents"/>
                              <w:bidi w:val="0"/>
                              <w:spacing w:before="0" w:after="283"/>
                              <w:jc w:val="left"/>
                              <w:rPr/>
                            </w:pPr>
                            <w:r>
                              <w:rPr/>
                              <w:t>●</w:t>
                            </w:r>
                          </w:p>
                        </w:tc>
                        <w:tc>
                          <w:tcPr>
                            <w:tcW w:w="4475" w:type="dxa"/>
                            <w:tcBorders/>
                            <w:vAlign w:val="center"/>
                          </w:tcPr>
                          <w:p>
                            <w:pPr>
                              <w:pStyle w:val="TableContents"/>
                              <w:bidi w:val="0"/>
                              <w:spacing w:before="0" w:after="283"/>
                              <w:jc w:val="left"/>
                              <w:rPr/>
                            </w:pPr>
                            <w:r>
                              <w:rPr/>
                              <w:t>Raytheon Company, 2013–2020</w:t>
                            </w:r>
                          </w:p>
                        </w:tc>
                      </w:tr>
                      <w:tr>
                        <w:trPr/>
                        <w:tc>
                          <w:tcPr>
                            <w:tcW w:w="185" w:type="dxa"/>
                            <w:tcBorders/>
                            <w:vAlign w:val="center"/>
                          </w:tcPr>
                          <w:p>
                            <w:pPr>
                              <w:pStyle w:val="TableContents"/>
                              <w:bidi w:val="0"/>
                              <w:spacing w:before="0" w:after="283"/>
                              <w:jc w:val="left"/>
                              <w:rPr/>
                            </w:pPr>
                            <w:r>
                              <w:rPr/>
                              <w:t>●</w:t>
                            </w:r>
                          </w:p>
                        </w:tc>
                        <w:tc>
                          <w:tcPr>
                            <w:tcW w:w="4475" w:type="dxa"/>
                            <w:tcBorders/>
                            <w:vAlign w:val="center"/>
                          </w:tcPr>
                          <w:p>
                            <w:pPr>
                              <w:pStyle w:val="TableContents"/>
                              <w:bidi w:val="0"/>
                              <w:spacing w:before="0" w:after="283"/>
                              <w:jc w:val="left"/>
                              <w:rPr/>
                            </w:pPr>
                            <w:r>
                              <w:rPr/>
                              <w:t>Tyco International Ltd., 2012–2016</w:t>
                            </w:r>
                          </w:p>
                        </w:tc>
                      </w:tr>
                    </w:tbl>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Other Leadership Experience and Service</w:t>
                      </w:r>
                    </w:p>
                    <w:p>
                      <w:pPr>
                        <w:pStyle w:val="TextBody"/>
                        <w:bidi w:val="0"/>
                        <w:jc w:val="left"/>
                        <w:rPr>
                          <w:caps w:val="false"/>
                          <w:smallCaps w:val="false"/>
                        </w:rPr>
                      </w:pPr>
                      <w:r>
                        <w:rPr>
                          <w:caps w:val="false"/>
                          <w:smallCaps w:val="false"/>
                        </w:rPr>
                        <w:t> </w:t>
                      </w:r>
                    </w:p>
                    <w:tbl>
                      <w:tblPr>
                        <w:tblW w:w="7600" w:type="dxa"/>
                        <w:jc w:val="left"/>
                        <w:tblInd w:w="0" w:type="dxa"/>
                        <w:tblLayout w:type="fixed"/>
                        <w:tblCellMar>
                          <w:top w:w="0" w:type="dxa"/>
                          <w:left w:w="0" w:type="dxa"/>
                          <w:bottom w:w="0" w:type="dxa"/>
                          <w:right w:w="0" w:type="dxa"/>
                        </w:tblCellMar>
                      </w:tblPr>
                      <w:tblGrid>
                        <w:gridCol w:w="185"/>
                        <w:gridCol w:w="7415"/>
                      </w:tblGrid>
                      <w:tr>
                        <w:trPr/>
                        <w:tc>
                          <w:tcPr>
                            <w:tcW w:w="185" w:type="dxa"/>
                            <w:tcBorders/>
                            <w:vAlign w:val="center"/>
                          </w:tcPr>
                          <w:p>
                            <w:pPr>
                              <w:pStyle w:val="TableContents"/>
                              <w:bidi w:val="0"/>
                              <w:spacing w:before="0" w:after="283"/>
                              <w:jc w:val="left"/>
                              <w:rPr/>
                            </w:pPr>
                            <w:r>
                              <w:rPr/>
                              <w:t>●</w:t>
                            </w:r>
                          </w:p>
                        </w:tc>
                        <w:tc>
                          <w:tcPr>
                            <w:tcW w:w="7415" w:type="dxa"/>
                            <w:tcBorders/>
                            <w:vAlign w:val="center"/>
                          </w:tcPr>
                          <w:p>
                            <w:pPr>
                              <w:pStyle w:val="TableContents"/>
                              <w:bidi w:val="0"/>
                              <w:spacing w:before="0" w:after="283"/>
                              <w:jc w:val="left"/>
                              <w:rPr/>
                            </w:pPr>
                            <w:r>
                              <w:rPr/>
                              <w:t>Board of Trustees, Worcester Polytechnic Institute</w:t>
                            </w:r>
                          </w:p>
                        </w:tc>
                      </w:tr>
                      <w:tr>
                        <w:trPr/>
                        <w:tc>
                          <w:tcPr>
                            <w:tcW w:w="185" w:type="dxa"/>
                            <w:tcBorders/>
                            <w:vAlign w:val="center"/>
                          </w:tcPr>
                          <w:p>
                            <w:pPr>
                              <w:pStyle w:val="TableContents"/>
                              <w:bidi w:val="0"/>
                              <w:spacing w:before="0" w:after="283"/>
                              <w:jc w:val="left"/>
                              <w:rPr/>
                            </w:pPr>
                            <w:r>
                              <w:rPr/>
                              <w:t>●</w:t>
                            </w:r>
                          </w:p>
                        </w:tc>
                        <w:tc>
                          <w:tcPr>
                            <w:tcW w:w="7415" w:type="dxa"/>
                            <w:tcBorders/>
                            <w:vAlign w:val="center"/>
                          </w:tcPr>
                          <w:p>
                            <w:pPr>
                              <w:pStyle w:val="TableContents"/>
                              <w:bidi w:val="0"/>
                              <w:spacing w:before="0" w:after="283"/>
                              <w:jc w:val="left"/>
                              <w:rPr/>
                            </w:pPr>
                            <w:r>
                              <w:rPr/>
                              <w:t>Board of Directors, United Way of Greater Milwaukee &amp; Waukesha Counties</w:t>
                            </w:r>
                          </w:p>
                        </w:tc>
                      </w:tr>
                    </w:tbl>
                    <w:p>
                      <w:pPr>
                        <w:pStyle w:val="TextBody"/>
                        <w:bidi w:val="0"/>
                        <w:spacing w:before="0" w:after="283"/>
                        <w:jc w:val="left"/>
                        <w:rPr/>
                      </w:pPr>
                      <w:r>
                        <w:rPr/>
                      </w:r>
                    </w:p>
                  </w:txbxContent>
                </v:textbox>
                <w10:wrap type="square" side="left"/>
              </v:rect>
            </w:pict>
          </mc:Fallback>
        </mc:AlternateContent>
      </w:r>
    </w:p>
    <w:p>
      <w:pPr>
        <w:pStyle w:val="HorizontalLine"/>
        <w:pBdr>
          <w:bottom w:val="double" w:sz="2" w:space="0" w:color="808080"/>
        </w:pBdr>
        <w:bidi w:val="0"/>
        <w:spacing w:before="0" w:after="283"/>
        <w:jc w:val="left"/>
        <w:rPr/>
      </w:pPr>
      <w:r>
        <w:rPr/>
      </w:r>
    </w:p>
    <w:p>
      <w:pPr>
        <w:pStyle w:val="TextBody"/>
        <w:bidi w:val="0"/>
        <w:spacing w:before="200" w:after="200"/>
        <w:jc w:val="left"/>
        <w:rPr/>
      </w:pPr>
      <w:hyperlink w:anchor="toc">
        <w:r>
          <w:rPr>
            <w:rStyle w:val="InternetLink"/>
            <w:rFonts w:ascii="Arial;Helvetica;Sans-Serif" w:hAnsi="Arial;Helvetica;Sans-Serif"/>
            <w:b/>
            <w:i w:val="false"/>
            <w:caps w:val="false"/>
            <w:smallCaps w:val="false"/>
            <w:sz w:val="16"/>
          </w:rPr>
          <w:t>Table of Contents</w:t>
        </w:r>
      </w:hyperlink>
    </w:p>
    <w:p>
      <w:pPr>
        <w:pStyle w:val="TextBody"/>
        <w:bidi w:val="0"/>
        <w:spacing w:before="0" w:after="0"/>
        <w:ind w:left="0" w:right="0" w:hanging="0"/>
        <w:jc w:val="right"/>
        <w:rPr>
          <w:rFonts w:ascii="Arial;Helvetica;Sans-Serif" w:hAnsi="Arial;Helvetica;Sans-Serif"/>
          <w:b/>
          <w:i w:val="false"/>
          <w:caps w:val="false"/>
          <w:smallCaps w:val="false"/>
          <w:color w:val="C12E33"/>
          <w:sz w:val="15"/>
        </w:rPr>
      </w:pPr>
      <w:r>
        <w:rPr>
          <w:rFonts w:ascii="Arial;Helvetica;Sans-Serif" w:hAnsi="Arial;Helvetica;Sans-Serif"/>
          <w:b/>
          <w:i w:val="false"/>
          <w:caps w:val="false"/>
          <w:smallCaps w:val="false"/>
          <w:color w:val="C12E33"/>
          <w:sz w:val="15"/>
        </w:rPr>
        <w:t>PROPOSAL 1: ELECTION OF DIRECTORS</w:t>
      </w:r>
    </w:p>
    <w:p>
      <w:pPr>
        <w:pStyle w:val="TextBody"/>
        <w:bidi w:val="0"/>
        <w:spacing w:before="0" w:after="0"/>
        <w:ind w:left="0" w:right="0" w:hanging="0"/>
        <w:jc w:val="righ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NOMINEES</w:t>
      </w:r>
    </w:p>
    <w:p>
      <w:pPr>
        <w:pStyle w:val="TextBody"/>
        <w:bidi w:val="0"/>
        <w:jc w:val="left"/>
        <w:rPr>
          <w:caps w:val="false"/>
          <w:smallCaps w:val="false"/>
        </w:rPr>
      </w:pPr>
      <w:r>
        <w:rPr>
          <w:caps w:val="false"/>
          <w:smallCaps w:val="false"/>
        </w:rPr>
        <w:t> </w:t>
      </w:r>
    </w:p>
    <w:p>
      <w:pPr>
        <w:pStyle w:val="TextBody"/>
        <w:bidi w:val="0"/>
        <w:jc w:val="left"/>
        <w:rPr>
          <w:caps w:val="false"/>
          <w:smallCaps w:val="false"/>
          <w:shd w:fill="EDEDEE" w:val="clear"/>
        </w:rPr>
      </w:pPr>
      <w:r>
        <w:rPr>
          <w:caps w:val="false"/>
          <w:smallCaps w:val="false"/>
          <w:shd w:fill="EDEDEE" w:val="clear"/>
        </w:rPr>
        <w:t> </w:t>
      </w:r>
      <w:r>
        <mc:AlternateContent>
          <mc:Choice Requires="wps">
            <w:drawing>
              <wp:anchor behindDoc="0" distT="0" distB="0" distL="0" distR="0" simplePos="0" locked="0" layoutInCell="1" allowOverlap="1" relativeHeight="79">
                <wp:simplePos x="0" y="0"/>
                <wp:positionH relativeFrom="column">
                  <wp:align>left</wp:align>
                </wp:positionH>
                <wp:positionV relativeFrom="line">
                  <wp:posOffset>635</wp:posOffset>
                </wp:positionV>
                <wp:extent cx="4535805" cy="3767455"/>
                <wp:effectExtent l="0" t="0" r="0" b="0"/>
                <wp:wrapSquare wrapText="right"/>
                <wp:docPr id="200" name="Frame25"/>
                <a:graphic xmlns:a="http://schemas.openxmlformats.org/drawingml/2006/main">
                  <a:graphicData uri="http://schemas.microsoft.com/office/word/2010/wordprocessingShape">
                    <wps:wsp>
                      <wps:cNvSpPr txBox="1"/>
                      <wps:spPr>
                        <a:xfrm>
                          <a:off x="0" y="0"/>
                          <a:ext cx="4535805" cy="3767455"/>
                        </a:xfrm>
                        <a:prstGeom prst="rect"/>
                        <a:solidFill>
                          <a:srgbClr val="FFFFFF"/>
                        </a:solidFill>
                      </wps:spPr>
                      <wps:txbx>
                        <w:txbxContent>
                          <w:p>
                            <w:pPr>
                              <w:pStyle w:val="TextBody"/>
                              <w:bidi w:val="0"/>
                              <w:jc w:val="left"/>
                              <w:rPr>
                                <w:rFonts w:ascii="Arial;Helvetica;Sans-Serif" w:hAnsi="Arial;Helvetica;Sans-Serif"/>
                                <w:b/>
                                <w:i w:val="false"/>
                                <w:caps w:val="false"/>
                                <w:smallCaps w:val="false"/>
                                <w:sz w:val="30"/>
                              </w:rPr>
                            </w:pPr>
                            <w:r>
                              <w:rPr>
                                <w:rFonts w:ascii="Arial;Helvetica;Sans-Serif" w:hAnsi="Arial;Helvetica;Sans-Serif"/>
                                <w:b/>
                                <w:i w:val="false"/>
                                <w:caps w:val="false"/>
                                <w:smallCaps w:val="false"/>
                                <w:sz w:val="30"/>
                              </w:rPr>
                              <w:t>Ellen M. Pawlikowski</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630"/>
                              <w:gridCol w:w="300"/>
                              <w:gridCol w:w="4275"/>
                            </w:tblGrid>
                            <w:tr>
                              <w:trPr/>
                              <w:tc>
                                <w:tcPr>
                                  <w:tcW w:w="5630" w:type="dxa"/>
                                  <w:tcBorders/>
                                  <w:vAlign w:val="center"/>
                                </w:tcPr>
                                <w:p>
                                  <w:pPr>
                                    <w:pStyle w:val="TableContents"/>
                                    <w:bidi w:val="0"/>
                                    <w:spacing w:before="0" w:after="60"/>
                                    <w:jc w:val="left"/>
                                    <w:rPr>
                                      <w:b/>
                                    </w:rPr>
                                  </w:pPr>
                                  <w:r>
                                    <w:rPr>
                                      <w:b/>
                                    </w:rPr>
                                    <w:t>INDEPENDENT DIRECTOR</w:t>
                                  </w:r>
                                </w:p>
                                <w:p>
                                  <w:pPr>
                                    <w:pStyle w:val="TableContents"/>
                                    <w:bidi w:val="0"/>
                                    <w:spacing w:before="0" w:after="283"/>
                                    <w:jc w:val="left"/>
                                    <w:rPr>
                                      <w:sz w:val="20"/>
                                    </w:rPr>
                                  </w:pPr>
                                  <w:r>
                                    <w:rPr>
                                      <w:sz w:val="20"/>
                                    </w:rPr>
                                    <w:t>General, U.S. Air Force (Retired) and Former Commander, Air Force Materiel Command</w:t>
                                  </w:r>
                                </w:p>
                              </w:tc>
                              <w:tc>
                                <w:tcPr>
                                  <w:tcW w:w="300" w:type="dxa"/>
                                  <w:tcBorders/>
                                  <w:vAlign w:val="center"/>
                                </w:tcPr>
                                <w:p>
                                  <w:pPr>
                                    <w:pStyle w:val="TableContents"/>
                                    <w:bidi w:val="0"/>
                                    <w:spacing w:before="0" w:after="283"/>
                                    <w:jc w:val="left"/>
                                    <w:rPr/>
                                  </w:pPr>
                                  <w:r>
                                    <w:rPr/>
                                    <w:t>     </w:t>
                                  </w:r>
                                </w:p>
                              </w:tc>
                              <w:tc>
                                <w:tcPr>
                                  <w:tcW w:w="4275" w:type="dxa"/>
                                  <w:tcBorders/>
                                  <w:vAlign w:val="center"/>
                                </w:tcPr>
                                <w:p>
                                  <w:pPr>
                                    <w:pStyle w:val="TableContents"/>
                                    <w:bidi w:val="0"/>
                                    <w:spacing w:before="0" w:after="60"/>
                                    <w:jc w:val="left"/>
                                    <w:rPr/>
                                  </w:pPr>
                                  <w:r>
                                    <w:rPr/>
                                    <w:t xml:space="preserve">AGE </w:t>
                                  </w:r>
                                  <w:r>
                                    <w:rPr>
                                      <w:b/>
                                    </w:rPr>
                                    <w:t>69</w:t>
                                  </w:r>
                                </w:p>
                                <w:p>
                                  <w:pPr>
                                    <w:pStyle w:val="TableContents"/>
                                    <w:bidi w:val="0"/>
                                    <w:jc w:val="left"/>
                                    <w:rPr/>
                                  </w:pPr>
                                  <w:r>
                                    <w:rPr/>
                                    <w:t xml:space="preserve">DIRECTOR SINCE </w:t>
                                  </w:r>
                                  <w:r>
                                    <w:rPr>
                                      <w:b/>
                                    </w:rPr>
                                    <w:t>2020</w:t>
                                  </w:r>
                                </w:p>
                                <w:p>
                                  <w:pPr>
                                    <w:pStyle w:val="TableContents"/>
                                    <w:bidi w:val="0"/>
                                    <w:jc w:val="left"/>
                                    <w:rPr/>
                                  </w:pPr>
                                  <w:r>
                                    <w:rPr/>
                                    <w:t>BOARD COMMITTEES</w:t>
                                  </w:r>
                                </w:p>
                                <w:p>
                                  <w:pPr>
                                    <w:pStyle w:val="TableContents"/>
                                    <w:bidi w:val="0"/>
                                    <w:spacing w:before="0" w:after="283"/>
                                    <w:jc w:val="left"/>
                                    <w:rPr>
                                      <w:b/>
                                    </w:rPr>
                                  </w:pPr>
                                  <w:r>
                                    <w:rPr>
                                      <w:b/>
                                    </w:rPr>
                                    <w:t>Human Capital &amp; Compensation, Special Activities</w:t>
                                  </w:r>
                                </w:p>
                              </w:tc>
                            </w:tr>
                            <w:tr>
                              <w:trPr/>
                              <w:tc>
                                <w:tcPr>
                                  <w:tcW w:w="5630" w:type="dxa"/>
                                  <w:tcBorders/>
                                  <w:vAlign w:val="center"/>
                                </w:tcPr>
                                <w:p>
                                  <w:pPr>
                                    <w:pStyle w:val="TableContents"/>
                                    <w:bidi w:val="0"/>
                                    <w:spacing w:before="0" w:after="283"/>
                                    <w:jc w:val="left"/>
                                    <w:rPr>
                                      <w:b/>
                                      <w:sz w:val="20"/>
                                    </w:rPr>
                                  </w:pPr>
                                  <w:r>
                                    <w:rPr>
                                      <w:b/>
                                      <w:sz w:val="20"/>
                                    </w:rPr>
                                    <w:t>Key Skills and Expertise</w:t>
                                  </w:r>
                                </w:p>
                              </w:tc>
                              <w:tc>
                                <w:tcPr>
                                  <w:tcW w:w="300" w:type="dxa"/>
                                  <w:tcBorders/>
                                  <w:vAlign w:val="center"/>
                                </w:tcPr>
                                <w:p>
                                  <w:pPr>
                                    <w:pStyle w:val="TableContents"/>
                                    <w:bidi w:val="0"/>
                                    <w:spacing w:before="0" w:after="283"/>
                                    <w:jc w:val="left"/>
                                    <w:rPr/>
                                  </w:pPr>
                                  <w:r>
                                    <w:rPr/>
                                    <w:t> </w:t>
                                  </w:r>
                                </w:p>
                              </w:tc>
                              <w:tc>
                                <w:tcPr>
                                  <w:tcW w:w="4275"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8310" w:type="dxa"/>
                              <w:jc w:val="left"/>
                              <w:tblInd w:w="0" w:type="dxa"/>
                              <w:tblLayout w:type="fixed"/>
                              <w:tblCellMar>
                                <w:top w:w="0" w:type="dxa"/>
                                <w:left w:w="0" w:type="dxa"/>
                                <w:bottom w:w="0" w:type="dxa"/>
                                <w:right w:w="0" w:type="dxa"/>
                              </w:tblCellMar>
                            </w:tblPr>
                            <w:tblGrid>
                              <w:gridCol w:w="315"/>
                              <w:gridCol w:w="1745"/>
                              <w:gridCol w:w="330"/>
                              <w:gridCol w:w="2465"/>
                              <w:gridCol w:w="300"/>
                              <w:gridCol w:w="3155"/>
                            </w:tblGrid>
                            <w:tr>
                              <w:trPr/>
                              <w:tc>
                                <w:tcPr>
                                  <w:tcW w:w="315" w:type="dxa"/>
                                  <w:tcBorders/>
                                  <w:vAlign w:val="center"/>
                                </w:tcPr>
                                <w:p>
                                  <w:pPr>
                                    <w:pStyle w:val="TableContents"/>
                                    <w:bidi w:val="0"/>
                                    <w:spacing w:before="0" w:after="283"/>
                                    <w:jc w:val="left"/>
                                    <w:rPr/>
                                  </w:pPr>
                                  <w:r>
                                    <w:rPr/>
                                    <w:drawing>
                                      <wp:inline distT="0" distB="0" distL="0" distR="0">
                                        <wp:extent cx="190500" cy="495300"/>
                                        <wp:effectExtent l="0" t="0" r="0" b="0"/>
                                        <wp:docPr id="201" name="Image1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 name="Image152" descr=""/>
                                                <pic:cNvPicPr>
                                                  <a:picLocks noChangeAspect="1" noChangeArrowheads="1"/>
                                                </pic:cNvPicPr>
                                              </pic:nvPicPr>
                                              <pic:blipFill>
                                                <a:blip r:embed="rId177"/>
                                                <a:stretch>
                                                  <a:fillRect/>
                                                </a:stretch>
                                              </pic:blipFill>
                                              <pic:spPr bwMode="auto">
                                                <a:xfrm>
                                                  <a:off x="0" y="0"/>
                                                  <a:ext cx="190500" cy="495300"/>
                                                </a:xfrm>
                                                <a:prstGeom prst="rect">
                                                  <a:avLst/>
                                                </a:prstGeom>
                                              </pic:spPr>
                                            </pic:pic>
                                          </a:graphicData>
                                        </a:graphic>
                                      </wp:inline>
                                    </w:drawing>
                                  </w:r>
                                </w:p>
                              </w:tc>
                              <w:tc>
                                <w:tcPr>
                                  <w:tcW w:w="1745" w:type="dxa"/>
                                  <w:tcBorders/>
                                  <w:vAlign w:val="center"/>
                                </w:tcPr>
                                <w:p>
                                  <w:pPr>
                                    <w:pStyle w:val="TableContents"/>
                                    <w:bidi w:val="0"/>
                                    <w:spacing w:before="0" w:after="283"/>
                                    <w:jc w:val="left"/>
                                    <w:rPr/>
                                  </w:pPr>
                                  <w:r>
                                    <w:rPr/>
                                    <w:t>GOVERNMENT</w:t>
                                  </w:r>
                                </w:p>
                              </w:tc>
                              <w:tc>
                                <w:tcPr>
                                  <w:tcW w:w="330" w:type="dxa"/>
                                  <w:tcBorders/>
                                  <w:vAlign w:val="center"/>
                                </w:tcPr>
                                <w:p>
                                  <w:pPr>
                                    <w:pStyle w:val="TableContents"/>
                                    <w:bidi w:val="0"/>
                                    <w:spacing w:before="0" w:after="283"/>
                                    <w:jc w:val="left"/>
                                    <w:rPr/>
                                  </w:pPr>
                                  <w:r>
                                    <w:rPr/>
                                    <w:drawing>
                                      <wp:inline distT="0" distB="0" distL="0" distR="0">
                                        <wp:extent cx="209550" cy="419100"/>
                                        <wp:effectExtent l="0" t="0" r="0" b="0"/>
                                        <wp:docPr id="202" name="Image1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Image153" descr=""/>
                                                <pic:cNvPicPr>
                                                  <a:picLocks noChangeAspect="1" noChangeArrowheads="1"/>
                                                </pic:cNvPicPr>
                                              </pic:nvPicPr>
                                              <pic:blipFill>
                                                <a:blip r:embed="rId178"/>
                                                <a:stretch>
                                                  <a:fillRect/>
                                                </a:stretch>
                                              </pic:blipFill>
                                              <pic:spPr bwMode="auto">
                                                <a:xfrm>
                                                  <a:off x="0" y="0"/>
                                                  <a:ext cx="209550" cy="419100"/>
                                                </a:xfrm>
                                                <a:prstGeom prst="rect">
                                                  <a:avLst/>
                                                </a:prstGeom>
                                              </pic:spPr>
                                            </pic:pic>
                                          </a:graphicData>
                                        </a:graphic>
                                      </wp:inline>
                                    </w:drawing>
                                  </w:r>
                                </w:p>
                              </w:tc>
                              <w:tc>
                                <w:tcPr>
                                  <w:tcW w:w="2465" w:type="dxa"/>
                                  <w:tcBorders/>
                                  <w:vAlign w:val="center"/>
                                </w:tcPr>
                                <w:p>
                                  <w:pPr>
                                    <w:pStyle w:val="TableContents"/>
                                    <w:bidi w:val="0"/>
                                    <w:spacing w:before="0" w:after="283"/>
                                    <w:jc w:val="left"/>
                                    <w:rPr/>
                                  </w:pPr>
                                  <w:r>
                                    <w:rPr/>
                                    <w:t>SENIOR LEADERSHIP</w:t>
                                  </w:r>
                                </w:p>
                              </w:tc>
                              <w:tc>
                                <w:tcPr>
                                  <w:tcW w:w="300" w:type="dxa"/>
                                  <w:tcBorders/>
                                  <w:vAlign w:val="center"/>
                                </w:tcPr>
                                <w:p>
                                  <w:pPr>
                                    <w:pStyle w:val="TableContents"/>
                                    <w:bidi w:val="0"/>
                                    <w:spacing w:before="0" w:after="283"/>
                                    <w:jc w:val="left"/>
                                    <w:rPr/>
                                  </w:pPr>
                                  <w:r>
                                    <w:rPr/>
                                    <w:drawing>
                                      <wp:inline distT="0" distB="0" distL="0" distR="0">
                                        <wp:extent cx="190500" cy="495300"/>
                                        <wp:effectExtent l="0" t="0" r="0" b="0"/>
                                        <wp:docPr id="203" name="Image1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Image154" descr=""/>
                                                <pic:cNvPicPr>
                                                  <a:picLocks noChangeAspect="1" noChangeArrowheads="1"/>
                                                </pic:cNvPicPr>
                                              </pic:nvPicPr>
                                              <pic:blipFill>
                                                <a:blip r:embed="rId179"/>
                                                <a:stretch>
                                                  <a:fillRect/>
                                                </a:stretch>
                                              </pic:blipFill>
                                              <pic:spPr bwMode="auto">
                                                <a:xfrm>
                                                  <a:off x="0" y="0"/>
                                                  <a:ext cx="190500" cy="495300"/>
                                                </a:xfrm>
                                                <a:prstGeom prst="rect">
                                                  <a:avLst/>
                                                </a:prstGeom>
                                              </pic:spPr>
                                            </pic:pic>
                                          </a:graphicData>
                                        </a:graphic>
                                      </wp:inline>
                                    </w:drawing>
                                  </w:r>
                                </w:p>
                              </w:tc>
                              <w:tc>
                                <w:tcPr>
                                  <w:tcW w:w="3155" w:type="dxa"/>
                                  <w:tcBorders/>
                                  <w:vAlign w:val="center"/>
                                </w:tcPr>
                                <w:p>
                                  <w:pPr>
                                    <w:pStyle w:val="TableContents"/>
                                    <w:bidi w:val="0"/>
                                    <w:spacing w:before="0" w:after="283"/>
                                    <w:jc w:val="left"/>
                                    <w:rPr/>
                                  </w:pPr>
                                  <w:r>
                                    <w:rPr/>
                                    <w:t>EXPERIENCE IN INDUSTRY</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70000</wp14:pctWidth>
                </wp14:sizeRelH>
              </wp:anchor>
            </w:drawing>
          </mc:Choice>
          <mc:Fallback>
            <w:pict>
              <v:rect style="position:absolute;rotation:-0;width:357.15pt;height:296.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jc w:val="left"/>
                        <w:rPr>
                          <w:rFonts w:ascii="Arial;Helvetica;Sans-Serif" w:hAnsi="Arial;Helvetica;Sans-Serif"/>
                          <w:b/>
                          <w:i w:val="false"/>
                          <w:caps w:val="false"/>
                          <w:smallCaps w:val="false"/>
                          <w:sz w:val="30"/>
                        </w:rPr>
                      </w:pPr>
                      <w:r>
                        <w:rPr>
                          <w:rFonts w:ascii="Arial;Helvetica;Sans-Serif" w:hAnsi="Arial;Helvetica;Sans-Serif"/>
                          <w:b/>
                          <w:i w:val="false"/>
                          <w:caps w:val="false"/>
                          <w:smallCaps w:val="false"/>
                          <w:sz w:val="30"/>
                        </w:rPr>
                        <w:t>Ellen M. Pawlikowski</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630"/>
                        <w:gridCol w:w="300"/>
                        <w:gridCol w:w="4275"/>
                      </w:tblGrid>
                      <w:tr>
                        <w:trPr/>
                        <w:tc>
                          <w:tcPr>
                            <w:tcW w:w="5630" w:type="dxa"/>
                            <w:tcBorders/>
                            <w:vAlign w:val="center"/>
                          </w:tcPr>
                          <w:p>
                            <w:pPr>
                              <w:pStyle w:val="TableContents"/>
                              <w:bidi w:val="0"/>
                              <w:spacing w:before="0" w:after="60"/>
                              <w:jc w:val="left"/>
                              <w:rPr>
                                <w:b/>
                              </w:rPr>
                            </w:pPr>
                            <w:r>
                              <w:rPr>
                                <w:b/>
                              </w:rPr>
                              <w:t>INDEPENDENT DIRECTOR</w:t>
                            </w:r>
                          </w:p>
                          <w:p>
                            <w:pPr>
                              <w:pStyle w:val="TableContents"/>
                              <w:bidi w:val="0"/>
                              <w:spacing w:before="0" w:after="283"/>
                              <w:jc w:val="left"/>
                              <w:rPr>
                                <w:sz w:val="20"/>
                              </w:rPr>
                            </w:pPr>
                            <w:r>
                              <w:rPr>
                                <w:sz w:val="20"/>
                              </w:rPr>
                              <w:t>General, U.S. Air Force (Retired) and Former Commander, Air Force Materiel Command</w:t>
                            </w:r>
                          </w:p>
                        </w:tc>
                        <w:tc>
                          <w:tcPr>
                            <w:tcW w:w="300" w:type="dxa"/>
                            <w:tcBorders/>
                            <w:vAlign w:val="center"/>
                          </w:tcPr>
                          <w:p>
                            <w:pPr>
                              <w:pStyle w:val="TableContents"/>
                              <w:bidi w:val="0"/>
                              <w:spacing w:before="0" w:after="283"/>
                              <w:jc w:val="left"/>
                              <w:rPr/>
                            </w:pPr>
                            <w:r>
                              <w:rPr/>
                              <w:t>     </w:t>
                            </w:r>
                          </w:p>
                        </w:tc>
                        <w:tc>
                          <w:tcPr>
                            <w:tcW w:w="4275" w:type="dxa"/>
                            <w:tcBorders/>
                            <w:vAlign w:val="center"/>
                          </w:tcPr>
                          <w:p>
                            <w:pPr>
                              <w:pStyle w:val="TableContents"/>
                              <w:bidi w:val="0"/>
                              <w:spacing w:before="0" w:after="60"/>
                              <w:jc w:val="left"/>
                              <w:rPr/>
                            </w:pPr>
                            <w:r>
                              <w:rPr/>
                              <w:t xml:space="preserve">AGE </w:t>
                            </w:r>
                            <w:r>
                              <w:rPr>
                                <w:b/>
                              </w:rPr>
                              <w:t>69</w:t>
                            </w:r>
                          </w:p>
                          <w:p>
                            <w:pPr>
                              <w:pStyle w:val="TableContents"/>
                              <w:bidi w:val="0"/>
                              <w:jc w:val="left"/>
                              <w:rPr/>
                            </w:pPr>
                            <w:r>
                              <w:rPr/>
                              <w:t xml:space="preserve">DIRECTOR SINCE </w:t>
                            </w:r>
                            <w:r>
                              <w:rPr>
                                <w:b/>
                              </w:rPr>
                              <w:t>2020</w:t>
                            </w:r>
                          </w:p>
                          <w:p>
                            <w:pPr>
                              <w:pStyle w:val="TableContents"/>
                              <w:bidi w:val="0"/>
                              <w:jc w:val="left"/>
                              <w:rPr/>
                            </w:pPr>
                            <w:r>
                              <w:rPr/>
                              <w:t>BOARD COMMITTEES</w:t>
                            </w:r>
                          </w:p>
                          <w:p>
                            <w:pPr>
                              <w:pStyle w:val="TableContents"/>
                              <w:bidi w:val="0"/>
                              <w:spacing w:before="0" w:after="283"/>
                              <w:jc w:val="left"/>
                              <w:rPr>
                                <w:b/>
                              </w:rPr>
                            </w:pPr>
                            <w:r>
                              <w:rPr>
                                <w:b/>
                              </w:rPr>
                              <w:t>Human Capital &amp; Compensation, Special Activities</w:t>
                            </w:r>
                          </w:p>
                        </w:tc>
                      </w:tr>
                      <w:tr>
                        <w:trPr/>
                        <w:tc>
                          <w:tcPr>
                            <w:tcW w:w="5630" w:type="dxa"/>
                            <w:tcBorders/>
                            <w:vAlign w:val="center"/>
                          </w:tcPr>
                          <w:p>
                            <w:pPr>
                              <w:pStyle w:val="TableContents"/>
                              <w:bidi w:val="0"/>
                              <w:spacing w:before="0" w:after="283"/>
                              <w:jc w:val="left"/>
                              <w:rPr>
                                <w:b/>
                                <w:sz w:val="20"/>
                              </w:rPr>
                            </w:pPr>
                            <w:r>
                              <w:rPr>
                                <w:b/>
                                <w:sz w:val="20"/>
                              </w:rPr>
                              <w:t>Key Skills and Expertise</w:t>
                            </w:r>
                          </w:p>
                        </w:tc>
                        <w:tc>
                          <w:tcPr>
                            <w:tcW w:w="300" w:type="dxa"/>
                            <w:tcBorders/>
                            <w:vAlign w:val="center"/>
                          </w:tcPr>
                          <w:p>
                            <w:pPr>
                              <w:pStyle w:val="TableContents"/>
                              <w:bidi w:val="0"/>
                              <w:spacing w:before="0" w:after="283"/>
                              <w:jc w:val="left"/>
                              <w:rPr/>
                            </w:pPr>
                            <w:r>
                              <w:rPr/>
                              <w:t> </w:t>
                            </w:r>
                          </w:p>
                        </w:tc>
                        <w:tc>
                          <w:tcPr>
                            <w:tcW w:w="4275"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8310" w:type="dxa"/>
                        <w:jc w:val="left"/>
                        <w:tblInd w:w="0" w:type="dxa"/>
                        <w:tblLayout w:type="fixed"/>
                        <w:tblCellMar>
                          <w:top w:w="0" w:type="dxa"/>
                          <w:left w:w="0" w:type="dxa"/>
                          <w:bottom w:w="0" w:type="dxa"/>
                          <w:right w:w="0" w:type="dxa"/>
                        </w:tblCellMar>
                      </w:tblPr>
                      <w:tblGrid>
                        <w:gridCol w:w="315"/>
                        <w:gridCol w:w="1745"/>
                        <w:gridCol w:w="330"/>
                        <w:gridCol w:w="2465"/>
                        <w:gridCol w:w="300"/>
                        <w:gridCol w:w="3155"/>
                      </w:tblGrid>
                      <w:tr>
                        <w:trPr/>
                        <w:tc>
                          <w:tcPr>
                            <w:tcW w:w="315" w:type="dxa"/>
                            <w:tcBorders/>
                            <w:vAlign w:val="center"/>
                          </w:tcPr>
                          <w:p>
                            <w:pPr>
                              <w:pStyle w:val="TableContents"/>
                              <w:bidi w:val="0"/>
                              <w:spacing w:before="0" w:after="283"/>
                              <w:jc w:val="left"/>
                              <w:rPr/>
                            </w:pPr>
                            <w:r>
                              <w:rPr/>
                              <w:drawing>
                                <wp:inline distT="0" distB="0" distL="0" distR="0">
                                  <wp:extent cx="190500" cy="495300"/>
                                  <wp:effectExtent l="0" t="0" r="0" b="0"/>
                                  <wp:docPr id="204" name="Image1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Image152" descr=""/>
                                          <pic:cNvPicPr>
                                            <a:picLocks noChangeAspect="1" noChangeArrowheads="1"/>
                                          </pic:cNvPicPr>
                                        </pic:nvPicPr>
                                        <pic:blipFill>
                                          <a:blip r:embed="rId180"/>
                                          <a:stretch>
                                            <a:fillRect/>
                                          </a:stretch>
                                        </pic:blipFill>
                                        <pic:spPr bwMode="auto">
                                          <a:xfrm>
                                            <a:off x="0" y="0"/>
                                            <a:ext cx="190500" cy="495300"/>
                                          </a:xfrm>
                                          <a:prstGeom prst="rect">
                                            <a:avLst/>
                                          </a:prstGeom>
                                        </pic:spPr>
                                      </pic:pic>
                                    </a:graphicData>
                                  </a:graphic>
                                </wp:inline>
                              </w:drawing>
                            </w:r>
                          </w:p>
                        </w:tc>
                        <w:tc>
                          <w:tcPr>
                            <w:tcW w:w="1745" w:type="dxa"/>
                            <w:tcBorders/>
                            <w:vAlign w:val="center"/>
                          </w:tcPr>
                          <w:p>
                            <w:pPr>
                              <w:pStyle w:val="TableContents"/>
                              <w:bidi w:val="0"/>
                              <w:spacing w:before="0" w:after="283"/>
                              <w:jc w:val="left"/>
                              <w:rPr/>
                            </w:pPr>
                            <w:r>
                              <w:rPr/>
                              <w:t>GOVERNMENT</w:t>
                            </w:r>
                          </w:p>
                        </w:tc>
                        <w:tc>
                          <w:tcPr>
                            <w:tcW w:w="330" w:type="dxa"/>
                            <w:tcBorders/>
                            <w:vAlign w:val="center"/>
                          </w:tcPr>
                          <w:p>
                            <w:pPr>
                              <w:pStyle w:val="TableContents"/>
                              <w:bidi w:val="0"/>
                              <w:spacing w:before="0" w:after="283"/>
                              <w:jc w:val="left"/>
                              <w:rPr/>
                            </w:pPr>
                            <w:r>
                              <w:rPr/>
                              <w:drawing>
                                <wp:inline distT="0" distB="0" distL="0" distR="0">
                                  <wp:extent cx="209550" cy="419100"/>
                                  <wp:effectExtent l="0" t="0" r="0" b="0"/>
                                  <wp:docPr id="205" name="Image1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 name="Image153" descr=""/>
                                          <pic:cNvPicPr>
                                            <a:picLocks noChangeAspect="1" noChangeArrowheads="1"/>
                                          </pic:cNvPicPr>
                                        </pic:nvPicPr>
                                        <pic:blipFill>
                                          <a:blip r:embed="rId181"/>
                                          <a:stretch>
                                            <a:fillRect/>
                                          </a:stretch>
                                        </pic:blipFill>
                                        <pic:spPr bwMode="auto">
                                          <a:xfrm>
                                            <a:off x="0" y="0"/>
                                            <a:ext cx="209550" cy="419100"/>
                                          </a:xfrm>
                                          <a:prstGeom prst="rect">
                                            <a:avLst/>
                                          </a:prstGeom>
                                        </pic:spPr>
                                      </pic:pic>
                                    </a:graphicData>
                                  </a:graphic>
                                </wp:inline>
                              </w:drawing>
                            </w:r>
                          </w:p>
                        </w:tc>
                        <w:tc>
                          <w:tcPr>
                            <w:tcW w:w="2465" w:type="dxa"/>
                            <w:tcBorders/>
                            <w:vAlign w:val="center"/>
                          </w:tcPr>
                          <w:p>
                            <w:pPr>
                              <w:pStyle w:val="TableContents"/>
                              <w:bidi w:val="0"/>
                              <w:spacing w:before="0" w:after="283"/>
                              <w:jc w:val="left"/>
                              <w:rPr/>
                            </w:pPr>
                            <w:r>
                              <w:rPr/>
                              <w:t>SENIOR LEADERSHIP</w:t>
                            </w:r>
                          </w:p>
                        </w:tc>
                        <w:tc>
                          <w:tcPr>
                            <w:tcW w:w="300" w:type="dxa"/>
                            <w:tcBorders/>
                            <w:vAlign w:val="center"/>
                          </w:tcPr>
                          <w:p>
                            <w:pPr>
                              <w:pStyle w:val="TableContents"/>
                              <w:bidi w:val="0"/>
                              <w:spacing w:before="0" w:after="283"/>
                              <w:jc w:val="left"/>
                              <w:rPr/>
                            </w:pPr>
                            <w:r>
                              <w:rPr/>
                              <w:drawing>
                                <wp:inline distT="0" distB="0" distL="0" distR="0">
                                  <wp:extent cx="190500" cy="495300"/>
                                  <wp:effectExtent l="0" t="0" r="0" b="0"/>
                                  <wp:docPr id="206" name="Image1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Image154" descr=""/>
                                          <pic:cNvPicPr>
                                            <a:picLocks noChangeAspect="1" noChangeArrowheads="1"/>
                                          </pic:cNvPicPr>
                                        </pic:nvPicPr>
                                        <pic:blipFill>
                                          <a:blip r:embed="rId182"/>
                                          <a:stretch>
                                            <a:fillRect/>
                                          </a:stretch>
                                        </pic:blipFill>
                                        <pic:spPr bwMode="auto">
                                          <a:xfrm>
                                            <a:off x="0" y="0"/>
                                            <a:ext cx="190500" cy="495300"/>
                                          </a:xfrm>
                                          <a:prstGeom prst="rect">
                                            <a:avLst/>
                                          </a:prstGeom>
                                        </pic:spPr>
                                      </pic:pic>
                                    </a:graphicData>
                                  </a:graphic>
                                </wp:inline>
                              </w:drawing>
                            </w:r>
                          </w:p>
                        </w:tc>
                        <w:tc>
                          <w:tcPr>
                            <w:tcW w:w="3155" w:type="dxa"/>
                            <w:tcBorders/>
                            <w:vAlign w:val="center"/>
                          </w:tcPr>
                          <w:p>
                            <w:pPr>
                              <w:pStyle w:val="TableContents"/>
                              <w:bidi w:val="0"/>
                              <w:spacing w:before="0" w:after="283"/>
                              <w:jc w:val="left"/>
                              <w:rPr/>
                            </w:pPr>
                            <w:r>
                              <w:rPr/>
                              <w:t>EXPERIENCE IN INDUSTRY</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83">
                <wp:simplePos x="0" y="0"/>
                <wp:positionH relativeFrom="column">
                  <wp:align>right</wp:align>
                </wp:positionH>
                <wp:positionV relativeFrom="line">
                  <wp:posOffset>635</wp:posOffset>
                </wp:positionV>
                <wp:extent cx="1943735" cy="5248275"/>
                <wp:effectExtent l="0" t="0" r="0" b="0"/>
                <wp:wrapSquare wrapText="left"/>
                <wp:docPr id="207" name="Frame26"/>
                <a:graphic xmlns:a="http://schemas.openxmlformats.org/drawingml/2006/main">
                  <a:graphicData uri="http://schemas.microsoft.com/office/word/2010/wordprocessingShape">
                    <wps:wsp>
                      <wps:cNvSpPr txBox="1"/>
                      <wps:spPr>
                        <a:xfrm>
                          <a:off x="0" y="0"/>
                          <a:ext cx="1943735" cy="5248275"/>
                        </a:xfrm>
                        <a:prstGeom prst="rect"/>
                        <a:solidFill>
                          <a:srgbClr val="FFFFFF"/>
                        </a:solidFill>
                      </wps:spPr>
                      <wps:txbx>
                        <w:txbxContent>
                          <w:p>
                            <w:pPr>
                              <w:pStyle w:val="TextBody"/>
                              <w:bidi w:val="0"/>
                              <w:spacing w:before="0" w:after="283"/>
                              <w:ind w:left="0" w:right="0" w:hanging="0"/>
                              <w:jc w:val="right"/>
                              <w:rPr>
                                <w:caps w:val="false"/>
                                <w:smallCaps w:val="false"/>
                              </w:rPr>
                            </w:pPr>
                            <w:r>
                              <w:rPr>
                                <w:caps w:val="false"/>
                                <w:smallCaps w:val="false"/>
                              </w:rPr>
                              <w:drawing>
                                <wp:inline distT="0" distB="0" distL="0" distR="0">
                                  <wp:extent cx="1619250" cy="5095875"/>
                                  <wp:effectExtent l="0" t="0" r="0" b="0"/>
                                  <wp:docPr id="208" name="Image1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Image155" descr=""/>
                                          <pic:cNvPicPr>
                                            <a:picLocks noChangeAspect="1" noChangeArrowheads="1"/>
                                          </pic:cNvPicPr>
                                        </pic:nvPicPr>
                                        <pic:blipFill>
                                          <a:blip r:embed="rId183"/>
                                          <a:stretch>
                                            <a:fillRect/>
                                          </a:stretch>
                                        </pic:blipFill>
                                        <pic:spPr bwMode="auto">
                                          <a:xfrm>
                                            <a:off x="0" y="0"/>
                                            <a:ext cx="1619250" cy="5095875"/>
                                          </a:xfrm>
                                          <a:prstGeom prst="rect">
                                            <a:avLst/>
                                          </a:prstGeom>
                                        </pic:spPr>
                                      </pic:pic>
                                    </a:graphicData>
                                  </a:graphic>
                                </wp:inline>
                              </w:drawing>
                            </w:r>
                          </w:p>
                        </w:txbxContent>
                      </wps:txbx>
                      <wps:bodyPr anchor="t" lIns="0" tIns="0" rIns="0" bIns="0">
                        <a:noAutofit/>
                      </wps:bodyPr>
                    </wps:wsp>
                  </a:graphicData>
                </a:graphic>
                <wp14:sizeRelH relativeFrom="margin">
                  <wp14:pctWidth>30000</wp14:pctWidth>
                </wp14:sizeRelH>
              </wp:anchor>
            </w:drawing>
          </mc:Choice>
          <mc:Fallback>
            <w:pict>
              <v:rect style="position:absolute;rotation:-0;width:153.05pt;height:413.25pt;mso-wrap-distance-left:0pt;mso-wrap-distance-right:0pt;mso-wrap-distance-top:0pt;mso-wrap-distance-bottom:0pt;margin-top:0pt;mso-position-vertical:top;mso-position-vertical-relative:text;margin-left:357.2pt;mso-position-horizontal:right;mso-position-horizontal-relative:text">
                <v:textbox>
                  <w:txbxContent>
                    <w:p>
                      <w:pPr>
                        <w:pStyle w:val="TextBody"/>
                        <w:bidi w:val="0"/>
                        <w:spacing w:before="0" w:after="283"/>
                        <w:ind w:left="0" w:right="0" w:hanging="0"/>
                        <w:jc w:val="right"/>
                        <w:rPr>
                          <w:caps w:val="false"/>
                          <w:smallCaps w:val="false"/>
                        </w:rPr>
                      </w:pPr>
                      <w:r>
                        <w:rPr>
                          <w:caps w:val="false"/>
                          <w:smallCaps w:val="false"/>
                        </w:rPr>
                        <w:drawing>
                          <wp:inline distT="0" distB="0" distL="0" distR="0">
                            <wp:extent cx="1619250" cy="5095875"/>
                            <wp:effectExtent l="0" t="0" r="0" b="0"/>
                            <wp:docPr id="209" name="Image1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 name="Image155" descr=""/>
                                    <pic:cNvPicPr>
                                      <a:picLocks noChangeAspect="1" noChangeArrowheads="1"/>
                                    </pic:cNvPicPr>
                                  </pic:nvPicPr>
                                  <pic:blipFill>
                                    <a:blip r:embed="rId184"/>
                                    <a:stretch>
                                      <a:fillRect/>
                                    </a:stretch>
                                  </pic:blipFill>
                                  <pic:spPr bwMode="auto">
                                    <a:xfrm>
                                      <a:off x="0" y="0"/>
                                      <a:ext cx="1619250" cy="5095875"/>
                                    </a:xfrm>
                                    <a:prstGeom prst="rect">
                                      <a:avLst/>
                                    </a:prstGeom>
                                  </pic:spPr>
                                </pic:pic>
                              </a:graphicData>
                            </a:graphic>
                          </wp:inline>
                        </w:drawing>
                      </w:r>
                    </w:p>
                  </w:txbxContent>
                </v:textbox>
                <w10:wrap type="square" side="left"/>
              </v:rect>
            </w:pict>
          </mc:Fallback>
        </mc:AlternateConten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r>
        <mc:AlternateContent>
          <mc:Choice Requires="wps">
            <w:drawing>
              <wp:anchor behindDoc="0" distT="0" distB="0" distL="0" distR="0" simplePos="0" locked="0" layoutInCell="1" allowOverlap="1" relativeHeight="297">
                <wp:simplePos x="0" y="0"/>
                <wp:positionH relativeFrom="column">
                  <wp:align>left</wp:align>
                </wp:positionH>
                <wp:positionV relativeFrom="line">
                  <wp:posOffset>635</wp:posOffset>
                </wp:positionV>
                <wp:extent cx="3110230" cy="4076065"/>
                <wp:effectExtent l="0" t="0" r="0" b="0"/>
                <wp:wrapSquare wrapText="right"/>
                <wp:docPr id="210" name="Frame27"/>
                <a:graphic xmlns:a="http://schemas.openxmlformats.org/drawingml/2006/main">
                  <a:graphicData uri="http://schemas.microsoft.com/office/word/2010/wordprocessingShape">
                    <wps:wsp>
                      <wps:cNvSpPr txBox="1"/>
                      <wps:spPr>
                        <a:xfrm>
                          <a:off x="0" y="0"/>
                          <a:ext cx="3110230" cy="4076065"/>
                        </a:xfrm>
                        <a:prstGeom prst="rect"/>
                        <a:solidFill>
                          <a:srgbClr val="FFFFFF"/>
                        </a:solidFill>
                      </wps:spPr>
                      <wps:txbx>
                        <w:txbxContent>
                          <w:p>
                            <w:pPr>
                              <w:pStyle w:val="TextBody"/>
                              <w:bidi w:val="0"/>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 xml:space="preserve">Qualifications </w:t>
                            </w:r>
                            <w:r>
                              <w:rPr>
                                <w:rFonts w:ascii="Arial;Helvetica;Sans-Serif" w:hAnsi="Arial;Helvetica;Sans-Serif"/>
                                <w:b w:val="false"/>
                                <w:i w:val="false"/>
                                <w:caps w:val="false"/>
                                <w:smallCaps w:val="false"/>
                                <w:sz w:val="20"/>
                              </w:rPr>
                              <w:t> </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General Pawlikowski delivers deep defense industry-specific expertise, senior leadership experience and understanding of leading-edge science and technology through her extensive military service, including as Commander, U.S. Air Force Materiel Command. She provides the Board with important insights regarding military critical mission needs, advanced weapons systems management, and acquisition and national security policy.</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Experience</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pPr>
                                  <w:r>
                                    <w:rPr/>
                                    <w:t>Commander, Air Force Materiel Command (military leadership), 2015–2018</w:t>
                                  </w:r>
                                </w:p>
                              </w:tc>
                            </w:tr>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pPr>
                                  <w:r>
                                    <w:rPr/>
                                    <w:t>Various positions of increasing responsibility during a 36-year career in the U.S. Air Force, including Military Deputy for the Assistant Secretary for Acquisition; Commander/Program Executive Officer, Space and Missile Systems Center; Commander, Air Force Research Laboratory; and Deputy Director and Chief Operating Officer, National Reconnaissance Office</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320.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 xml:space="preserve">Qualifications </w:t>
                      </w:r>
                      <w:r>
                        <w:rPr>
                          <w:rFonts w:ascii="Arial;Helvetica;Sans-Serif" w:hAnsi="Arial;Helvetica;Sans-Serif"/>
                          <w:b w:val="false"/>
                          <w:i w:val="false"/>
                          <w:caps w:val="false"/>
                          <w:smallCaps w:val="false"/>
                          <w:sz w:val="20"/>
                        </w:rPr>
                        <w:t> </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General Pawlikowski delivers deep defense industry-specific expertise, senior leadership experience and understanding of leading-edge science and technology through her extensive military service, including as Commander, U.S. Air Force Materiel Command. She provides the Board with important insights regarding military critical mission needs, advanced weapons systems management, and acquisition and national security policy.</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Experience</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pPr>
                            <w:r>
                              <w:rPr/>
                              <w:t>Commander, Air Force Materiel Command (military leadership), 2015–2018</w:t>
                            </w:r>
                          </w:p>
                        </w:tc>
                      </w:tr>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pPr>
                            <w:r>
                              <w:rPr/>
                              <w:t>Various positions of increasing responsibility during a 36-year career in the U.S. Air Force, including Military Deputy for the Assistant Secretary for Acquisition; Commander/Program Executive Officer, Space and Missile Systems Center; Commander, Air Force Research Laboratory; and Deputy Director and Chief Operating Officer, National Reconnaissance Office</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298">
                <wp:simplePos x="0" y="0"/>
                <wp:positionH relativeFrom="column">
                  <wp:align>right</wp:align>
                </wp:positionH>
                <wp:positionV relativeFrom="line">
                  <wp:posOffset>635</wp:posOffset>
                </wp:positionV>
                <wp:extent cx="3110230" cy="6827520"/>
                <wp:effectExtent l="0" t="0" r="0" b="0"/>
                <wp:wrapSquare wrapText="left"/>
                <wp:docPr id="211" name="Frame28"/>
                <a:graphic xmlns:a="http://schemas.openxmlformats.org/drawingml/2006/main">
                  <a:graphicData uri="http://schemas.microsoft.com/office/word/2010/wordprocessingShape">
                    <wps:wsp>
                      <wps:cNvSpPr txBox="1"/>
                      <wps:spPr>
                        <a:xfrm>
                          <a:off x="0" y="0"/>
                          <a:ext cx="3110230" cy="6827520"/>
                        </a:xfrm>
                        <a:prstGeom prst="rect"/>
                        <a:solidFill>
                          <a:srgbClr val="FFFFFF"/>
                        </a:solidFill>
                      </wps:spPr>
                      <wps:txbx>
                        <w:txbxContent>
                          <w:p>
                            <w:pPr>
                              <w:pStyle w:val="TextBody"/>
                              <w:bidi w:val="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Other Current Directorships</w:t>
                            </w:r>
                          </w:p>
                          <w:p>
                            <w:pPr>
                              <w:pStyle w:val="TextBody"/>
                              <w:bidi w:val="0"/>
                              <w:jc w:val="left"/>
                              <w:rPr>
                                <w:caps w:val="false"/>
                                <w:smallCaps w:val="false"/>
                              </w:rPr>
                            </w:pPr>
                            <w:r>
                              <w:rPr>
                                <w:caps w:val="false"/>
                                <w:smallCaps w:val="false"/>
                              </w:rPr>
                              <w:t> </w:t>
                            </w:r>
                          </w:p>
                          <w:tbl>
                            <w:tblPr>
                              <w:tblW w:w="4210" w:type="dxa"/>
                              <w:jc w:val="left"/>
                              <w:tblInd w:w="0" w:type="dxa"/>
                              <w:tblLayout w:type="fixed"/>
                              <w:tblCellMar>
                                <w:top w:w="0" w:type="dxa"/>
                                <w:left w:w="0" w:type="dxa"/>
                                <w:bottom w:w="0" w:type="dxa"/>
                                <w:right w:w="0" w:type="dxa"/>
                              </w:tblCellMar>
                            </w:tblPr>
                            <w:tblGrid>
                              <w:gridCol w:w="185"/>
                              <w:gridCol w:w="4025"/>
                            </w:tblGrid>
                            <w:tr>
                              <w:trPr/>
                              <w:tc>
                                <w:tcPr>
                                  <w:tcW w:w="185" w:type="dxa"/>
                                  <w:tcBorders/>
                                  <w:vAlign w:val="center"/>
                                </w:tcPr>
                                <w:p>
                                  <w:pPr>
                                    <w:pStyle w:val="TableContents"/>
                                    <w:bidi w:val="0"/>
                                    <w:spacing w:before="0" w:after="283"/>
                                    <w:jc w:val="left"/>
                                    <w:rPr/>
                                  </w:pPr>
                                  <w:r>
                                    <w:rPr/>
                                    <w:t>●</w:t>
                                  </w:r>
                                </w:p>
                              </w:tc>
                              <w:tc>
                                <w:tcPr>
                                  <w:tcW w:w="4025" w:type="dxa"/>
                                  <w:tcBorders/>
                                  <w:vAlign w:val="center"/>
                                </w:tcPr>
                                <w:p>
                                  <w:pPr>
                                    <w:pStyle w:val="TableContents"/>
                                    <w:bidi w:val="0"/>
                                    <w:spacing w:before="0" w:after="283"/>
                                    <w:jc w:val="left"/>
                                    <w:rPr/>
                                  </w:pPr>
                                  <w:r>
                                    <w:rPr/>
                                    <w:t>RPM International Inc., since 2022</w:t>
                                  </w:r>
                                </w:p>
                              </w:tc>
                            </w:tr>
                            <w:tr>
                              <w:trPr/>
                              <w:tc>
                                <w:tcPr>
                                  <w:tcW w:w="185" w:type="dxa"/>
                                  <w:tcBorders/>
                                  <w:vAlign w:val="center"/>
                                </w:tcPr>
                                <w:p>
                                  <w:pPr>
                                    <w:pStyle w:val="TableContents"/>
                                    <w:bidi w:val="0"/>
                                    <w:spacing w:before="0" w:after="283"/>
                                    <w:jc w:val="left"/>
                                    <w:rPr/>
                                  </w:pPr>
                                  <w:r>
                                    <w:rPr/>
                                    <w:t>●</w:t>
                                  </w:r>
                                </w:p>
                              </w:tc>
                              <w:tc>
                                <w:tcPr>
                                  <w:tcW w:w="4025" w:type="dxa"/>
                                  <w:tcBorders/>
                                  <w:vAlign w:val="center"/>
                                </w:tcPr>
                                <w:p>
                                  <w:pPr>
                                    <w:pStyle w:val="TableContents"/>
                                    <w:bidi w:val="0"/>
                                    <w:spacing w:before="0" w:after="283"/>
                                    <w:jc w:val="left"/>
                                    <w:rPr/>
                                  </w:pPr>
                                  <w:r>
                                    <w:rPr/>
                                    <w:t>Applied Research Associates (non-public)</w:t>
                                  </w:r>
                                </w:p>
                              </w:tc>
                            </w:tr>
                            <w:tr>
                              <w:trPr/>
                              <w:tc>
                                <w:tcPr>
                                  <w:tcW w:w="185" w:type="dxa"/>
                                  <w:tcBorders/>
                                  <w:vAlign w:val="center"/>
                                </w:tcPr>
                                <w:p>
                                  <w:pPr>
                                    <w:pStyle w:val="TableContents"/>
                                    <w:bidi w:val="0"/>
                                    <w:spacing w:before="0" w:after="283"/>
                                    <w:jc w:val="left"/>
                                    <w:rPr/>
                                  </w:pPr>
                                  <w:r>
                                    <w:rPr/>
                                    <w:t>●</w:t>
                                  </w:r>
                                </w:p>
                              </w:tc>
                              <w:tc>
                                <w:tcPr>
                                  <w:tcW w:w="4025" w:type="dxa"/>
                                  <w:tcBorders/>
                                  <w:vAlign w:val="center"/>
                                </w:tcPr>
                                <w:p>
                                  <w:pPr>
                                    <w:pStyle w:val="TableContents"/>
                                    <w:bidi w:val="0"/>
                                    <w:spacing w:before="0" w:after="283"/>
                                    <w:jc w:val="left"/>
                                    <w:rPr/>
                                  </w:pPr>
                                  <w:r>
                                    <w:rPr/>
                                    <w:t>SRI International (non-public)</w:t>
                                  </w:r>
                                </w:p>
                              </w:tc>
                            </w:tr>
                            <w:tr>
                              <w:trPr/>
                              <w:tc>
                                <w:tcPr>
                                  <w:tcW w:w="185" w:type="dxa"/>
                                  <w:tcBorders/>
                                  <w:vAlign w:val="center"/>
                                </w:tcPr>
                                <w:p>
                                  <w:pPr>
                                    <w:pStyle w:val="TableContents"/>
                                    <w:bidi w:val="0"/>
                                    <w:spacing w:before="0" w:after="283"/>
                                    <w:jc w:val="left"/>
                                    <w:rPr/>
                                  </w:pPr>
                                  <w:r>
                                    <w:rPr/>
                                    <w:t>●</w:t>
                                  </w:r>
                                </w:p>
                              </w:tc>
                              <w:tc>
                                <w:tcPr>
                                  <w:tcW w:w="4025" w:type="dxa"/>
                                  <w:tcBorders/>
                                  <w:vAlign w:val="center"/>
                                </w:tcPr>
                                <w:p>
                                  <w:pPr>
                                    <w:pStyle w:val="TableContents"/>
                                    <w:bidi w:val="0"/>
                                    <w:spacing w:before="0" w:after="283"/>
                                    <w:jc w:val="left"/>
                                    <w:rPr/>
                                  </w:pPr>
                                  <w:r>
                                    <w:rPr/>
                                    <w:t>CEM Defense Materials (non-public)</w:t>
                                  </w:r>
                                </w:p>
                              </w:tc>
                            </w:tr>
                          </w:tbl>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Former Public Company Directorships</w:t>
                            </w:r>
                          </w:p>
                          <w:p>
                            <w:pPr>
                              <w:pStyle w:val="TextBody"/>
                              <w:bidi w:val="0"/>
                              <w:jc w:val="left"/>
                              <w:rPr>
                                <w:caps w:val="false"/>
                                <w:smallCaps w:val="false"/>
                              </w:rPr>
                            </w:pPr>
                            <w:r>
                              <w:rPr>
                                <w:caps w:val="false"/>
                                <w:smallCaps w:val="false"/>
                              </w:rPr>
                              <w:t> </w:t>
                            </w:r>
                          </w:p>
                          <w:tbl>
                            <w:tblPr>
                              <w:tblW w:w="3790" w:type="dxa"/>
                              <w:jc w:val="left"/>
                              <w:tblInd w:w="0" w:type="dxa"/>
                              <w:tblLayout w:type="fixed"/>
                              <w:tblCellMar>
                                <w:top w:w="0" w:type="dxa"/>
                                <w:left w:w="0" w:type="dxa"/>
                                <w:bottom w:w="0" w:type="dxa"/>
                                <w:right w:w="0" w:type="dxa"/>
                              </w:tblCellMar>
                            </w:tblPr>
                            <w:tblGrid>
                              <w:gridCol w:w="185"/>
                              <w:gridCol w:w="3605"/>
                            </w:tblGrid>
                            <w:tr>
                              <w:trPr/>
                              <w:tc>
                                <w:tcPr>
                                  <w:tcW w:w="185" w:type="dxa"/>
                                  <w:tcBorders/>
                                  <w:vAlign w:val="center"/>
                                </w:tcPr>
                                <w:p>
                                  <w:pPr>
                                    <w:pStyle w:val="TableContents"/>
                                    <w:bidi w:val="0"/>
                                    <w:spacing w:before="0" w:after="283"/>
                                    <w:jc w:val="left"/>
                                    <w:rPr/>
                                  </w:pPr>
                                  <w:r>
                                    <w:rPr/>
                                    <w:t>●</w:t>
                                  </w:r>
                                </w:p>
                              </w:tc>
                              <w:tc>
                                <w:tcPr>
                                  <w:tcW w:w="3605" w:type="dxa"/>
                                  <w:tcBorders/>
                                  <w:vAlign w:val="center"/>
                                </w:tcPr>
                                <w:p>
                                  <w:pPr>
                                    <w:pStyle w:val="TableContents"/>
                                    <w:bidi w:val="0"/>
                                    <w:spacing w:before="0" w:after="283"/>
                                    <w:jc w:val="left"/>
                                    <w:rPr/>
                                  </w:pPr>
                                  <w:r>
                                    <w:rPr/>
                                    <w:t>Velo3D, Inc., March 2022–July 2023</w:t>
                                  </w:r>
                                </w:p>
                              </w:tc>
                            </w:tr>
                            <w:tr>
                              <w:trPr/>
                              <w:tc>
                                <w:tcPr>
                                  <w:tcW w:w="185" w:type="dxa"/>
                                  <w:tcBorders/>
                                  <w:vAlign w:val="center"/>
                                </w:tcPr>
                                <w:p>
                                  <w:pPr>
                                    <w:pStyle w:val="TableContents"/>
                                    <w:bidi w:val="0"/>
                                    <w:spacing w:before="0" w:after="283"/>
                                    <w:jc w:val="left"/>
                                    <w:rPr/>
                                  </w:pPr>
                                  <w:r>
                                    <w:rPr/>
                                    <w:t>●</w:t>
                                  </w:r>
                                </w:p>
                              </w:tc>
                              <w:tc>
                                <w:tcPr>
                                  <w:tcW w:w="3605" w:type="dxa"/>
                                  <w:tcBorders/>
                                  <w:vAlign w:val="center"/>
                                </w:tcPr>
                                <w:p>
                                  <w:pPr>
                                    <w:pStyle w:val="TableContents"/>
                                    <w:bidi w:val="0"/>
                                    <w:spacing w:before="0" w:after="283"/>
                                    <w:jc w:val="left"/>
                                    <w:rPr/>
                                  </w:pPr>
                                  <w:r>
                                    <w:rPr/>
                                    <w:t>Intelsat S.A., 2019–February 2022</w:t>
                                  </w:r>
                                </w:p>
                              </w:tc>
                            </w:tr>
                            <w:tr>
                              <w:trPr/>
                              <w:tc>
                                <w:tcPr>
                                  <w:tcW w:w="185" w:type="dxa"/>
                                  <w:tcBorders/>
                                  <w:vAlign w:val="center"/>
                                </w:tcPr>
                                <w:p>
                                  <w:pPr>
                                    <w:pStyle w:val="TableContents"/>
                                    <w:bidi w:val="0"/>
                                    <w:spacing w:before="0" w:after="283"/>
                                    <w:jc w:val="left"/>
                                    <w:rPr/>
                                  </w:pPr>
                                  <w:r>
                                    <w:rPr/>
                                    <w:t>●</w:t>
                                  </w:r>
                                </w:p>
                              </w:tc>
                              <w:tc>
                                <w:tcPr>
                                  <w:tcW w:w="3605" w:type="dxa"/>
                                  <w:tcBorders/>
                                  <w:vAlign w:val="center"/>
                                </w:tcPr>
                                <w:p>
                                  <w:pPr>
                                    <w:pStyle w:val="TableContents"/>
                                    <w:bidi w:val="0"/>
                                    <w:spacing w:before="0" w:after="283"/>
                                    <w:jc w:val="left"/>
                                    <w:rPr/>
                                  </w:pPr>
                                  <w:r>
                                    <w:rPr/>
                                    <w:t>Raytheon Company, 2018–2020</w:t>
                                  </w:r>
                                </w:p>
                              </w:tc>
                            </w:tr>
                          </w:tbl>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Other Leadership Experience and Service</w:t>
                            </w:r>
                          </w:p>
                          <w:p>
                            <w:pPr>
                              <w:pStyle w:val="TextBody"/>
                              <w:bidi w:val="0"/>
                              <w:jc w:val="left"/>
                              <w:rPr>
                                <w:caps w:val="false"/>
                                <w:smallCaps w:val="false"/>
                              </w:rPr>
                            </w:pPr>
                            <w:r>
                              <w:rPr>
                                <w:caps w:val="false"/>
                                <w:smallCaps w:val="false"/>
                              </w:rPr>
                              <w:t> </w:t>
                            </w:r>
                          </w:p>
                          <w:tbl>
                            <w:tblPr>
                              <w:tblW w:w="8650" w:type="dxa"/>
                              <w:jc w:val="left"/>
                              <w:tblInd w:w="0" w:type="dxa"/>
                              <w:tblLayout w:type="fixed"/>
                              <w:tblCellMar>
                                <w:top w:w="0" w:type="dxa"/>
                                <w:left w:w="0" w:type="dxa"/>
                                <w:bottom w:w="0" w:type="dxa"/>
                                <w:right w:w="0" w:type="dxa"/>
                              </w:tblCellMar>
                            </w:tblPr>
                            <w:tblGrid>
                              <w:gridCol w:w="185"/>
                              <w:gridCol w:w="8465"/>
                            </w:tblGrid>
                            <w:tr>
                              <w:trPr/>
                              <w:tc>
                                <w:tcPr>
                                  <w:tcW w:w="185" w:type="dxa"/>
                                  <w:tcBorders/>
                                  <w:vAlign w:val="center"/>
                                </w:tcPr>
                                <w:p>
                                  <w:pPr>
                                    <w:pStyle w:val="TableContents"/>
                                    <w:bidi w:val="0"/>
                                    <w:spacing w:before="0" w:after="283"/>
                                    <w:jc w:val="left"/>
                                    <w:rPr/>
                                  </w:pPr>
                                  <w:r>
                                    <w:rPr/>
                                    <w:t>●</w:t>
                                  </w:r>
                                </w:p>
                              </w:tc>
                              <w:tc>
                                <w:tcPr>
                                  <w:tcW w:w="8465" w:type="dxa"/>
                                  <w:tcBorders/>
                                  <w:vAlign w:val="center"/>
                                </w:tcPr>
                                <w:p>
                                  <w:pPr>
                                    <w:pStyle w:val="TableContents"/>
                                    <w:bidi w:val="0"/>
                                    <w:spacing w:before="0" w:after="283"/>
                                    <w:jc w:val="left"/>
                                    <w:rPr/>
                                  </w:pPr>
                                  <w:r>
                                    <w:rPr/>
                                    <w:t>Chair, Honorary Fellows Committee, American Institute of Aeronautics and Astronautics</w:t>
                                  </w:r>
                                </w:p>
                              </w:tc>
                            </w:tr>
                            <w:tr>
                              <w:trPr/>
                              <w:tc>
                                <w:tcPr>
                                  <w:tcW w:w="185" w:type="dxa"/>
                                  <w:tcBorders/>
                                  <w:vAlign w:val="center"/>
                                </w:tcPr>
                                <w:p>
                                  <w:pPr>
                                    <w:pStyle w:val="TableContents"/>
                                    <w:bidi w:val="0"/>
                                    <w:spacing w:before="0" w:after="283"/>
                                    <w:jc w:val="left"/>
                                    <w:rPr/>
                                  </w:pPr>
                                  <w:r>
                                    <w:rPr/>
                                    <w:t>●</w:t>
                                  </w:r>
                                </w:p>
                              </w:tc>
                              <w:tc>
                                <w:tcPr>
                                  <w:tcW w:w="8465" w:type="dxa"/>
                                  <w:tcBorders/>
                                  <w:vAlign w:val="center"/>
                                </w:tcPr>
                                <w:p>
                                  <w:pPr>
                                    <w:pStyle w:val="TableContents"/>
                                    <w:bidi w:val="0"/>
                                    <w:spacing w:before="0" w:after="283"/>
                                    <w:jc w:val="left"/>
                                    <w:rPr/>
                                  </w:pPr>
                                  <w:r>
                                    <w:rPr/>
                                    <w:t>Member, National Academy of Engineering</w:t>
                                  </w:r>
                                </w:p>
                              </w:tc>
                            </w:tr>
                            <w:tr>
                              <w:trPr/>
                              <w:tc>
                                <w:tcPr>
                                  <w:tcW w:w="185" w:type="dxa"/>
                                  <w:tcBorders/>
                                  <w:vAlign w:val="center"/>
                                </w:tcPr>
                                <w:p>
                                  <w:pPr>
                                    <w:pStyle w:val="TableContents"/>
                                    <w:bidi w:val="0"/>
                                    <w:spacing w:before="0" w:after="283"/>
                                    <w:jc w:val="left"/>
                                    <w:rPr/>
                                  </w:pPr>
                                  <w:r>
                                    <w:rPr/>
                                    <w:t>●</w:t>
                                  </w:r>
                                </w:p>
                              </w:tc>
                              <w:tc>
                                <w:tcPr>
                                  <w:tcW w:w="8465" w:type="dxa"/>
                                  <w:tcBorders/>
                                  <w:vAlign w:val="center"/>
                                </w:tcPr>
                                <w:p>
                                  <w:pPr>
                                    <w:pStyle w:val="TableContents"/>
                                    <w:bidi w:val="0"/>
                                    <w:spacing w:before="0" w:after="283"/>
                                    <w:jc w:val="left"/>
                                    <w:rPr/>
                                  </w:pPr>
                                  <w:r>
                                    <w:rPr/>
                                    <w:t>Member, Air Force Studies Board</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537.6pt;mso-wrap-distance-left:0pt;mso-wrap-distance-right:0pt;mso-wrap-distance-top:0pt;mso-wrap-distance-bottom:0pt;margin-top:0pt;mso-position-vertical:top;mso-position-vertical-relative:text;margin-left:265.35pt;mso-position-horizontal:right;mso-position-horizontal-relative:text">
                <v:textbox>
                  <w:txbxContent>
                    <w:p>
                      <w:pPr>
                        <w:pStyle w:val="TextBody"/>
                        <w:bidi w:val="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Other Current Directorships</w:t>
                      </w:r>
                    </w:p>
                    <w:p>
                      <w:pPr>
                        <w:pStyle w:val="TextBody"/>
                        <w:bidi w:val="0"/>
                        <w:jc w:val="left"/>
                        <w:rPr>
                          <w:caps w:val="false"/>
                          <w:smallCaps w:val="false"/>
                        </w:rPr>
                      </w:pPr>
                      <w:r>
                        <w:rPr>
                          <w:caps w:val="false"/>
                          <w:smallCaps w:val="false"/>
                        </w:rPr>
                        <w:t> </w:t>
                      </w:r>
                    </w:p>
                    <w:tbl>
                      <w:tblPr>
                        <w:tblW w:w="4210" w:type="dxa"/>
                        <w:jc w:val="left"/>
                        <w:tblInd w:w="0" w:type="dxa"/>
                        <w:tblLayout w:type="fixed"/>
                        <w:tblCellMar>
                          <w:top w:w="0" w:type="dxa"/>
                          <w:left w:w="0" w:type="dxa"/>
                          <w:bottom w:w="0" w:type="dxa"/>
                          <w:right w:w="0" w:type="dxa"/>
                        </w:tblCellMar>
                      </w:tblPr>
                      <w:tblGrid>
                        <w:gridCol w:w="185"/>
                        <w:gridCol w:w="4025"/>
                      </w:tblGrid>
                      <w:tr>
                        <w:trPr/>
                        <w:tc>
                          <w:tcPr>
                            <w:tcW w:w="185" w:type="dxa"/>
                            <w:tcBorders/>
                            <w:vAlign w:val="center"/>
                          </w:tcPr>
                          <w:p>
                            <w:pPr>
                              <w:pStyle w:val="TableContents"/>
                              <w:bidi w:val="0"/>
                              <w:spacing w:before="0" w:after="283"/>
                              <w:jc w:val="left"/>
                              <w:rPr/>
                            </w:pPr>
                            <w:r>
                              <w:rPr/>
                              <w:t>●</w:t>
                            </w:r>
                          </w:p>
                        </w:tc>
                        <w:tc>
                          <w:tcPr>
                            <w:tcW w:w="4025" w:type="dxa"/>
                            <w:tcBorders/>
                            <w:vAlign w:val="center"/>
                          </w:tcPr>
                          <w:p>
                            <w:pPr>
                              <w:pStyle w:val="TableContents"/>
                              <w:bidi w:val="0"/>
                              <w:spacing w:before="0" w:after="283"/>
                              <w:jc w:val="left"/>
                              <w:rPr/>
                            </w:pPr>
                            <w:r>
                              <w:rPr/>
                              <w:t>RPM International Inc., since 2022</w:t>
                            </w:r>
                          </w:p>
                        </w:tc>
                      </w:tr>
                      <w:tr>
                        <w:trPr/>
                        <w:tc>
                          <w:tcPr>
                            <w:tcW w:w="185" w:type="dxa"/>
                            <w:tcBorders/>
                            <w:vAlign w:val="center"/>
                          </w:tcPr>
                          <w:p>
                            <w:pPr>
                              <w:pStyle w:val="TableContents"/>
                              <w:bidi w:val="0"/>
                              <w:spacing w:before="0" w:after="283"/>
                              <w:jc w:val="left"/>
                              <w:rPr/>
                            </w:pPr>
                            <w:r>
                              <w:rPr/>
                              <w:t>●</w:t>
                            </w:r>
                          </w:p>
                        </w:tc>
                        <w:tc>
                          <w:tcPr>
                            <w:tcW w:w="4025" w:type="dxa"/>
                            <w:tcBorders/>
                            <w:vAlign w:val="center"/>
                          </w:tcPr>
                          <w:p>
                            <w:pPr>
                              <w:pStyle w:val="TableContents"/>
                              <w:bidi w:val="0"/>
                              <w:spacing w:before="0" w:after="283"/>
                              <w:jc w:val="left"/>
                              <w:rPr/>
                            </w:pPr>
                            <w:r>
                              <w:rPr/>
                              <w:t>Applied Research Associates (non-public)</w:t>
                            </w:r>
                          </w:p>
                        </w:tc>
                      </w:tr>
                      <w:tr>
                        <w:trPr/>
                        <w:tc>
                          <w:tcPr>
                            <w:tcW w:w="185" w:type="dxa"/>
                            <w:tcBorders/>
                            <w:vAlign w:val="center"/>
                          </w:tcPr>
                          <w:p>
                            <w:pPr>
                              <w:pStyle w:val="TableContents"/>
                              <w:bidi w:val="0"/>
                              <w:spacing w:before="0" w:after="283"/>
                              <w:jc w:val="left"/>
                              <w:rPr/>
                            </w:pPr>
                            <w:r>
                              <w:rPr/>
                              <w:t>●</w:t>
                            </w:r>
                          </w:p>
                        </w:tc>
                        <w:tc>
                          <w:tcPr>
                            <w:tcW w:w="4025" w:type="dxa"/>
                            <w:tcBorders/>
                            <w:vAlign w:val="center"/>
                          </w:tcPr>
                          <w:p>
                            <w:pPr>
                              <w:pStyle w:val="TableContents"/>
                              <w:bidi w:val="0"/>
                              <w:spacing w:before="0" w:after="283"/>
                              <w:jc w:val="left"/>
                              <w:rPr/>
                            </w:pPr>
                            <w:r>
                              <w:rPr/>
                              <w:t>SRI International (non-public)</w:t>
                            </w:r>
                          </w:p>
                        </w:tc>
                      </w:tr>
                      <w:tr>
                        <w:trPr/>
                        <w:tc>
                          <w:tcPr>
                            <w:tcW w:w="185" w:type="dxa"/>
                            <w:tcBorders/>
                            <w:vAlign w:val="center"/>
                          </w:tcPr>
                          <w:p>
                            <w:pPr>
                              <w:pStyle w:val="TableContents"/>
                              <w:bidi w:val="0"/>
                              <w:spacing w:before="0" w:after="283"/>
                              <w:jc w:val="left"/>
                              <w:rPr/>
                            </w:pPr>
                            <w:r>
                              <w:rPr/>
                              <w:t>●</w:t>
                            </w:r>
                          </w:p>
                        </w:tc>
                        <w:tc>
                          <w:tcPr>
                            <w:tcW w:w="4025" w:type="dxa"/>
                            <w:tcBorders/>
                            <w:vAlign w:val="center"/>
                          </w:tcPr>
                          <w:p>
                            <w:pPr>
                              <w:pStyle w:val="TableContents"/>
                              <w:bidi w:val="0"/>
                              <w:spacing w:before="0" w:after="283"/>
                              <w:jc w:val="left"/>
                              <w:rPr/>
                            </w:pPr>
                            <w:r>
                              <w:rPr/>
                              <w:t>CEM Defense Materials (non-public)</w:t>
                            </w:r>
                          </w:p>
                        </w:tc>
                      </w:tr>
                    </w:tbl>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Former Public Company Directorships</w:t>
                      </w:r>
                    </w:p>
                    <w:p>
                      <w:pPr>
                        <w:pStyle w:val="TextBody"/>
                        <w:bidi w:val="0"/>
                        <w:jc w:val="left"/>
                        <w:rPr>
                          <w:caps w:val="false"/>
                          <w:smallCaps w:val="false"/>
                        </w:rPr>
                      </w:pPr>
                      <w:r>
                        <w:rPr>
                          <w:caps w:val="false"/>
                          <w:smallCaps w:val="false"/>
                        </w:rPr>
                        <w:t> </w:t>
                      </w:r>
                    </w:p>
                    <w:tbl>
                      <w:tblPr>
                        <w:tblW w:w="3790" w:type="dxa"/>
                        <w:jc w:val="left"/>
                        <w:tblInd w:w="0" w:type="dxa"/>
                        <w:tblLayout w:type="fixed"/>
                        <w:tblCellMar>
                          <w:top w:w="0" w:type="dxa"/>
                          <w:left w:w="0" w:type="dxa"/>
                          <w:bottom w:w="0" w:type="dxa"/>
                          <w:right w:w="0" w:type="dxa"/>
                        </w:tblCellMar>
                      </w:tblPr>
                      <w:tblGrid>
                        <w:gridCol w:w="185"/>
                        <w:gridCol w:w="3605"/>
                      </w:tblGrid>
                      <w:tr>
                        <w:trPr/>
                        <w:tc>
                          <w:tcPr>
                            <w:tcW w:w="185" w:type="dxa"/>
                            <w:tcBorders/>
                            <w:vAlign w:val="center"/>
                          </w:tcPr>
                          <w:p>
                            <w:pPr>
                              <w:pStyle w:val="TableContents"/>
                              <w:bidi w:val="0"/>
                              <w:spacing w:before="0" w:after="283"/>
                              <w:jc w:val="left"/>
                              <w:rPr/>
                            </w:pPr>
                            <w:r>
                              <w:rPr/>
                              <w:t>●</w:t>
                            </w:r>
                          </w:p>
                        </w:tc>
                        <w:tc>
                          <w:tcPr>
                            <w:tcW w:w="3605" w:type="dxa"/>
                            <w:tcBorders/>
                            <w:vAlign w:val="center"/>
                          </w:tcPr>
                          <w:p>
                            <w:pPr>
                              <w:pStyle w:val="TableContents"/>
                              <w:bidi w:val="0"/>
                              <w:spacing w:before="0" w:after="283"/>
                              <w:jc w:val="left"/>
                              <w:rPr/>
                            </w:pPr>
                            <w:r>
                              <w:rPr/>
                              <w:t>Velo3D, Inc., March 2022–July 2023</w:t>
                            </w:r>
                          </w:p>
                        </w:tc>
                      </w:tr>
                      <w:tr>
                        <w:trPr/>
                        <w:tc>
                          <w:tcPr>
                            <w:tcW w:w="185" w:type="dxa"/>
                            <w:tcBorders/>
                            <w:vAlign w:val="center"/>
                          </w:tcPr>
                          <w:p>
                            <w:pPr>
                              <w:pStyle w:val="TableContents"/>
                              <w:bidi w:val="0"/>
                              <w:spacing w:before="0" w:after="283"/>
                              <w:jc w:val="left"/>
                              <w:rPr/>
                            </w:pPr>
                            <w:r>
                              <w:rPr/>
                              <w:t>●</w:t>
                            </w:r>
                          </w:p>
                        </w:tc>
                        <w:tc>
                          <w:tcPr>
                            <w:tcW w:w="3605" w:type="dxa"/>
                            <w:tcBorders/>
                            <w:vAlign w:val="center"/>
                          </w:tcPr>
                          <w:p>
                            <w:pPr>
                              <w:pStyle w:val="TableContents"/>
                              <w:bidi w:val="0"/>
                              <w:spacing w:before="0" w:after="283"/>
                              <w:jc w:val="left"/>
                              <w:rPr/>
                            </w:pPr>
                            <w:r>
                              <w:rPr/>
                              <w:t>Intelsat S.A., 2019–February 2022</w:t>
                            </w:r>
                          </w:p>
                        </w:tc>
                      </w:tr>
                      <w:tr>
                        <w:trPr/>
                        <w:tc>
                          <w:tcPr>
                            <w:tcW w:w="185" w:type="dxa"/>
                            <w:tcBorders/>
                            <w:vAlign w:val="center"/>
                          </w:tcPr>
                          <w:p>
                            <w:pPr>
                              <w:pStyle w:val="TableContents"/>
                              <w:bidi w:val="0"/>
                              <w:spacing w:before="0" w:after="283"/>
                              <w:jc w:val="left"/>
                              <w:rPr/>
                            </w:pPr>
                            <w:r>
                              <w:rPr/>
                              <w:t>●</w:t>
                            </w:r>
                          </w:p>
                        </w:tc>
                        <w:tc>
                          <w:tcPr>
                            <w:tcW w:w="3605" w:type="dxa"/>
                            <w:tcBorders/>
                            <w:vAlign w:val="center"/>
                          </w:tcPr>
                          <w:p>
                            <w:pPr>
                              <w:pStyle w:val="TableContents"/>
                              <w:bidi w:val="0"/>
                              <w:spacing w:before="0" w:after="283"/>
                              <w:jc w:val="left"/>
                              <w:rPr/>
                            </w:pPr>
                            <w:r>
                              <w:rPr/>
                              <w:t>Raytheon Company, 2018–2020</w:t>
                            </w:r>
                          </w:p>
                        </w:tc>
                      </w:tr>
                    </w:tbl>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Other Leadership Experience and Service</w:t>
                      </w:r>
                    </w:p>
                    <w:p>
                      <w:pPr>
                        <w:pStyle w:val="TextBody"/>
                        <w:bidi w:val="0"/>
                        <w:jc w:val="left"/>
                        <w:rPr>
                          <w:caps w:val="false"/>
                          <w:smallCaps w:val="false"/>
                        </w:rPr>
                      </w:pPr>
                      <w:r>
                        <w:rPr>
                          <w:caps w:val="false"/>
                          <w:smallCaps w:val="false"/>
                        </w:rPr>
                        <w:t> </w:t>
                      </w:r>
                    </w:p>
                    <w:tbl>
                      <w:tblPr>
                        <w:tblW w:w="8650" w:type="dxa"/>
                        <w:jc w:val="left"/>
                        <w:tblInd w:w="0" w:type="dxa"/>
                        <w:tblLayout w:type="fixed"/>
                        <w:tblCellMar>
                          <w:top w:w="0" w:type="dxa"/>
                          <w:left w:w="0" w:type="dxa"/>
                          <w:bottom w:w="0" w:type="dxa"/>
                          <w:right w:w="0" w:type="dxa"/>
                        </w:tblCellMar>
                      </w:tblPr>
                      <w:tblGrid>
                        <w:gridCol w:w="185"/>
                        <w:gridCol w:w="8465"/>
                      </w:tblGrid>
                      <w:tr>
                        <w:trPr/>
                        <w:tc>
                          <w:tcPr>
                            <w:tcW w:w="185" w:type="dxa"/>
                            <w:tcBorders/>
                            <w:vAlign w:val="center"/>
                          </w:tcPr>
                          <w:p>
                            <w:pPr>
                              <w:pStyle w:val="TableContents"/>
                              <w:bidi w:val="0"/>
                              <w:spacing w:before="0" w:after="283"/>
                              <w:jc w:val="left"/>
                              <w:rPr/>
                            </w:pPr>
                            <w:r>
                              <w:rPr/>
                              <w:t>●</w:t>
                            </w:r>
                          </w:p>
                        </w:tc>
                        <w:tc>
                          <w:tcPr>
                            <w:tcW w:w="8465" w:type="dxa"/>
                            <w:tcBorders/>
                            <w:vAlign w:val="center"/>
                          </w:tcPr>
                          <w:p>
                            <w:pPr>
                              <w:pStyle w:val="TableContents"/>
                              <w:bidi w:val="0"/>
                              <w:spacing w:before="0" w:after="283"/>
                              <w:jc w:val="left"/>
                              <w:rPr/>
                            </w:pPr>
                            <w:r>
                              <w:rPr/>
                              <w:t>Chair, Honorary Fellows Committee, American Institute of Aeronautics and Astronautics</w:t>
                            </w:r>
                          </w:p>
                        </w:tc>
                      </w:tr>
                      <w:tr>
                        <w:trPr/>
                        <w:tc>
                          <w:tcPr>
                            <w:tcW w:w="185" w:type="dxa"/>
                            <w:tcBorders/>
                            <w:vAlign w:val="center"/>
                          </w:tcPr>
                          <w:p>
                            <w:pPr>
                              <w:pStyle w:val="TableContents"/>
                              <w:bidi w:val="0"/>
                              <w:spacing w:before="0" w:after="283"/>
                              <w:jc w:val="left"/>
                              <w:rPr/>
                            </w:pPr>
                            <w:r>
                              <w:rPr/>
                              <w:t>●</w:t>
                            </w:r>
                          </w:p>
                        </w:tc>
                        <w:tc>
                          <w:tcPr>
                            <w:tcW w:w="8465" w:type="dxa"/>
                            <w:tcBorders/>
                            <w:vAlign w:val="center"/>
                          </w:tcPr>
                          <w:p>
                            <w:pPr>
                              <w:pStyle w:val="TableContents"/>
                              <w:bidi w:val="0"/>
                              <w:spacing w:before="0" w:after="283"/>
                              <w:jc w:val="left"/>
                              <w:rPr/>
                            </w:pPr>
                            <w:r>
                              <w:rPr/>
                              <w:t>Member, National Academy of Engineering</w:t>
                            </w:r>
                          </w:p>
                        </w:tc>
                      </w:tr>
                      <w:tr>
                        <w:trPr/>
                        <w:tc>
                          <w:tcPr>
                            <w:tcW w:w="185" w:type="dxa"/>
                            <w:tcBorders/>
                            <w:vAlign w:val="center"/>
                          </w:tcPr>
                          <w:p>
                            <w:pPr>
                              <w:pStyle w:val="TableContents"/>
                              <w:bidi w:val="0"/>
                              <w:spacing w:before="0" w:after="283"/>
                              <w:jc w:val="left"/>
                              <w:rPr/>
                            </w:pPr>
                            <w:r>
                              <w:rPr/>
                              <w:t>●</w:t>
                            </w:r>
                          </w:p>
                        </w:tc>
                        <w:tc>
                          <w:tcPr>
                            <w:tcW w:w="8465" w:type="dxa"/>
                            <w:tcBorders/>
                            <w:vAlign w:val="center"/>
                          </w:tcPr>
                          <w:p>
                            <w:pPr>
                              <w:pStyle w:val="TableContents"/>
                              <w:bidi w:val="0"/>
                              <w:spacing w:before="0" w:after="283"/>
                              <w:jc w:val="left"/>
                              <w:rPr/>
                            </w:pPr>
                            <w:r>
                              <w:rPr/>
                              <w:t>Member, Air Force Studies Board</w:t>
                            </w:r>
                          </w:p>
                        </w:tc>
                      </w:tr>
                    </w:tbl>
                    <w:p>
                      <w:pPr>
                        <w:pStyle w:val="TextBody"/>
                        <w:bidi w:val="0"/>
                        <w:spacing w:before="0" w:after="283"/>
                        <w:jc w:val="left"/>
                        <w:rPr/>
                      </w:pPr>
                      <w:r>
                        <w:rPr/>
                      </w:r>
                    </w:p>
                  </w:txbxContent>
                </v:textbox>
                <w10:wrap type="square" side="left"/>
              </v:rect>
            </w:pict>
          </mc:Fallback>
        </mc:AlternateContent>
      </w:r>
    </w:p>
    <w:p>
      <w:pPr>
        <w:pStyle w:val="TextBody"/>
        <w:bidi w:val="0"/>
        <w:jc w:val="left"/>
        <w:rPr>
          <w:caps w:val="false"/>
          <w:smallCaps w:val="false"/>
          <w:shd w:fill="EDEDEE" w:val="clear"/>
        </w:rPr>
      </w:pPr>
      <w:r>
        <w:rPr>
          <w:caps w:val="false"/>
          <w:smallCaps w:val="false"/>
          <w:shd w:fill="EDEDEE" w:val="clear"/>
        </w:rPr>
        <w:t> </w:t>
      </w:r>
      <w:r>
        <mc:AlternateContent>
          <mc:Choice Requires="wps">
            <w:drawing>
              <wp:anchor behindDoc="0" distT="0" distB="0" distL="0" distR="0" simplePos="0" locked="0" layoutInCell="1" allowOverlap="1" relativeHeight="3">
                <wp:simplePos x="0" y="0"/>
                <wp:positionH relativeFrom="column">
                  <wp:align>left</wp:align>
                </wp:positionH>
                <wp:positionV relativeFrom="line">
                  <wp:posOffset>635</wp:posOffset>
                </wp:positionV>
                <wp:extent cx="4535805" cy="3525520"/>
                <wp:effectExtent l="0" t="0" r="0" b="0"/>
                <wp:wrapSquare wrapText="right"/>
                <wp:docPr id="212" name="Frame29"/>
                <a:graphic xmlns:a="http://schemas.openxmlformats.org/drawingml/2006/main">
                  <a:graphicData uri="http://schemas.microsoft.com/office/word/2010/wordprocessingShape">
                    <wps:wsp>
                      <wps:cNvSpPr txBox="1"/>
                      <wps:spPr>
                        <a:xfrm>
                          <a:off x="0" y="0"/>
                          <a:ext cx="4535805" cy="3525520"/>
                        </a:xfrm>
                        <a:prstGeom prst="rect"/>
                        <a:solidFill>
                          <a:srgbClr val="FFFFFF"/>
                        </a:solidFill>
                      </wps:spPr>
                      <wps:txbx>
                        <w:txbxContent>
                          <w:p>
                            <w:pPr>
                              <w:pStyle w:val="TextBody"/>
                              <w:bidi w:val="0"/>
                              <w:jc w:val="left"/>
                              <w:rPr>
                                <w:rFonts w:ascii="Arial;Helvetica;Sans-Serif" w:hAnsi="Arial;Helvetica;Sans-Serif"/>
                                <w:b/>
                                <w:i w:val="false"/>
                                <w:caps w:val="false"/>
                                <w:smallCaps w:val="false"/>
                                <w:sz w:val="30"/>
                              </w:rPr>
                            </w:pPr>
                            <w:r>
                              <w:rPr>
                                <w:rFonts w:ascii="Arial;Helvetica;Sans-Serif" w:hAnsi="Arial;Helvetica;Sans-Serif"/>
                                <w:b/>
                                <w:i w:val="false"/>
                                <w:caps w:val="false"/>
                                <w:smallCaps w:val="false"/>
                                <w:sz w:val="30"/>
                              </w:rPr>
                              <w:t>Denise L. Ramos</w:t>
                            </w:r>
                          </w:p>
                          <w:p>
                            <w:pPr>
                              <w:pStyle w:val="TextBody"/>
                              <w:bidi w:val="0"/>
                              <w:jc w:val="left"/>
                              <w:rPr>
                                <w:caps w:val="false"/>
                                <w:smallCaps w:val="false"/>
                              </w:rPr>
                            </w:pPr>
                            <w:r>
                              <w:rPr>
                                <w:caps w:val="false"/>
                                <w:smallCaps w:val="false"/>
                              </w:rPr>
                              <w:t> </w:t>
                            </w:r>
                          </w:p>
                          <w:tbl>
                            <w:tblPr>
                              <w:tblW w:w="8425" w:type="dxa"/>
                              <w:jc w:val="left"/>
                              <w:tblInd w:w="0" w:type="dxa"/>
                              <w:tblLayout w:type="fixed"/>
                              <w:tblCellMar>
                                <w:top w:w="0" w:type="dxa"/>
                                <w:left w:w="0" w:type="dxa"/>
                                <w:bottom w:w="0" w:type="dxa"/>
                                <w:right w:w="0" w:type="dxa"/>
                              </w:tblCellMar>
                            </w:tblPr>
                            <w:tblGrid>
                              <w:gridCol w:w="4325"/>
                              <w:gridCol w:w="300"/>
                              <w:gridCol w:w="3800"/>
                            </w:tblGrid>
                            <w:tr>
                              <w:trPr/>
                              <w:tc>
                                <w:tcPr>
                                  <w:tcW w:w="4325" w:type="dxa"/>
                                  <w:tcBorders/>
                                  <w:vAlign w:val="center"/>
                                </w:tcPr>
                                <w:p>
                                  <w:pPr>
                                    <w:pStyle w:val="TableContents"/>
                                    <w:bidi w:val="0"/>
                                    <w:spacing w:before="0" w:after="60"/>
                                    <w:jc w:val="left"/>
                                    <w:rPr>
                                      <w:b/>
                                    </w:rPr>
                                  </w:pPr>
                                  <w:r>
                                    <w:rPr>
                                      <w:b/>
                                    </w:rPr>
                                    <w:t>INDEPENDENT DIRECTOR</w:t>
                                  </w:r>
                                </w:p>
                                <w:p>
                                  <w:pPr>
                                    <w:pStyle w:val="TableContents"/>
                                    <w:bidi w:val="0"/>
                                    <w:spacing w:before="0" w:after="283"/>
                                    <w:jc w:val="left"/>
                                    <w:rPr>
                                      <w:sz w:val="20"/>
                                    </w:rPr>
                                  </w:pPr>
                                  <w:r>
                                    <w:rPr>
                                      <w:sz w:val="20"/>
                                    </w:rPr>
                                    <w:t>Retired Chief Executive Officer &amp; President, ITT Inc.</w:t>
                                  </w:r>
                                </w:p>
                              </w:tc>
                              <w:tc>
                                <w:tcPr>
                                  <w:tcW w:w="300" w:type="dxa"/>
                                  <w:tcBorders/>
                                  <w:vAlign w:val="center"/>
                                </w:tcPr>
                                <w:p>
                                  <w:pPr>
                                    <w:pStyle w:val="TableContents"/>
                                    <w:bidi w:val="0"/>
                                    <w:spacing w:before="0" w:after="283"/>
                                    <w:jc w:val="left"/>
                                    <w:rPr/>
                                  </w:pPr>
                                  <w:r>
                                    <w:rPr/>
                                    <w:t>     </w:t>
                                  </w:r>
                                </w:p>
                              </w:tc>
                              <w:tc>
                                <w:tcPr>
                                  <w:tcW w:w="3800" w:type="dxa"/>
                                  <w:tcBorders/>
                                  <w:vAlign w:val="center"/>
                                </w:tcPr>
                                <w:p>
                                  <w:pPr>
                                    <w:pStyle w:val="TableContents"/>
                                    <w:bidi w:val="0"/>
                                    <w:spacing w:before="0" w:after="60"/>
                                    <w:jc w:val="left"/>
                                    <w:rPr/>
                                  </w:pPr>
                                  <w:r>
                                    <w:rPr/>
                                    <w:t xml:space="preserve">AGE </w:t>
                                  </w:r>
                                  <w:r>
                                    <w:rPr>
                                      <w:b/>
                                    </w:rPr>
                                    <w:t>69</w:t>
                                  </w:r>
                                </w:p>
                                <w:p>
                                  <w:pPr>
                                    <w:pStyle w:val="TableContents"/>
                                    <w:bidi w:val="0"/>
                                    <w:jc w:val="left"/>
                                    <w:rPr/>
                                  </w:pPr>
                                  <w:r>
                                    <w:rPr/>
                                    <w:t xml:space="preserve">DIRECTOR SINCE </w:t>
                                  </w:r>
                                  <w:r>
                                    <w:rPr>
                                      <w:b/>
                                    </w:rPr>
                                    <w:t>2018</w:t>
                                  </w:r>
                                </w:p>
                                <w:p>
                                  <w:pPr>
                                    <w:pStyle w:val="TableContents"/>
                                    <w:bidi w:val="0"/>
                                    <w:jc w:val="left"/>
                                    <w:rPr/>
                                  </w:pPr>
                                  <w:r>
                                    <w:rPr/>
                                    <w:t>BOARD COMMITTEES</w:t>
                                  </w:r>
                                </w:p>
                                <w:p>
                                  <w:pPr>
                                    <w:pStyle w:val="TableContents"/>
                                    <w:bidi w:val="0"/>
                                    <w:spacing w:before="0" w:after="283"/>
                                    <w:jc w:val="left"/>
                                    <w:rPr>
                                      <w:b/>
                                    </w:rPr>
                                  </w:pPr>
                                  <w:r>
                                    <w:rPr>
                                      <w:b/>
                                    </w:rPr>
                                    <w:t>Audit, Governance and Public Policy</w:t>
                                  </w:r>
                                </w:p>
                              </w:tc>
                            </w:tr>
                            <w:tr>
                              <w:trPr/>
                              <w:tc>
                                <w:tcPr>
                                  <w:tcW w:w="4325" w:type="dxa"/>
                                  <w:tcBorders/>
                                  <w:vAlign w:val="center"/>
                                </w:tcPr>
                                <w:p>
                                  <w:pPr>
                                    <w:pStyle w:val="TableContents"/>
                                    <w:bidi w:val="0"/>
                                    <w:spacing w:before="0" w:after="283"/>
                                    <w:jc w:val="left"/>
                                    <w:rPr>
                                      <w:b/>
                                      <w:sz w:val="20"/>
                                    </w:rPr>
                                  </w:pPr>
                                  <w:r>
                                    <w:rPr>
                                      <w:b/>
                                      <w:sz w:val="20"/>
                                    </w:rPr>
                                    <w:t>Key Skills and Expertise</w:t>
                                  </w:r>
                                </w:p>
                              </w:tc>
                              <w:tc>
                                <w:tcPr>
                                  <w:tcW w:w="300" w:type="dxa"/>
                                  <w:tcBorders/>
                                  <w:vAlign w:val="center"/>
                                </w:tcPr>
                                <w:p>
                                  <w:pPr>
                                    <w:pStyle w:val="TableContents"/>
                                    <w:bidi w:val="0"/>
                                    <w:spacing w:before="0" w:after="283"/>
                                    <w:jc w:val="left"/>
                                    <w:rPr/>
                                  </w:pPr>
                                  <w:r>
                                    <w:rPr/>
                                    <w:t> </w:t>
                                  </w:r>
                                </w:p>
                              </w:tc>
                              <w:tc>
                                <w:tcPr>
                                  <w:tcW w:w="3800"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15"/>
                              <w:gridCol w:w="5440"/>
                              <w:gridCol w:w="330"/>
                              <w:gridCol w:w="2465"/>
                              <w:gridCol w:w="300"/>
                              <w:gridCol w:w="1355"/>
                            </w:tblGrid>
                            <w:tr>
                              <w:trPr/>
                              <w:tc>
                                <w:tcPr>
                                  <w:tcW w:w="315" w:type="dxa"/>
                                  <w:tcBorders/>
                                  <w:vAlign w:val="center"/>
                                </w:tcPr>
                                <w:p>
                                  <w:pPr>
                                    <w:pStyle w:val="TableContents"/>
                                    <w:bidi w:val="0"/>
                                    <w:spacing w:before="0" w:after="283"/>
                                    <w:jc w:val="left"/>
                                    <w:rPr/>
                                  </w:pPr>
                                  <w:r>
                                    <w:rPr/>
                                    <w:drawing>
                                      <wp:inline distT="0" distB="0" distL="0" distR="0">
                                        <wp:extent cx="190500" cy="419100"/>
                                        <wp:effectExtent l="0" t="0" r="0" b="0"/>
                                        <wp:docPr id="213" name="Image1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 name="Image156" descr=""/>
                                                <pic:cNvPicPr>
                                                  <a:picLocks noChangeAspect="1" noChangeArrowheads="1"/>
                                                </pic:cNvPicPr>
                                              </pic:nvPicPr>
                                              <pic:blipFill>
                                                <a:blip r:embed="rId185"/>
                                                <a:stretch>
                                                  <a:fillRect/>
                                                </a:stretch>
                                              </pic:blipFill>
                                              <pic:spPr bwMode="auto">
                                                <a:xfrm>
                                                  <a:off x="0" y="0"/>
                                                  <a:ext cx="190500" cy="419100"/>
                                                </a:xfrm>
                                                <a:prstGeom prst="rect">
                                                  <a:avLst/>
                                                </a:prstGeom>
                                              </pic:spPr>
                                            </pic:pic>
                                          </a:graphicData>
                                        </a:graphic>
                                      </wp:inline>
                                    </w:drawing>
                                  </w:r>
                                </w:p>
                              </w:tc>
                              <w:tc>
                                <w:tcPr>
                                  <w:tcW w:w="5440" w:type="dxa"/>
                                  <w:tcBorders/>
                                  <w:vAlign w:val="center"/>
                                </w:tcPr>
                                <w:p>
                                  <w:pPr>
                                    <w:pStyle w:val="TableContents"/>
                                    <w:bidi w:val="0"/>
                                    <w:spacing w:before="0" w:after="283"/>
                                    <w:jc w:val="left"/>
                                    <w:rPr/>
                                  </w:pPr>
                                  <w:r>
                                    <w:rPr/>
                                    <w:t>MANUFACTURING, OPERATIONS &amp; SUPPLY CHAIN</w:t>
                                  </w:r>
                                </w:p>
                              </w:tc>
                              <w:tc>
                                <w:tcPr>
                                  <w:tcW w:w="330" w:type="dxa"/>
                                  <w:tcBorders/>
                                  <w:vAlign w:val="center"/>
                                </w:tcPr>
                                <w:p>
                                  <w:pPr>
                                    <w:pStyle w:val="TableContents"/>
                                    <w:bidi w:val="0"/>
                                    <w:spacing w:before="0" w:after="283"/>
                                    <w:jc w:val="left"/>
                                    <w:rPr/>
                                  </w:pPr>
                                  <w:r>
                                    <w:rPr/>
                                    <w:drawing>
                                      <wp:inline distT="0" distB="0" distL="0" distR="0">
                                        <wp:extent cx="209550" cy="419100"/>
                                        <wp:effectExtent l="0" t="0" r="0" b="0"/>
                                        <wp:docPr id="214" name="Image1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 name="Image157" descr=""/>
                                                <pic:cNvPicPr>
                                                  <a:picLocks noChangeAspect="1" noChangeArrowheads="1"/>
                                                </pic:cNvPicPr>
                                              </pic:nvPicPr>
                                              <pic:blipFill>
                                                <a:blip r:embed="rId186"/>
                                                <a:stretch>
                                                  <a:fillRect/>
                                                </a:stretch>
                                              </pic:blipFill>
                                              <pic:spPr bwMode="auto">
                                                <a:xfrm>
                                                  <a:off x="0" y="0"/>
                                                  <a:ext cx="209550" cy="419100"/>
                                                </a:xfrm>
                                                <a:prstGeom prst="rect">
                                                  <a:avLst/>
                                                </a:prstGeom>
                                              </pic:spPr>
                                            </pic:pic>
                                          </a:graphicData>
                                        </a:graphic>
                                      </wp:inline>
                                    </w:drawing>
                                  </w:r>
                                </w:p>
                              </w:tc>
                              <w:tc>
                                <w:tcPr>
                                  <w:tcW w:w="2465" w:type="dxa"/>
                                  <w:tcBorders/>
                                  <w:vAlign w:val="center"/>
                                </w:tcPr>
                                <w:p>
                                  <w:pPr>
                                    <w:pStyle w:val="TableContents"/>
                                    <w:bidi w:val="0"/>
                                    <w:spacing w:before="0" w:after="283"/>
                                    <w:jc w:val="left"/>
                                    <w:rPr/>
                                  </w:pPr>
                                  <w:r>
                                    <w:rPr/>
                                    <w:t>SENIOR LEADERSHIP</w:t>
                                  </w:r>
                                </w:p>
                              </w:tc>
                              <w:tc>
                                <w:tcPr>
                                  <w:tcW w:w="300" w:type="dxa"/>
                                  <w:tcBorders/>
                                  <w:vAlign w:val="center"/>
                                </w:tcPr>
                                <w:p>
                                  <w:pPr>
                                    <w:pStyle w:val="TableContents"/>
                                    <w:bidi w:val="0"/>
                                    <w:spacing w:before="0" w:after="283"/>
                                    <w:jc w:val="left"/>
                                    <w:rPr/>
                                  </w:pPr>
                                  <w:r>
                                    <w:rPr/>
                                    <w:drawing>
                                      <wp:inline distT="0" distB="0" distL="0" distR="0">
                                        <wp:extent cx="190500" cy="428625"/>
                                        <wp:effectExtent l="0" t="0" r="0" b="0"/>
                                        <wp:docPr id="215" name="Image1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 name="Image158" descr=""/>
                                                <pic:cNvPicPr>
                                                  <a:picLocks noChangeAspect="1" noChangeArrowheads="1"/>
                                                </pic:cNvPicPr>
                                              </pic:nvPicPr>
                                              <pic:blipFill>
                                                <a:blip r:embed="rId187"/>
                                                <a:stretch>
                                                  <a:fillRect/>
                                                </a:stretch>
                                              </pic:blipFill>
                                              <pic:spPr bwMode="auto">
                                                <a:xfrm>
                                                  <a:off x="0" y="0"/>
                                                  <a:ext cx="190500" cy="428625"/>
                                                </a:xfrm>
                                                <a:prstGeom prst="rect">
                                                  <a:avLst/>
                                                </a:prstGeom>
                                              </pic:spPr>
                                            </pic:pic>
                                          </a:graphicData>
                                        </a:graphic>
                                      </wp:inline>
                                    </w:drawing>
                                  </w:r>
                                </w:p>
                              </w:tc>
                              <w:tc>
                                <w:tcPr>
                                  <w:tcW w:w="1355" w:type="dxa"/>
                                  <w:tcBorders/>
                                  <w:vAlign w:val="center"/>
                                </w:tcPr>
                                <w:p>
                                  <w:pPr>
                                    <w:pStyle w:val="TableContents"/>
                                    <w:bidi w:val="0"/>
                                    <w:spacing w:before="0" w:after="283"/>
                                    <w:jc w:val="left"/>
                                    <w:rPr/>
                                  </w:pPr>
                                  <w:r>
                                    <w:rPr/>
                                    <w:t>FINANCIAL</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70000</wp14:pctWidth>
                </wp14:sizeRelH>
              </wp:anchor>
            </w:drawing>
          </mc:Choice>
          <mc:Fallback>
            <w:pict>
              <v:rect style="position:absolute;rotation:-0;width:357.15pt;height:27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jc w:val="left"/>
                        <w:rPr>
                          <w:rFonts w:ascii="Arial;Helvetica;Sans-Serif" w:hAnsi="Arial;Helvetica;Sans-Serif"/>
                          <w:b/>
                          <w:i w:val="false"/>
                          <w:caps w:val="false"/>
                          <w:smallCaps w:val="false"/>
                          <w:sz w:val="30"/>
                        </w:rPr>
                      </w:pPr>
                      <w:r>
                        <w:rPr>
                          <w:rFonts w:ascii="Arial;Helvetica;Sans-Serif" w:hAnsi="Arial;Helvetica;Sans-Serif"/>
                          <w:b/>
                          <w:i w:val="false"/>
                          <w:caps w:val="false"/>
                          <w:smallCaps w:val="false"/>
                          <w:sz w:val="30"/>
                        </w:rPr>
                        <w:t>Denise L. Ramos</w:t>
                      </w:r>
                    </w:p>
                    <w:p>
                      <w:pPr>
                        <w:pStyle w:val="TextBody"/>
                        <w:bidi w:val="0"/>
                        <w:jc w:val="left"/>
                        <w:rPr>
                          <w:caps w:val="false"/>
                          <w:smallCaps w:val="false"/>
                        </w:rPr>
                      </w:pPr>
                      <w:r>
                        <w:rPr>
                          <w:caps w:val="false"/>
                          <w:smallCaps w:val="false"/>
                        </w:rPr>
                        <w:t> </w:t>
                      </w:r>
                    </w:p>
                    <w:tbl>
                      <w:tblPr>
                        <w:tblW w:w="8425" w:type="dxa"/>
                        <w:jc w:val="left"/>
                        <w:tblInd w:w="0" w:type="dxa"/>
                        <w:tblLayout w:type="fixed"/>
                        <w:tblCellMar>
                          <w:top w:w="0" w:type="dxa"/>
                          <w:left w:w="0" w:type="dxa"/>
                          <w:bottom w:w="0" w:type="dxa"/>
                          <w:right w:w="0" w:type="dxa"/>
                        </w:tblCellMar>
                      </w:tblPr>
                      <w:tblGrid>
                        <w:gridCol w:w="4325"/>
                        <w:gridCol w:w="300"/>
                        <w:gridCol w:w="3800"/>
                      </w:tblGrid>
                      <w:tr>
                        <w:trPr/>
                        <w:tc>
                          <w:tcPr>
                            <w:tcW w:w="4325" w:type="dxa"/>
                            <w:tcBorders/>
                            <w:vAlign w:val="center"/>
                          </w:tcPr>
                          <w:p>
                            <w:pPr>
                              <w:pStyle w:val="TableContents"/>
                              <w:bidi w:val="0"/>
                              <w:spacing w:before="0" w:after="60"/>
                              <w:jc w:val="left"/>
                              <w:rPr>
                                <w:b/>
                              </w:rPr>
                            </w:pPr>
                            <w:r>
                              <w:rPr>
                                <w:b/>
                              </w:rPr>
                              <w:t>INDEPENDENT DIRECTOR</w:t>
                            </w:r>
                          </w:p>
                          <w:p>
                            <w:pPr>
                              <w:pStyle w:val="TableContents"/>
                              <w:bidi w:val="0"/>
                              <w:spacing w:before="0" w:after="283"/>
                              <w:jc w:val="left"/>
                              <w:rPr>
                                <w:sz w:val="20"/>
                              </w:rPr>
                            </w:pPr>
                            <w:r>
                              <w:rPr>
                                <w:sz w:val="20"/>
                              </w:rPr>
                              <w:t>Retired Chief Executive Officer &amp; President, ITT Inc.</w:t>
                            </w:r>
                          </w:p>
                        </w:tc>
                        <w:tc>
                          <w:tcPr>
                            <w:tcW w:w="300" w:type="dxa"/>
                            <w:tcBorders/>
                            <w:vAlign w:val="center"/>
                          </w:tcPr>
                          <w:p>
                            <w:pPr>
                              <w:pStyle w:val="TableContents"/>
                              <w:bidi w:val="0"/>
                              <w:spacing w:before="0" w:after="283"/>
                              <w:jc w:val="left"/>
                              <w:rPr/>
                            </w:pPr>
                            <w:r>
                              <w:rPr/>
                              <w:t>     </w:t>
                            </w:r>
                          </w:p>
                        </w:tc>
                        <w:tc>
                          <w:tcPr>
                            <w:tcW w:w="3800" w:type="dxa"/>
                            <w:tcBorders/>
                            <w:vAlign w:val="center"/>
                          </w:tcPr>
                          <w:p>
                            <w:pPr>
                              <w:pStyle w:val="TableContents"/>
                              <w:bidi w:val="0"/>
                              <w:spacing w:before="0" w:after="60"/>
                              <w:jc w:val="left"/>
                              <w:rPr/>
                            </w:pPr>
                            <w:r>
                              <w:rPr/>
                              <w:t xml:space="preserve">AGE </w:t>
                            </w:r>
                            <w:r>
                              <w:rPr>
                                <w:b/>
                              </w:rPr>
                              <w:t>69</w:t>
                            </w:r>
                          </w:p>
                          <w:p>
                            <w:pPr>
                              <w:pStyle w:val="TableContents"/>
                              <w:bidi w:val="0"/>
                              <w:jc w:val="left"/>
                              <w:rPr/>
                            </w:pPr>
                            <w:r>
                              <w:rPr/>
                              <w:t xml:space="preserve">DIRECTOR SINCE </w:t>
                            </w:r>
                            <w:r>
                              <w:rPr>
                                <w:b/>
                              </w:rPr>
                              <w:t>2018</w:t>
                            </w:r>
                          </w:p>
                          <w:p>
                            <w:pPr>
                              <w:pStyle w:val="TableContents"/>
                              <w:bidi w:val="0"/>
                              <w:jc w:val="left"/>
                              <w:rPr/>
                            </w:pPr>
                            <w:r>
                              <w:rPr/>
                              <w:t>BOARD COMMITTEES</w:t>
                            </w:r>
                          </w:p>
                          <w:p>
                            <w:pPr>
                              <w:pStyle w:val="TableContents"/>
                              <w:bidi w:val="0"/>
                              <w:spacing w:before="0" w:after="283"/>
                              <w:jc w:val="left"/>
                              <w:rPr>
                                <w:b/>
                              </w:rPr>
                            </w:pPr>
                            <w:r>
                              <w:rPr>
                                <w:b/>
                              </w:rPr>
                              <w:t>Audit, Governance and Public Policy</w:t>
                            </w:r>
                          </w:p>
                        </w:tc>
                      </w:tr>
                      <w:tr>
                        <w:trPr/>
                        <w:tc>
                          <w:tcPr>
                            <w:tcW w:w="4325" w:type="dxa"/>
                            <w:tcBorders/>
                            <w:vAlign w:val="center"/>
                          </w:tcPr>
                          <w:p>
                            <w:pPr>
                              <w:pStyle w:val="TableContents"/>
                              <w:bidi w:val="0"/>
                              <w:spacing w:before="0" w:after="283"/>
                              <w:jc w:val="left"/>
                              <w:rPr>
                                <w:b/>
                                <w:sz w:val="20"/>
                              </w:rPr>
                            </w:pPr>
                            <w:r>
                              <w:rPr>
                                <w:b/>
                                <w:sz w:val="20"/>
                              </w:rPr>
                              <w:t>Key Skills and Expertise</w:t>
                            </w:r>
                          </w:p>
                        </w:tc>
                        <w:tc>
                          <w:tcPr>
                            <w:tcW w:w="300" w:type="dxa"/>
                            <w:tcBorders/>
                            <w:vAlign w:val="center"/>
                          </w:tcPr>
                          <w:p>
                            <w:pPr>
                              <w:pStyle w:val="TableContents"/>
                              <w:bidi w:val="0"/>
                              <w:spacing w:before="0" w:after="283"/>
                              <w:jc w:val="left"/>
                              <w:rPr/>
                            </w:pPr>
                            <w:r>
                              <w:rPr/>
                              <w:t> </w:t>
                            </w:r>
                          </w:p>
                        </w:tc>
                        <w:tc>
                          <w:tcPr>
                            <w:tcW w:w="3800"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15"/>
                        <w:gridCol w:w="5440"/>
                        <w:gridCol w:w="330"/>
                        <w:gridCol w:w="2465"/>
                        <w:gridCol w:w="300"/>
                        <w:gridCol w:w="1355"/>
                      </w:tblGrid>
                      <w:tr>
                        <w:trPr/>
                        <w:tc>
                          <w:tcPr>
                            <w:tcW w:w="315" w:type="dxa"/>
                            <w:tcBorders/>
                            <w:vAlign w:val="center"/>
                          </w:tcPr>
                          <w:p>
                            <w:pPr>
                              <w:pStyle w:val="TableContents"/>
                              <w:bidi w:val="0"/>
                              <w:spacing w:before="0" w:after="283"/>
                              <w:jc w:val="left"/>
                              <w:rPr/>
                            </w:pPr>
                            <w:r>
                              <w:rPr/>
                              <w:drawing>
                                <wp:inline distT="0" distB="0" distL="0" distR="0">
                                  <wp:extent cx="190500" cy="419100"/>
                                  <wp:effectExtent l="0" t="0" r="0" b="0"/>
                                  <wp:docPr id="216" name="Image1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 name="Image156" descr=""/>
                                          <pic:cNvPicPr>
                                            <a:picLocks noChangeAspect="1" noChangeArrowheads="1"/>
                                          </pic:cNvPicPr>
                                        </pic:nvPicPr>
                                        <pic:blipFill>
                                          <a:blip r:embed="rId188"/>
                                          <a:stretch>
                                            <a:fillRect/>
                                          </a:stretch>
                                        </pic:blipFill>
                                        <pic:spPr bwMode="auto">
                                          <a:xfrm>
                                            <a:off x="0" y="0"/>
                                            <a:ext cx="190500" cy="419100"/>
                                          </a:xfrm>
                                          <a:prstGeom prst="rect">
                                            <a:avLst/>
                                          </a:prstGeom>
                                        </pic:spPr>
                                      </pic:pic>
                                    </a:graphicData>
                                  </a:graphic>
                                </wp:inline>
                              </w:drawing>
                            </w:r>
                          </w:p>
                        </w:tc>
                        <w:tc>
                          <w:tcPr>
                            <w:tcW w:w="5440" w:type="dxa"/>
                            <w:tcBorders/>
                            <w:vAlign w:val="center"/>
                          </w:tcPr>
                          <w:p>
                            <w:pPr>
                              <w:pStyle w:val="TableContents"/>
                              <w:bidi w:val="0"/>
                              <w:spacing w:before="0" w:after="283"/>
                              <w:jc w:val="left"/>
                              <w:rPr/>
                            </w:pPr>
                            <w:r>
                              <w:rPr/>
                              <w:t>MANUFACTURING, OPERATIONS &amp; SUPPLY CHAIN</w:t>
                            </w:r>
                          </w:p>
                        </w:tc>
                        <w:tc>
                          <w:tcPr>
                            <w:tcW w:w="330" w:type="dxa"/>
                            <w:tcBorders/>
                            <w:vAlign w:val="center"/>
                          </w:tcPr>
                          <w:p>
                            <w:pPr>
                              <w:pStyle w:val="TableContents"/>
                              <w:bidi w:val="0"/>
                              <w:spacing w:before="0" w:after="283"/>
                              <w:jc w:val="left"/>
                              <w:rPr/>
                            </w:pPr>
                            <w:r>
                              <w:rPr/>
                              <w:drawing>
                                <wp:inline distT="0" distB="0" distL="0" distR="0">
                                  <wp:extent cx="209550" cy="419100"/>
                                  <wp:effectExtent l="0" t="0" r="0" b="0"/>
                                  <wp:docPr id="217" name="Image1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 name="Image157" descr=""/>
                                          <pic:cNvPicPr>
                                            <a:picLocks noChangeAspect="1" noChangeArrowheads="1"/>
                                          </pic:cNvPicPr>
                                        </pic:nvPicPr>
                                        <pic:blipFill>
                                          <a:blip r:embed="rId189"/>
                                          <a:stretch>
                                            <a:fillRect/>
                                          </a:stretch>
                                        </pic:blipFill>
                                        <pic:spPr bwMode="auto">
                                          <a:xfrm>
                                            <a:off x="0" y="0"/>
                                            <a:ext cx="209550" cy="419100"/>
                                          </a:xfrm>
                                          <a:prstGeom prst="rect">
                                            <a:avLst/>
                                          </a:prstGeom>
                                        </pic:spPr>
                                      </pic:pic>
                                    </a:graphicData>
                                  </a:graphic>
                                </wp:inline>
                              </w:drawing>
                            </w:r>
                          </w:p>
                        </w:tc>
                        <w:tc>
                          <w:tcPr>
                            <w:tcW w:w="2465" w:type="dxa"/>
                            <w:tcBorders/>
                            <w:vAlign w:val="center"/>
                          </w:tcPr>
                          <w:p>
                            <w:pPr>
                              <w:pStyle w:val="TableContents"/>
                              <w:bidi w:val="0"/>
                              <w:spacing w:before="0" w:after="283"/>
                              <w:jc w:val="left"/>
                              <w:rPr/>
                            </w:pPr>
                            <w:r>
                              <w:rPr/>
                              <w:t>SENIOR LEADERSHIP</w:t>
                            </w:r>
                          </w:p>
                        </w:tc>
                        <w:tc>
                          <w:tcPr>
                            <w:tcW w:w="300" w:type="dxa"/>
                            <w:tcBorders/>
                            <w:vAlign w:val="center"/>
                          </w:tcPr>
                          <w:p>
                            <w:pPr>
                              <w:pStyle w:val="TableContents"/>
                              <w:bidi w:val="0"/>
                              <w:spacing w:before="0" w:after="283"/>
                              <w:jc w:val="left"/>
                              <w:rPr/>
                            </w:pPr>
                            <w:r>
                              <w:rPr/>
                              <w:drawing>
                                <wp:inline distT="0" distB="0" distL="0" distR="0">
                                  <wp:extent cx="190500" cy="428625"/>
                                  <wp:effectExtent l="0" t="0" r="0" b="0"/>
                                  <wp:docPr id="218" name="Image1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 name="Image158" descr=""/>
                                          <pic:cNvPicPr>
                                            <a:picLocks noChangeAspect="1" noChangeArrowheads="1"/>
                                          </pic:cNvPicPr>
                                        </pic:nvPicPr>
                                        <pic:blipFill>
                                          <a:blip r:embed="rId190"/>
                                          <a:stretch>
                                            <a:fillRect/>
                                          </a:stretch>
                                        </pic:blipFill>
                                        <pic:spPr bwMode="auto">
                                          <a:xfrm>
                                            <a:off x="0" y="0"/>
                                            <a:ext cx="190500" cy="428625"/>
                                          </a:xfrm>
                                          <a:prstGeom prst="rect">
                                            <a:avLst/>
                                          </a:prstGeom>
                                        </pic:spPr>
                                      </pic:pic>
                                    </a:graphicData>
                                  </a:graphic>
                                </wp:inline>
                              </w:drawing>
                            </w:r>
                          </w:p>
                        </w:tc>
                        <w:tc>
                          <w:tcPr>
                            <w:tcW w:w="1355" w:type="dxa"/>
                            <w:tcBorders/>
                            <w:vAlign w:val="center"/>
                          </w:tcPr>
                          <w:p>
                            <w:pPr>
                              <w:pStyle w:val="TableContents"/>
                              <w:bidi w:val="0"/>
                              <w:spacing w:before="0" w:after="283"/>
                              <w:jc w:val="left"/>
                              <w:rPr/>
                            </w:pPr>
                            <w:r>
                              <w:rPr/>
                              <w:t>FINANCIAL</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5">
                <wp:simplePos x="0" y="0"/>
                <wp:positionH relativeFrom="column">
                  <wp:align>right</wp:align>
                </wp:positionH>
                <wp:positionV relativeFrom="line">
                  <wp:posOffset>635</wp:posOffset>
                </wp:positionV>
                <wp:extent cx="1943735" cy="4867275"/>
                <wp:effectExtent l="0" t="0" r="0" b="0"/>
                <wp:wrapSquare wrapText="left"/>
                <wp:docPr id="219" name="Frame30"/>
                <a:graphic xmlns:a="http://schemas.openxmlformats.org/drawingml/2006/main">
                  <a:graphicData uri="http://schemas.microsoft.com/office/word/2010/wordprocessingShape">
                    <wps:wsp>
                      <wps:cNvSpPr txBox="1"/>
                      <wps:spPr>
                        <a:xfrm>
                          <a:off x="0" y="0"/>
                          <a:ext cx="1943735" cy="4867275"/>
                        </a:xfrm>
                        <a:prstGeom prst="rect"/>
                        <a:solidFill>
                          <a:srgbClr val="FFFFFF"/>
                        </a:solidFill>
                      </wps:spPr>
                      <wps:txbx>
                        <w:txbxContent>
                          <w:p>
                            <w:pPr>
                              <w:pStyle w:val="TextBody"/>
                              <w:bidi w:val="0"/>
                              <w:spacing w:before="0" w:after="283"/>
                              <w:ind w:left="0" w:right="0" w:hanging="0"/>
                              <w:jc w:val="right"/>
                              <w:rPr>
                                <w:caps w:val="false"/>
                                <w:smallCaps w:val="false"/>
                              </w:rPr>
                            </w:pPr>
                            <w:r>
                              <w:rPr>
                                <w:caps w:val="false"/>
                                <w:smallCaps w:val="false"/>
                              </w:rPr>
                              <w:drawing>
                                <wp:inline distT="0" distB="0" distL="0" distR="0">
                                  <wp:extent cx="1619250" cy="4867275"/>
                                  <wp:effectExtent l="0" t="0" r="0" b="0"/>
                                  <wp:docPr id="220" name="Image1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 name="Image159" descr=""/>
                                          <pic:cNvPicPr>
                                            <a:picLocks noChangeAspect="1" noChangeArrowheads="1"/>
                                          </pic:cNvPicPr>
                                        </pic:nvPicPr>
                                        <pic:blipFill>
                                          <a:blip r:embed="rId191"/>
                                          <a:stretch>
                                            <a:fillRect/>
                                          </a:stretch>
                                        </pic:blipFill>
                                        <pic:spPr bwMode="auto">
                                          <a:xfrm>
                                            <a:off x="0" y="0"/>
                                            <a:ext cx="1619250" cy="4867275"/>
                                          </a:xfrm>
                                          <a:prstGeom prst="rect">
                                            <a:avLst/>
                                          </a:prstGeom>
                                        </pic:spPr>
                                      </pic:pic>
                                    </a:graphicData>
                                  </a:graphic>
                                </wp:inline>
                              </w:drawing>
                            </w:r>
                          </w:p>
                        </w:txbxContent>
                      </wps:txbx>
                      <wps:bodyPr anchor="t" lIns="0" tIns="0" rIns="0" bIns="0">
                        <a:noAutofit/>
                      </wps:bodyPr>
                    </wps:wsp>
                  </a:graphicData>
                </a:graphic>
                <wp14:sizeRelH relativeFrom="margin">
                  <wp14:pctWidth>30000</wp14:pctWidth>
                </wp14:sizeRelH>
              </wp:anchor>
            </w:drawing>
          </mc:Choice>
          <mc:Fallback>
            <w:pict>
              <v:rect style="position:absolute;rotation:-0;width:153.05pt;height:383.25pt;mso-wrap-distance-left:0pt;mso-wrap-distance-right:0pt;mso-wrap-distance-top:0pt;mso-wrap-distance-bottom:0pt;margin-top:0pt;mso-position-vertical:top;mso-position-vertical-relative:text;margin-left:357.2pt;mso-position-horizontal:right;mso-position-horizontal-relative:text">
                <v:textbox>
                  <w:txbxContent>
                    <w:p>
                      <w:pPr>
                        <w:pStyle w:val="TextBody"/>
                        <w:bidi w:val="0"/>
                        <w:spacing w:before="0" w:after="283"/>
                        <w:ind w:left="0" w:right="0" w:hanging="0"/>
                        <w:jc w:val="right"/>
                        <w:rPr>
                          <w:caps w:val="false"/>
                          <w:smallCaps w:val="false"/>
                        </w:rPr>
                      </w:pPr>
                      <w:r>
                        <w:rPr>
                          <w:caps w:val="false"/>
                          <w:smallCaps w:val="false"/>
                        </w:rPr>
                        <w:drawing>
                          <wp:inline distT="0" distB="0" distL="0" distR="0">
                            <wp:extent cx="1619250" cy="4867275"/>
                            <wp:effectExtent l="0" t="0" r="0" b="0"/>
                            <wp:docPr id="221" name="Image1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 name="Image159" descr=""/>
                                    <pic:cNvPicPr>
                                      <a:picLocks noChangeAspect="1" noChangeArrowheads="1"/>
                                    </pic:cNvPicPr>
                                  </pic:nvPicPr>
                                  <pic:blipFill>
                                    <a:blip r:embed="rId192"/>
                                    <a:stretch>
                                      <a:fillRect/>
                                    </a:stretch>
                                  </pic:blipFill>
                                  <pic:spPr bwMode="auto">
                                    <a:xfrm>
                                      <a:off x="0" y="0"/>
                                      <a:ext cx="1619250" cy="4867275"/>
                                    </a:xfrm>
                                    <a:prstGeom prst="rect">
                                      <a:avLst/>
                                    </a:prstGeom>
                                  </pic:spPr>
                                </pic:pic>
                              </a:graphicData>
                            </a:graphic>
                          </wp:inline>
                        </w:drawing>
                      </w:r>
                    </w:p>
                  </w:txbxContent>
                </v:textbox>
                <w10:wrap type="square" side="left"/>
              </v:rect>
            </w:pict>
          </mc:Fallback>
        </mc:AlternateContent>
      </w:r>
    </w:p>
    <w:p>
      <w:pPr>
        <w:pStyle w:val="TextBody"/>
        <w:bidi w:val="0"/>
        <w:jc w:val="left"/>
        <w:rPr>
          <w:caps w:val="false"/>
          <w:smallCaps w:val="false"/>
        </w:rPr>
      </w:pPr>
      <w:r>
        <w:rPr>
          <w:caps w:val="false"/>
          <w:smallCaps w:val="false"/>
        </w:rPr>
        <w:t> </w:t>
      </w:r>
    </w:p>
    <w:p>
      <w:pPr>
        <w:pStyle w:val="TextBody"/>
        <w:bidi w:val="0"/>
        <w:spacing w:before="200" w:after="283"/>
        <w:jc w:val="right"/>
        <w:rPr/>
      </w:pPr>
      <w:r>
        <w:rPr>
          <w:rFonts w:ascii="Arial;Helvetica;Sans-Serif" w:hAnsi="Arial;Helvetica;Sans-Serif"/>
          <w:b/>
          <w:i w:val="false"/>
          <w:caps w:val="false"/>
          <w:smallCaps w:val="false"/>
          <w:sz w:val="15"/>
        </w:rPr>
        <w:t xml:space="preserve">RTX </w:t>
      </w:r>
      <w:r>
        <w:rPr>
          <w:rFonts w:ascii="Arial;Helvetica;Sans-Serif" w:hAnsi="Arial;Helvetica;Sans-Serif"/>
          <w:b w:val="false"/>
          <w:i w:val="false"/>
          <w:caps w:val="false"/>
          <w:smallCaps w:val="false"/>
          <w:sz w:val="15"/>
        </w:rPr>
        <w:t>2026 PROXY STATEMENT    </w:t>
      </w:r>
      <w:r>
        <w:rPr>
          <w:rFonts w:ascii="Arial;Helvetica;Sans-Serif" w:hAnsi="Arial;Helvetica;Sans-Serif"/>
          <w:b/>
          <w:i w:val="false"/>
          <w:caps w:val="false"/>
          <w:smallCaps w:val="false"/>
          <w:sz w:val="15"/>
        </w:rPr>
        <w:t>17</w:t>
      </w:r>
      <w:r>
        <mc:AlternateContent>
          <mc:Choice Requires="wps">
            <w:drawing>
              <wp:anchor behindDoc="0" distT="0" distB="0" distL="0" distR="0" simplePos="0" locked="0" layoutInCell="1" allowOverlap="1" relativeHeight="299">
                <wp:simplePos x="0" y="0"/>
                <wp:positionH relativeFrom="column">
                  <wp:align>left</wp:align>
                </wp:positionH>
                <wp:positionV relativeFrom="line">
                  <wp:posOffset>635</wp:posOffset>
                </wp:positionV>
                <wp:extent cx="3110230" cy="3835400"/>
                <wp:effectExtent l="0" t="0" r="0" b="0"/>
                <wp:wrapSquare wrapText="right"/>
                <wp:docPr id="222" name="Frame31"/>
                <a:graphic xmlns:a="http://schemas.openxmlformats.org/drawingml/2006/main">
                  <a:graphicData uri="http://schemas.microsoft.com/office/word/2010/wordprocessingShape">
                    <wps:wsp>
                      <wps:cNvSpPr txBox="1"/>
                      <wps:spPr>
                        <a:xfrm>
                          <a:off x="0" y="0"/>
                          <a:ext cx="3110230" cy="3835400"/>
                        </a:xfrm>
                        <a:prstGeom prst="rect"/>
                        <a:solidFill>
                          <a:srgbClr val="FFFFFF"/>
                        </a:solidFill>
                      </wps:spPr>
                      <wps:txbx>
                        <w:txbxContent>
                          <w:p>
                            <w:pPr>
                              <w:pStyle w:val="TextBody"/>
                              <w:bidi w:val="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Qualifications</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Ms. Ramos provides the Board with executive leadership and substantial global operational and management experience gained through her CEO and other leadership roles at ITT Inc. She has extensive financial expertise and experience in strategic planning and mergers and acquisitions, having served as the Chief Financial Officer at ITT and other large global companies. She also brings experience and insights from her current and past service on boards of other public companies in a range of industries.</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Experience</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pPr>
                                  <w:r>
                                    <w:rPr/>
                                    <w:t>Chief Executive Officer &amp; President, ITT Inc. (formerly ITT Corporation —diversified manufacturer), 2011–2019</w:t>
                                  </w:r>
                                </w:p>
                              </w:tc>
                            </w:tr>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pPr>
                                  <w:r>
                                    <w:rPr/>
                                    <w:t>Senior Vice President &amp; Chief Financial Officer, ITT Corporation, 2007–2011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3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Qualifications</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Ms. Ramos provides the Board with executive leadership and substantial global operational and management experience gained through her CEO and other leadership roles at ITT Inc. She has extensive financial expertise and experience in strategic planning and mergers and acquisitions, having served as the Chief Financial Officer at ITT and other large global companies. She also brings experience and insights from her current and past service on boards of other public companies in a range of industries.</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Experience</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pPr>
                            <w:r>
                              <w:rPr/>
                              <w:t>Chief Executive Officer &amp; President, ITT Inc. (formerly ITT Corporation —diversified manufacturer), 2011–2019</w:t>
                            </w:r>
                          </w:p>
                        </w:tc>
                      </w:tr>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pPr>
                            <w:r>
                              <w:rPr/>
                              <w:t>Senior Vice President &amp; Chief Financial Officer, ITT Corporation, 2007–2011</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300">
                <wp:simplePos x="0" y="0"/>
                <wp:positionH relativeFrom="column">
                  <wp:align>right</wp:align>
                </wp:positionH>
                <wp:positionV relativeFrom="line">
                  <wp:posOffset>635</wp:posOffset>
                </wp:positionV>
                <wp:extent cx="3110230" cy="5081905"/>
                <wp:effectExtent l="0" t="0" r="0" b="0"/>
                <wp:wrapSquare wrapText="left"/>
                <wp:docPr id="223" name="Frame32"/>
                <a:graphic xmlns:a="http://schemas.openxmlformats.org/drawingml/2006/main">
                  <a:graphicData uri="http://schemas.microsoft.com/office/word/2010/wordprocessingShape">
                    <wps:wsp>
                      <wps:cNvSpPr txBox="1"/>
                      <wps:spPr>
                        <a:xfrm>
                          <a:off x="0" y="0"/>
                          <a:ext cx="3110230" cy="5081905"/>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pPr>
                                  <w:r>
                                    <w:rPr/>
                                    <w:t>Chief Financial Officer, Furniture Brands International (home furnishings), 2005–2007</w:t>
                                  </w:r>
                                </w:p>
                              </w:tc>
                            </w:tr>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pPr>
                                  <w:r>
                                    <w:rPr/>
                                    <w:t>Senior Vice President &amp; Corporate Treasurer, Yum! Brands, Inc., and Chief Financial Officer, KFC Corporation (U.S. Division), 2000–2005</w:t>
                                  </w:r>
                                </w:p>
                              </w:tc>
                            </w:tr>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pPr>
                                  <w:r>
                                    <w:rPr/>
                                    <w:t>Various finance positions of increasing responsibility during more than 20 years at Atlantic Richfield Company</w:t>
                                  </w:r>
                                </w:p>
                              </w:tc>
                            </w:tr>
                          </w:tbl>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Other Current Directorships</w:t>
                            </w:r>
                          </w:p>
                          <w:p>
                            <w:pPr>
                              <w:pStyle w:val="TextBody"/>
                              <w:bidi w:val="0"/>
                              <w:jc w:val="left"/>
                              <w:rPr>
                                <w:caps w:val="false"/>
                                <w:smallCaps w:val="false"/>
                              </w:rPr>
                            </w:pPr>
                            <w:r>
                              <w:rPr>
                                <w:caps w:val="false"/>
                                <w:smallCaps w:val="false"/>
                              </w:rPr>
                              <w:t> </w:t>
                            </w:r>
                          </w:p>
                          <w:tbl>
                            <w:tblPr>
                              <w:tblW w:w="3595" w:type="dxa"/>
                              <w:jc w:val="left"/>
                              <w:tblInd w:w="0" w:type="dxa"/>
                              <w:tblLayout w:type="fixed"/>
                              <w:tblCellMar>
                                <w:top w:w="0" w:type="dxa"/>
                                <w:left w:w="0" w:type="dxa"/>
                                <w:bottom w:w="0" w:type="dxa"/>
                                <w:right w:w="0" w:type="dxa"/>
                              </w:tblCellMar>
                            </w:tblPr>
                            <w:tblGrid>
                              <w:gridCol w:w="185"/>
                              <w:gridCol w:w="3410"/>
                            </w:tblGrid>
                            <w:tr>
                              <w:trPr/>
                              <w:tc>
                                <w:tcPr>
                                  <w:tcW w:w="185" w:type="dxa"/>
                                  <w:tcBorders/>
                                  <w:vAlign w:val="center"/>
                                </w:tcPr>
                                <w:p>
                                  <w:pPr>
                                    <w:pStyle w:val="TableContents"/>
                                    <w:bidi w:val="0"/>
                                    <w:spacing w:before="0" w:after="283"/>
                                    <w:jc w:val="left"/>
                                    <w:rPr/>
                                  </w:pPr>
                                  <w:r>
                                    <w:rPr/>
                                    <w:t>●</w:t>
                                  </w:r>
                                </w:p>
                              </w:tc>
                              <w:tc>
                                <w:tcPr>
                                  <w:tcW w:w="3410" w:type="dxa"/>
                                  <w:tcBorders/>
                                  <w:vAlign w:val="center"/>
                                </w:tcPr>
                                <w:p>
                                  <w:pPr>
                                    <w:pStyle w:val="TableContents"/>
                                    <w:bidi w:val="0"/>
                                    <w:spacing w:before="0" w:after="283"/>
                                    <w:jc w:val="left"/>
                                    <w:rPr/>
                                  </w:pPr>
                                  <w:r>
                                    <w:rPr/>
                                    <w:t>Bank of America Corp., since 2019</w:t>
                                  </w:r>
                                </w:p>
                              </w:tc>
                            </w:tr>
                          </w:tbl>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Former Public Company Directorships</w:t>
                            </w:r>
                          </w:p>
                          <w:p>
                            <w:pPr>
                              <w:pStyle w:val="TextBody"/>
                              <w:bidi w:val="0"/>
                              <w:jc w:val="left"/>
                              <w:rPr>
                                <w:caps w:val="false"/>
                                <w:smallCaps w:val="false"/>
                              </w:rPr>
                            </w:pPr>
                            <w:r>
                              <w:rPr>
                                <w:caps w:val="false"/>
                                <w:smallCaps w:val="false"/>
                              </w:rPr>
                              <w:t> </w:t>
                            </w:r>
                          </w:p>
                          <w:tbl>
                            <w:tblPr>
                              <w:tblW w:w="3415" w:type="dxa"/>
                              <w:jc w:val="left"/>
                              <w:tblInd w:w="0" w:type="dxa"/>
                              <w:tblLayout w:type="fixed"/>
                              <w:tblCellMar>
                                <w:top w:w="0" w:type="dxa"/>
                                <w:left w:w="0" w:type="dxa"/>
                                <w:bottom w:w="0" w:type="dxa"/>
                                <w:right w:w="0" w:type="dxa"/>
                              </w:tblCellMar>
                            </w:tblPr>
                            <w:tblGrid>
                              <w:gridCol w:w="185"/>
                              <w:gridCol w:w="3230"/>
                            </w:tblGrid>
                            <w:tr>
                              <w:trPr/>
                              <w:tc>
                                <w:tcPr>
                                  <w:tcW w:w="185" w:type="dxa"/>
                                  <w:tcBorders/>
                                  <w:vAlign w:val="center"/>
                                </w:tcPr>
                                <w:p>
                                  <w:pPr>
                                    <w:pStyle w:val="TableContents"/>
                                    <w:bidi w:val="0"/>
                                    <w:spacing w:before="0" w:after="283"/>
                                    <w:jc w:val="left"/>
                                    <w:rPr/>
                                  </w:pPr>
                                  <w:r>
                                    <w:rPr/>
                                    <w:t>●</w:t>
                                  </w:r>
                                </w:p>
                              </w:tc>
                              <w:tc>
                                <w:tcPr>
                                  <w:tcW w:w="3230" w:type="dxa"/>
                                  <w:tcBorders/>
                                  <w:vAlign w:val="center"/>
                                </w:tcPr>
                                <w:p>
                                  <w:pPr>
                                    <w:pStyle w:val="TableContents"/>
                                    <w:bidi w:val="0"/>
                                    <w:spacing w:before="0" w:after="283"/>
                                    <w:jc w:val="left"/>
                                    <w:rPr/>
                                  </w:pPr>
                                  <w:r>
                                    <w:rPr/>
                                    <w:t>Phillips 66 Company, 2016–2025</w:t>
                                  </w:r>
                                </w:p>
                              </w:tc>
                            </w:tr>
                            <w:tr>
                              <w:trPr/>
                              <w:tc>
                                <w:tcPr>
                                  <w:tcW w:w="185" w:type="dxa"/>
                                  <w:tcBorders/>
                                  <w:vAlign w:val="center"/>
                                </w:tcPr>
                                <w:p>
                                  <w:pPr>
                                    <w:pStyle w:val="TableContents"/>
                                    <w:bidi w:val="0"/>
                                    <w:spacing w:before="0" w:after="283"/>
                                    <w:jc w:val="left"/>
                                    <w:rPr/>
                                  </w:pPr>
                                  <w:r>
                                    <w:rPr/>
                                    <w:t>●</w:t>
                                  </w:r>
                                </w:p>
                              </w:tc>
                              <w:tc>
                                <w:tcPr>
                                  <w:tcW w:w="3230" w:type="dxa"/>
                                  <w:tcBorders/>
                                  <w:vAlign w:val="center"/>
                                </w:tcPr>
                                <w:p>
                                  <w:pPr>
                                    <w:pStyle w:val="TableContents"/>
                                    <w:bidi w:val="0"/>
                                    <w:spacing w:before="0" w:after="283"/>
                                    <w:jc w:val="left"/>
                                    <w:rPr/>
                                  </w:pPr>
                                  <w:r>
                                    <w:rPr/>
                                    <w:t>ITT Inc., 2011–2019</w:t>
                                  </w:r>
                                </w:p>
                              </w:tc>
                            </w:tr>
                            <w:tr>
                              <w:trPr/>
                              <w:tc>
                                <w:tcPr>
                                  <w:tcW w:w="185" w:type="dxa"/>
                                  <w:tcBorders/>
                                  <w:vAlign w:val="center"/>
                                </w:tcPr>
                                <w:p>
                                  <w:pPr>
                                    <w:pStyle w:val="TableContents"/>
                                    <w:bidi w:val="0"/>
                                    <w:spacing w:before="0" w:after="283"/>
                                    <w:jc w:val="left"/>
                                    <w:rPr/>
                                  </w:pPr>
                                  <w:r>
                                    <w:rPr/>
                                    <w:t>●</w:t>
                                  </w:r>
                                </w:p>
                              </w:tc>
                              <w:tc>
                                <w:tcPr>
                                  <w:tcW w:w="3230" w:type="dxa"/>
                                  <w:tcBorders/>
                                  <w:vAlign w:val="center"/>
                                </w:tcPr>
                                <w:p>
                                  <w:pPr>
                                    <w:pStyle w:val="TableContents"/>
                                    <w:bidi w:val="0"/>
                                    <w:spacing w:before="0" w:after="283"/>
                                    <w:jc w:val="left"/>
                                    <w:rPr/>
                                  </w:pPr>
                                  <w:r>
                                    <w:rPr/>
                                    <w:t>Praxair, Inc., 2014–2016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400.15pt;mso-wrap-distance-left:0pt;mso-wrap-distance-right:0pt;mso-wrap-distance-top:0pt;mso-wrap-distance-bottom:0pt;margin-top:0pt;mso-position-vertical:top;mso-position-vertical-relative:text;margin-left:20.4pt;mso-position-horizontal:right;mso-position-horizontal-relative:text">
                <v:textbox>
                  <w:txbxContent>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pPr>
                            <w:r>
                              <w:rPr/>
                              <w:t>Chief Financial Officer, Furniture Brands International (home furnishings), 2005–2007</w:t>
                            </w:r>
                          </w:p>
                        </w:tc>
                      </w:tr>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pPr>
                            <w:r>
                              <w:rPr/>
                              <w:t>Senior Vice President &amp; Corporate Treasurer, Yum! Brands, Inc., and Chief Financial Officer, KFC Corporation (U.S. Division), 2000–2005</w:t>
                            </w:r>
                          </w:p>
                        </w:tc>
                      </w:tr>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pPr>
                            <w:r>
                              <w:rPr/>
                              <w:t>Various finance positions of increasing responsibility during more than 20 years at Atlantic Richfield Company</w:t>
                            </w:r>
                          </w:p>
                        </w:tc>
                      </w:tr>
                    </w:tbl>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Other Current Directorships</w:t>
                      </w:r>
                    </w:p>
                    <w:p>
                      <w:pPr>
                        <w:pStyle w:val="TextBody"/>
                        <w:bidi w:val="0"/>
                        <w:jc w:val="left"/>
                        <w:rPr>
                          <w:caps w:val="false"/>
                          <w:smallCaps w:val="false"/>
                        </w:rPr>
                      </w:pPr>
                      <w:r>
                        <w:rPr>
                          <w:caps w:val="false"/>
                          <w:smallCaps w:val="false"/>
                        </w:rPr>
                        <w:t> </w:t>
                      </w:r>
                    </w:p>
                    <w:tbl>
                      <w:tblPr>
                        <w:tblW w:w="3595" w:type="dxa"/>
                        <w:jc w:val="left"/>
                        <w:tblInd w:w="0" w:type="dxa"/>
                        <w:tblLayout w:type="fixed"/>
                        <w:tblCellMar>
                          <w:top w:w="0" w:type="dxa"/>
                          <w:left w:w="0" w:type="dxa"/>
                          <w:bottom w:w="0" w:type="dxa"/>
                          <w:right w:w="0" w:type="dxa"/>
                        </w:tblCellMar>
                      </w:tblPr>
                      <w:tblGrid>
                        <w:gridCol w:w="185"/>
                        <w:gridCol w:w="3410"/>
                      </w:tblGrid>
                      <w:tr>
                        <w:trPr/>
                        <w:tc>
                          <w:tcPr>
                            <w:tcW w:w="185" w:type="dxa"/>
                            <w:tcBorders/>
                            <w:vAlign w:val="center"/>
                          </w:tcPr>
                          <w:p>
                            <w:pPr>
                              <w:pStyle w:val="TableContents"/>
                              <w:bidi w:val="0"/>
                              <w:spacing w:before="0" w:after="283"/>
                              <w:jc w:val="left"/>
                              <w:rPr/>
                            </w:pPr>
                            <w:r>
                              <w:rPr/>
                              <w:t>●</w:t>
                            </w:r>
                          </w:p>
                        </w:tc>
                        <w:tc>
                          <w:tcPr>
                            <w:tcW w:w="3410" w:type="dxa"/>
                            <w:tcBorders/>
                            <w:vAlign w:val="center"/>
                          </w:tcPr>
                          <w:p>
                            <w:pPr>
                              <w:pStyle w:val="TableContents"/>
                              <w:bidi w:val="0"/>
                              <w:spacing w:before="0" w:after="283"/>
                              <w:jc w:val="left"/>
                              <w:rPr/>
                            </w:pPr>
                            <w:r>
                              <w:rPr/>
                              <w:t>Bank of America Corp., since 2019</w:t>
                            </w:r>
                          </w:p>
                        </w:tc>
                      </w:tr>
                    </w:tbl>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Former Public Company Directorships</w:t>
                      </w:r>
                    </w:p>
                    <w:p>
                      <w:pPr>
                        <w:pStyle w:val="TextBody"/>
                        <w:bidi w:val="0"/>
                        <w:jc w:val="left"/>
                        <w:rPr>
                          <w:caps w:val="false"/>
                          <w:smallCaps w:val="false"/>
                        </w:rPr>
                      </w:pPr>
                      <w:r>
                        <w:rPr>
                          <w:caps w:val="false"/>
                          <w:smallCaps w:val="false"/>
                        </w:rPr>
                        <w:t> </w:t>
                      </w:r>
                    </w:p>
                    <w:tbl>
                      <w:tblPr>
                        <w:tblW w:w="3415" w:type="dxa"/>
                        <w:jc w:val="left"/>
                        <w:tblInd w:w="0" w:type="dxa"/>
                        <w:tblLayout w:type="fixed"/>
                        <w:tblCellMar>
                          <w:top w:w="0" w:type="dxa"/>
                          <w:left w:w="0" w:type="dxa"/>
                          <w:bottom w:w="0" w:type="dxa"/>
                          <w:right w:w="0" w:type="dxa"/>
                        </w:tblCellMar>
                      </w:tblPr>
                      <w:tblGrid>
                        <w:gridCol w:w="185"/>
                        <w:gridCol w:w="3230"/>
                      </w:tblGrid>
                      <w:tr>
                        <w:trPr/>
                        <w:tc>
                          <w:tcPr>
                            <w:tcW w:w="185" w:type="dxa"/>
                            <w:tcBorders/>
                            <w:vAlign w:val="center"/>
                          </w:tcPr>
                          <w:p>
                            <w:pPr>
                              <w:pStyle w:val="TableContents"/>
                              <w:bidi w:val="0"/>
                              <w:spacing w:before="0" w:after="283"/>
                              <w:jc w:val="left"/>
                              <w:rPr/>
                            </w:pPr>
                            <w:r>
                              <w:rPr/>
                              <w:t>●</w:t>
                            </w:r>
                          </w:p>
                        </w:tc>
                        <w:tc>
                          <w:tcPr>
                            <w:tcW w:w="3230" w:type="dxa"/>
                            <w:tcBorders/>
                            <w:vAlign w:val="center"/>
                          </w:tcPr>
                          <w:p>
                            <w:pPr>
                              <w:pStyle w:val="TableContents"/>
                              <w:bidi w:val="0"/>
                              <w:spacing w:before="0" w:after="283"/>
                              <w:jc w:val="left"/>
                              <w:rPr/>
                            </w:pPr>
                            <w:r>
                              <w:rPr/>
                              <w:t>Phillips 66 Company, 2016–2025</w:t>
                            </w:r>
                          </w:p>
                        </w:tc>
                      </w:tr>
                      <w:tr>
                        <w:trPr/>
                        <w:tc>
                          <w:tcPr>
                            <w:tcW w:w="185" w:type="dxa"/>
                            <w:tcBorders/>
                            <w:vAlign w:val="center"/>
                          </w:tcPr>
                          <w:p>
                            <w:pPr>
                              <w:pStyle w:val="TableContents"/>
                              <w:bidi w:val="0"/>
                              <w:spacing w:before="0" w:after="283"/>
                              <w:jc w:val="left"/>
                              <w:rPr/>
                            </w:pPr>
                            <w:r>
                              <w:rPr/>
                              <w:t>●</w:t>
                            </w:r>
                          </w:p>
                        </w:tc>
                        <w:tc>
                          <w:tcPr>
                            <w:tcW w:w="3230" w:type="dxa"/>
                            <w:tcBorders/>
                            <w:vAlign w:val="center"/>
                          </w:tcPr>
                          <w:p>
                            <w:pPr>
                              <w:pStyle w:val="TableContents"/>
                              <w:bidi w:val="0"/>
                              <w:spacing w:before="0" w:after="283"/>
                              <w:jc w:val="left"/>
                              <w:rPr/>
                            </w:pPr>
                            <w:r>
                              <w:rPr/>
                              <w:t>ITT Inc., 2011–2019</w:t>
                            </w:r>
                          </w:p>
                        </w:tc>
                      </w:tr>
                      <w:tr>
                        <w:trPr/>
                        <w:tc>
                          <w:tcPr>
                            <w:tcW w:w="185" w:type="dxa"/>
                            <w:tcBorders/>
                            <w:vAlign w:val="center"/>
                          </w:tcPr>
                          <w:p>
                            <w:pPr>
                              <w:pStyle w:val="TableContents"/>
                              <w:bidi w:val="0"/>
                              <w:spacing w:before="0" w:after="283"/>
                              <w:jc w:val="left"/>
                              <w:rPr/>
                            </w:pPr>
                            <w:r>
                              <w:rPr/>
                              <w:t>●</w:t>
                            </w:r>
                          </w:p>
                        </w:tc>
                        <w:tc>
                          <w:tcPr>
                            <w:tcW w:w="3230" w:type="dxa"/>
                            <w:tcBorders/>
                            <w:vAlign w:val="center"/>
                          </w:tcPr>
                          <w:p>
                            <w:pPr>
                              <w:pStyle w:val="TableContents"/>
                              <w:bidi w:val="0"/>
                              <w:spacing w:before="0" w:after="283"/>
                              <w:jc w:val="left"/>
                              <w:rPr/>
                            </w:pPr>
                            <w:r>
                              <w:rPr/>
                              <w:t>Praxair, Inc., 2014–2016</w:t>
                            </w:r>
                          </w:p>
                        </w:tc>
                      </w:tr>
                    </w:tbl>
                    <w:p>
                      <w:pPr>
                        <w:pStyle w:val="TextBody"/>
                        <w:bidi w:val="0"/>
                        <w:spacing w:before="0" w:after="283"/>
                        <w:jc w:val="left"/>
                        <w:rPr/>
                      </w:pPr>
                      <w:r>
                        <w:rPr/>
                      </w:r>
                    </w:p>
                  </w:txbxContent>
                </v:textbox>
                <w10:wrap type="square" side="left"/>
              </v:rect>
            </w:pict>
          </mc:Fallback>
        </mc:AlternateContent>
      </w:r>
    </w:p>
    <w:p>
      <w:pPr>
        <w:pStyle w:val="HorizontalLine"/>
        <w:pBdr>
          <w:bottom w:val="double" w:sz="2" w:space="0" w:color="808080"/>
        </w:pBdr>
        <w:bidi w:val="0"/>
        <w:spacing w:before="0" w:after="283"/>
        <w:jc w:val="left"/>
        <w:rPr/>
      </w:pPr>
      <w:r>
        <w:rPr/>
      </w:r>
    </w:p>
    <w:p>
      <w:pPr>
        <w:pStyle w:val="TextBody"/>
        <w:bidi w:val="0"/>
        <w:spacing w:before="200" w:after="200"/>
        <w:jc w:val="left"/>
        <w:rPr/>
      </w:pPr>
      <w:hyperlink w:anchor="toc">
        <w:r>
          <w:rPr>
            <w:rStyle w:val="InternetLink"/>
            <w:rFonts w:ascii="Arial;Helvetica;Sans-Serif" w:hAnsi="Arial;Helvetica;Sans-Serif"/>
            <w:b/>
            <w:i w:val="false"/>
            <w:caps w:val="false"/>
            <w:smallCaps w:val="false"/>
            <w:sz w:val="16"/>
          </w:rPr>
          <w:t>Table of Contents</w:t>
        </w:r>
      </w:hyperlink>
    </w:p>
    <w:p>
      <w:pPr>
        <w:pStyle w:val="TextBody"/>
        <w:bidi w:val="0"/>
        <w:spacing w:before="0" w:after="0"/>
        <w:ind w:left="0" w:right="0" w:hanging="0"/>
        <w:jc w:val="left"/>
        <w:rPr>
          <w:rFonts w:ascii="Arial;Helvetica;Sans-Serif" w:hAnsi="Arial;Helvetica;Sans-Serif"/>
          <w:b/>
          <w:i w:val="false"/>
          <w:caps w:val="false"/>
          <w:smallCaps w:val="false"/>
          <w:color w:val="C12E33"/>
          <w:sz w:val="15"/>
        </w:rPr>
      </w:pPr>
      <w:r>
        <w:rPr>
          <w:rFonts w:ascii="Arial;Helvetica;Sans-Serif" w:hAnsi="Arial;Helvetica;Sans-Serif"/>
          <w:b/>
          <w:i w:val="false"/>
          <w:caps w:val="false"/>
          <w:smallCaps w:val="false"/>
          <w:color w:val="C12E33"/>
          <w:sz w:val="15"/>
        </w:rPr>
        <w:t>PROPOSAL 1: ELECTION OF DIRECTORS</w:t>
      </w:r>
    </w:p>
    <w:p>
      <w:pPr>
        <w:pStyle w:val="TextBody"/>
        <w:bidi w:val="0"/>
        <w:spacing w:before="0" w:after="0"/>
        <w:ind w:left="0" w:right="0" w:hanging="0"/>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NOMINEES</w:t>
      </w:r>
    </w:p>
    <w:p>
      <w:pPr>
        <w:pStyle w:val="TextBody"/>
        <w:bidi w:val="0"/>
        <w:jc w:val="left"/>
        <w:rPr>
          <w:caps w:val="false"/>
          <w:smallCaps w:val="false"/>
        </w:rPr>
      </w:pPr>
      <w:r>
        <w:rPr>
          <w:caps w:val="false"/>
          <w:smallCaps w:val="false"/>
        </w:rPr>
        <w:t> </w:t>
      </w:r>
    </w:p>
    <w:p>
      <w:pPr>
        <w:pStyle w:val="TextBody"/>
        <w:bidi w:val="0"/>
        <w:jc w:val="left"/>
        <w:rPr>
          <w:caps w:val="false"/>
          <w:smallCaps w:val="false"/>
          <w:shd w:fill="EDEDEE" w:val="clear"/>
        </w:rPr>
      </w:pPr>
      <w:r>
        <w:rPr>
          <w:caps w:val="false"/>
          <w:smallCaps w:val="false"/>
          <w:shd w:fill="EDEDEE" w:val="clear"/>
        </w:rPr>
        <w:t> </w:t>
      </w:r>
      <w:r>
        <mc:AlternateContent>
          <mc:Choice Requires="wps">
            <w:drawing>
              <wp:anchor behindDoc="0" distT="0" distB="0" distL="0" distR="0" simplePos="0" locked="0" layoutInCell="1" allowOverlap="1" relativeHeight="7">
                <wp:simplePos x="0" y="0"/>
                <wp:positionH relativeFrom="column">
                  <wp:align>left</wp:align>
                </wp:positionH>
                <wp:positionV relativeFrom="line">
                  <wp:posOffset>635</wp:posOffset>
                </wp:positionV>
                <wp:extent cx="4535805" cy="3700780"/>
                <wp:effectExtent l="0" t="0" r="0" b="0"/>
                <wp:wrapSquare wrapText="right"/>
                <wp:docPr id="224" name="Frame33"/>
                <a:graphic xmlns:a="http://schemas.openxmlformats.org/drawingml/2006/main">
                  <a:graphicData uri="http://schemas.microsoft.com/office/word/2010/wordprocessingShape">
                    <wps:wsp>
                      <wps:cNvSpPr txBox="1"/>
                      <wps:spPr>
                        <a:xfrm>
                          <a:off x="0" y="0"/>
                          <a:ext cx="4535805" cy="3700780"/>
                        </a:xfrm>
                        <a:prstGeom prst="rect"/>
                        <a:solidFill>
                          <a:srgbClr val="FFFFFF"/>
                        </a:solidFill>
                      </wps:spPr>
                      <wps:txbx>
                        <w:txbxContent>
                          <w:p>
                            <w:pPr>
                              <w:pStyle w:val="TextBody"/>
                              <w:bidi w:val="0"/>
                              <w:jc w:val="left"/>
                              <w:rPr>
                                <w:rFonts w:ascii="Arial;Helvetica;Sans-Serif" w:hAnsi="Arial;Helvetica;Sans-Serif"/>
                                <w:b/>
                                <w:i w:val="false"/>
                                <w:caps w:val="false"/>
                                <w:smallCaps w:val="false"/>
                                <w:sz w:val="30"/>
                              </w:rPr>
                            </w:pPr>
                            <w:r>
                              <w:rPr>
                                <w:rFonts w:ascii="Arial;Helvetica;Sans-Serif" w:hAnsi="Arial;Helvetica;Sans-Serif"/>
                                <w:b/>
                                <w:i w:val="false"/>
                                <w:caps w:val="false"/>
                                <w:smallCaps w:val="false"/>
                                <w:sz w:val="30"/>
                              </w:rPr>
                              <w:t>Fredric G. Reynolds</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878"/>
                              <w:gridCol w:w="300"/>
                              <w:gridCol w:w="5027"/>
                            </w:tblGrid>
                            <w:tr>
                              <w:trPr/>
                              <w:tc>
                                <w:tcPr>
                                  <w:tcW w:w="4878" w:type="dxa"/>
                                  <w:tcBorders/>
                                  <w:vAlign w:val="center"/>
                                </w:tcPr>
                                <w:p>
                                  <w:pPr>
                                    <w:pStyle w:val="TableContents"/>
                                    <w:bidi w:val="0"/>
                                    <w:spacing w:before="0" w:after="60"/>
                                    <w:jc w:val="left"/>
                                    <w:rPr>
                                      <w:b/>
                                    </w:rPr>
                                  </w:pPr>
                                  <w:r>
                                    <w:rPr>
                                      <w:b/>
                                    </w:rPr>
                                    <w:t>INDEPENDENT LEAD DIRECTOR</w:t>
                                  </w:r>
                                </w:p>
                                <w:p>
                                  <w:pPr>
                                    <w:pStyle w:val="TableContents"/>
                                    <w:bidi w:val="0"/>
                                    <w:spacing w:before="0" w:after="283"/>
                                    <w:jc w:val="left"/>
                                    <w:rPr>
                                      <w:sz w:val="20"/>
                                    </w:rPr>
                                  </w:pPr>
                                  <w:r>
                                    <w:rPr>
                                      <w:sz w:val="20"/>
                                    </w:rPr>
                                    <w:t>Retired Executive Vice President &amp; Chief Financial Officer, CBS Corporation</w:t>
                                  </w:r>
                                </w:p>
                              </w:tc>
                              <w:tc>
                                <w:tcPr>
                                  <w:tcW w:w="300" w:type="dxa"/>
                                  <w:tcBorders/>
                                  <w:vAlign w:val="center"/>
                                </w:tcPr>
                                <w:p>
                                  <w:pPr>
                                    <w:pStyle w:val="TableContents"/>
                                    <w:bidi w:val="0"/>
                                    <w:spacing w:before="0" w:after="283"/>
                                    <w:jc w:val="left"/>
                                    <w:rPr/>
                                  </w:pPr>
                                  <w:r>
                                    <w:rPr/>
                                    <w:t>     </w:t>
                                  </w:r>
                                </w:p>
                              </w:tc>
                              <w:tc>
                                <w:tcPr>
                                  <w:tcW w:w="5027" w:type="dxa"/>
                                  <w:tcBorders/>
                                  <w:vAlign w:val="center"/>
                                </w:tcPr>
                                <w:p>
                                  <w:pPr>
                                    <w:pStyle w:val="TableContents"/>
                                    <w:bidi w:val="0"/>
                                    <w:spacing w:before="0" w:after="60"/>
                                    <w:jc w:val="left"/>
                                    <w:rPr/>
                                  </w:pPr>
                                  <w:r>
                                    <w:rPr/>
                                    <w:t xml:space="preserve">AGE </w:t>
                                  </w:r>
                                  <w:r>
                                    <w:rPr>
                                      <w:b/>
                                    </w:rPr>
                                    <w:t>75</w:t>
                                  </w:r>
                                </w:p>
                                <w:p>
                                  <w:pPr>
                                    <w:pStyle w:val="TableContents"/>
                                    <w:bidi w:val="0"/>
                                    <w:jc w:val="left"/>
                                    <w:rPr/>
                                  </w:pPr>
                                  <w:r>
                                    <w:rPr/>
                                    <w:t xml:space="preserve">DIRECTOR SINCE </w:t>
                                  </w:r>
                                  <w:r>
                                    <w:rPr>
                                      <w:b/>
                                    </w:rPr>
                                    <w:t>2016</w:t>
                                  </w:r>
                                </w:p>
                                <w:p>
                                  <w:pPr>
                                    <w:pStyle w:val="TableContents"/>
                                    <w:bidi w:val="0"/>
                                    <w:jc w:val="left"/>
                                    <w:rPr/>
                                  </w:pPr>
                                  <w:r>
                                    <w:rPr/>
                                    <w:t>BOARD COMMITTEES</w:t>
                                  </w:r>
                                </w:p>
                                <w:p>
                                  <w:pPr>
                                    <w:pStyle w:val="TableContents"/>
                                    <w:bidi w:val="0"/>
                                    <w:spacing w:before="0" w:after="283"/>
                                    <w:jc w:val="left"/>
                                    <w:rPr>
                                      <w:b/>
                                    </w:rPr>
                                  </w:pPr>
                                  <w:r>
                                    <w:rPr>
                                      <w:b/>
                                    </w:rPr>
                                    <w:t>Governance and Public Policy, Human Capital &amp; Compensation</w:t>
                                  </w:r>
                                </w:p>
                              </w:tc>
                            </w:tr>
                            <w:tr>
                              <w:trPr/>
                              <w:tc>
                                <w:tcPr>
                                  <w:tcW w:w="4878" w:type="dxa"/>
                                  <w:tcBorders/>
                                  <w:vAlign w:val="center"/>
                                </w:tcPr>
                                <w:p>
                                  <w:pPr>
                                    <w:pStyle w:val="TableContents"/>
                                    <w:bidi w:val="0"/>
                                    <w:spacing w:before="0" w:after="283"/>
                                    <w:jc w:val="left"/>
                                    <w:rPr>
                                      <w:b/>
                                      <w:sz w:val="20"/>
                                    </w:rPr>
                                  </w:pPr>
                                  <w:r>
                                    <w:rPr>
                                      <w:b/>
                                      <w:sz w:val="20"/>
                                    </w:rPr>
                                    <w:t>Key Skills and Expertise</w:t>
                                  </w:r>
                                </w:p>
                              </w:tc>
                              <w:tc>
                                <w:tcPr>
                                  <w:tcW w:w="300" w:type="dxa"/>
                                  <w:tcBorders/>
                                  <w:vAlign w:val="center"/>
                                </w:tcPr>
                                <w:p>
                                  <w:pPr>
                                    <w:pStyle w:val="TableContents"/>
                                    <w:bidi w:val="0"/>
                                    <w:spacing w:before="0" w:after="283"/>
                                    <w:jc w:val="left"/>
                                    <w:rPr/>
                                  </w:pPr>
                                  <w:r>
                                    <w:rPr/>
                                    <w:t> </w:t>
                                  </w:r>
                                </w:p>
                              </w:tc>
                              <w:tc>
                                <w:tcPr>
                                  <w:tcW w:w="5027"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8625" w:type="dxa"/>
                              <w:jc w:val="left"/>
                              <w:tblInd w:w="0" w:type="dxa"/>
                              <w:tblLayout w:type="fixed"/>
                              <w:tblCellMar>
                                <w:top w:w="0" w:type="dxa"/>
                                <w:left w:w="0" w:type="dxa"/>
                                <w:bottom w:w="0" w:type="dxa"/>
                                <w:right w:w="0" w:type="dxa"/>
                              </w:tblCellMar>
                            </w:tblPr>
                            <w:tblGrid>
                              <w:gridCol w:w="315"/>
                              <w:gridCol w:w="1340"/>
                              <w:gridCol w:w="300"/>
                              <w:gridCol w:w="3860"/>
                              <w:gridCol w:w="330"/>
                              <w:gridCol w:w="2480"/>
                            </w:tblGrid>
                            <w:tr>
                              <w:trPr/>
                              <w:tc>
                                <w:tcPr>
                                  <w:tcW w:w="315" w:type="dxa"/>
                                  <w:tcBorders/>
                                  <w:vAlign w:val="center"/>
                                </w:tcPr>
                                <w:p>
                                  <w:pPr>
                                    <w:pStyle w:val="TableContents"/>
                                    <w:bidi w:val="0"/>
                                    <w:spacing w:before="0" w:after="283"/>
                                    <w:jc w:val="left"/>
                                    <w:rPr/>
                                  </w:pPr>
                                  <w:r>
                                    <w:rPr/>
                                    <w:drawing>
                                      <wp:inline distT="0" distB="0" distL="0" distR="0">
                                        <wp:extent cx="190500" cy="428625"/>
                                        <wp:effectExtent l="0" t="0" r="0" b="0"/>
                                        <wp:docPr id="225" name="Image1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 name="Image160" descr=""/>
                                                <pic:cNvPicPr>
                                                  <a:picLocks noChangeAspect="1" noChangeArrowheads="1"/>
                                                </pic:cNvPicPr>
                                              </pic:nvPicPr>
                                              <pic:blipFill>
                                                <a:blip r:embed="rId193"/>
                                                <a:stretch>
                                                  <a:fillRect/>
                                                </a:stretch>
                                              </pic:blipFill>
                                              <pic:spPr bwMode="auto">
                                                <a:xfrm>
                                                  <a:off x="0" y="0"/>
                                                  <a:ext cx="190500" cy="428625"/>
                                                </a:xfrm>
                                                <a:prstGeom prst="rect">
                                                  <a:avLst/>
                                                </a:prstGeom>
                                              </pic:spPr>
                                            </pic:pic>
                                          </a:graphicData>
                                        </a:graphic>
                                      </wp:inline>
                                    </w:drawing>
                                  </w:r>
                                </w:p>
                              </w:tc>
                              <w:tc>
                                <w:tcPr>
                                  <w:tcW w:w="1340" w:type="dxa"/>
                                  <w:tcBorders/>
                                  <w:vAlign w:val="center"/>
                                </w:tcPr>
                                <w:p>
                                  <w:pPr>
                                    <w:pStyle w:val="TableContents"/>
                                    <w:bidi w:val="0"/>
                                    <w:spacing w:before="0" w:after="283"/>
                                    <w:jc w:val="left"/>
                                    <w:rPr/>
                                  </w:pPr>
                                  <w:r>
                                    <w:rPr/>
                                    <w:t>FINANCIAL</w:t>
                                  </w:r>
                                </w:p>
                              </w:tc>
                              <w:tc>
                                <w:tcPr>
                                  <w:tcW w:w="300" w:type="dxa"/>
                                  <w:tcBorders/>
                                  <w:vAlign w:val="center"/>
                                </w:tcPr>
                                <w:p>
                                  <w:pPr>
                                    <w:pStyle w:val="TableContents"/>
                                    <w:bidi w:val="0"/>
                                    <w:spacing w:before="0" w:after="283"/>
                                    <w:jc w:val="left"/>
                                    <w:rPr/>
                                  </w:pPr>
                                  <w:r>
                                    <w:rPr/>
                                    <w:drawing>
                                      <wp:inline distT="0" distB="0" distL="0" distR="0">
                                        <wp:extent cx="190500" cy="190500"/>
                                        <wp:effectExtent l="0" t="0" r="0" b="0"/>
                                        <wp:docPr id="226" name="Image1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 name="Image161" descr=""/>
                                                <pic:cNvPicPr>
                                                  <a:picLocks noChangeAspect="1" noChangeArrowheads="1"/>
                                                </pic:cNvPicPr>
                                              </pic:nvPicPr>
                                              <pic:blipFill>
                                                <a:blip r:embed="rId194"/>
                                                <a:stretch>
                                                  <a:fillRect/>
                                                </a:stretch>
                                              </pic:blipFill>
                                              <pic:spPr bwMode="auto">
                                                <a:xfrm>
                                                  <a:off x="0" y="0"/>
                                                  <a:ext cx="190500" cy="190500"/>
                                                </a:xfrm>
                                                <a:prstGeom prst="rect">
                                                  <a:avLst/>
                                                </a:prstGeom>
                                              </pic:spPr>
                                            </pic:pic>
                                          </a:graphicData>
                                        </a:graphic>
                                      </wp:inline>
                                    </w:drawing>
                                  </w:r>
                                </w:p>
                              </w:tc>
                              <w:tc>
                                <w:tcPr>
                                  <w:tcW w:w="3860" w:type="dxa"/>
                                  <w:tcBorders/>
                                  <w:vAlign w:val="center"/>
                                </w:tcPr>
                                <w:p>
                                  <w:pPr>
                                    <w:pStyle w:val="TableContents"/>
                                    <w:bidi w:val="0"/>
                                    <w:spacing w:before="0" w:after="283"/>
                                    <w:jc w:val="left"/>
                                    <w:rPr/>
                                  </w:pPr>
                                  <w:r>
                                    <w:rPr/>
                                    <w:t>RISK MANAGEMENT/OVERSIGHT</w:t>
                                  </w:r>
                                </w:p>
                              </w:tc>
                              <w:tc>
                                <w:tcPr>
                                  <w:tcW w:w="330" w:type="dxa"/>
                                  <w:tcBorders/>
                                  <w:vAlign w:val="center"/>
                                </w:tcPr>
                                <w:p>
                                  <w:pPr>
                                    <w:pStyle w:val="TableContents"/>
                                    <w:bidi w:val="0"/>
                                    <w:spacing w:before="0" w:after="283"/>
                                    <w:jc w:val="left"/>
                                    <w:rPr/>
                                  </w:pPr>
                                  <w:r>
                                    <w:rPr/>
                                    <w:drawing>
                                      <wp:inline distT="0" distB="0" distL="0" distR="0">
                                        <wp:extent cx="209550" cy="419100"/>
                                        <wp:effectExtent l="0" t="0" r="0" b="0"/>
                                        <wp:docPr id="227" name="Image1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 name="Image162" descr=""/>
                                                <pic:cNvPicPr>
                                                  <a:picLocks noChangeAspect="1" noChangeArrowheads="1"/>
                                                </pic:cNvPicPr>
                                              </pic:nvPicPr>
                                              <pic:blipFill>
                                                <a:blip r:embed="rId195"/>
                                                <a:stretch>
                                                  <a:fillRect/>
                                                </a:stretch>
                                              </pic:blipFill>
                                              <pic:spPr bwMode="auto">
                                                <a:xfrm>
                                                  <a:off x="0" y="0"/>
                                                  <a:ext cx="209550" cy="419100"/>
                                                </a:xfrm>
                                                <a:prstGeom prst="rect">
                                                  <a:avLst/>
                                                </a:prstGeom>
                                              </pic:spPr>
                                            </pic:pic>
                                          </a:graphicData>
                                        </a:graphic>
                                      </wp:inline>
                                    </w:drawing>
                                  </w:r>
                                </w:p>
                              </w:tc>
                              <w:tc>
                                <w:tcPr>
                                  <w:tcW w:w="2480" w:type="dxa"/>
                                  <w:tcBorders/>
                                  <w:vAlign w:val="center"/>
                                </w:tcPr>
                                <w:p>
                                  <w:pPr>
                                    <w:pStyle w:val="TableContents"/>
                                    <w:bidi w:val="0"/>
                                    <w:spacing w:before="0" w:after="283"/>
                                    <w:jc w:val="left"/>
                                    <w:rPr/>
                                  </w:pPr>
                                  <w:r>
                                    <w:rPr/>
                                    <w:t>SENIOR LEADERSHIP</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70000</wp14:pctWidth>
                </wp14:sizeRelH>
              </wp:anchor>
            </w:drawing>
          </mc:Choice>
          <mc:Fallback>
            <w:pict>
              <v:rect style="position:absolute;rotation:-0;width:357.15pt;height:29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jc w:val="left"/>
                        <w:rPr>
                          <w:rFonts w:ascii="Arial;Helvetica;Sans-Serif" w:hAnsi="Arial;Helvetica;Sans-Serif"/>
                          <w:b/>
                          <w:i w:val="false"/>
                          <w:caps w:val="false"/>
                          <w:smallCaps w:val="false"/>
                          <w:sz w:val="30"/>
                        </w:rPr>
                      </w:pPr>
                      <w:r>
                        <w:rPr>
                          <w:rFonts w:ascii="Arial;Helvetica;Sans-Serif" w:hAnsi="Arial;Helvetica;Sans-Serif"/>
                          <w:b/>
                          <w:i w:val="false"/>
                          <w:caps w:val="false"/>
                          <w:smallCaps w:val="false"/>
                          <w:sz w:val="30"/>
                        </w:rPr>
                        <w:t>Fredric G. Reynolds</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878"/>
                        <w:gridCol w:w="300"/>
                        <w:gridCol w:w="5027"/>
                      </w:tblGrid>
                      <w:tr>
                        <w:trPr/>
                        <w:tc>
                          <w:tcPr>
                            <w:tcW w:w="4878" w:type="dxa"/>
                            <w:tcBorders/>
                            <w:vAlign w:val="center"/>
                          </w:tcPr>
                          <w:p>
                            <w:pPr>
                              <w:pStyle w:val="TableContents"/>
                              <w:bidi w:val="0"/>
                              <w:spacing w:before="0" w:after="60"/>
                              <w:jc w:val="left"/>
                              <w:rPr>
                                <w:b/>
                              </w:rPr>
                            </w:pPr>
                            <w:r>
                              <w:rPr>
                                <w:b/>
                              </w:rPr>
                              <w:t>INDEPENDENT LEAD DIRECTOR</w:t>
                            </w:r>
                          </w:p>
                          <w:p>
                            <w:pPr>
                              <w:pStyle w:val="TableContents"/>
                              <w:bidi w:val="0"/>
                              <w:spacing w:before="0" w:after="283"/>
                              <w:jc w:val="left"/>
                              <w:rPr>
                                <w:sz w:val="20"/>
                              </w:rPr>
                            </w:pPr>
                            <w:r>
                              <w:rPr>
                                <w:sz w:val="20"/>
                              </w:rPr>
                              <w:t>Retired Executive Vice President &amp; Chief Financial Officer, CBS Corporation</w:t>
                            </w:r>
                          </w:p>
                        </w:tc>
                        <w:tc>
                          <w:tcPr>
                            <w:tcW w:w="300" w:type="dxa"/>
                            <w:tcBorders/>
                            <w:vAlign w:val="center"/>
                          </w:tcPr>
                          <w:p>
                            <w:pPr>
                              <w:pStyle w:val="TableContents"/>
                              <w:bidi w:val="0"/>
                              <w:spacing w:before="0" w:after="283"/>
                              <w:jc w:val="left"/>
                              <w:rPr/>
                            </w:pPr>
                            <w:r>
                              <w:rPr/>
                              <w:t>     </w:t>
                            </w:r>
                          </w:p>
                        </w:tc>
                        <w:tc>
                          <w:tcPr>
                            <w:tcW w:w="5027" w:type="dxa"/>
                            <w:tcBorders/>
                            <w:vAlign w:val="center"/>
                          </w:tcPr>
                          <w:p>
                            <w:pPr>
                              <w:pStyle w:val="TableContents"/>
                              <w:bidi w:val="0"/>
                              <w:spacing w:before="0" w:after="60"/>
                              <w:jc w:val="left"/>
                              <w:rPr/>
                            </w:pPr>
                            <w:r>
                              <w:rPr/>
                              <w:t xml:space="preserve">AGE </w:t>
                            </w:r>
                            <w:r>
                              <w:rPr>
                                <w:b/>
                              </w:rPr>
                              <w:t>75</w:t>
                            </w:r>
                          </w:p>
                          <w:p>
                            <w:pPr>
                              <w:pStyle w:val="TableContents"/>
                              <w:bidi w:val="0"/>
                              <w:jc w:val="left"/>
                              <w:rPr/>
                            </w:pPr>
                            <w:r>
                              <w:rPr/>
                              <w:t xml:space="preserve">DIRECTOR SINCE </w:t>
                            </w:r>
                            <w:r>
                              <w:rPr>
                                <w:b/>
                              </w:rPr>
                              <w:t>2016</w:t>
                            </w:r>
                          </w:p>
                          <w:p>
                            <w:pPr>
                              <w:pStyle w:val="TableContents"/>
                              <w:bidi w:val="0"/>
                              <w:jc w:val="left"/>
                              <w:rPr/>
                            </w:pPr>
                            <w:r>
                              <w:rPr/>
                              <w:t>BOARD COMMITTEES</w:t>
                            </w:r>
                          </w:p>
                          <w:p>
                            <w:pPr>
                              <w:pStyle w:val="TableContents"/>
                              <w:bidi w:val="0"/>
                              <w:spacing w:before="0" w:after="283"/>
                              <w:jc w:val="left"/>
                              <w:rPr>
                                <w:b/>
                              </w:rPr>
                            </w:pPr>
                            <w:r>
                              <w:rPr>
                                <w:b/>
                              </w:rPr>
                              <w:t>Governance and Public Policy, Human Capital &amp; Compensation</w:t>
                            </w:r>
                          </w:p>
                        </w:tc>
                      </w:tr>
                      <w:tr>
                        <w:trPr/>
                        <w:tc>
                          <w:tcPr>
                            <w:tcW w:w="4878" w:type="dxa"/>
                            <w:tcBorders/>
                            <w:vAlign w:val="center"/>
                          </w:tcPr>
                          <w:p>
                            <w:pPr>
                              <w:pStyle w:val="TableContents"/>
                              <w:bidi w:val="0"/>
                              <w:spacing w:before="0" w:after="283"/>
                              <w:jc w:val="left"/>
                              <w:rPr>
                                <w:b/>
                                <w:sz w:val="20"/>
                              </w:rPr>
                            </w:pPr>
                            <w:r>
                              <w:rPr>
                                <w:b/>
                                <w:sz w:val="20"/>
                              </w:rPr>
                              <w:t>Key Skills and Expertise</w:t>
                            </w:r>
                          </w:p>
                        </w:tc>
                        <w:tc>
                          <w:tcPr>
                            <w:tcW w:w="300" w:type="dxa"/>
                            <w:tcBorders/>
                            <w:vAlign w:val="center"/>
                          </w:tcPr>
                          <w:p>
                            <w:pPr>
                              <w:pStyle w:val="TableContents"/>
                              <w:bidi w:val="0"/>
                              <w:spacing w:before="0" w:after="283"/>
                              <w:jc w:val="left"/>
                              <w:rPr/>
                            </w:pPr>
                            <w:r>
                              <w:rPr/>
                              <w:t> </w:t>
                            </w:r>
                          </w:p>
                        </w:tc>
                        <w:tc>
                          <w:tcPr>
                            <w:tcW w:w="5027"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8625" w:type="dxa"/>
                        <w:jc w:val="left"/>
                        <w:tblInd w:w="0" w:type="dxa"/>
                        <w:tblLayout w:type="fixed"/>
                        <w:tblCellMar>
                          <w:top w:w="0" w:type="dxa"/>
                          <w:left w:w="0" w:type="dxa"/>
                          <w:bottom w:w="0" w:type="dxa"/>
                          <w:right w:w="0" w:type="dxa"/>
                        </w:tblCellMar>
                      </w:tblPr>
                      <w:tblGrid>
                        <w:gridCol w:w="315"/>
                        <w:gridCol w:w="1340"/>
                        <w:gridCol w:w="300"/>
                        <w:gridCol w:w="3860"/>
                        <w:gridCol w:w="330"/>
                        <w:gridCol w:w="2480"/>
                      </w:tblGrid>
                      <w:tr>
                        <w:trPr/>
                        <w:tc>
                          <w:tcPr>
                            <w:tcW w:w="315" w:type="dxa"/>
                            <w:tcBorders/>
                            <w:vAlign w:val="center"/>
                          </w:tcPr>
                          <w:p>
                            <w:pPr>
                              <w:pStyle w:val="TableContents"/>
                              <w:bidi w:val="0"/>
                              <w:spacing w:before="0" w:after="283"/>
                              <w:jc w:val="left"/>
                              <w:rPr/>
                            </w:pPr>
                            <w:r>
                              <w:rPr/>
                              <w:drawing>
                                <wp:inline distT="0" distB="0" distL="0" distR="0">
                                  <wp:extent cx="190500" cy="428625"/>
                                  <wp:effectExtent l="0" t="0" r="0" b="0"/>
                                  <wp:docPr id="228" name="Image1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 name="Image160" descr=""/>
                                          <pic:cNvPicPr>
                                            <a:picLocks noChangeAspect="1" noChangeArrowheads="1"/>
                                          </pic:cNvPicPr>
                                        </pic:nvPicPr>
                                        <pic:blipFill>
                                          <a:blip r:embed="rId196"/>
                                          <a:stretch>
                                            <a:fillRect/>
                                          </a:stretch>
                                        </pic:blipFill>
                                        <pic:spPr bwMode="auto">
                                          <a:xfrm>
                                            <a:off x="0" y="0"/>
                                            <a:ext cx="190500" cy="428625"/>
                                          </a:xfrm>
                                          <a:prstGeom prst="rect">
                                            <a:avLst/>
                                          </a:prstGeom>
                                        </pic:spPr>
                                      </pic:pic>
                                    </a:graphicData>
                                  </a:graphic>
                                </wp:inline>
                              </w:drawing>
                            </w:r>
                          </w:p>
                        </w:tc>
                        <w:tc>
                          <w:tcPr>
                            <w:tcW w:w="1340" w:type="dxa"/>
                            <w:tcBorders/>
                            <w:vAlign w:val="center"/>
                          </w:tcPr>
                          <w:p>
                            <w:pPr>
                              <w:pStyle w:val="TableContents"/>
                              <w:bidi w:val="0"/>
                              <w:spacing w:before="0" w:after="283"/>
                              <w:jc w:val="left"/>
                              <w:rPr/>
                            </w:pPr>
                            <w:r>
                              <w:rPr/>
                              <w:t>FINANCIAL</w:t>
                            </w:r>
                          </w:p>
                        </w:tc>
                        <w:tc>
                          <w:tcPr>
                            <w:tcW w:w="300" w:type="dxa"/>
                            <w:tcBorders/>
                            <w:vAlign w:val="center"/>
                          </w:tcPr>
                          <w:p>
                            <w:pPr>
                              <w:pStyle w:val="TableContents"/>
                              <w:bidi w:val="0"/>
                              <w:spacing w:before="0" w:after="283"/>
                              <w:jc w:val="left"/>
                              <w:rPr/>
                            </w:pPr>
                            <w:r>
                              <w:rPr/>
                              <w:drawing>
                                <wp:inline distT="0" distB="0" distL="0" distR="0">
                                  <wp:extent cx="190500" cy="190500"/>
                                  <wp:effectExtent l="0" t="0" r="0" b="0"/>
                                  <wp:docPr id="229" name="Image1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 name="Image161" descr=""/>
                                          <pic:cNvPicPr>
                                            <a:picLocks noChangeAspect="1" noChangeArrowheads="1"/>
                                          </pic:cNvPicPr>
                                        </pic:nvPicPr>
                                        <pic:blipFill>
                                          <a:blip r:embed="rId197"/>
                                          <a:stretch>
                                            <a:fillRect/>
                                          </a:stretch>
                                        </pic:blipFill>
                                        <pic:spPr bwMode="auto">
                                          <a:xfrm>
                                            <a:off x="0" y="0"/>
                                            <a:ext cx="190500" cy="190500"/>
                                          </a:xfrm>
                                          <a:prstGeom prst="rect">
                                            <a:avLst/>
                                          </a:prstGeom>
                                        </pic:spPr>
                                      </pic:pic>
                                    </a:graphicData>
                                  </a:graphic>
                                </wp:inline>
                              </w:drawing>
                            </w:r>
                          </w:p>
                        </w:tc>
                        <w:tc>
                          <w:tcPr>
                            <w:tcW w:w="3860" w:type="dxa"/>
                            <w:tcBorders/>
                            <w:vAlign w:val="center"/>
                          </w:tcPr>
                          <w:p>
                            <w:pPr>
                              <w:pStyle w:val="TableContents"/>
                              <w:bidi w:val="0"/>
                              <w:spacing w:before="0" w:after="283"/>
                              <w:jc w:val="left"/>
                              <w:rPr/>
                            </w:pPr>
                            <w:r>
                              <w:rPr/>
                              <w:t>RISK MANAGEMENT/OVERSIGHT</w:t>
                            </w:r>
                          </w:p>
                        </w:tc>
                        <w:tc>
                          <w:tcPr>
                            <w:tcW w:w="330" w:type="dxa"/>
                            <w:tcBorders/>
                            <w:vAlign w:val="center"/>
                          </w:tcPr>
                          <w:p>
                            <w:pPr>
                              <w:pStyle w:val="TableContents"/>
                              <w:bidi w:val="0"/>
                              <w:spacing w:before="0" w:after="283"/>
                              <w:jc w:val="left"/>
                              <w:rPr/>
                            </w:pPr>
                            <w:r>
                              <w:rPr/>
                              <w:drawing>
                                <wp:inline distT="0" distB="0" distL="0" distR="0">
                                  <wp:extent cx="209550" cy="419100"/>
                                  <wp:effectExtent l="0" t="0" r="0" b="0"/>
                                  <wp:docPr id="230" name="Image1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 name="Image162" descr=""/>
                                          <pic:cNvPicPr>
                                            <a:picLocks noChangeAspect="1" noChangeArrowheads="1"/>
                                          </pic:cNvPicPr>
                                        </pic:nvPicPr>
                                        <pic:blipFill>
                                          <a:blip r:embed="rId198"/>
                                          <a:stretch>
                                            <a:fillRect/>
                                          </a:stretch>
                                        </pic:blipFill>
                                        <pic:spPr bwMode="auto">
                                          <a:xfrm>
                                            <a:off x="0" y="0"/>
                                            <a:ext cx="209550" cy="419100"/>
                                          </a:xfrm>
                                          <a:prstGeom prst="rect">
                                            <a:avLst/>
                                          </a:prstGeom>
                                        </pic:spPr>
                                      </pic:pic>
                                    </a:graphicData>
                                  </a:graphic>
                                </wp:inline>
                              </w:drawing>
                            </w:r>
                          </w:p>
                        </w:tc>
                        <w:tc>
                          <w:tcPr>
                            <w:tcW w:w="2480" w:type="dxa"/>
                            <w:tcBorders/>
                            <w:vAlign w:val="center"/>
                          </w:tcPr>
                          <w:p>
                            <w:pPr>
                              <w:pStyle w:val="TableContents"/>
                              <w:bidi w:val="0"/>
                              <w:spacing w:before="0" w:after="283"/>
                              <w:jc w:val="left"/>
                              <w:rPr/>
                            </w:pPr>
                            <w:r>
                              <w:rPr/>
                              <w:t>SENIOR LEADERSHIP</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11">
                <wp:simplePos x="0" y="0"/>
                <wp:positionH relativeFrom="column">
                  <wp:align>right</wp:align>
                </wp:positionH>
                <wp:positionV relativeFrom="line">
                  <wp:posOffset>635</wp:posOffset>
                </wp:positionV>
                <wp:extent cx="1943735" cy="5248275"/>
                <wp:effectExtent l="0" t="0" r="0" b="0"/>
                <wp:wrapSquare wrapText="left"/>
                <wp:docPr id="231" name="Frame34"/>
                <a:graphic xmlns:a="http://schemas.openxmlformats.org/drawingml/2006/main">
                  <a:graphicData uri="http://schemas.microsoft.com/office/word/2010/wordprocessingShape">
                    <wps:wsp>
                      <wps:cNvSpPr txBox="1"/>
                      <wps:spPr>
                        <a:xfrm>
                          <a:off x="0" y="0"/>
                          <a:ext cx="1943735" cy="5248275"/>
                        </a:xfrm>
                        <a:prstGeom prst="rect"/>
                        <a:solidFill>
                          <a:srgbClr val="FFFFFF"/>
                        </a:solidFill>
                      </wps:spPr>
                      <wps:txbx>
                        <w:txbxContent>
                          <w:p>
                            <w:pPr>
                              <w:pStyle w:val="TextBody"/>
                              <w:bidi w:val="0"/>
                              <w:spacing w:before="0" w:after="283"/>
                              <w:ind w:left="0" w:right="0" w:hanging="0"/>
                              <w:jc w:val="right"/>
                              <w:rPr>
                                <w:caps w:val="false"/>
                                <w:smallCaps w:val="false"/>
                              </w:rPr>
                            </w:pPr>
                            <w:r>
                              <w:rPr>
                                <w:caps w:val="false"/>
                                <w:smallCaps w:val="false"/>
                              </w:rPr>
                              <w:drawing>
                                <wp:inline distT="0" distB="0" distL="0" distR="0">
                                  <wp:extent cx="1619250" cy="5019675"/>
                                  <wp:effectExtent l="0" t="0" r="0" b="0"/>
                                  <wp:docPr id="232" name="Image1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 name="Image163" descr=""/>
                                          <pic:cNvPicPr>
                                            <a:picLocks noChangeAspect="1" noChangeArrowheads="1"/>
                                          </pic:cNvPicPr>
                                        </pic:nvPicPr>
                                        <pic:blipFill>
                                          <a:blip r:embed="rId199"/>
                                          <a:stretch>
                                            <a:fillRect/>
                                          </a:stretch>
                                        </pic:blipFill>
                                        <pic:spPr bwMode="auto">
                                          <a:xfrm>
                                            <a:off x="0" y="0"/>
                                            <a:ext cx="1619250" cy="5019675"/>
                                          </a:xfrm>
                                          <a:prstGeom prst="rect">
                                            <a:avLst/>
                                          </a:prstGeom>
                                        </pic:spPr>
                                      </pic:pic>
                                    </a:graphicData>
                                  </a:graphic>
                                </wp:inline>
                              </w:drawing>
                            </w:r>
                          </w:p>
                        </w:txbxContent>
                      </wps:txbx>
                      <wps:bodyPr anchor="t" lIns="0" tIns="0" rIns="0" bIns="0">
                        <a:noAutofit/>
                      </wps:bodyPr>
                    </wps:wsp>
                  </a:graphicData>
                </a:graphic>
                <wp14:sizeRelH relativeFrom="margin">
                  <wp14:pctWidth>30000</wp14:pctWidth>
                </wp14:sizeRelH>
              </wp:anchor>
            </w:drawing>
          </mc:Choice>
          <mc:Fallback>
            <w:pict>
              <v:rect style="position:absolute;rotation:-0;width:153.05pt;height:413.25pt;mso-wrap-distance-left:0pt;mso-wrap-distance-right:0pt;mso-wrap-distance-top:0pt;mso-wrap-distance-bottom:0pt;margin-top:0pt;mso-position-vertical:top;mso-position-vertical-relative:text;margin-left:357.2pt;mso-position-horizontal:right;mso-position-horizontal-relative:text">
                <v:textbox>
                  <w:txbxContent>
                    <w:p>
                      <w:pPr>
                        <w:pStyle w:val="TextBody"/>
                        <w:bidi w:val="0"/>
                        <w:spacing w:before="0" w:after="283"/>
                        <w:ind w:left="0" w:right="0" w:hanging="0"/>
                        <w:jc w:val="right"/>
                        <w:rPr>
                          <w:caps w:val="false"/>
                          <w:smallCaps w:val="false"/>
                        </w:rPr>
                      </w:pPr>
                      <w:r>
                        <w:rPr>
                          <w:caps w:val="false"/>
                          <w:smallCaps w:val="false"/>
                        </w:rPr>
                        <w:drawing>
                          <wp:inline distT="0" distB="0" distL="0" distR="0">
                            <wp:extent cx="1619250" cy="5019675"/>
                            <wp:effectExtent l="0" t="0" r="0" b="0"/>
                            <wp:docPr id="233" name="Image1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 name="Image163" descr=""/>
                                    <pic:cNvPicPr>
                                      <a:picLocks noChangeAspect="1" noChangeArrowheads="1"/>
                                    </pic:cNvPicPr>
                                  </pic:nvPicPr>
                                  <pic:blipFill>
                                    <a:blip r:embed="rId200"/>
                                    <a:stretch>
                                      <a:fillRect/>
                                    </a:stretch>
                                  </pic:blipFill>
                                  <pic:spPr bwMode="auto">
                                    <a:xfrm>
                                      <a:off x="0" y="0"/>
                                      <a:ext cx="1619250" cy="5019675"/>
                                    </a:xfrm>
                                    <a:prstGeom prst="rect">
                                      <a:avLst/>
                                    </a:prstGeom>
                                  </pic:spPr>
                                </pic:pic>
                              </a:graphicData>
                            </a:graphic>
                          </wp:inline>
                        </w:drawing>
                      </w:r>
                    </w:p>
                  </w:txbxContent>
                </v:textbox>
                <w10:wrap type="square" side="left"/>
              </v:rect>
            </w:pict>
          </mc:Fallback>
        </mc:AlternateConten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r>
        <mc:AlternateContent>
          <mc:Choice Requires="wps">
            <w:drawing>
              <wp:anchor behindDoc="0" distT="0" distB="0" distL="0" distR="0" simplePos="0" locked="0" layoutInCell="1" allowOverlap="1" relativeHeight="301">
                <wp:simplePos x="0" y="0"/>
                <wp:positionH relativeFrom="column">
                  <wp:align>left</wp:align>
                </wp:positionH>
                <wp:positionV relativeFrom="line">
                  <wp:posOffset>635</wp:posOffset>
                </wp:positionV>
                <wp:extent cx="3110230" cy="3615690"/>
                <wp:effectExtent l="0" t="0" r="0" b="0"/>
                <wp:wrapSquare wrapText="right"/>
                <wp:docPr id="234" name="Frame35"/>
                <a:graphic xmlns:a="http://schemas.openxmlformats.org/drawingml/2006/main">
                  <a:graphicData uri="http://schemas.microsoft.com/office/word/2010/wordprocessingShape">
                    <wps:wsp>
                      <wps:cNvSpPr txBox="1"/>
                      <wps:spPr>
                        <a:xfrm>
                          <a:off x="0" y="0"/>
                          <a:ext cx="3110230" cy="3615690"/>
                        </a:xfrm>
                        <a:prstGeom prst="rect"/>
                        <a:solidFill>
                          <a:srgbClr val="FFFFFF"/>
                        </a:solidFill>
                      </wps:spPr>
                      <wps:txbx>
                        <w:txbxContent>
                          <w:p>
                            <w:pPr>
                              <w:pStyle w:val="TextBody"/>
                              <w:bidi w:val="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Qualifications</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Mr. Reynolds brings to the Board substantial financial and risk management expertise, as well as executive leadership and strategic planning experience gained through his Chief Financial Officer and other leadership roles at large global companies CBS, Viacom and PepsiCo. He also brings his experience and insights from his current and past service on boards of other public companies in a range of industries.</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Experience</w:t>
                            </w:r>
                          </w:p>
                          <w:p>
                            <w:pPr>
                              <w:pStyle w:val="TextBody"/>
                              <w:bidi w:val="0"/>
                              <w:jc w:val="left"/>
                              <w:rPr>
                                <w:caps w:val="false"/>
                                <w:smallCaps w:val="false"/>
                              </w:rPr>
                            </w:pPr>
                            <w:r>
                              <w:rPr>
                                <w:caps w:val="false"/>
                                <w:smallCaps w:val="false"/>
                              </w:rPr>
                              <w:t> </w:t>
                            </w:r>
                          </w:p>
                          <w:tbl>
                            <w:tblPr>
                              <w:tblW w:w="10105" w:type="dxa"/>
                              <w:jc w:val="left"/>
                              <w:tblInd w:w="0" w:type="dxa"/>
                              <w:tblLayout w:type="fixed"/>
                              <w:tblCellMar>
                                <w:top w:w="0" w:type="dxa"/>
                                <w:left w:w="0" w:type="dxa"/>
                                <w:bottom w:w="0" w:type="dxa"/>
                                <w:right w:w="0" w:type="dxa"/>
                              </w:tblCellMar>
                            </w:tblPr>
                            <w:tblGrid>
                              <w:gridCol w:w="185"/>
                              <w:gridCol w:w="9920"/>
                            </w:tblGrid>
                            <w:tr>
                              <w:trPr/>
                              <w:tc>
                                <w:tcPr>
                                  <w:tcW w:w="185" w:type="dxa"/>
                                  <w:tcBorders/>
                                  <w:vAlign w:val="center"/>
                                </w:tcPr>
                                <w:p>
                                  <w:pPr>
                                    <w:pStyle w:val="TableContents"/>
                                    <w:bidi w:val="0"/>
                                    <w:spacing w:before="0" w:after="283"/>
                                    <w:jc w:val="left"/>
                                    <w:rPr/>
                                  </w:pPr>
                                  <w:r>
                                    <w:rPr/>
                                    <w:t>●</w:t>
                                  </w:r>
                                </w:p>
                              </w:tc>
                              <w:tc>
                                <w:tcPr>
                                  <w:tcW w:w="9920" w:type="dxa"/>
                                  <w:tcBorders/>
                                  <w:vAlign w:val="center"/>
                                </w:tcPr>
                                <w:p>
                                  <w:pPr>
                                    <w:pStyle w:val="TableContents"/>
                                    <w:bidi w:val="0"/>
                                    <w:spacing w:before="0" w:after="283"/>
                                    <w:jc w:val="left"/>
                                    <w:rPr/>
                                  </w:pPr>
                                  <w:r>
                                    <w:rPr/>
                                    <w:t>Executive Vice President &amp; Chief Financial Officer, CBS Corporation (media), 2005–2009</w:t>
                                  </w:r>
                                </w:p>
                              </w:tc>
                            </w:tr>
                            <w:tr>
                              <w:trPr/>
                              <w:tc>
                                <w:tcPr>
                                  <w:tcW w:w="185" w:type="dxa"/>
                                  <w:tcBorders/>
                                  <w:vAlign w:val="center"/>
                                </w:tcPr>
                                <w:p>
                                  <w:pPr>
                                    <w:pStyle w:val="TableContents"/>
                                    <w:bidi w:val="0"/>
                                    <w:spacing w:before="0" w:after="283"/>
                                    <w:jc w:val="left"/>
                                    <w:rPr/>
                                  </w:pPr>
                                  <w:r>
                                    <w:rPr/>
                                    <w:t>●</w:t>
                                  </w:r>
                                </w:p>
                              </w:tc>
                              <w:tc>
                                <w:tcPr>
                                  <w:tcW w:w="9920" w:type="dxa"/>
                                  <w:tcBorders/>
                                  <w:vAlign w:val="center"/>
                                </w:tcPr>
                                <w:p>
                                  <w:pPr>
                                    <w:pStyle w:val="TableContents"/>
                                    <w:bidi w:val="0"/>
                                    <w:spacing w:before="0" w:after="283"/>
                                    <w:jc w:val="left"/>
                                    <w:rPr/>
                                  </w:pPr>
                                  <w:r>
                                    <w:rPr/>
                                    <w:t>President &amp; Chief Executive Officer, Viacom Television Stations Group (CBS predecessor), 2001–2005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284.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Qualifications</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Mr. Reynolds brings to the Board substantial financial and risk management expertise, as well as executive leadership and strategic planning experience gained through his Chief Financial Officer and other leadership roles at large global companies CBS, Viacom and PepsiCo. He also brings his experience and insights from his current and past service on boards of other public companies in a range of industries.</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Experience</w:t>
                      </w:r>
                    </w:p>
                    <w:p>
                      <w:pPr>
                        <w:pStyle w:val="TextBody"/>
                        <w:bidi w:val="0"/>
                        <w:jc w:val="left"/>
                        <w:rPr>
                          <w:caps w:val="false"/>
                          <w:smallCaps w:val="false"/>
                        </w:rPr>
                      </w:pPr>
                      <w:r>
                        <w:rPr>
                          <w:caps w:val="false"/>
                          <w:smallCaps w:val="false"/>
                        </w:rPr>
                        <w:t> </w:t>
                      </w:r>
                    </w:p>
                    <w:tbl>
                      <w:tblPr>
                        <w:tblW w:w="10105" w:type="dxa"/>
                        <w:jc w:val="left"/>
                        <w:tblInd w:w="0" w:type="dxa"/>
                        <w:tblLayout w:type="fixed"/>
                        <w:tblCellMar>
                          <w:top w:w="0" w:type="dxa"/>
                          <w:left w:w="0" w:type="dxa"/>
                          <w:bottom w:w="0" w:type="dxa"/>
                          <w:right w:w="0" w:type="dxa"/>
                        </w:tblCellMar>
                      </w:tblPr>
                      <w:tblGrid>
                        <w:gridCol w:w="185"/>
                        <w:gridCol w:w="9920"/>
                      </w:tblGrid>
                      <w:tr>
                        <w:trPr/>
                        <w:tc>
                          <w:tcPr>
                            <w:tcW w:w="185" w:type="dxa"/>
                            <w:tcBorders/>
                            <w:vAlign w:val="center"/>
                          </w:tcPr>
                          <w:p>
                            <w:pPr>
                              <w:pStyle w:val="TableContents"/>
                              <w:bidi w:val="0"/>
                              <w:spacing w:before="0" w:after="283"/>
                              <w:jc w:val="left"/>
                              <w:rPr/>
                            </w:pPr>
                            <w:r>
                              <w:rPr/>
                              <w:t>●</w:t>
                            </w:r>
                          </w:p>
                        </w:tc>
                        <w:tc>
                          <w:tcPr>
                            <w:tcW w:w="9920" w:type="dxa"/>
                            <w:tcBorders/>
                            <w:vAlign w:val="center"/>
                          </w:tcPr>
                          <w:p>
                            <w:pPr>
                              <w:pStyle w:val="TableContents"/>
                              <w:bidi w:val="0"/>
                              <w:spacing w:before="0" w:after="283"/>
                              <w:jc w:val="left"/>
                              <w:rPr/>
                            </w:pPr>
                            <w:r>
                              <w:rPr/>
                              <w:t>Executive Vice President &amp; Chief Financial Officer, CBS Corporation (media), 2005–2009</w:t>
                            </w:r>
                          </w:p>
                        </w:tc>
                      </w:tr>
                      <w:tr>
                        <w:trPr/>
                        <w:tc>
                          <w:tcPr>
                            <w:tcW w:w="185" w:type="dxa"/>
                            <w:tcBorders/>
                            <w:vAlign w:val="center"/>
                          </w:tcPr>
                          <w:p>
                            <w:pPr>
                              <w:pStyle w:val="TableContents"/>
                              <w:bidi w:val="0"/>
                              <w:spacing w:before="0" w:after="283"/>
                              <w:jc w:val="left"/>
                              <w:rPr/>
                            </w:pPr>
                            <w:r>
                              <w:rPr/>
                              <w:t>●</w:t>
                            </w:r>
                          </w:p>
                        </w:tc>
                        <w:tc>
                          <w:tcPr>
                            <w:tcW w:w="9920" w:type="dxa"/>
                            <w:tcBorders/>
                            <w:vAlign w:val="center"/>
                          </w:tcPr>
                          <w:p>
                            <w:pPr>
                              <w:pStyle w:val="TableContents"/>
                              <w:bidi w:val="0"/>
                              <w:spacing w:before="0" w:after="283"/>
                              <w:jc w:val="left"/>
                              <w:rPr/>
                            </w:pPr>
                            <w:r>
                              <w:rPr/>
                              <w:t>President &amp; Chief Executive Officer, Viacom Television Stations Group (CBS predecessor), 2001–2005</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302">
                <wp:simplePos x="0" y="0"/>
                <wp:positionH relativeFrom="column">
                  <wp:align>right</wp:align>
                </wp:positionH>
                <wp:positionV relativeFrom="line">
                  <wp:posOffset>635</wp:posOffset>
                </wp:positionV>
                <wp:extent cx="3110230" cy="5257165"/>
                <wp:effectExtent l="0" t="0" r="0" b="0"/>
                <wp:wrapSquare wrapText="left"/>
                <wp:docPr id="235" name="Frame36"/>
                <a:graphic xmlns:a="http://schemas.openxmlformats.org/drawingml/2006/main">
                  <a:graphicData uri="http://schemas.microsoft.com/office/word/2010/wordprocessingShape">
                    <wps:wsp>
                      <wps:cNvSpPr txBox="1"/>
                      <wps:spPr>
                        <a:xfrm>
                          <a:off x="0" y="0"/>
                          <a:ext cx="3110230" cy="5257165"/>
                        </a:xfrm>
                        <a:prstGeom prst="rect"/>
                        <a:solidFill>
                          <a:srgbClr val="FFFFFF"/>
                        </a:solidFill>
                      </wps:spPr>
                      <wps:txbx>
                        <w:txbxContent>
                          <w:tbl>
                            <w:tblPr>
                              <w:tblW w:w="9730" w:type="dxa"/>
                              <w:jc w:val="left"/>
                              <w:tblInd w:w="0" w:type="dxa"/>
                              <w:tblLayout w:type="fixed"/>
                              <w:tblCellMar>
                                <w:top w:w="0" w:type="dxa"/>
                                <w:left w:w="0" w:type="dxa"/>
                                <w:bottom w:w="0" w:type="dxa"/>
                                <w:right w:w="0" w:type="dxa"/>
                              </w:tblCellMar>
                            </w:tblPr>
                            <w:tblGrid>
                              <w:gridCol w:w="185"/>
                              <w:gridCol w:w="9545"/>
                            </w:tblGrid>
                            <w:tr>
                              <w:trPr/>
                              <w:tc>
                                <w:tcPr>
                                  <w:tcW w:w="185" w:type="dxa"/>
                                  <w:tcBorders/>
                                  <w:vAlign w:val="center"/>
                                </w:tcPr>
                                <w:p>
                                  <w:pPr>
                                    <w:pStyle w:val="TableContents"/>
                                    <w:bidi w:val="0"/>
                                    <w:spacing w:before="0" w:after="283"/>
                                    <w:jc w:val="left"/>
                                    <w:rPr/>
                                  </w:pPr>
                                  <w:r>
                                    <w:rPr/>
                                    <w:t>●</w:t>
                                  </w:r>
                                </w:p>
                              </w:tc>
                              <w:tc>
                                <w:tcPr>
                                  <w:tcW w:w="9545" w:type="dxa"/>
                                  <w:tcBorders/>
                                  <w:vAlign w:val="center"/>
                                </w:tcPr>
                                <w:p>
                                  <w:pPr>
                                    <w:pStyle w:val="TableContents"/>
                                    <w:bidi w:val="0"/>
                                    <w:spacing w:before="0" w:after="283"/>
                                    <w:jc w:val="left"/>
                                    <w:rPr/>
                                  </w:pPr>
                                  <w:r>
                                    <w:rPr/>
                                    <w:t>Executive Vice President &amp; Chief Financial Officer, Viacom, Inc., 2000–2001</w:t>
                                  </w:r>
                                </w:p>
                              </w:tc>
                            </w:tr>
                            <w:tr>
                              <w:trPr/>
                              <w:tc>
                                <w:tcPr>
                                  <w:tcW w:w="185" w:type="dxa"/>
                                  <w:tcBorders/>
                                  <w:vAlign w:val="center"/>
                                </w:tcPr>
                                <w:p>
                                  <w:pPr>
                                    <w:pStyle w:val="TableContents"/>
                                    <w:bidi w:val="0"/>
                                    <w:spacing w:before="0" w:after="283"/>
                                    <w:jc w:val="left"/>
                                    <w:rPr/>
                                  </w:pPr>
                                  <w:r>
                                    <w:rPr/>
                                    <w:t>●</w:t>
                                  </w:r>
                                </w:p>
                              </w:tc>
                              <w:tc>
                                <w:tcPr>
                                  <w:tcW w:w="9545" w:type="dxa"/>
                                  <w:tcBorders/>
                                  <w:vAlign w:val="center"/>
                                </w:tcPr>
                                <w:p>
                                  <w:pPr>
                                    <w:pStyle w:val="TableContents"/>
                                    <w:bidi w:val="0"/>
                                    <w:spacing w:before="0" w:after="283"/>
                                    <w:jc w:val="left"/>
                                    <w:rPr/>
                                  </w:pPr>
                                  <w:r>
                                    <w:rPr/>
                                    <w:t>Executive Vice President &amp; Chief Financial Officer, Westinghouse Electric Corporation, 1994–2000</w:t>
                                  </w:r>
                                </w:p>
                              </w:tc>
                            </w:tr>
                            <w:tr>
                              <w:trPr/>
                              <w:tc>
                                <w:tcPr>
                                  <w:tcW w:w="185" w:type="dxa"/>
                                  <w:tcBorders/>
                                  <w:vAlign w:val="center"/>
                                </w:tcPr>
                                <w:p>
                                  <w:pPr>
                                    <w:pStyle w:val="TableContents"/>
                                    <w:bidi w:val="0"/>
                                    <w:spacing w:before="0" w:after="283"/>
                                    <w:jc w:val="left"/>
                                    <w:rPr/>
                                  </w:pPr>
                                  <w:r>
                                    <w:rPr/>
                                    <w:t>●</w:t>
                                  </w:r>
                                </w:p>
                              </w:tc>
                              <w:tc>
                                <w:tcPr>
                                  <w:tcW w:w="9545" w:type="dxa"/>
                                  <w:tcBorders/>
                                  <w:vAlign w:val="center"/>
                                </w:tcPr>
                                <w:p>
                                  <w:pPr>
                                    <w:pStyle w:val="TableContents"/>
                                    <w:bidi w:val="0"/>
                                    <w:spacing w:before="0" w:after="283"/>
                                    <w:jc w:val="left"/>
                                    <w:rPr/>
                                  </w:pPr>
                                  <w:r>
                                    <w:rPr/>
                                    <w:t>Various positions at PepsiCo, Inc., 1982–1994</w:t>
                                  </w:r>
                                </w:p>
                              </w:tc>
                            </w:tr>
                          </w:tbl>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Other Current Directorships</w:t>
                            </w:r>
                          </w:p>
                          <w:p>
                            <w:pPr>
                              <w:pStyle w:val="TextBody"/>
                              <w:bidi w:val="0"/>
                              <w:jc w:val="left"/>
                              <w:rPr>
                                <w:caps w:val="false"/>
                                <w:smallCaps w:val="false"/>
                              </w:rPr>
                            </w:pPr>
                            <w:r>
                              <w:rPr>
                                <w:caps w:val="false"/>
                                <w:smallCaps w:val="false"/>
                              </w:rPr>
                              <w:t> </w:t>
                            </w:r>
                          </w:p>
                          <w:tbl>
                            <w:tblPr>
                              <w:tblW w:w="2650" w:type="dxa"/>
                              <w:jc w:val="left"/>
                              <w:tblInd w:w="0" w:type="dxa"/>
                              <w:tblLayout w:type="fixed"/>
                              <w:tblCellMar>
                                <w:top w:w="0" w:type="dxa"/>
                                <w:left w:w="0" w:type="dxa"/>
                                <w:bottom w:w="0" w:type="dxa"/>
                                <w:right w:w="0" w:type="dxa"/>
                              </w:tblCellMar>
                            </w:tblPr>
                            <w:tblGrid>
                              <w:gridCol w:w="185"/>
                              <w:gridCol w:w="2465"/>
                            </w:tblGrid>
                            <w:tr>
                              <w:trPr/>
                              <w:tc>
                                <w:tcPr>
                                  <w:tcW w:w="185" w:type="dxa"/>
                                  <w:tcBorders/>
                                  <w:vAlign w:val="center"/>
                                </w:tcPr>
                                <w:p>
                                  <w:pPr>
                                    <w:pStyle w:val="TableContents"/>
                                    <w:bidi w:val="0"/>
                                    <w:spacing w:before="0" w:after="283"/>
                                    <w:jc w:val="left"/>
                                    <w:rPr/>
                                  </w:pPr>
                                  <w:r>
                                    <w:rPr/>
                                    <w:t>●</w:t>
                                  </w:r>
                                </w:p>
                              </w:tc>
                              <w:tc>
                                <w:tcPr>
                                  <w:tcW w:w="2465" w:type="dxa"/>
                                  <w:tcBorders/>
                                  <w:vAlign w:val="center"/>
                                </w:tcPr>
                                <w:p>
                                  <w:pPr>
                                    <w:pStyle w:val="TableContents"/>
                                    <w:bidi w:val="0"/>
                                    <w:spacing w:before="0" w:after="283"/>
                                    <w:jc w:val="left"/>
                                    <w:rPr/>
                                  </w:pPr>
                                  <w:r>
                                    <w:rPr/>
                                    <w:t>Pinterest, Inc., since 2017</w:t>
                                  </w:r>
                                </w:p>
                              </w:tc>
                            </w:tr>
                          </w:tbl>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Former Public Company Directorships</w:t>
                            </w:r>
                          </w:p>
                          <w:p>
                            <w:pPr>
                              <w:pStyle w:val="TextBody"/>
                              <w:bidi w:val="0"/>
                              <w:jc w:val="left"/>
                              <w:rPr>
                                <w:caps w:val="false"/>
                                <w:smallCaps w:val="false"/>
                              </w:rPr>
                            </w:pPr>
                            <w:r>
                              <w:rPr>
                                <w:caps w:val="false"/>
                                <w:smallCaps w:val="false"/>
                              </w:rPr>
                              <w:t> </w:t>
                            </w:r>
                          </w:p>
                          <w:tbl>
                            <w:tblPr>
                              <w:tblW w:w="4585" w:type="dxa"/>
                              <w:jc w:val="left"/>
                              <w:tblInd w:w="0" w:type="dxa"/>
                              <w:tblLayout w:type="fixed"/>
                              <w:tblCellMar>
                                <w:top w:w="0" w:type="dxa"/>
                                <w:left w:w="0" w:type="dxa"/>
                                <w:bottom w:w="0" w:type="dxa"/>
                                <w:right w:w="0" w:type="dxa"/>
                              </w:tblCellMar>
                            </w:tblPr>
                            <w:tblGrid>
                              <w:gridCol w:w="185"/>
                              <w:gridCol w:w="4400"/>
                            </w:tblGrid>
                            <w:tr>
                              <w:trPr/>
                              <w:tc>
                                <w:tcPr>
                                  <w:tcW w:w="185" w:type="dxa"/>
                                  <w:tcBorders/>
                                  <w:vAlign w:val="center"/>
                                </w:tcPr>
                                <w:p>
                                  <w:pPr>
                                    <w:pStyle w:val="TableContents"/>
                                    <w:bidi w:val="0"/>
                                    <w:spacing w:before="0" w:after="283"/>
                                    <w:jc w:val="left"/>
                                    <w:rPr/>
                                  </w:pPr>
                                  <w:r>
                                    <w:rPr/>
                                    <w:t>●</w:t>
                                  </w:r>
                                </w:p>
                              </w:tc>
                              <w:tc>
                                <w:tcPr>
                                  <w:tcW w:w="4400" w:type="dxa"/>
                                  <w:tcBorders/>
                                  <w:vAlign w:val="center"/>
                                </w:tcPr>
                                <w:p>
                                  <w:pPr>
                                    <w:pStyle w:val="TableContents"/>
                                    <w:bidi w:val="0"/>
                                    <w:spacing w:before="0" w:after="283"/>
                                    <w:jc w:val="left"/>
                                    <w:rPr/>
                                  </w:pPr>
                                  <w:r>
                                    <w:rPr/>
                                    <w:t>Mondelez International, Inc., 2007–May 2022</w:t>
                                  </w:r>
                                </w:p>
                              </w:tc>
                            </w:tr>
                            <w:tr>
                              <w:trPr/>
                              <w:tc>
                                <w:tcPr>
                                  <w:tcW w:w="185" w:type="dxa"/>
                                  <w:tcBorders/>
                                  <w:vAlign w:val="center"/>
                                </w:tcPr>
                                <w:p>
                                  <w:pPr>
                                    <w:pStyle w:val="TableContents"/>
                                    <w:bidi w:val="0"/>
                                    <w:spacing w:before="0" w:after="283"/>
                                    <w:jc w:val="left"/>
                                    <w:rPr/>
                                  </w:pPr>
                                  <w:r>
                                    <w:rPr/>
                                    <w:t>●</w:t>
                                  </w:r>
                                </w:p>
                              </w:tc>
                              <w:tc>
                                <w:tcPr>
                                  <w:tcW w:w="4400" w:type="dxa"/>
                                  <w:tcBorders/>
                                  <w:vAlign w:val="center"/>
                                </w:tcPr>
                                <w:p>
                                  <w:pPr>
                                    <w:pStyle w:val="TableContents"/>
                                    <w:bidi w:val="0"/>
                                    <w:spacing w:before="0" w:after="283"/>
                                    <w:jc w:val="left"/>
                                    <w:rPr/>
                                  </w:pPr>
                                  <w:r>
                                    <w:rPr/>
                                    <w:t>AOL, Inc., 2009–2015</w:t>
                                  </w:r>
                                </w:p>
                              </w:tc>
                            </w:tr>
                            <w:tr>
                              <w:trPr/>
                              <w:tc>
                                <w:tcPr>
                                  <w:tcW w:w="185" w:type="dxa"/>
                                  <w:tcBorders/>
                                  <w:vAlign w:val="center"/>
                                </w:tcPr>
                                <w:p>
                                  <w:pPr>
                                    <w:pStyle w:val="TableContents"/>
                                    <w:bidi w:val="0"/>
                                    <w:spacing w:before="0" w:after="283"/>
                                    <w:jc w:val="left"/>
                                    <w:rPr/>
                                  </w:pPr>
                                  <w:r>
                                    <w:rPr/>
                                    <w:t>●</w:t>
                                  </w:r>
                                </w:p>
                              </w:tc>
                              <w:tc>
                                <w:tcPr>
                                  <w:tcW w:w="4400" w:type="dxa"/>
                                  <w:tcBorders/>
                                  <w:vAlign w:val="center"/>
                                </w:tcPr>
                                <w:p>
                                  <w:pPr>
                                    <w:pStyle w:val="TableContents"/>
                                    <w:bidi w:val="0"/>
                                    <w:spacing w:before="0" w:after="283"/>
                                    <w:jc w:val="left"/>
                                    <w:rPr/>
                                  </w:pPr>
                                  <w:r>
                                    <w:rPr/>
                                    <w:t>Hess Corporation, 2013–2019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413.95pt;mso-wrap-distance-left:0pt;mso-wrap-distance-right:0pt;mso-wrap-distance-top:0pt;mso-wrap-distance-bottom:0pt;margin-top:0pt;mso-position-vertical:top;mso-position-vertical-relative:text;margin-left:265.35pt;mso-position-horizontal:right;mso-position-horizontal-relative:text">
                <v:textbox>
                  <w:txbxContent>
                    <w:tbl>
                      <w:tblPr>
                        <w:tblW w:w="9730" w:type="dxa"/>
                        <w:jc w:val="left"/>
                        <w:tblInd w:w="0" w:type="dxa"/>
                        <w:tblLayout w:type="fixed"/>
                        <w:tblCellMar>
                          <w:top w:w="0" w:type="dxa"/>
                          <w:left w:w="0" w:type="dxa"/>
                          <w:bottom w:w="0" w:type="dxa"/>
                          <w:right w:w="0" w:type="dxa"/>
                        </w:tblCellMar>
                      </w:tblPr>
                      <w:tblGrid>
                        <w:gridCol w:w="185"/>
                        <w:gridCol w:w="9545"/>
                      </w:tblGrid>
                      <w:tr>
                        <w:trPr/>
                        <w:tc>
                          <w:tcPr>
                            <w:tcW w:w="185" w:type="dxa"/>
                            <w:tcBorders/>
                            <w:vAlign w:val="center"/>
                          </w:tcPr>
                          <w:p>
                            <w:pPr>
                              <w:pStyle w:val="TableContents"/>
                              <w:bidi w:val="0"/>
                              <w:spacing w:before="0" w:after="283"/>
                              <w:jc w:val="left"/>
                              <w:rPr/>
                            </w:pPr>
                            <w:r>
                              <w:rPr/>
                              <w:t>●</w:t>
                            </w:r>
                          </w:p>
                        </w:tc>
                        <w:tc>
                          <w:tcPr>
                            <w:tcW w:w="9545" w:type="dxa"/>
                            <w:tcBorders/>
                            <w:vAlign w:val="center"/>
                          </w:tcPr>
                          <w:p>
                            <w:pPr>
                              <w:pStyle w:val="TableContents"/>
                              <w:bidi w:val="0"/>
                              <w:spacing w:before="0" w:after="283"/>
                              <w:jc w:val="left"/>
                              <w:rPr/>
                            </w:pPr>
                            <w:r>
                              <w:rPr/>
                              <w:t>Executive Vice President &amp; Chief Financial Officer, Viacom, Inc., 2000–2001</w:t>
                            </w:r>
                          </w:p>
                        </w:tc>
                      </w:tr>
                      <w:tr>
                        <w:trPr/>
                        <w:tc>
                          <w:tcPr>
                            <w:tcW w:w="185" w:type="dxa"/>
                            <w:tcBorders/>
                            <w:vAlign w:val="center"/>
                          </w:tcPr>
                          <w:p>
                            <w:pPr>
                              <w:pStyle w:val="TableContents"/>
                              <w:bidi w:val="0"/>
                              <w:spacing w:before="0" w:after="283"/>
                              <w:jc w:val="left"/>
                              <w:rPr/>
                            </w:pPr>
                            <w:r>
                              <w:rPr/>
                              <w:t>●</w:t>
                            </w:r>
                          </w:p>
                        </w:tc>
                        <w:tc>
                          <w:tcPr>
                            <w:tcW w:w="9545" w:type="dxa"/>
                            <w:tcBorders/>
                            <w:vAlign w:val="center"/>
                          </w:tcPr>
                          <w:p>
                            <w:pPr>
                              <w:pStyle w:val="TableContents"/>
                              <w:bidi w:val="0"/>
                              <w:spacing w:before="0" w:after="283"/>
                              <w:jc w:val="left"/>
                              <w:rPr/>
                            </w:pPr>
                            <w:r>
                              <w:rPr/>
                              <w:t>Executive Vice President &amp; Chief Financial Officer, Westinghouse Electric Corporation, 1994–2000</w:t>
                            </w:r>
                          </w:p>
                        </w:tc>
                      </w:tr>
                      <w:tr>
                        <w:trPr/>
                        <w:tc>
                          <w:tcPr>
                            <w:tcW w:w="185" w:type="dxa"/>
                            <w:tcBorders/>
                            <w:vAlign w:val="center"/>
                          </w:tcPr>
                          <w:p>
                            <w:pPr>
                              <w:pStyle w:val="TableContents"/>
                              <w:bidi w:val="0"/>
                              <w:spacing w:before="0" w:after="283"/>
                              <w:jc w:val="left"/>
                              <w:rPr/>
                            </w:pPr>
                            <w:r>
                              <w:rPr/>
                              <w:t>●</w:t>
                            </w:r>
                          </w:p>
                        </w:tc>
                        <w:tc>
                          <w:tcPr>
                            <w:tcW w:w="9545" w:type="dxa"/>
                            <w:tcBorders/>
                            <w:vAlign w:val="center"/>
                          </w:tcPr>
                          <w:p>
                            <w:pPr>
                              <w:pStyle w:val="TableContents"/>
                              <w:bidi w:val="0"/>
                              <w:spacing w:before="0" w:after="283"/>
                              <w:jc w:val="left"/>
                              <w:rPr/>
                            </w:pPr>
                            <w:r>
                              <w:rPr/>
                              <w:t>Various positions at PepsiCo, Inc., 1982–1994</w:t>
                            </w:r>
                          </w:p>
                        </w:tc>
                      </w:tr>
                    </w:tbl>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Other Current Directorships</w:t>
                      </w:r>
                    </w:p>
                    <w:p>
                      <w:pPr>
                        <w:pStyle w:val="TextBody"/>
                        <w:bidi w:val="0"/>
                        <w:jc w:val="left"/>
                        <w:rPr>
                          <w:caps w:val="false"/>
                          <w:smallCaps w:val="false"/>
                        </w:rPr>
                      </w:pPr>
                      <w:r>
                        <w:rPr>
                          <w:caps w:val="false"/>
                          <w:smallCaps w:val="false"/>
                        </w:rPr>
                        <w:t> </w:t>
                      </w:r>
                    </w:p>
                    <w:tbl>
                      <w:tblPr>
                        <w:tblW w:w="2650" w:type="dxa"/>
                        <w:jc w:val="left"/>
                        <w:tblInd w:w="0" w:type="dxa"/>
                        <w:tblLayout w:type="fixed"/>
                        <w:tblCellMar>
                          <w:top w:w="0" w:type="dxa"/>
                          <w:left w:w="0" w:type="dxa"/>
                          <w:bottom w:w="0" w:type="dxa"/>
                          <w:right w:w="0" w:type="dxa"/>
                        </w:tblCellMar>
                      </w:tblPr>
                      <w:tblGrid>
                        <w:gridCol w:w="185"/>
                        <w:gridCol w:w="2465"/>
                      </w:tblGrid>
                      <w:tr>
                        <w:trPr/>
                        <w:tc>
                          <w:tcPr>
                            <w:tcW w:w="185" w:type="dxa"/>
                            <w:tcBorders/>
                            <w:vAlign w:val="center"/>
                          </w:tcPr>
                          <w:p>
                            <w:pPr>
                              <w:pStyle w:val="TableContents"/>
                              <w:bidi w:val="0"/>
                              <w:spacing w:before="0" w:after="283"/>
                              <w:jc w:val="left"/>
                              <w:rPr/>
                            </w:pPr>
                            <w:r>
                              <w:rPr/>
                              <w:t>●</w:t>
                            </w:r>
                          </w:p>
                        </w:tc>
                        <w:tc>
                          <w:tcPr>
                            <w:tcW w:w="2465" w:type="dxa"/>
                            <w:tcBorders/>
                            <w:vAlign w:val="center"/>
                          </w:tcPr>
                          <w:p>
                            <w:pPr>
                              <w:pStyle w:val="TableContents"/>
                              <w:bidi w:val="0"/>
                              <w:spacing w:before="0" w:after="283"/>
                              <w:jc w:val="left"/>
                              <w:rPr/>
                            </w:pPr>
                            <w:r>
                              <w:rPr/>
                              <w:t>Pinterest, Inc., since 2017</w:t>
                            </w:r>
                          </w:p>
                        </w:tc>
                      </w:tr>
                    </w:tbl>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Former Public Company Directorships</w:t>
                      </w:r>
                    </w:p>
                    <w:p>
                      <w:pPr>
                        <w:pStyle w:val="TextBody"/>
                        <w:bidi w:val="0"/>
                        <w:jc w:val="left"/>
                        <w:rPr>
                          <w:caps w:val="false"/>
                          <w:smallCaps w:val="false"/>
                        </w:rPr>
                      </w:pPr>
                      <w:r>
                        <w:rPr>
                          <w:caps w:val="false"/>
                          <w:smallCaps w:val="false"/>
                        </w:rPr>
                        <w:t> </w:t>
                      </w:r>
                    </w:p>
                    <w:tbl>
                      <w:tblPr>
                        <w:tblW w:w="4585" w:type="dxa"/>
                        <w:jc w:val="left"/>
                        <w:tblInd w:w="0" w:type="dxa"/>
                        <w:tblLayout w:type="fixed"/>
                        <w:tblCellMar>
                          <w:top w:w="0" w:type="dxa"/>
                          <w:left w:w="0" w:type="dxa"/>
                          <w:bottom w:w="0" w:type="dxa"/>
                          <w:right w:w="0" w:type="dxa"/>
                        </w:tblCellMar>
                      </w:tblPr>
                      <w:tblGrid>
                        <w:gridCol w:w="185"/>
                        <w:gridCol w:w="4400"/>
                      </w:tblGrid>
                      <w:tr>
                        <w:trPr/>
                        <w:tc>
                          <w:tcPr>
                            <w:tcW w:w="185" w:type="dxa"/>
                            <w:tcBorders/>
                            <w:vAlign w:val="center"/>
                          </w:tcPr>
                          <w:p>
                            <w:pPr>
                              <w:pStyle w:val="TableContents"/>
                              <w:bidi w:val="0"/>
                              <w:spacing w:before="0" w:after="283"/>
                              <w:jc w:val="left"/>
                              <w:rPr/>
                            </w:pPr>
                            <w:r>
                              <w:rPr/>
                              <w:t>●</w:t>
                            </w:r>
                          </w:p>
                        </w:tc>
                        <w:tc>
                          <w:tcPr>
                            <w:tcW w:w="4400" w:type="dxa"/>
                            <w:tcBorders/>
                            <w:vAlign w:val="center"/>
                          </w:tcPr>
                          <w:p>
                            <w:pPr>
                              <w:pStyle w:val="TableContents"/>
                              <w:bidi w:val="0"/>
                              <w:spacing w:before="0" w:after="283"/>
                              <w:jc w:val="left"/>
                              <w:rPr/>
                            </w:pPr>
                            <w:r>
                              <w:rPr/>
                              <w:t>Mondelez International, Inc., 2007–May 2022</w:t>
                            </w:r>
                          </w:p>
                        </w:tc>
                      </w:tr>
                      <w:tr>
                        <w:trPr/>
                        <w:tc>
                          <w:tcPr>
                            <w:tcW w:w="185" w:type="dxa"/>
                            <w:tcBorders/>
                            <w:vAlign w:val="center"/>
                          </w:tcPr>
                          <w:p>
                            <w:pPr>
                              <w:pStyle w:val="TableContents"/>
                              <w:bidi w:val="0"/>
                              <w:spacing w:before="0" w:after="283"/>
                              <w:jc w:val="left"/>
                              <w:rPr/>
                            </w:pPr>
                            <w:r>
                              <w:rPr/>
                              <w:t>●</w:t>
                            </w:r>
                          </w:p>
                        </w:tc>
                        <w:tc>
                          <w:tcPr>
                            <w:tcW w:w="4400" w:type="dxa"/>
                            <w:tcBorders/>
                            <w:vAlign w:val="center"/>
                          </w:tcPr>
                          <w:p>
                            <w:pPr>
                              <w:pStyle w:val="TableContents"/>
                              <w:bidi w:val="0"/>
                              <w:spacing w:before="0" w:after="283"/>
                              <w:jc w:val="left"/>
                              <w:rPr/>
                            </w:pPr>
                            <w:r>
                              <w:rPr/>
                              <w:t>AOL, Inc., 2009–2015</w:t>
                            </w:r>
                          </w:p>
                        </w:tc>
                      </w:tr>
                      <w:tr>
                        <w:trPr/>
                        <w:tc>
                          <w:tcPr>
                            <w:tcW w:w="185" w:type="dxa"/>
                            <w:tcBorders/>
                            <w:vAlign w:val="center"/>
                          </w:tcPr>
                          <w:p>
                            <w:pPr>
                              <w:pStyle w:val="TableContents"/>
                              <w:bidi w:val="0"/>
                              <w:spacing w:before="0" w:after="283"/>
                              <w:jc w:val="left"/>
                              <w:rPr/>
                            </w:pPr>
                            <w:r>
                              <w:rPr/>
                              <w:t>●</w:t>
                            </w:r>
                          </w:p>
                        </w:tc>
                        <w:tc>
                          <w:tcPr>
                            <w:tcW w:w="4400" w:type="dxa"/>
                            <w:tcBorders/>
                            <w:vAlign w:val="center"/>
                          </w:tcPr>
                          <w:p>
                            <w:pPr>
                              <w:pStyle w:val="TableContents"/>
                              <w:bidi w:val="0"/>
                              <w:spacing w:before="0" w:after="283"/>
                              <w:jc w:val="left"/>
                              <w:rPr/>
                            </w:pPr>
                            <w:r>
                              <w:rPr/>
                              <w:t>Hess Corporation, 2013–2019</w:t>
                            </w:r>
                          </w:p>
                        </w:tc>
                      </w:tr>
                    </w:tbl>
                    <w:p>
                      <w:pPr>
                        <w:pStyle w:val="TextBody"/>
                        <w:bidi w:val="0"/>
                        <w:spacing w:before="0" w:after="283"/>
                        <w:jc w:val="left"/>
                        <w:rPr/>
                      </w:pPr>
                      <w:r>
                        <w:rPr/>
                      </w:r>
                    </w:p>
                  </w:txbxContent>
                </v:textbox>
                <w10:wrap type="square" side="left"/>
              </v:rect>
            </w:pict>
          </mc:Fallback>
        </mc:AlternateContent>
      </w:r>
    </w:p>
    <w:p>
      <w:pPr>
        <w:pStyle w:val="TextBody"/>
        <w:bidi w:val="0"/>
        <w:jc w:val="left"/>
        <w:rPr>
          <w:caps w:val="false"/>
          <w:smallCaps w:val="false"/>
          <w:shd w:fill="EDEDEE" w:val="clear"/>
        </w:rPr>
      </w:pPr>
      <w:r>
        <w:rPr>
          <w:caps w:val="false"/>
          <w:smallCaps w:val="false"/>
          <w:shd w:fill="EDEDEE" w:val="clear"/>
        </w:rPr>
        <w:t> </w:t>
      </w:r>
      <w:r>
        <mc:AlternateContent>
          <mc:Choice Requires="wps">
            <w:drawing>
              <wp:anchor behindDoc="0" distT="0" distB="0" distL="0" distR="0" simplePos="0" locked="0" layoutInCell="1" allowOverlap="1" relativeHeight="13">
                <wp:simplePos x="0" y="0"/>
                <wp:positionH relativeFrom="column">
                  <wp:align>left</wp:align>
                </wp:positionH>
                <wp:positionV relativeFrom="line">
                  <wp:posOffset>635</wp:posOffset>
                </wp:positionV>
                <wp:extent cx="4535805" cy="3700780"/>
                <wp:effectExtent l="0" t="0" r="0" b="0"/>
                <wp:wrapSquare wrapText="right"/>
                <wp:docPr id="236" name="Frame37"/>
                <a:graphic xmlns:a="http://schemas.openxmlformats.org/drawingml/2006/main">
                  <a:graphicData uri="http://schemas.microsoft.com/office/word/2010/wordprocessingShape">
                    <wps:wsp>
                      <wps:cNvSpPr txBox="1"/>
                      <wps:spPr>
                        <a:xfrm>
                          <a:off x="0" y="0"/>
                          <a:ext cx="4535805" cy="3700780"/>
                        </a:xfrm>
                        <a:prstGeom prst="rect"/>
                        <a:solidFill>
                          <a:srgbClr val="FFFFFF"/>
                        </a:solidFill>
                      </wps:spPr>
                      <wps:txbx>
                        <w:txbxContent>
                          <w:p>
                            <w:pPr>
                              <w:pStyle w:val="TextBody"/>
                              <w:bidi w:val="0"/>
                              <w:jc w:val="left"/>
                              <w:rPr>
                                <w:rFonts w:ascii="Arial;Helvetica;Sans-Serif" w:hAnsi="Arial;Helvetica;Sans-Serif"/>
                                <w:b/>
                                <w:i w:val="false"/>
                                <w:caps w:val="false"/>
                                <w:smallCaps w:val="false"/>
                                <w:sz w:val="30"/>
                              </w:rPr>
                            </w:pPr>
                            <w:r>
                              <w:rPr>
                                <w:rFonts w:ascii="Arial;Helvetica;Sans-Serif" w:hAnsi="Arial;Helvetica;Sans-Serif"/>
                                <w:b/>
                                <w:i w:val="false"/>
                                <w:caps w:val="false"/>
                                <w:smallCaps w:val="false"/>
                                <w:sz w:val="30"/>
                              </w:rPr>
                              <w:t>Brian C. Rogers</w:t>
                            </w:r>
                          </w:p>
                          <w:p>
                            <w:pPr>
                              <w:pStyle w:val="TextBody"/>
                              <w:bidi w:val="0"/>
                              <w:jc w:val="left"/>
                              <w:rPr>
                                <w:caps w:val="false"/>
                                <w:smallCaps w:val="false"/>
                              </w:rPr>
                            </w:pPr>
                            <w:r>
                              <w:rPr>
                                <w:caps w:val="false"/>
                                <w:smallCaps w:val="false"/>
                              </w:rPr>
                              <w:t> </w:t>
                            </w:r>
                          </w:p>
                          <w:tbl>
                            <w:tblPr>
                              <w:tblW w:w="8650" w:type="dxa"/>
                              <w:jc w:val="left"/>
                              <w:tblInd w:w="0" w:type="dxa"/>
                              <w:tblLayout w:type="fixed"/>
                              <w:tblCellMar>
                                <w:top w:w="0" w:type="dxa"/>
                                <w:left w:w="0" w:type="dxa"/>
                                <w:bottom w:w="0" w:type="dxa"/>
                                <w:right w:w="0" w:type="dxa"/>
                              </w:tblCellMar>
                            </w:tblPr>
                            <w:tblGrid>
                              <w:gridCol w:w="3215"/>
                              <w:gridCol w:w="300"/>
                              <w:gridCol w:w="5135"/>
                            </w:tblGrid>
                            <w:tr>
                              <w:trPr/>
                              <w:tc>
                                <w:tcPr>
                                  <w:tcW w:w="3215" w:type="dxa"/>
                                  <w:tcBorders/>
                                  <w:vAlign w:val="center"/>
                                </w:tcPr>
                                <w:p>
                                  <w:pPr>
                                    <w:pStyle w:val="TableContents"/>
                                    <w:bidi w:val="0"/>
                                    <w:spacing w:before="0" w:after="60"/>
                                    <w:jc w:val="left"/>
                                    <w:rPr>
                                      <w:b/>
                                    </w:rPr>
                                  </w:pPr>
                                  <w:r>
                                    <w:rPr>
                                      <w:b/>
                                    </w:rPr>
                                    <w:t>INDEPENDENT DIRECTOR</w:t>
                                  </w:r>
                                </w:p>
                                <w:p>
                                  <w:pPr>
                                    <w:pStyle w:val="TableContents"/>
                                    <w:bidi w:val="0"/>
                                    <w:spacing w:before="0" w:after="283"/>
                                    <w:jc w:val="left"/>
                                    <w:rPr>
                                      <w:sz w:val="20"/>
                                    </w:rPr>
                                  </w:pPr>
                                  <w:r>
                                    <w:rPr>
                                      <w:sz w:val="20"/>
                                    </w:rPr>
                                    <w:t>Retired Chairman,</w:t>
                                    <w:br/>
                                    <w:t>T. Rowe Price Group, Inc.</w:t>
                                  </w:r>
                                </w:p>
                              </w:tc>
                              <w:tc>
                                <w:tcPr>
                                  <w:tcW w:w="300" w:type="dxa"/>
                                  <w:tcBorders/>
                                  <w:vAlign w:val="center"/>
                                </w:tcPr>
                                <w:p>
                                  <w:pPr>
                                    <w:pStyle w:val="TableContents"/>
                                    <w:bidi w:val="0"/>
                                    <w:spacing w:before="0" w:after="283"/>
                                    <w:jc w:val="left"/>
                                    <w:rPr/>
                                  </w:pPr>
                                  <w:r>
                                    <w:rPr/>
                                    <w:t>     </w:t>
                                  </w:r>
                                </w:p>
                              </w:tc>
                              <w:tc>
                                <w:tcPr>
                                  <w:tcW w:w="5135" w:type="dxa"/>
                                  <w:tcBorders/>
                                  <w:vAlign w:val="center"/>
                                </w:tcPr>
                                <w:p>
                                  <w:pPr>
                                    <w:pStyle w:val="TableContents"/>
                                    <w:bidi w:val="0"/>
                                    <w:spacing w:before="0" w:after="60"/>
                                    <w:jc w:val="left"/>
                                    <w:rPr/>
                                  </w:pPr>
                                  <w:r>
                                    <w:rPr/>
                                    <w:t xml:space="preserve">AGE </w:t>
                                  </w:r>
                                  <w:r>
                                    <w:rPr>
                                      <w:b/>
                                    </w:rPr>
                                    <w:t>70</w:t>
                                  </w:r>
                                </w:p>
                                <w:p>
                                  <w:pPr>
                                    <w:pStyle w:val="TableContents"/>
                                    <w:bidi w:val="0"/>
                                    <w:jc w:val="left"/>
                                    <w:rPr/>
                                  </w:pPr>
                                  <w:r>
                                    <w:rPr/>
                                    <w:t xml:space="preserve">DIRECTOR SINCE </w:t>
                                  </w:r>
                                  <w:r>
                                    <w:rPr>
                                      <w:b/>
                                    </w:rPr>
                                    <w:t>2016</w:t>
                                  </w:r>
                                </w:p>
                                <w:p>
                                  <w:pPr>
                                    <w:pStyle w:val="TableContents"/>
                                    <w:bidi w:val="0"/>
                                    <w:jc w:val="left"/>
                                    <w:rPr/>
                                  </w:pPr>
                                  <w:r>
                                    <w:rPr/>
                                    <w:t>BOARD COMMITTEES</w:t>
                                  </w:r>
                                </w:p>
                                <w:p>
                                  <w:pPr>
                                    <w:pStyle w:val="TableContents"/>
                                    <w:bidi w:val="0"/>
                                    <w:spacing w:before="0" w:after="283"/>
                                    <w:jc w:val="left"/>
                                    <w:rPr>
                                      <w:b/>
                                    </w:rPr>
                                  </w:pPr>
                                  <w:r>
                                    <w:rPr>
                                      <w:b/>
                                    </w:rPr>
                                    <w:t>Finance (Chair), Human Capital &amp; Compensation</w:t>
                                  </w:r>
                                </w:p>
                              </w:tc>
                            </w:tr>
                            <w:tr>
                              <w:trPr/>
                              <w:tc>
                                <w:tcPr>
                                  <w:tcW w:w="3215" w:type="dxa"/>
                                  <w:tcBorders/>
                                  <w:vAlign w:val="center"/>
                                </w:tcPr>
                                <w:p>
                                  <w:pPr>
                                    <w:pStyle w:val="TableContents"/>
                                    <w:bidi w:val="0"/>
                                    <w:spacing w:before="0" w:after="283"/>
                                    <w:jc w:val="left"/>
                                    <w:rPr>
                                      <w:b/>
                                      <w:sz w:val="20"/>
                                    </w:rPr>
                                  </w:pPr>
                                  <w:r>
                                    <w:rPr>
                                      <w:b/>
                                      <w:sz w:val="20"/>
                                    </w:rPr>
                                    <w:t>Key Skills and Expertise</w:t>
                                  </w:r>
                                </w:p>
                              </w:tc>
                              <w:tc>
                                <w:tcPr>
                                  <w:tcW w:w="300" w:type="dxa"/>
                                  <w:tcBorders/>
                                  <w:vAlign w:val="center"/>
                                </w:tcPr>
                                <w:p>
                                  <w:pPr>
                                    <w:pStyle w:val="TableContents"/>
                                    <w:bidi w:val="0"/>
                                    <w:spacing w:before="0" w:after="283"/>
                                    <w:jc w:val="left"/>
                                    <w:rPr/>
                                  </w:pPr>
                                  <w:r>
                                    <w:rPr/>
                                    <w:t> </w:t>
                                  </w:r>
                                </w:p>
                              </w:tc>
                              <w:tc>
                                <w:tcPr>
                                  <w:tcW w:w="5135"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8625" w:type="dxa"/>
                              <w:jc w:val="left"/>
                              <w:tblInd w:w="0" w:type="dxa"/>
                              <w:tblLayout w:type="fixed"/>
                              <w:tblCellMar>
                                <w:top w:w="0" w:type="dxa"/>
                                <w:left w:w="0" w:type="dxa"/>
                                <w:bottom w:w="0" w:type="dxa"/>
                                <w:right w:w="0" w:type="dxa"/>
                              </w:tblCellMar>
                            </w:tblPr>
                            <w:tblGrid>
                              <w:gridCol w:w="315"/>
                              <w:gridCol w:w="1340"/>
                              <w:gridCol w:w="300"/>
                              <w:gridCol w:w="3860"/>
                              <w:gridCol w:w="330"/>
                              <w:gridCol w:w="2480"/>
                            </w:tblGrid>
                            <w:tr>
                              <w:trPr/>
                              <w:tc>
                                <w:tcPr>
                                  <w:tcW w:w="315" w:type="dxa"/>
                                  <w:tcBorders/>
                                  <w:vAlign w:val="center"/>
                                </w:tcPr>
                                <w:p>
                                  <w:pPr>
                                    <w:pStyle w:val="TableContents"/>
                                    <w:bidi w:val="0"/>
                                    <w:spacing w:before="0" w:after="283"/>
                                    <w:jc w:val="left"/>
                                    <w:rPr/>
                                  </w:pPr>
                                  <w:r>
                                    <w:rPr/>
                                    <w:drawing>
                                      <wp:inline distT="0" distB="0" distL="0" distR="0">
                                        <wp:extent cx="190500" cy="428625"/>
                                        <wp:effectExtent l="0" t="0" r="0" b="0"/>
                                        <wp:docPr id="237" name="Image1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 name="Image164" descr=""/>
                                                <pic:cNvPicPr>
                                                  <a:picLocks noChangeAspect="1" noChangeArrowheads="1"/>
                                                </pic:cNvPicPr>
                                              </pic:nvPicPr>
                                              <pic:blipFill>
                                                <a:blip r:embed="rId201"/>
                                                <a:stretch>
                                                  <a:fillRect/>
                                                </a:stretch>
                                              </pic:blipFill>
                                              <pic:spPr bwMode="auto">
                                                <a:xfrm>
                                                  <a:off x="0" y="0"/>
                                                  <a:ext cx="190500" cy="428625"/>
                                                </a:xfrm>
                                                <a:prstGeom prst="rect">
                                                  <a:avLst/>
                                                </a:prstGeom>
                                              </pic:spPr>
                                            </pic:pic>
                                          </a:graphicData>
                                        </a:graphic>
                                      </wp:inline>
                                    </w:drawing>
                                  </w:r>
                                </w:p>
                              </w:tc>
                              <w:tc>
                                <w:tcPr>
                                  <w:tcW w:w="1340" w:type="dxa"/>
                                  <w:tcBorders/>
                                  <w:vAlign w:val="center"/>
                                </w:tcPr>
                                <w:p>
                                  <w:pPr>
                                    <w:pStyle w:val="TableContents"/>
                                    <w:bidi w:val="0"/>
                                    <w:spacing w:before="0" w:after="283"/>
                                    <w:jc w:val="left"/>
                                    <w:rPr/>
                                  </w:pPr>
                                  <w:r>
                                    <w:rPr/>
                                    <w:t>FINANCIAL</w:t>
                                  </w:r>
                                </w:p>
                              </w:tc>
                              <w:tc>
                                <w:tcPr>
                                  <w:tcW w:w="300" w:type="dxa"/>
                                  <w:tcBorders/>
                                  <w:vAlign w:val="center"/>
                                </w:tcPr>
                                <w:p>
                                  <w:pPr>
                                    <w:pStyle w:val="TableContents"/>
                                    <w:bidi w:val="0"/>
                                    <w:spacing w:before="0" w:after="283"/>
                                    <w:jc w:val="left"/>
                                    <w:rPr/>
                                  </w:pPr>
                                  <w:r>
                                    <w:rPr/>
                                    <w:drawing>
                                      <wp:inline distT="0" distB="0" distL="0" distR="0">
                                        <wp:extent cx="190500" cy="190500"/>
                                        <wp:effectExtent l="0" t="0" r="0" b="0"/>
                                        <wp:docPr id="238" name="Image1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 name="Image165" descr=""/>
                                                <pic:cNvPicPr>
                                                  <a:picLocks noChangeAspect="1" noChangeArrowheads="1"/>
                                                </pic:cNvPicPr>
                                              </pic:nvPicPr>
                                              <pic:blipFill>
                                                <a:blip r:embed="rId202"/>
                                                <a:stretch>
                                                  <a:fillRect/>
                                                </a:stretch>
                                              </pic:blipFill>
                                              <pic:spPr bwMode="auto">
                                                <a:xfrm>
                                                  <a:off x="0" y="0"/>
                                                  <a:ext cx="190500" cy="190500"/>
                                                </a:xfrm>
                                                <a:prstGeom prst="rect">
                                                  <a:avLst/>
                                                </a:prstGeom>
                                              </pic:spPr>
                                            </pic:pic>
                                          </a:graphicData>
                                        </a:graphic>
                                      </wp:inline>
                                    </w:drawing>
                                  </w:r>
                                </w:p>
                              </w:tc>
                              <w:tc>
                                <w:tcPr>
                                  <w:tcW w:w="3860" w:type="dxa"/>
                                  <w:tcBorders/>
                                  <w:vAlign w:val="center"/>
                                </w:tcPr>
                                <w:p>
                                  <w:pPr>
                                    <w:pStyle w:val="TableContents"/>
                                    <w:bidi w:val="0"/>
                                    <w:spacing w:before="0" w:after="283"/>
                                    <w:jc w:val="left"/>
                                    <w:rPr/>
                                  </w:pPr>
                                  <w:r>
                                    <w:rPr/>
                                    <w:t>RISK MANAGEMENT/OVERSIGHT</w:t>
                                  </w:r>
                                </w:p>
                              </w:tc>
                              <w:tc>
                                <w:tcPr>
                                  <w:tcW w:w="330" w:type="dxa"/>
                                  <w:tcBorders/>
                                  <w:vAlign w:val="center"/>
                                </w:tcPr>
                                <w:p>
                                  <w:pPr>
                                    <w:pStyle w:val="TableContents"/>
                                    <w:bidi w:val="0"/>
                                    <w:spacing w:before="0" w:after="283"/>
                                    <w:jc w:val="left"/>
                                    <w:rPr/>
                                  </w:pPr>
                                  <w:r>
                                    <w:rPr/>
                                    <w:drawing>
                                      <wp:inline distT="0" distB="0" distL="0" distR="0">
                                        <wp:extent cx="209550" cy="419100"/>
                                        <wp:effectExtent l="0" t="0" r="0" b="0"/>
                                        <wp:docPr id="239" name="Image1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 name="Image166" descr=""/>
                                                <pic:cNvPicPr>
                                                  <a:picLocks noChangeAspect="1" noChangeArrowheads="1"/>
                                                </pic:cNvPicPr>
                                              </pic:nvPicPr>
                                              <pic:blipFill>
                                                <a:blip r:embed="rId203"/>
                                                <a:stretch>
                                                  <a:fillRect/>
                                                </a:stretch>
                                              </pic:blipFill>
                                              <pic:spPr bwMode="auto">
                                                <a:xfrm>
                                                  <a:off x="0" y="0"/>
                                                  <a:ext cx="209550" cy="419100"/>
                                                </a:xfrm>
                                                <a:prstGeom prst="rect">
                                                  <a:avLst/>
                                                </a:prstGeom>
                                              </pic:spPr>
                                            </pic:pic>
                                          </a:graphicData>
                                        </a:graphic>
                                      </wp:inline>
                                    </w:drawing>
                                  </w:r>
                                </w:p>
                              </w:tc>
                              <w:tc>
                                <w:tcPr>
                                  <w:tcW w:w="2480" w:type="dxa"/>
                                  <w:tcBorders/>
                                  <w:vAlign w:val="center"/>
                                </w:tcPr>
                                <w:p>
                                  <w:pPr>
                                    <w:pStyle w:val="TableContents"/>
                                    <w:bidi w:val="0"/>
                                    <w:spacing w:before="0" w:after="283"/>
                                    <w:jc w:val="left"/>
                                    <w:rPr/>
                                  </w:pPr>
                                  <w:r>
                                    <w:rPr/>
                                    <w:t>SENIOR LEADERSHIP</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70000</wp14:pctWidth>
                </wp14:sizeRelH>
              </wp:anchor>
            </w:drawing>
          </mc:Choice>
          <mc:Fallback>
            <w:pict>
              <v:rect style="position:absolute;rotation:-0;width:357.15pt;height:29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jc w:val="left"/>
                        <w:rPr>
                          <w:rFonts w:ascii="Arial;Helvetica;Sans-Serif" w:hAnsi="Arial;Helvetica;Sans-Serif"/>
                          <w:b/>
                          <w:i w:val="false"/>
                          <w:caps w:val="false"/>
                          <w:smallCaps w:val="false"/>
                          <w:sz w:val="30"/>
                        </w:rPr>
                      </w:pPr>
                      <w:r>
                        <w:rPr>
                          <w:rFonts w:ascii="Arial;Helvetica;Sans-Serif" w:hAnsi="Arial;Helvetica;Sans-Serif"/>
                          <w:b/>
                          <w:i w:val="false"/>
                          <w:caps w:val="false"/>
                          <w:smallCaps w:val="false"/>
                          <w:sz w:val="30"/>
                        </w:rPr>
                        <w:t>Brian C. Rogers</w:t>
                      </w:r>
                    </w:p>
                    <w:p>
                      <w:pPr>
                        <w:pStyle w:val="TextBody"/>
                        <w:bidi w:val="0"/>
                        <w:jc w:val="left"/>
                        <w:rPr>
                          <w:caps w:val="false"/>
                          <w:smallCaps w:val="false"/>
                        </w:rPr>
                      </w:pPr>
                      <w:r>
                        <w:rPr>
                          <w:caps w:val="false"/>
                          <w:smallCaps w:val="false"/>
                        </w:rPr>
                        <w:t> </w:t>
                      </w:r>
                    </w:p>
                    <w:tbl>
                      <w:tblPr>
                        <w:tblW w:w="8650" w:type="dxa"/>
                        <w:jc w:val="left"/>
                        <w:tblInd w:w="0" w:type="dxa"/>
                        <w:tblLayout w:type="fixed"/>
                        <w:tblCellMar>
                          <w:top w:w="0" w:type="dxa"/>
                          <w:left w:w="0" w:type="dxa"/>
                          <w:bottom w:w="0" w:type="dxa"/>
                          <w:right w:w="0" w:type="dxa"/>
                        </w:tblCellMar>
                      </w:tblPr>
                      <w:tblGrid>
                        <w:gridCol w:w="3215"/>
                        <w:gridCol w:w="300"/>
                        <w:gridCol w:w="5135"/>
                      </w:tblGrid>
                      <w:tr>
                        <w:trPr/>
                        <w:tc>
                          <w:tcPr>
                            <w:tcW w:w="3215" w:type="dxa"/>
                            <w:tcBorders/>
                            <w:vAlign w:val="center"/>
                          </w:tcPr>
                          <w:p>
                            <w:pPr>
                              <w:pStyle w:val="TableContents"/>
                              <w:bidi w:val="0"/>
                              <w:spacing w:before="0" w:after="60"/>
                              <w:jc w:val="left"/>
                              <w:rPr>
                                <w:b/>
                              </w:rPr>
                            </w:pPr>
                            <w:r>
                              <w:rPr>
                                <w:b/>
                              </w:rPr>
                              <w:t>INDEPENDENT DIRECTOR</w:t>
                            </w:r>
                          </w:p>
                          <w:p>
                            <w:pPr>
                              <w:pStyle w:val="TableContents"/>
                              <w:bidi w:val="0"/>
                              <w:spacing w:before="0" w:after="283"/>
                              <w:jc w:val="left"/>
                              <w:rPr>
                                <w:sz w:val="20"/>
                              </w:rPr>
                            </w:pPr>
                            <w:r>
                              <w:rPr>
                                <w:sz w:val="20"/>
                              </w:rPr>
                              <w:t>Retired Chairman,</w:t>
                              <w:br/>
                              <w:t>T. Rowe Price Group, Inc.</w:t>
                            </w:r>
                          </w:p>
                        </w:tc>
                        <w:tc>
                          <w:tcPr>
                            <w:tcW w:w="300" w:type="dxa"/>
                            <w:tcBorders/>
                            <w:vAlign w:val="center"/>
                          </w:tcPr>
                          <w:p>
                            <w:pPr>
                              <w:pStyle w:val="TableContents"/>
                              <w:bidi w:val="0"/>
                              <w:spacing w:before="0" w:after="283"/>
                              <w:jc w:val="left"/>
                              <w:rPr/>
                            </w:pPr>
                            <w:r>
                              <w:rPr/>
                              <w:t>     </w:t>
                            </w:r>
                          </w:p>
                        </w:tc>
                        <w:tc>
                          <w:tcPr>
                            <w:tcW w:w="5135" w:type="dxa"/>
                            <w:tcBorders/>
                            <w:vAlign w:val="center"/>
                          </w:tcPr>
                          <w:p>
                            <w:pPr>
                              <w:pStyle w:val="TableContents"/>
                              <w:bidi w:val="0"/>
                              <w:spacing w:before="0" w:after="60"/>
                              <w:jc w:val="left"/>
                              <w:rPr/>
                            </w:pPr>
                            <w:r>
                              <w:rPr/>
                              <w:t xml:space="preserve">AGE </w:t>
                            </w:r>
                            <w:r>
                              <w:rPr>
                                <w:b/>
                              </w:rPr>
                              <w:t>70</w:t>
                            </w:r>
                          </w:p>
                          <w:p>
                            <w:pPr>
                              <w:pStyle w:val="TableContents"/>
                              <w:bidi w:val="0"/>
                              <w:jc w:val="left"/>
                              <w:rPr/>
                            </w:pPr>
                            <w:r>
                              <w:rPr/>
                              <w:t xml:space="preserve">DIRECTOR SINCE </w:t>
                            </w:r>
                            <w:r>
                              <w:rPr>
                                <w:b/>
                              </w:rPr>
                              <w:t>2016</w:t>
                            </w:r>
                          </w:p>
                          <w:p>
                            <w:pPr>
                              <w:pStyle w:val="TableContents"/>
                              <w:bidi w:val="0"/>
                              <w:jc w:val="left"/>
                              <w:rPr/>
                            </w:pPr>
                            <w:r>
                              <w:rPr/>
                              <w:t>BOARD COMMITTEES</w:t>
                            </w:r>
                          </w:p>
                          <w:p>
                            <w:pPr>
                              <w:pStyle w:val="TableContents"/>
                              <w:bidi w:val="0"/>
                              <w:spacing w:before="0" w:after="283"/>
                              <w:jc w:val="left"/>
                              <w:rPr>
                                <w:b/>
                              </w:rPr>
                            </w:pPr>
                            <w:r>
                              <w:rPr>
                                <w:b/>
                              </w:rPr>
                              <w:t>Finance (Chair), Human Capital &amp; Compensation</w:t>
                            </w:r>
                          </w:p>
                        </w:tc>
                      </w:tr>
                      <w:tr>
                        <w:trPr/>
                        <w:tc>
                          <w:tcPr>
                            <w:tcW w:w="3215" w:type="dxa"/>
                            <w:tcBorders/>
                            <w:vAlign w:val="center"/>
                          </w:tcPr>
                          <w:p>
                            <w:pPr>
                              <w:pStyle w:val="TableContents"/>
                              <w:bidi w:val="0"/>
                              <w:spacing w:before="0" w:after="283"/>
                              <w:jc w:val="left"/>
                              <w:rPr>
                                <w:b/>
                                <w:sz w:val="20"/>
                              </w:rPr>
                            </w:pPr>
                            <w:r>
                              <w:rPr>
                                <w:b/>
                                <w:sz w:val="20"/>
                              </w:rPr>
                              <w:t>Key Skills and Expertise</w:t>
                            </w:r>
                          </w:p>
                        </w:tc>
                        <w:tc>
                          <w:tcPr>
                            <w:tcW w:w="300" w:type="dxa"/>
                            <w:tcBorders/>
                            <w:vAlign w:val="center"/>
                          </w:tcPr>
                          <w:p>
                            <w:pPr>
                              <w:pStyle w:val="TableContents"/>
                              <w:bidi w:val="0"/>
                              <w:spacing w:before="0" w:after="283"/>
                              <w:jc w:val="left"/>
                              <w:rPr/>
                            </w:pPr>
                            <w:r>
                              <w:rPr/>
                              <w:t> </w:t>
                            </w:r>
                          </w:p>
                        </w:tc>
                        <w:tc>
                          <w:tcPr>
                            <w:tcW w:w="5135"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8625" w:type="dxa"/>
                        <w:jc w:val="left"/>
                        <w:tblInd w:w="0" w:type="dxa"/>
                        <w:tblLayout w:type="fixed"/>
                        <w:tblCellMar>
                          <w:top w:w="0" w:type="dxa"/>
                          <w:left w:w="0" w:type="dxa"/>
                          <w:bottom w:w="0" w:type="dxa"/>
                          <w:right w:w="0" w:type="dxa"/>
                        </w:tblCellMar>
                      </w:tblPr>
                      <w:tblGrid>
                        <w:gridCol w:w="315"/>
                        <w:gridCol w:w="1340"/>
                        <w:gridCol w:w="300"/>
                        <w:gridCol w:w="3860"/>
                        <w:gridCol w:w="330"/>
                        <w:gridCol w:w="2480"/>
                      </w:tblGrid>
                      <w:tr>
                        <w:trPr/>
                        <w:tc>
                          <w:tcPr>
                            <w:tcW w:w="315" w:type="dxa"/>
                            <w:tcBorders/>
                            <w:vAlign w:val="center"/>
                          </w:tcPr>
                          <w:p>
                            <w:pPr>
                              <w:pStyle w:val="TableContents"/>
                              <w:bidi w:val="0"/>
                              <w:spacing w:before="0" w:after="283"/>
                              <w:jc w:val="left"/>
                              <w:rPr/>
                            </w:pPr>
                            <w:r>
                              <w:rPr/>
                              <w:drawing>
                                <wp:inline distT="0" distB="0" distL="0" distR="0">
                                  <wp:extent cx="190500" cy="428625"/>
                                  <wp:effectExtent l="0" t="0" r="0" b="0"/>
                                  <wp:docPr id="240" name="Image1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 name="Image164" descr=""/>
                                          <pic:cNvPicPr>
                                            <a:picLocks noChangeAspect="1" noChangeArrowheads="1"/>
                                          </pic:cNvPicPr>
                                        </pic:nvPicPr>
                                        <pic:blipFill>
                                          <a:blip r:embed="rId204"/>
                                          <a:stretch>
                                            <a:fillRect/>
                                          </a:stretch>
                                        </pic:blipFill>
                                        <pic:spPr bwMode="auto">
                                          <a:xfrm>
                                            <a:off x="0" y="0"/>
                                            <a:ext cx="190500" cy="428625"/>
                                          </a:xfrm>
                                          <a:prstGeom prst="rect">
                                            <a:avLst/>
                                          </a:prstGeom>
                                        </pic:spPr>
                                      </pic:pic>
                                    </a:graphicData>
                                  </a:graphic>
                                </wp:inline>
                              </w:drawing>
                            </w:r>
                          </w:p>
                        </w:tc>
                        <w:tc>
                          <w:tcPr>
                            <w:tcW w:w="1340" w:type="dxa"/>
                            <w:tcBorders/>
                            <w:vAlign w:val="center"/>
                          </w:tcPr>
                          <w:p>
                            <w:pPr>
                              <w:pStyle w:val="TableContents"/>
                              <w:bidi w:val="0"/>
                              <w:spacing w:before="0" w:after="283"/>
                              <w:jc w:val="left"/>
                              <w:rPr/>
                            </w:pPr>
                            <w:r>
                              <w:rPr/>
                              <w:t>FINANCIAL</w:t>
                            </w:r>
                          </w:p>
                        </w:tc>
                        <w:tc>
                          <w:tcPr>
                            <w:tcW w:w="300" w:type="dxa"/>
                            <w:tcBorders/>
                            <w:vAlign w:val="center"/>
                          </w:tcPr>
                          <w:p>
                            <w:pPr>
                              <w:pStyle w:val="TableContents"/>
                              <w:bidi w:val="0"/>
                              <w:spacing w:before="0" w:after="283"/>
                              <w:jc w:val="left"/>
                              <w:rPr/>
                            </w:pPr>
                            <w:r>
                              <w:rPr/>
                              <w:drawing>
                                <wp:inline distT="0" distB="0" distL="0" distR="0">
                                  <wp:extent cx="190500" cy="190500"/>
                                  <wp:effectExtent l="0" t="0" r="0" b="0"/>
                                  <wp:docPr id="241" name="Image1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 name="Image165" descr=""/>
                                          <pic:cNvPicPr>
                                            <a:picLocks noChangeAspect="1" noChangeArrowheads="1"/>
                                          </pic:cNvPicPr>
                                        </pic:nvPicPr>
                                        <pic:blipFill>
                                          <a:blip r:embed="rId205"/>
                                          <a:stretch>
                                            <a:fillRect/>
                                          </a:stretch>
                                        </pic:blipFill>
                                        <pic:spPr bwMode="auto">
                                          <a:xfrm>
                                            <a:off x="0" y="0"/>
                                            <a:ext cx="190500" cy="190500"/>
                                          </a:xfrm>
                                          <a:prstGeom prst="rect">
                                            <a:avLst/>
                                          </a:prstGeom>
                                        </pic:spPr>
                                      </pic:pic>
                                    </a:graphicData>
                                  </a:graphic>
                                </wp:inline>
                              </w:drawing>
                            </w:r>
                          </w:p>
                        </w:tc>
                        <w:tc>
                          <w:tcPr>
                            <w:tcW w:w="3860" w:type="dxa"/>
                            <w:tcBorders/>
                            <w:vAlign w:val="center"/>
                          </w:tcPr>
                          <w:p>
                            <w:pPr>
                              <w:pStyle w:val="TableContents"/>
                              <w:bidi w:val="0"/>
                              <w:spacing w:before="0" w:after="283"/>
                              <w:jc w:val="left"/>
                              <w:rPr/>
                            </w:pPr>
                            <w:r>
                              <w:rPr/>
                              <w:t>RISK MANAGEMENT/OVERSIGHT</w:t>
                            </w:r>
                          </w:p>
                        </w:tc>
                        <w:tc>
                          <w:tcPr>
                            <w:tcW w:w="330" w:type="dxa"/>
                            <w:tcBorders/>
                            <w:vAlign w:val="center"/>
                          </w:tcPr>
                          <w:p>
                            <w:pPr>
                              <w:pStyle w:val="TableContents"/>
                              <w:bidi w:val="0"/>
                              <w:spacing w:before="0" w:after="283"/>
                              <w:jc w:val="left"/>
                              <w:rPr/>
                            </w:pPr>
                            <w:r>
                              <w:rPr/>
                              <w:drawing>
                                <wp:inline distT="0" distB="0" distL="0" distR="0">
                                  <wp:extent cx="209550" cy="419100"/>
                                  <wp:effectExtent l="0" t="0" r="0" b="0"/>
                                  <wp:docPr id="242" name="Image1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 name="Image166" descr=""/>
                                          <pic:cNvPicPr>
                                            <a:picLocks noChangeAspect="1" noChangeArrowheads="1"/>
                                          </pic:cNvPicPr>
                                        </pic:nvPicPr>
                                        <pic:blipFill>
                                          <a:blip r:embed="rId206"/>
                                          <a:stretch>
                                            <a:fillRect/>
                                          </a:stretch>
                                        </pic:blipFill>
                                        <pic:spPr bwMode="auto">
                                          <a:xfrm>
                                            <a:off x="0" y="0"/>
                                            <a:ext cx="209550" cy="419100"/>
                                          </a:xfrm>
                                          <a:prstGeom prst="rect">
                                            <a:avLst/>
                                          </a:prstGeom>
                                        </pic:spPr>
                                      </pic:pic>
                                    </a:graphicData>
                                  </a:graphic>
                                </wp:inline>
                              </w:drawing>
                            </w:r>
                          </w:p>
                        </w:tc>
                        <w:tc>
                          <w:tcPr>
                            <w:tcW w:w="2480" w:type="dxa"/>
                            <w:tcBorders/>
                            <w:vAlign w:val="center"/>
                          </w:tcPr>
                          <w:p>
                            <w:pPr>
                              <w:pStyle w:val="TableContents"/>
                              <w:bidi w:val="0"/>
                              <w:spacing w:before="0" w:after="283"/>
                              <w:jc w:val="left"/>
                              <w:rPr/>
                            </w:pPr>
                            <w:r>
                              <w:rPr/>
                              <w:t>SENIOR LEADERSHIP</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17">
                <wp:simplePos x="0" y="0"/>
                <wp:positionH relativeFrom="column">
                  <wp:align>right</wp:align>
                </wp:positionH>
                <wp:positionV relativeFrom="line">
                  <wp:posOffset>635</wp:posOffset>
                </wp:positionV>
                <wp:extent cx="1943735" cy="5210175"/>
                <wp:effectExtent l="0" t="0" r="0" b="0"/>
                <wp:wrapSquare wrapText="left"/>
                <wp:docPr id="243" name="Frame38"/>
                <a:graphic xmlns:a="http://schemas.openxmlformats.org/drawingml/2006/main">
                  <a:graphicData uri="http://schemas.microsoft.com/office/word/2010/wordprocessingShape">
                    <wps:wsp>
                      <wps:cNvSpPr txBox="1"/>
                      <wps:spPr>
                        <a:xfrm>
                          <a:off x="0" y="0"/>
                          <a:ext cx="1943735" cy="5210175"/>
                        </a:xfrm>
                        <a:prstGeom prst="rect"/>
                        <a:solidFill>
                          <a:srgbClr val="FFFFFF"/>
                        </a:solidFill>
                      </wps:spPr>
                      <wps:txbx>
                        <w:txbxContent>
                          <w:p>
                            <w:pPr>
                              <w:pStyle w:val="TextBody"/>
                              <w:bidi w:val="0"/>
                              <w:spacing w:before="0" w:after="283"/>
                              <w:ind w:left="0" w:right="0" w:hanging="0"/>
                              <w:jc w:val="right"/>
                              <w:rPr>
                                <w:caps w:val="false"/>
                                <w:smallCaps w:val="false"/>
                              </w:rPr>
                            </w:pPr>
                            <w:r>
                              <w:rPr>
                                <w:caps w:val="false"/>
                                <w:smallCaps w:val="false"/>
                              </w:rPr>
                              <w:drawing>
                                <wp:inline distT="0" distB="0" distL="0" distR="0">
                                  <wp:extent cx="1619250" cy="5019675"/>
                                  <wp:effectExtent l="0" t="0" r="0" b="0"/>
                                  <wp:docPr id="244" name="Image1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 name="Image167" descr=""/>
                                          <pic:cNvPicPr>
                                            <a:picLocks noChangeAspect="1" noChangeArrowheads="1"/>
                                          </pic:cNvPicPr>
                                        </pic:nvPicPr>
                                        <pic:blipFill>
                                          <a:blip r:embed="rId207"/>
                                          <a:stretch>
                                            <a:fillRect/>
                                          </a:stretch>
                                        </pic:blipFill>
                                        <pic:spPr bwMode="auto">
                                          <a:xfrm>
                                            <a:off x="0" y="0"/>
                                            <a:ext cx="1619250" cy="5019675"/>
                                          </a:xfrm>
                                          <a:prstGeom prst="rect">
                                            <a:avLst/>
                                          </a:prstGeom>
                                        </pic:spPr>
                                      </pic:pic>
                                    </a:graphicData>
                                  </a:graphic>
                                </wp:inline>
                              </w:drawing>
                            </w:r>
                          </w:p>
                        </w:txbxContent>
                      </wps:txbx>
                      <wps:bodyPr anchor="t" lIns="0" tIns="0" rIns="0" bIns="0">
                        <a:noAutofit/>
                      </wps:bodyPr>
                    </wps:wsp>
                  </a:graphicData>
                </a:graphic>
                <wp14:sizeRelH relativeFrom="margin">
                  <wp14:pctWidth>30000</wp14:pctWidth>
                </wp14:sizeRelH>
              </wp:anchor>
            </w:drawing>
          </mc:Choice>
          <mc:Fallback>
            <w:pict>
              <v:rect style="position:absolute;rotation:-0;width:153.05pt;height:410.25pt;mso-wrap-distance-left:0pt;mso-wrap-distance-right:0pt;mso-wrap-distance-top:0pt;mso-wrap-distance-bottom:0pt;margin-top:0pt;mso-position-vertical:top;mso-position-vertical-relative:text;margin-left:357.2pt;mso-position-horizontal:right;mso-position-horizontal-relative:text">
                <v:textbox>
                  <w:txbxContent>
                    <w:p>
                      <w:pPr>
                        <w:pStyle w:val="TextBody"/>
                        <w:bidi w:val="0"/>
                        <w:spacing w:before="0" w:after="283"/>
                        <w:ind w:left="0" w:right="0" w:hanging="0"/>
                        <w:jc w:val="right"/>
                        <w:rPr>
                          <w:caps w:val="false"/>
                          <w:smallCaps w:val="false"/>
                        </w:rPr>
                      </w:pPr>
                      <w:r>
                        <w:rPr>
                          <w:caps w:val="false"/>
                          <w:smallCaps w:val="false"/>
                        </w:rPr>
                        <w:drawing>
                          <wp:inline distT="0" distB="0" distL="0" distR="0">
                            <wp:extent cx="1619250" cy="5019675"/>
                            <wp:effectExtent l="0" t="0" r="0" b="0"/>
                            <wp:docPr id="245" name="Image1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 name="Image167" descr=""/>
                                    <pic:cNvPicPr>
                                      <a:picLocks noChangeAspect="1" noChangeArrowheads="1"/>
                                    </pic:cNvPicPr>
                                  </pic:nvPicPr>
                                  <pic:blipFill>
                                    <a:blip r:embed="rId208"/>
                                    <a:stretch>
                                      <a:fillRect/>
                                    </a:stretch>
                                  </pic:blipFill>
                                  <pic:spPr bwMode="auto">
                                    <a:xfrm>
                                      <a:off x="0" y="0"/>
                                      <a:ext cx="1619250" cy="5019675"/>
                                    </a:xfrm>
                                    <a:prstGeom prst="rect">
                                      <a:avLst/>
                                    </a:prstGeom>
                                  </pic:spPr>
                                </pic:pic>
                              </a:graphicData>
                            </a:graphic>
                          </wp:inline>
                        </w:drawing>
                      </w:r>
                    </w:p>
                  </w:txbxContent>
                </v:textbox>
                <w10:wrap type="square" side="left"/>
              </v:rect>
            </w:pict>
          </mc:Fallback>
        </mc:AlternateContent>
      </w:r>
    </w:p>
    <w:p>
      <w:pPr>
        <w:pStyle w:val="TextBody"/>
        <w:bidi w:val="0"/>
        <w:jc w:val="left"/>
        <w:rPr>
          <w:caps w:val="false"/>
          <w:smallCaps w:val="false"/>
        </w:rPr>
      </w:pPr>
      <w:r>
        <w:rPr>
          <w:caps w:val="false"/>
          <w:smallCaps w:val="false"/>
        </w:rPr>
        <w:t> </w:t>
      </w:r>
    </w:p>
    <w:p>
      <w:pPr>
        <w:pStyle w:val="TextBody"/>
        <w:bidi w:val="0"/>
        <w:spacing w:before="200" w:after="283"/>
        <w:jc w:val="left"/>
        <w:rPr>
          <w:rFonts w:ascii="Arial;Helvetica;Sans-Serif" w:hAnsi="Arial;Helvetica;Sans-Serif"/>
          <w:b w:val="false"/>
          <w:i w:val="false"/>
          <w:caps w:val="false"/>
          <w:smallCaps w:val="false"/>
          <w:sz w:val="15"/>
        </w:rPr>
      </w:pPr>
      <w:r>
        <w:rPr>
          <w:rFonts w:ascii="Arial;Helvetica;Sans-Serif" w:hAnsi="Arial;Helvetica;Sans-Serif"/>
          <w:b/>
          <w:i w:val="false"/>
          <w:caps w:val="false"/>
          <w:smallCaps w:val="false"/>
          <w:sz w:val="15"/>
        </w:rPr>
        <w:t>18</w:t>
      </w:r>
      <w:r>
        <w:rPr>
          <w:rFonts w:ascii="Arial;Helvetica;Sans-Serif" w:hAnsi="Arial;Helvetica;Sans-Serif"/>
          <w:b w:val="false"/>
          <w:i w:val="false"/>
          <w:caps w:val="false"/>
          <w:smallCaps w:val="false"/>
          <w:sz w:val="15"/>
        </w:rPr>
        <w:t>    </w:t>
      </w:r>
      <w:r>
        <w:rPr>
          <w:rFonts w:ascii="Arial;Helvetica;Sans-Serif" w:hAnsi="Arial;Helvetica;Sans-Serif"/>
          <w:b/>
          <w:i w:val="false"/>
          <w:caps w:val="false"/>
          <w:smallCaps w:val="false"/>
          <w:sz w:val="15"/>
        </w:rPr>
        <w:t xml:space="preserve">RTX </w:t>
      </w:r>
      <w:r>
        <w:rPr>
          <w:rFonts w:ascii="Arial;Helvetica;Sans-Serif" w:hAnsi="Arial;Helvetica;Sans-Serif"/>
          <w:b w:val="false"/>
          <w:i w:val="false"/>
          <w:caps w:val="false"/>
          <w:smallCaps w:val="false"/>
          <w:sz w:val="15"/>
        </w:rPr>
        <w:t>2026 PROXY STATEMENT</w:t>
      </w:r>
      <w:r>
        <mc:AlternateContent>
          <mc:Choice Requires="wps">
            <w:drawing>
              <wp:anchor behindDoc="0" distT="0" distB="0" distL="0" distR="0" simplePos="0" locked="0" layoutInCell="1" allowOverlap="1" relativeHeight="303">
                <wp:simplePos x="0" y="0"/>
                <wp:positionH relativeFrom="column">
                  <wp:align>left</wp:align>
                </wp:positionH>
                <wp:positionV relativeFrom="line">
                  <wp:posOffset>635</wp:posOffset>
                </wp:positionV>
                <wp:extent cx="3110230" cy="4080510"/>
                <wp:effectExtent l="0" t="0" r="0" b="0"/>
                <wp:wrapSquare wrapText="right"/>
                <wp:docPr id="246" name="Frame39"/>
                <a:graphic xmlns:a="http://schemas.openxmlformats.org/drawingml/2006/main">
                  <a:graphicData uri="http://schemas.microsoft.com/office/word/2010/wordprocessingShape">
                    <wps:wsp>
                      <wps:cNvSpPr txBox="1"/>
                      <wps:spPr>
                        <a:xfrm>
                          <a:off x="0" y="0"/>
                          <a:ext cx="3110230" cy="4080510"/>
                        </a:xfrm>
                        <a:prstGeom prst="rect"/>
                        <a:solidFill>
                          <a:srgbClr val="FFFFFF"/>
                        </a:solidFill>
                      </wps:spPr>
                      <wps:txbx>
                        <w:txbxContent>
                          <w:p>
                            <w:pPr>
                              <w:pStyle w:val="TextBody"/>
                              <w:bidi w:val="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Qualifications</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Mr. Rogers provides the Board with extensive financial and investment expertise and risk management experience through his Chief Investment Officer and other investment management roles at T. Rowe Price, as well as significant executive leadership and governance experience gained through his service as the Chairman of the Board of T. Rowe Price. Mr. Rogers also provides the Board with important insights into the perspectives of institutional investors.</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Experience</w:t>
                            </w:r>
                          </w:p>
                          <w:p>
                            <w:pPr>
                              <w:pStyle w:val="TextBody"/>
                              <w:bidi w:val="0"/>
                              <w:jc w:val="left"/>
                              <w:rPr>
                                <w:caps w:val="false"/>
                                <w:smallCaps w:val="false"/>
                              </w:rPr>
                            </w:pPr>
                            <w:r>
                              <w:rPr>
                                <w:caps w:val="false"/>
                                <w:smallCaps w:val="false"/>
                              </w:rPr>
                              <w:t> </w:t>
                            </w:r>
                          </w:p>
                          <w:tbl>
                            <w:tblPr>
                              <w:tblW w:w="9925" w:type="dxa"/>
                              <w:jc w:val="left"/>
                              <w:tblInd w:w="0" w:type="dxa"/>
                              <w:tblLayout w:type="fixed"/>
                              <w:tblCellMar>
                                <w:top w:w="0" w:type="dxa"/>
                                <w:left w:w="0" w:type="dxa"/>
                                <w:bottom w:w="0" w:type="dxa"/>
                                <w:right w:w="0" w:type="dxa"/>
                              </w:tblCellMar>
                            </w:tblPr>
                            <w:tblGrid>
                              <w:gridCol w:w="185"/>
                              <w:gridCol w:w="9740"/>
                            </w:tblGrid>
                            <w:tr>
                              <w:trPr/>
                              <w:tc>
                                <w:tcPr>
                                  <w:tcW w:w="185" w:type="dxa"/>
                                  <w:tcBorders/>
                                  <w:vAlign w:val="center"/>
                                </w:tcPr>
                                <w:p>
                                  <w:pPr>
                                    <w:pStyle w:val="TableContents"/>
                                    <w:bidi w:val="0"/>
                                    <w:spacing w:before="0" w:after="283"/>
                                    <w:jc w:val="left"/>
                                    <w:rPr/>
                                  </w:pPr>
                                  <w:r>
                                    <w:rPr/>
                                    <w:t>●</w:t>
                                  </w:r>
                                </w:p>
                              </w:tc>
                              <w:tc>
                                <w:tcPr>
                                  <w:tcW w:w="9740" w:type="dxa"/>
                                  <w:tcBorders/>
                                  <w:vAlign w:val="center"/>
                                </w:tcPr>
                                <w:p>
                                  <w:pPr>
                                    <w:pStyle w:val="TableContents"/>
                                    <w:bidi w:val="0"/>
                                    <w:spacing w:before="0" w:after="283"/>
                                    <w:jc w:val="left"/>
                                    <w:rPr/>
                                  </w:pPr>
                                  <w:r>
                                    <w:rPr/>
                                    <w:t>Chairman of the Board of Directors, T. Rowe Price Group, Inc. (investment management), 2007–2017</w:t>
                                  </w:r>
                                </w:p>
                              </w:tc>
                            </w:tr>
                            <w:tr>
                              <w:trPr/>
                              <w:tc>
                                <w:tcPr>
                                  <w:tcW w:w="185" w:type="dxa"/>
                                  <w:tcBorders/>
                                  <w:vAlign w:val="center"/>
                                </w:tcPr>
                                <w:p>
                                  <w:pPr>
                                    <w:pStyle w:val="TableContents"/>
                                    <w:bidi w:val="0"/>
                                    <w:spacing w:before="0" w:after="283"/>
                                    <w:jc w:val="left"/>
                                    <w:rPr/>
                                  </w:pPr>
                                  <w:r>
                                    <w:rPr/>
                                    <w:t>●</w:t>
                                  </w:r>
                                </w:p>
                              </w:tc>
                              <w:tc>
                                <w:tcPr>
                                  <w:tcW w:w="9740" w:type="dxa"/>
                                  <w:tcBorders/>
                                  <w:vAlign w:val="center"/>
                                </w:tcPr>
                                <w:p>
                                  <w:pPr>
                                    <w:pStyle w:val="TableContents"/>
                                    <w:bidi w:val="0"/>
                                    <w:spacing w:before="0" w:after="283"/>
                                    <w:jc w:val="left"/>
                                    <w:rPr/>
                                  </w:pPr>
                                  <w:r>
                                    <w:rPr/>
                                    <w:t>Chief Investment Officer, T. Rowe Price Group, Inc., 2004–2017</w:t>
                                  </w:r>
                                </w:p>
                              </w:tc>
                            </w:tr>
                            <w:tr>
                              <w:trPr/>
                              <w:tc>
                                <w:tcPr>
                                  <w:tcW w:w="185" w:type="dxa"/>
                                  <w:tcBorders/>
                                  <w:vAlign w:val="center"/>
                                </w:tcPr>
                                <w:p>
                                  <w:pPr>
                                    <w:pStyle w:val="TableContents"/>
                                    <w:bidi w:val="0"/>
                                    <w:spacing w:before="0" w:after="283"/>
                                    <w:jc w:val="left"/>
                                    <w:rPr/>
                                  </w:pPr>
                                  <w:r>
                                    <w:rPr/>
                                    <w:t>●</w:t>
                                  </w:r>
                                </w:p>
                              </w:tc>
                              <w:tc>
                                <w:tcPr>
                                  <w:tcW w:w="9740" w:type="dxa"/>
                                  <w:tcBorders/>
                                  <w:vAlign w:val="center"/>
                                </w:tcPr>
                                <w:p>
                                  <w:pPr>
                                    <w:pStyle w:val="TableContents"/>
                                    <w:bidi w:val="0"/>
                                    <w:spacing w:before="0" w:after="283"/>
                                    <w:jc w:val="left"/>
                                    <w:rPr/>
                                  </w:pPr>
                                  <w:r>
                                    <w:rPr/>
                                    <w:t>Various other senior leadership roles since joining T. Rowe Price Group, Inc., in 1982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321.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Qualifications</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Mr. Rogers provides the Board with extensive financial and investment expertise and risk management experience through his Chief Investment Officer and other investment management roles at T. Rowe Price, as well as significant executive leadership and governance experience gained through his service as the Chairman of the Board of T. Rowe Price. Mr. Rogers also provides the Board with important insights into the perspectives of institutional investors.</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Experience</w:t>
                      </w:r>
                    </w:p>
                    <w:p>
                      <w:pPr>
                        <w:pStyle w:val="TextBody"/>
                        <w:bidi w:val="0"/>
                        <w:jc w:val="left"/>
                        <w:rPr>
                          <w:caps w:val="false"/>
                          <w:smallCaps w:val="false"/>
                        </w:rPr>
                      </w:pPr>
                      <w:r>
                        <w:rPr>
                          <w:caps w:val="false"/>
                          <w:smallCaps w:val="false"/>
                        </w:rPr>
                        <w:t> </w:t>
                      </w:r>
                    </w:p>
                    <w:tbl>
                      <w:tblPr>
                        <w:tblW w:w="9925" w:type="dxa"/>
                        <w:jc w:val="left"/>
                        <w:tblInd w:w="0" w:type="dxa"/>
                        <w:tblLayout w:type="fixed"/>
                        <w:tblCellMar>
                          <w:top w:w="0" w:type="dxa"/>
                          <w:left w:w="0" w:type="dxa"/>
                          <w:bottom w:w="0" w:type="dxa"/>
                          <w:right w:w="0" w:type="dxa"/>
                        </w:tblCellMar>
                      </w:tblPr>
                      <w:tblGrid>
                        <w:gridCol w:w="185"/>
                        <w:gridCol w:w="9740"/>
                      </w:tblGrid>
                      <w:tr>
                        <w:trPr/>
                        <w:tc>
                          <w:tcPr>
                            <w:tcW w:w="185" w:type="dxa"/>
                            <w:tcBorders/>
                            <w:vAlign w:val="center"/>
                          </w:tcPr>
                          <w:p>
                            <w:pPr>
                              <w:pStyle w:val="TableContents"/>
                              <w:bidi w:val="0"/>
                              <w:spacing w:before="0" w:after="283"/>
                              <w:jc w:val="left"/>
                              <w:rPr/>
                            </w:pPr>
                            <w:r>
                              <w:rPr/>
                              <w:t>●</w:t>
                            </w:r>
                          </w:p>
                        </w:tc>
                        <w:tc>
                          <w:tcPr>
                            <w:tcW w:w="9740" w:type="dxa"/>
                            <w:tcBorders/>
                            <w:vAlign w:val="center"/>
                          </w:tcPr>
                          <w:p>
                            <w:pPr>
                              <w:pStyle w:val="TableContents"/>
                              <w:bidi w:val="0"/>
                              <w:spacing w:before="0" w:after="283"/>
                              <w:jc w:val="left"/>
                              <w:rPr/>
                            </w:pPr>
                            <w:r>
                              <w:rPr/>
                              <w:t>Chairman of the Board of Directors, T. Rowe Price Group, Inc. (investment management), 2007–2017</w:t>
                            </w:r>
                          </w:p>
                        </w:tc>
                      </w:tr>
                      <w:tr>
                        <w:trPr/>
                        <w:tc>
                          <w:tcPr>
                            <w:tcW w:w="185" w:type="dxa"/>
                            <w:tcBorders/>
                            <w:vAlign w:val="center"/>
                          </w:tcPr>
                          <w:p>
                            <w:pPr>
                              <w:pStyle w:val="TableContents"/>
                              <w:bidi w:val="0"/>
                              <w:spacing w:before="0" w:after="283"/>
                              <w:jc w:val="left"/>
                              <w:rPr/>
                            </w:pPr>
                            <w:r>
                              <w:rPr/>
                              <w:t>●</w:t>
                            </w:r>
                          </w:p>
                        </w:tc>
                        <w:tc>
                          <w:tcPr>
                            <w:tcW w:w="9740" w:type="dxa"/>
                            <w:tcBorders/>
                            <w:vAlign w:val="center"/>
                          </w:tcPr>
                          <w:p>
                            <w:pPr>
                              <w:pStyle w:val="TableContents"/>
                              <w:bidi w:val="0"/>
                              <w:spacing w:before="0" w:after="283"/>
                              <w:jc w:val="left"/>
                              <w:rPr/>
                            </w:pPr>
                            <w:r>
                              <w:rPr/>
                              <w:t>Chief Investment Officer, T. Rowe Price Group, Inc., 2004–2017</w:t>
                            </w:r>
                          </w:p>
                        </w:tc>
                      </w:tr>
                      <w:tr>
                        <w:trPr/>
                        <w:tc>
                          <w:tcPr>
                            <w:tcW w:w="185" w:type="dxa"/>
                            <w:tcBorders/>
                            <w:vAlign w:val="center"/>
                          </w:tcPr>
                          <w:p>
                            <w:pPr>
                              <w:pStyle w:val="TableContents"/>
                              <w:bidi w:val="0"/>
                              <w:spacing w:before="0" w:after="283"/>
                              <w:jc w:val="left"/>
                              <w:rPr/>
                            </w:pPr>
                            <w:r>
                              <w:rPr/>
                              <w:t>●</w:t>
                            </w:r>
                          </w:p>
                        </w:tc>
                        <w:tc>
                          <w:tcPr>
                            <w:tcW w:w="9740" w:type="dxa"/>
                            <w:tcBorders/>
                            <w:vAlign w:val="center"/>
                          </w:tcPr>
                          <w:p>
                            <w:pPr>
                              <w:pStyle w:val="TableContents"/>
                              <w:bidi w:val="0"/>
                              <w:spacing w:before="0" w:after="283"/>
                              <w:jc w:val="left"/>
                              <w:rPr/>
                            </w:pPr>
                            <w:r>
                              <w:rPr/>
                              <w:t>Various other senior leadership roles since joining T. Rowe Price Group, Inc., in 1982</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304">
                <wp:simplePos x="0" y="0"/>
                <wp:positionH relativeFrom="column">
                  <wp:align>right</wp:align>
                </wp:positionH>
                <wp:positionV relativeFrom="line">
                  <wp:posOffset>635</wp:posOffset>
                </wp:positionV>
                <wp:extent cx="3110230" cy="4697730"/>
                <wp:effectExtent l="0" t="0" r="0" b="0"/>
                <wp:wrapSquare wrapText="left"/>
                <wp:docPr id="247" name="Frame40"/>
                <a:graphic xmlns:a="http://schemas.openxmlformats.org/drawingml/2006/main">
                  <a:graphicData uri="http://schemas.microsoft.com/office/word/2010/wordprocessingShape">
                    <wps:wsp>
                      <wps:cNvSpPr txBox="1"/>
                      <wps:spPr>
                        <a:xfrm>
                          <a:off x="0" y="0"/>
                          <a:ext cx="3110230" cy="4697730"/>
                        </a:xfrm>
                        <a:prstGeom prst="rect"/>
                        <a:solidFill>
                          <a:srgbClr val="FFFFFF"/>
                        </a:solidFill>
                      </wps:spPr>
                      <wps:txbx>
                        <w:txbxContent>
                          <w:p>
                            <w:pPr>
                              <w:pStyle w:val="TextBody"/>
                              <w:bidi w:val="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Other Current Directorships</w:t>
                            </w:r>
                          </w:p>
                          <w:p>
                            <w:pPr>
                              <w:pStyle w:val="TextBody"/>
                              <w:bidi w:val="0"/>
                              <w:jc w:val="left"/>
                              <w:rPr>
                                <w:caps w:val="false"/>
                                <w:smallCaps w:val="false"/>
                              </w:rPr>
                            </w:pPr>
                            <w:r>
                              <w:rPr>
                                <w:caps w:val="false"/>
                                <w:smallCaps w:val="false"/>
                              </w:rPr>
                              <w:t> </w:t>
                            </w:r>
                          </w:p>
                          <w:tbl>
                            <w:tblPr>
                              <w:tblW w:w="3685" w:type="dxa"/>
                              <w:jc w:val="left"/>
                              <w:tblInd w:w="0" w:type="dxa"/>
                              <w:tblLayout w:type="fixed"/>
                              <w:tblCellMar>
                                <w:top w:w="0" w:type="dxa"/>
                                <w:left w:w="0" w:type="dxa"/>
                                <w:bottom w:w="0" w:type="dxa"/>
                                <w:right w:w="0" w:type="dxa"/>
                              </w:tblCellMar>
                            </w:tblPr>
                            <w:tblGrid>
                              <w:gridCol w:w="185"/>
                              <w:gridCol w:w="3500"/>
                            </w:tblGrid>
                            <w:tr>
                              <w:trPr/>
                              <w:tc>
                                <w:tcPr>
                                  <w:tcW w:w="185" w:type="dxa"/>
                                  <w:tcBorders/>
                                  <w:vAlign w:val="center"/>
                                </w:tcPr>
                                <w:p>
                                  <w:pPr>
                                    <w:pStyle w:val="TableContents"/>
                                    <w:bidi w:val="0"/>
                                    <w:spacing w:before="0" w:after="283"/>
                                    <w:jc w:val="left"/>
                                    <w:rPr/>
                                  </w:pPr>
                                  <w:r>
                                    <w:rPr/>
                                    <w:t>●</w:t>
                                  </w:r>
                                </w:p>
                              </w:tc>
                              <w:tc>
                                <w:tcPr>
                                  <w:tcW w:w="3500" w:type="dxa"/>
                                  <w:tcBorders/>
                                  <w:vAlign w:val="center"/>
                                </w:tcPr>
                                <w:p>
                                  <w:pPr>
                                    <w:pStyle w:val="TableContents"/>
                                    <w:bidi w:val="0"/>
                                    <w:spacing w:before="0" w:after="283"/>
                                    <w:jc w:val="left"/>
                                    <w:rPr/>
                                  </w:pPr>
                                  <w:r>
                                    <w:rPr/>
                                    <w:t>Lowe’s Companies, Inc., since 2018</w:t>
                                  </w:r>
                                </w:p>
                              </w:tc>
                            </w:tr>
                          </w:tbl>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Former Public Company Directorships</w:t>
                            </w:r>
                          </w:p>
                          <w:p>
                            <w:pPr>
                              <w:pStyle w:val="TextBody"/>
                              <w:bidi w:val="0"/>
                              <w:jc w:val="left"/>
                              <w:rPr>
                                <w:caps w:val="false"/>
                                <w:smallCaps w:val="false"/>
                              </w:rPr>
                            </w:pPr>
                            <w:r>
                              <w:rPr>
                                <w:caps w:val="false"/>
                                <w:smallCaps w:val="false"/>
                              </w:rPr>
                              <w:t> </w:t>
                            </w:r>
                          </w:p>
                          <w:tbl>
                            <w:tblPr>
                              <w:tblW w:w="7795" w:type="dxa"/>
                              <w:jc w:val="left"/>
                              <w:tblInd w:w="0" w:type="dxa"/>
                              <w:tblLayout w:type="fixed"/>
                              <w:tblCellMar>
                                <w:top w:w="0" w:type="dxa"/>
                                <w:left w:w="0" w:type="dxa"/>
                                <w:bottom w:w="0" w:type="dxa"/>
                                <w:right w:w="0" w:type="dxa"/>
                              </w:tblCellMar>
                            </w:tblPr>
                            <w:tblGrid>
                              <w:gridCol w:w="185"/>
                              <w:gridCol w:w="7610"/>
                            </w:tblGrid>
                            <w:tr>
                              <w:trPr/>
                              <w:tc>
                                <w:tcPr>
                                  <w:tcW w:w="185" w:type="dxa"/>
                                  <w:tcBorders/>
                                  <w:vAlign w:val="center"/>
                                </w:tcPr>
                                <w:p>
                                  <w:pPr>
                                    <w:pStyle w:val="TableContents"/>
                                    <w:bidi w:val="0"/>
                                    <w:spacing w:before="0" w:after="283"/>
                                    <w:jc w:val="left"/>
                                    <w:rPr/>
                                  </w:pPr>
                                  <w:r>
                                    <w:rPr/>
                                    <w:t>●</w:t>
                                  </w:r>
                                </w:p>
                              </w:tc>
                              <w:tc>
                                <w:tcPr>
                                  <w:tcW w:w="7610" w:type="dxa"/>
                                  <w:tcBorders/>
                                  <w:vAlign w:val="center"/>
                                </w:tcPr>
                                <w:p>
                                  <w:pPr>
                                    <w:pStyle w:val="TableContents"/>
                                    <w:bidi w:val="0"/>
                                    <w:spacing w:before="0" w:after="283"/>
                                    <w:jc w:val="left"/>
                                    <w:rPr/>
                                  </w:pPr>
                                  <w:r>
                                    <w:rPr/>
                                    <w:t>Chairman of the Board (non-executive), T. Rowe Price Group, Inc., 2017–2019</w:t>
                                  </w:r>
                                </w:p>
                              </w:tc>
                            </w:tr>
                          </w:tbl>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Other Leadership Experience and Service</w:t>
                            </w:r>
                          </w:p>
                          <w:p>
                            <w:pPr>
                              <w:pStyle w:val="TextBody"/>
                              <w:bidi w:val="0"/>
                              <w:jc w:val="left"/>
                              <w:rPr>
                                <w:caps w:val="false"/>
                                <w:smallCaps w:val="false"/>
                              </w:rPr>
                            </w:pPr>
                            <w:r>
                              <w:rPr>
                                <w:caps w:val="false"/>
                                <w:smallCaps w:val="false"/>
                              </w:rPr>
                              <w:t> </w:t>
                            </w:r>
                          </w:p>
                          <w:tbl>
                            <w:tblPr>
                              <w:tblW w:w="3400" w:type="dxa"/>
                              <w:jc w:val="left"/>
                              <w:tblInd w:w="0" w:type="dxa"/>
                              <w:tblLayout w:type="fixed"/>
                              <w:tblCellMar>
                                <w:top w:w="0" w:type="dxa"/>
                                <w:left w:w="0" w:type="dxa"/>
                                <w:bottom w:w="0" w:type="dxa"/>
                                <w:right w:w="0" w:type="dxa"/>
                              </w:tblCellMar>
                            </w:tblPr>
                            <w:tblGrid>
                              <w:gridCol w:w="185"/>
                              <w:gridCol w:w="3215"/>
                            </w:tblGrid>
                            <w:tr>
                              <w:trPr/>
                              <w:tc>
                                <w:tcPr>
                                  <w:tcW w:w="185" w:type="dxa"/>
                                  <w:tcBorders/>
                                  <w:vAlign w:val="center"/>
                                </w:tcPr>
                                <w:p>
                                  <w:pPr>
                                    <w:pStyle w:val="TableContents"/>
                                    <w:bidi w:val="0"/>
                                    <w:spacing w:before="0" w:after="283"/>
                                    <w:jc w:val="left"/>
                                    <w:rPr/>
                                  </w:pPr>
                                  <w:r>
                                    <w:rPr/>
                                    <w:t>●</w:t>
                                  </w:r>
                                </w:p>
                              </w:tc>
                              <w:tc>
                                <w:tcPr>
                                  <w:tcW w:w="3215" w:type="dxa"/>
                                  <w:tcBorders/>
                                  <w:vAlign w:val="center"/>
                                </w:tcPr>
                                <w:p>
                                  <w:pPr>
                                    <w:pStyle w:val="TableContents"/>
                                    <w:bidi w:val="0"/>
                                    <w:spacing w:before="0" w:after="283"/>
                                    <w:jc w:val="left"/>
                                    <w:rPr/>
                                  </w:pPr>
                                  <w:r>
                                    <w:rPr/>
                                    <w:t>Trustee, Brookings Institution</w:t>
                                  </w:r>
                                </w:p>
                              </w:tc>
                            </w:tr>
                            <w:tr>
                              <w:trPr/>
                              <w:tc>
                                <w:tcPr>
                                  <w:tcW w:w="185" w:type="dxa"/>
                                  <w:tcBorders/>
                                  <w:vAlign w:val="center"/>
                                </w:tcPr>
                                <w:p>
                                  <w:pPr>
                                    <w:pStyle w:val="TableContents"/>
                                    <w:bidi w:val="0"/>
                                    <w:spacing w:before="0" w:after="283"/>
                                    <w:jc w:val="left"/>
                                    <w:rPr/>
                                  </w:pPr>
                                  <w:r>
                                    <w:rPr/>
                                    <w:t>●</w:t>
                                  </w:r>
                                </w:p>
                              </w:tc>
                              <w:tc>
                                <w:tcPr>
                                  <w:tcW w:w="3215" w:type="dxa"/>
                                  <w:tcBorders/>
                                  <w:vAlign w:val="center"/>
                                </w:tcPr>
                                <w:p>
                                  <w:pPr>
                                    <w:pStyle w:val="TableContents"/>
                                    <w:bidi w:val="0"/>
                                    <w:spacing w:before="0" w:after="283"/>
                                    <w:jc w:val="left"/>
                                    <w:rPr/>
                                  </w:pPr>
                                  <w:r>
                                    <w:rPr/>
                                    <w:t>Trustee, Johns Hopkins Medicine</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369.9pt;mso-wrap-distance-left:0pt;mso-wrap-distance-right:0pt;mso-wrap-distance-top:0pt;mso-wrap-distance-bottom:0pt;margin-top:0pt;mso-position-vertical:top;mso-position-vertical-relative:text;margin-left:20.4pt;mso-position-horizontal:right;mso-position-horizontal-relative:text">
                <v:textbox>
                  <w:txbxContent>
                    <w:p>
                      <w:pPr>
                        <w:pStyle w:val="TextBody"/>
                        <w:bidi w:val="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Other Current Directorships</w:t>
                      </w:r>
                    </w:p>
                    <w:p>
                      <w:pPr>
                        <w:pStyle w:val="TextBody"/>
                        <w:bidi w:val="0"/>
                        <w:jc w:val="left"/>
                        <w:rPr>
                          <w:caps w:val="false"/>
                          <w:smallCaps w:val="false"/>
                        </w:rPr>
                      </w:pPr>
                      <w:r>
                        <w:rPr>
                          <w:caps w:val="false"/>
                          <w:smallCaps w:val="false"/>
                        </w:rPr>
                        <w:t> </w:t>
                      </w:r>
                    </w:p>
                    <w:tbl>
                      <w:tblPr>
                        <w:tblW w:w="3685" w:type="dxa"/>
                        <w:jc w:val="left"/>
                        <w:tblInd w:w="0" w:type="dxa"/>
                        <w:tblLayout w:type="fixed"/>
                        <w:tblCellMar>
                          <w:top w:w="0" w:type="dxa"/>
                          <w:left w:w="0" w:type="dxa"/>
                          <w:bottom w:w="0" w:type="dxa"/>
                          <w:right w:w="0" w:type="dxa"/>
                        </w:tblCellMar>
                      </w:tblPr>
                      <w:tblGrid>
                        <w:gridCol w:w="185"/>
                        <w:gridCol w:w="3500"/>
                      </w:tblGrid>
                      <w:tr>
                        <w:trPr/>
                        <w:tc>
                          <w:tcPr>
                            <w:tcW w:w="185" w:type="dxa"/>
                            <w:tcBorders/>
                            <w:vAlign w:val="center"/>
                          </w:tcPr>
                          <w:p>
                            <w:pPr>
                              <w:pStyle w:val="TableContents"/>
                              <w:bidi w:val="0"/>
                              <w:spacing w:before="0" w:after="283"/>
                              <w:jc w:val="left"/>
                              <w:rPr/>
                            </w:pPr>
                            <w:r>
                              <w:rPr/>
                              <w:t>●</w:t>
                            </w:r>
                          </w:p>
                        </w:tc>
                        <w:tc>
                          <w:tcPr>
                            <w:tcW w:w="3500" w:type="dxa"/>
                            <w:tcBorders/>
                            <w:vAlign w:val="center"/>
                          </w:tcPr>
                          <w:p>
                            <w:pPr>
                              <w:pStyle w:val="TableContents"/>
                              <w:bidi w:val="0"/>
                              <w:spacing w:before="0" w:after="283"/>
                              <w:jc w:val="left"/>
                              <w:rPr/>
                            </w:pPr>
                            <w:r>
                              <w:rPr/>
                              <w:t>Lowe’s Companies, Inc., since 2018</w:t>
                            </w:r>
                          </w:p>
                        </w:tc>
                      </w:tr>
                    </w:tbl>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Former Public Company Directorships</w:t>
                      </w:r>
                    </w:p>
                    <w:p>
                      <w:pPr>
                        <w:pStyle w:val="TextBody"/>
                        <w:bidi w:val="0"/>
                        <w:jc w:val="left"/>
                        <w:rPr>
                          <w:caps w:val="false"/>
                          <w:smallCaps w:val="false"/>
                        </w:rPr>
                      </w:pPr>
                      <w:r>
                        <w:rPr>
                          <w:caps w:val="false"/>
                          <w:smallCaps w:val="false"/>
                        </w:rPr>
                        <w:t> </w:t>
                      </w:r>
                    </w:p>
                    <w:tbl>
                      <w:tblPr>
                        <w:tblW w:w="7795" w:type="dxa"/>
                        <w:jc w:val="left"/>
                        <w:tblInd w:w="0" w:type="dxa"/>
                        <w:tblLayout w:type="fixed"/>
                        <w:tblCellMar>
                          <w:top w:w="0" w:type="dxa"/>
                          <w:left w:w="0" w:type="dxa"/>
                          <w:bottom w:w="0" w:type="dxa"/>
                          <w:right w:w="0" w:type="dxa"/>
                        </w:tblCellMar>
                      </w:tblPr>
                      <w:tblGrid>
                        <w:gridCol w:w="185"/>
                        <w:gridCol w:w="7610"/>
                      </w:tblGrid>
                      <w:tr>
                        <w:trPr/>
                        <w:tc>
                          <w:tcPr>
                            <w:tcW w:w="185" w:type="dxa"/>
                            <w:tcBorders/>
                            <w:vAlign w:val="center"/>
                          </w:tcPr>
                          <w:p>
                            <w:pPr>
                              <w:pStyle w:val="TableContents"/>
                              <w:bidi w:val="0"/>
                              <w:spacing w:before="0" w:after="283"/>
                              <w:jc w:val="left"/>
                              <w:rPr/>
                            </w:pPr>
                            <w:r>
                              <w:rPr/>
                              <w:t>●</w:t>
                            </w:r>
                          </w:p>
                        </w:tc>
                        <w:tc>
                          <w:tcPr>
                            <w:tcW w:w="7610" w:type="dxa"/>
                            <w:tcBorders/>
                            <w:vAlign w:val="center"/>
                          </w:tcPr>
                          <w:p>
                            <w:pPr>
                              <w:pStyle w:val="TableContents"/>
                              <w:bidi w:val="0"/>
                              <w:spacing w:before="0" w:after="283"/>
                              <w:jc w:val="left"/>
                              <w:rPr/>
                            </w:pPr>
                            <w:r>
                              <w:rPr/>
                              <w:t>Chairman of the Board (non-executive), T. Rowe Price Group, Inc., 2017–2019</w:t>
                            </w:r>
                          </w:p>
                        </w:tc>
                      </w:tr>
                    </w:tbl>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Other Leadership Experience and Service</w:t>
                      </w:r>
                    </w:p>
                    <w:p>
                      <w:pPr>
                        <w:pStyle w:val="TextBody"/>
                        <w:bidi w:val="0"/>
                        <w:jc w:val="left"/>
                        <w:rPr>
                          <w:caps w:val="false"/>
                          <w:smallCaps w:val="false"/>
                        </w:rPr>
                      </w:pPr>
                      <w:r>
                        <w:rPr>
                          <w:caps w:val="false"/>
                          <w:smallCaps w:val="false"/>
                        </w:rPr>
                        <w:t> </w:t>
                      </w:r>
                    </w:p>
                    <w:tbl>
                      <w:tblPr>
                        <w:tblW w:w="3400" w:type="dxa"/>
                        <w:jc w:val="left"/>
                        <w:tblInd w:w="0" w:type="dxa"/>
                        <w:tblLayout w:type="fixed"/>
                        <w:tblCellMar>
                          <w:top w:w="0" w:type="dxa"/>
                          <w:left w:w="0" w:type="dxa"/>
                          <w:bottom w:w="0" w:type="dxa"/>
                          <w:right w:w="0" w:type="dxa"/>
                        </w:tblCellMar>
                      </w:tblPr>
                      <w:tblGrid>
                        <w:gridCol w:w="185"/>
                        <w:gridCol w:w="3215"/>
                      </w:tblGrid>
                      <w:tr>
                        <w:trPr/>
                        <w:tc>
                          <w:tcPr>
                            <w:tcW w:w="185" w:type="dxa"/>
                            <w:tcBorders/>
                            <w:vAlign w:val="center"/>
                          </w:tcPr>
                          <w:p>
                            <w:pPr>
                              <w:pStyle w:val="TableContents"/>
                              <w:bidi w:val="0"/>
                              <w:spacing w:before="0" w:after="283"/>
                              <w:jc w:val="left"/>
                              <w:rPr/>
                            </w:pPr>
                            <w:r>
                              <w:rPr/>
                              <w:t>●</w:t>
                            </w:r>
                          </w:p>
                        </w:tc>
                        <w:tc>
                          <w:tcPr>
                            <w:tcW w:w="3215" w:type="dxa"/>
                            <w:tcBorders/>
                            <w:vAlign w:val="center"/>
                          </w:tcPr>
                          <w:p>
                            <w:pPr>
                              <w:pStyle w:val="TableContents"/>
                              <w:bidi w:val="0"/>
                              <w:spacing w:before="0" w:after="283"/>
                              <w:jc w:val="left"/>
                              <w:rPr/>
                            </w:pPr>
                            <w:r>
                              <w:rPr/>
                              <w:t>Trustee, Brookings Institution</w:t>
                            </w:r>
                          </w:p>
                        </w:tc>
                      </w:tr>
                      <w:tr>
                        <w:trPr/>
                        <w:tc>
                          <w:tcPr>
                            <w:tcW w:w="185" w:type="dxa"/>
                            <w:tcBorders/>
                            <w:vAlign w:val="center"/>
                          </w:tcPr>
                          <w:p>
                            <w:pPr>
                              <w:pStyle w:val="TableContents"/>
                              <w:bidi w:val="0"/>
                              <w:spacing w:before="0" w:after="283"/>
                              <w:jc w:val="left"/>
                              <w:rPr/>
                            </w:pPr>
                            <w:r>
                              <w:rPr/>
                              <w:t>●</w:t>
                            </w:r>
                          </w:p>
                        </w:tc>
                        <w:tc>
                          <w:tcPr>
                            <w:tcW w:w="3215" w:type="dxa"/>
                            <w:tcBorders/>
                            <w:vAlign w:val="center"/>
                          </w:tcPr>
                          <w:p>
                            <w:pPr>
                              <w:pStyle w:val="TableContents"/>
                              <w:bidi w:val="0"/>
                              <w:spacing w:before="0" w:after="283"/>
                              <w:jc w:val="left"/>
                              <w:rPr/>
                            </w:pPr>
                            <w:r>
                              <w:rPr/>
                              <w:t>Trustee, Johns Hopkins Medicine</w:t>
                            </w:r>
                          </w:p>
                        </w:tc>
                      </w:tr>
                    </w:tbl>
                    <w:p>
                      <w:pPr>
                        <w:pStyle w:val="TextBody"/>
                        <w:bidi w:val="0"/>
                        <w:spacing w:before="0" w:after="283"/>
                        <w:jc w:val="left"/>
                        <w:rPr/>
                      </w:pPr>
                      <w:r>
                        <w:rPr/>
                      </w:r>
                    </w:p>
                  </w:txbxContent>
                </v:textbox>
                <w10:wrap type="square" side="left"/>
              </v:rect>
            </w:pict>
          </mc:Fallback>
        </mc:AlternateContent>
      </w:r>
    </w:p>
    <w:p>
      <w:pPr>
        <w:pStyle w:val="HorizontalLine"/>
        <w:pBdr>
          <w:bottom w:val="double" w:sz="2" w:space="0" w:color="808080"/>
        </w:pBdr>
        <w:bidi w:val="0"/>
        <w:spacing w:before="0" w:after="283"/>
        <w:jc w:val="left"/>
        <w:rPr/>
      </w:pPr>
      <w:r>
        <w:rPr/>
      </w:r>
    </w:p>
    <w:p>
      <w:pPr>
        <w:pStyle w:val="TextBody"/>
        <w:bidi w:val="0"/>
        <w:spacing w:before="200" w:after="200"/>
        <w:jc w:val="left"/>
        <w:rPr/>
      </w:pPr>
      <w:hyperlink w:anchor="toc">
        <w:r>
          <w:rPr>
            <w:rStyle w:val="InternetLink"/>
            <w:rFonts w:ascii="Arial;Helvetica;Sans-Serif" w:hAnsi="Arial;Helvetica;Sans-Serif"/>
            <w:b/>
            <w:i w:val="false"/>
            <w:caps w:val="false"/>
            <w:smallCaps w:val="false"/>
            <w:sz w:val="16"/>
          </w:rPr>
          <w:t>Table of Contents</w:t>
        </w:r>
      </w:hyperlink>
    </w:p>
    <w:p>
      <w:pPr>
        <w:pStyle w:val="TextBody"/>
        <w:bidi w:val="0"/>
        <w:spacing w:before="0" w:after="0"/>
        <w:ind w:left="0" w:right="0" w:hanging="0"/>
        <w:jc w:val="right"/>
        <w:rPr>
          <w:rFonts w:ascii="Arial;Helvetica;Sans-Serif" w:hAnsi="Arial;Helvetica;Sans-Serif"/>
          <w:b/>
          <w:i w:val="false"/>
          <w:caps w:val="false"/>
          <w:smallCaps w:val="false"/>
          <w:color w:val="C12E33"/>
          <w:sz w:val="15"/>
        </w:rPr>
      </w:pPr>
      <w:r>
        <w:rPr>
          <w:rFonts w:ascii="Arial;Helvetica;Sans-Serif" w:hAnsi="Arial;Helvetica;Sans-Serif"/>
          <w:b/>
          <w:i w:val="false"/>
          <w:caps w:val="false"/>
          <w:smallCaps w:val="false"/>
          <w:color w:val="C12E33"/>
          <w:sz w:val="15"/>
        </w:rPr>
        <w:t>PROPOSAL 1: ELECTION OF DIRECTORS</w:t>
      </w:r>
    </w:p>
    <w:p>
      <w:pPr>
        <w:pStyle w:val="TextBody"/>
        <w:bidi w:val="0"/>
        <w:spacing w:before="0" w:after="0"/>
        <w:ind w:left="0" w:right="0" w:hanging="0"/>
        <w:jc w:val="righ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NOMINEES</w:t>
      </w:r>
    </w:p>
    <w:p>
      <w:pPr>
        <w:pStyle w:val="TextBody"/>
        <w:bidi w:val="0"/>
        <w:jc w:val="left"/>
        <w:rPr>
          <w:caps w:val="false"/>
          <w:smallCaps w:val="false"/>
        </w:rPr>
      </w:pPr>
      <w:r>
        <w:rPr>
          <w:caps w:val="false"/>
          <w:smallCaps w:val="false"/>
        </w:rPr>
        <w:t> </w:t>
      </w:r>
    </w:p>
    <w:p>
      <w:pPr>
        <w:pStyle w:val="TextBody"/>
        <w:bidi w:val="0"/>
        <w:jc w:val="left"/>
        <w:rPr>
          <w:caps w:val="false"/>
          <w:smallCaps w:val="false"/>
          <w:shd w:fill="EDEDEE" w:val="clear"/>
        </w:rPr>
      </w:pPr>
      <w:r>
        <w:rPr>
          <w:caps w:val="false"/>
          <w:smallCaps w:val="false"/>
          <w:shd w:fill="EDEDEE" w:val="clear"/>
        </w:rPr>
        <w:t> </w:t>
      </w:r>
      <w:r>
        <mc:AlternateContent>
          <mc:Choice Requires="wps">
            <w:drawing>
              <wp:anchor behindDoc="0" distT="0" distB="0" distL="0" distR="0" simplePos="0" locked="0" layoutInCell="1" allowOverlap="1" relativeHeight="19">
                <wp:simplePos x="0" y="0"/>
                <wp:positionH relativeFrom="column">
                  <wp:align>left</wp:align>
                </wp:positionH>
                <wp:positionV relativeFrom="line">
                  <wp:posOffset>635</wp:posOffset>
                </wp:positionV>
                <wp:extent cx="4535805" cy="3796030"/>
                <wp:effectExtent l="0" t="0" r="0" b="0"/>
                <wp:wrapSquare wrapText="right"/>
                <wp:docPr id="248" name="Frame41"/>
                <a:graphic xmlns:a="http://schemas.openxmlformats.org/drawingml/2006/main">
                  <a:graphicData uri="http://schemas.microsoft.com/office/word/2010/wordprocessingShape">
                    <wps:wsp>
                      <wps:cNvSpPr txBox="1"/>
                      <wps:spPr>
                        <a:xfrm>
                          <a:off x="0" y="0"/>
                          <a:ext cx="4535805" cy="3796030"/>
                        </a:xfrm>
                        <a:prstGeom prst="rect"/>
                        <a:solidFill>
                          <a:srgbClr val="FFFFFF"/>
                        </a:solidFill>
                      </wps:spPr>
                      <wps:txbx>
                        <w:txbxContent>
                          <w:p>
                            <w:pPr>
                              <w:pStyle w:val="TextBody"/>
                              <w:bidi w:val="0"/>
                              <w:jc w:val="left"/>
                              <w:rPr>
                                <w:rFonts w:ascii="Arial;Helvetica;Sans-Serif" w:hAnsi="Arial;Helvetica;Sans-Serif"/>
                                <w:b/>
                                <w:i w:val="false"/>
                                <w:caps w:val="false"/>
                                <w:smallCaps w:val="false"/>
                                <w:sz w:val="30"/>
                              </w:rPr>
                            </w:pPr>
                            <w:r>
                              <w:rPr>
                                <w:rFonts w:ascii="Arial;Helvetica;Sans-Serif" w:hAnsi="Arial;Helvetica;Sans-Serif"/>
                                <w:b/>
                                <w:i w:val="false"/>
                                <w:caps w:val="false"/>
                                <w:smallCaps w:val="false"/>
                                <w:sz w:val="30"/>
                              </w:rPr>
                              <w:t>Robert O. Work</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26"/>
                              <w:gridCol w:w="300"/>
                              <w:gridCol w:w="5379"/>
                            </w:tblGrid>
                            <w:tr>
                              <w:trPr/>
                              <w:tc>
                                <w:tcPr>
                                  <w:tcW w:w="4526" w:type="dxa"/>
                                  <w:tcBorders/>
                                  <w:vAlign w:val="center"/>
                                </w:tcPr>
                                <w:p>
                                  <w:pPr>
                                    <w:pStyle w:val="TableContents"/>
                                    <w:bidi w:val="0"/>
                                    <w:spacing w:before="0" w:after="60"/>
                                    <w:jc w:val="left"/>
                                    <w:rPr>
                                      <w:b/>
                                    </w:rPr>
                                  </w:pPr>
                                  <w:r>
                                    <w:rPr>
                                      <w:b/>
                                    </w:rPr>
                                    <w:t>INDEPENDENT DIRECTOR</w:t>
                                  </w:r>
                                </w:p>
                                <w:p>
                                  <w:pPr>
                                    <w:pStyle w:val="TableContents"/>
                                    <w:bidi w:val="0"/>
                                    <w:spacing w:before="0" w:after="283"/>
                                    <w:jc w:val="left"/>
                                    <w:rPr>
                                      <w:sz w:val="20"/>
                                    </w:rPr>
                                  </w:pPr>
                                  <w:r>
                                    <w:rPr>
                                      <w:sz w:val="20"/>
                                    </w:rPr>
                                    <w:t>Retired Deputy Secretary of Defense, U.S. Department of Defense</w:t>
                                  </w:r>
                                </w:p>
                              </w:tc>
                              <w:tc>
                                <w:tcPr>
                                  <w:tcW w:w="300" w:type="dxa"/>
                                  <w:tcBorders/>
                                  <w:vAlign w:val="center"/>
                                </w:tcPr>
                                <w:p>
                                  <w:pPr>
                                    <w:pStyle w:val="TableContents"/>
                                    <w:bidi w:val="0"/>
                                    <w:spacing w:before="0" w:after="283"/>
                                    <w:jc w:val="left"/>
                                    <w:rPr/>
                                  </w:pPr>
                                  <w:r>
                                    <w:rPr/>
                                    <w:t>     </w:t>
                                  </w:r>
                                </w:p>
                              </w:tc>
                              <w:tc>
                                <w:tcPr>
                                  <w:tcW w:w="5379" w:type="dxa"/>
                                  <w:tcBorders/>
                                  <w:vAlign w:val="center"/>
                                </w:tcPr>
                                <w:p>
                                  <w:pPr>
                                    <w:pStyle w:val="TableContents"/>
                                    <w:bidi w:val="0"/>
                                    <w:spacing w:before="0" w:after="60"/>
                                    <w:jc w:val="left"/>
                                    <w:rPr/>
                                  </w:pPr>
                                  <w:r>
                                    <w:rPr/>
                                    <w:t xml:space="preserve">AGE </w:t>
                                  </w:r>
                                  <w:r>
                                    <w:rPr>
                                      <w:b/>
                                    </w:rPr>
                                    <w:t>73</w:t>
                                  </w:r>
                                </w:p>
                                <w:p>
                                  <w:pPr>
                                    <w:pStyle w:val="TableContents"/>
                                    <w:bidi w:val="0"/>
                                    <w:jc w:val="left"/>
                                    <w:rPr/>
                                  </w:pPr>
                                  <w:r>
                                    <w:rPr/>
                                    <w:t xml:space="preserve">DIRECTOR SINCE </w:t>
                                  </w:r>
                                  <w:r>
                                    <w:rPr>
                                      <w:b/>
                                    </w:rPr>
                                    <w:t>2020</w:t>
                                  </w:r>
                                </w:p>
                                <w:p>
                                  <w:pPr>
                                    <w:pStyle w:val="TableContents"/>
                                    <w:bidi w:val="0"/>
                                    <w:jc w:val="left"/>
                                    <w:rPr/>
                                  </w:pPr>
                                  <w:r>
                                    <w:rPr/>
                                    <w:t>BOARD COMMITTEES</w:t>
                                  </w:r>
                                </w:p>
                                <w:p>
                                  <w:pPr>
                                    <w:pStyle w:val="TableContents"/>
                                    <w:bidi w:val="0"/>
                                    <w:spacing w:before="0" w:after="283"/>
                                    <w:jc w:val="left"/>
                                    <w:rPr>
                                      <w:b/>
                                    </w:rPr>
                                  </w:pPr>
                                  <w:r>
                                    <w:rPr>
                                      <w:b/>
                                    </w:rPr>
                                    <w:t>Governance and Public Policy (Chair), Audit, Special Activities</w:t>
                                  </w:r>
                                </w:p>
                              </w:tc>
                            </w:tr>
                            <w:tr>
                              <w:trPr/>
                              <w:tc>
                                <w:tcPr>
                                  <w:tcW w:w="4526" w:type="dxa"/>
                                  <w:tcBorders/>
                                  <w:vAlign w:val="center"/>
                                </w:tcPr>
                                <w:p>
                                  <w:pPr>
                                    <w:pStyle w:val="TableContents"/>
                                    <w:bidi w:val="0"/>
                                    <w:spacing w:before="0" w:after="283"/>
                                    <w:jc w:val="left"/>
                                    <w:rPr>
                                      <w:b/>
                                      <w:sz w:val="20"/>
                                    </w:rPr>
                                  </w:pPr>
                                  <w:r>
                                    <w:rPr>
                                      <w:b/>
                                      <w:sz w:val="20"/>
                                    </w:rPr>
                                    <w:t>Key Skills and Expertise</w:t>
                                  </w:r>
                                </w:p>
                              </w:tc>
                              <w:tc>
                                <w:tcPr>
                                  <w:tcW w:w="300" w:type="dxa"/>
                                  <w:tcBorders/>
                                  <w:vAlign w:val="center"/>
                                </w:tcPr>
                                <w:p>
                                  <w:pPr>
                                    <w:pStyle w:val="TableContents"/>
                                    <w:bidi w:val="0"/>
                                    <w:spacing w:before="0" w:after="283"/>
                                    <w:jc w:val="left"/>
                                    <w:rPr/>
                                  </w:pPr>
                                  <w:r>
                                    <w:rPr/>
                                    <w:t> </w:t>
                                  </w:r>
                                </w:p>
                              </w:tc>
                              <w:tc>
                                <w:tcPr>
                                  <w:tcW w:w="5379"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9825" w:type="dxa"/>
                              <w:jc w:val="left"/>
                              <w:tblInd w:w="0" w:type="dxa"/>
                              <w:tblLayout w:type="fixed"/>
                              <w:tblCellMar>
                                <w:top w:w="0" w:type="dxa"/>
                                <w:left w:w="0" w:type="dxa"/>
                                <w:bottom w:w="0" w:type="dxa"/>
                                <w:right w:w="0" w:type="dxa"/>
                              </w:tblCellMar>
                            </w:tblPr>
                            <w:tblGrid>
                              <w:gridCol w:w="315"/>
                              <w:gridCol w:w="1745"/>
                              <w:gridCol w:w="330"/>
                              <w:gridCol w:w="3140"/>
                              <w:gridCol w:w="300"/>
                              <w:gridCol w:w="3995"/>
                            </w:tblGrid>
                            <w:tr>
                              <w:trPr/>
                              <w:tc>
                                <w:tcPr>
                                  <w:tcW w:w="315" w:type="dxa"/>
                                  <w:tcBorders/>
                                  <w:vAlign w:val="center"/>
                                </w:tcPr>
                                <w:p>
                                  <w:pPr>
                                    <w:pStyle w:val="TableContents"/>
                                    <w:bidi w:val="0"/>
                                    <w:spacing w:before="0" w:after="283"/>
                                    <w:jc w:val="left"/>
                                    <w:rPr/>
                                  </w:pPr>
                                  <w:r>
                                    <w:rPr/>
                                    <w:drawing>
                                      <wp:inline distT="0" distB="0" distL="0" distR="0">
                                        <wp:extent cx="190500" cy="495300"/>
                                        <wp:effectExtent l="0" t="0" r="0" b="0"/>
                                        <wp:docPr id="249" name="Image1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 name="Image168" descr=""/>
                                                <pic:cNvPicPr>
                                                  <a:picLocks noChangeAspect="1" noChangeArrowheads="1"/>
                                                </pic:cNvPicPr>
                                              </pic:nvPicPr>
                                              <pic:blipFill>
                                                <a:blip r:embed="rId209"/>
                                                <a:stretch>
                                                  <a:fillRect/>
                                                </a:stretch>
                                              </pic:blipFill>
                                              <pic:spPr bwMode="auto">
                                                <a:xfrm>
                                                  <a:off x="0" y="0"/>
                                                  <a:ext cx="190500" cy="495300"/>
                                                </a:xfrm>
                                                <a:prstGeom prst="rect">
                                                  <a:avLst/>
                                                </a:prstGeom>
                                              </pic:spPr>
                                            </pic:pic>
                                          </a:graphicData>
                                        </a:graphic>
                                      </wp:inline>
                                    </w:drawing>
                                  </w:r>
                                </w:p>
                              </w:tc>
                              <w:tc>
                                <w:tcPr>
                                  <w:tcW w:w="1745" w:type="dxa"/>
                                  <w:tcBorders/>
                                  <w:vAlign w:val="center"/>
                                </w:tcPr>
                                <w:p>
                                  <w:pPr>
                                    <w:pStyle w:val="TableContents"/>
                                    <w:bidi w:val="0"/>
                                    <w:spacing w:before="0" w:after="283"/>
                                    <w:jc w:val="left"/>
                                    <w:rPr/>
                                  </w:pPr>
                                  <w:r>
                                    <w:rPr/>
                                    <w:t>GOVERNMENT</w:t>
                                  </w:r>
                                </w:p>
                              </w:tc>
                              <w:tc>
                                <w:tcPr>
                                  <w:tcW w:w="330" w:type="dxa"/>
                                  <w:tcBorders/>
                                  <w:vAlign w:val="center"/>
                                </w:tcPr>
                                <w:p>
                                  <w:pPr>
                                    <w:pStyle w:val="TableContents"/>
                                    <w:bidi w:val="0"/>
                                    <w:spacing w:before="0" w:after="283"/>
                                    <w:jc w:val="left"/>
                                    <w:rPr/>
                                  </w:pPr>
                                  <w:r>
                                    <w:rPr/>
                                    <w:drawing>
                                      <wp:inline distT="0" distB="0" distL="0" distR="0">
                                        <wp:extent cx="209550" cy="495300"/>
                                        <wp:effectExtent l="0" t="0" r="0" b="0"/>
                                        <wp:docPr id="250" name="Image1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 name="Image169" descr=""/>
                                                <pic:cNvPicPr>
                                                  <a:picLocks noChangeAspect="1" noChangeArrowheads="1"/>
                                                </pic:cNvPicPr>
                                              </pic:nvPicPr>
                                              <pic:blipFill>
                                                <a:blip r:embed="rId210"/>
                                                <a:stretch>
                                                  <a:fillRect/>
                                                </a:stretch>
                                              </pic:blipFill>
                                              <pic:spPr bwMode="auto">
                                                <a:xfrm>
                                                  <a:off x="0" y="0"/>
                                                  <a:ext cx="209550" cy="495300"/>
                                                </a:xfrm>
                                                <a:prstGeom prst="rect">
                                                  <a:avLst/>
                                                </a:prstGeom>
                                              </pic:spPr>
                                            </pic:pic>
                                          </a:graphicData>
                                        </a:graphic>
                                      </wp:inline>
                                    </w:drawing>
                                  </w:r>
                                </w:p>
                              </w:tc>
                              <w:tc>
                                <w:tcPr>
                                  <w:tcW w:w="3140" w:type="dxa"/>
                                  <w:tcBorders/>
                                  <w:vAlign w:val="center"/>
                                </w:tcPr>
                                <w:p>
                                  <w:pPr>
                                    <w:pStyle w:val="TableContents"/>
                                    <w:bidi w:val="0"/>
                                    <w:spacing w:before="0" w:after="283"/>
                                    <w:jc w:val="left"/>
                                    <w:rPr/>
                                  </w:pPr>
                                  <w:r>
                                    <w:rPr/>
                                    <w:t>EXPERIENCE IN INDUSTRY</w:t>
                                  </w:r>
                                </w:p>
                              </w:tc>
                              <w:tc>
                                <w:tcPr>
                                  <w:tcW w:w="300" w:type="dxa"/>
                                  <w:tcBorders/>
                                  <w:vAlign w:val="center"/>
                                </w:tcPr>
                                <w:p>
                                  <w:pPr>
                                    <w:pStyle w:val="TableContents"/>
                                    <w:bidi w:val="0"/>
                                    <w:spacing w:before="0" w:after="283"/>
                                    <w:jc w:val="left"/>
                                    <w:rPr/>
                                  </w:pPr>
                                  <w:r>
                                    <w:rPr/>
                                    <w:drawing>
                                      <wp:inline distT="0" distB="0" distL="0" distR="0">
                                        <wp:extent cx="190500" cy="523875"/>
                                        <wp:effectExtent l="0" t="0" r="0" b="0"/>
                                        <wp:docPr id="251" name="Image1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 name="Image170" descr=""/>
                                                <pic:cNvPicPr>
                                                  <a:picLocks noChangeAspect="1" noChangeArrowheads="1"/>
                                                </pic:cNvPicPr>
                                              </pic:nvPicPr>
                                              <pic:blipFill>
                                                <a:blip r:embed="rId211"/>
                                                <a:stretch>
                                                  <a:fillRect/>
                                                </a:stretch>
                                              </pic:blipFill>
                                              <pic:spPr bwMode="auto">
                                                <a:xfrm>
                                                  <a:off x="0" y="0"/>
                                                  <a:ext cx="190500" cy="523875"/>
                                                </a:xfrm>
                                                <a:prstGeom prst="rect">
                                                  <a:avLst/>
                                                </a:prstGeom>
                                              </pic:spPr>
                                            </pic:pic>
                                          </a:graphicData>
                                        </a:graphic>
                                      </wp:inline>
                                    </w:drawing>
                                  </w:r>
                                </w:p>
                              </w:tc>
                              <w:tc>
                                <w:tcPr>
                                  <w:tcW w:w="3995" w:type="dxa"/>
                                  <w:tcBorders/>
                                  <w:vAlign w:val="center"/>
                                </w:tcPr>
                                <w:p>
                                  <w:pPr>
                                    <w:pStyle w:val="TableContents"/>
                                    <w:bidi w:val="0"/>
                                    <w:spacing w:before="0" w:after="283"/>
                                    <w:jc w:val="left"/>
                                    <w:rPr/>
                                  </w:pPr>
                                  <w:r>
                                    <w:rPr/>
                                    <w:t>GOVERNANCE &amp; RESPONSIBILITY</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70000</wp14:pctWidth>
                </wp14:sizeRelH>
              </wp:anchor>
            </w:drawing>
          </mc:Choice>
          <mc:Fallback>
            <w:pict>
              <v:rect style="position:absolute;rotation:-0;width:357.15pt;height:298.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jc w:val="left"/>
                        <w:rPr>
                          <w:rFonts w:ascii="Arial;Helvetica;Sans-Serif" w:hAnsi="Arial;Helvetica;Sans-Serif"/>
                          <w:b/>
                          <w:i w:val="false"/>
                          <w:caps w:val="false"/>
                          <w:smallCaps w:val="false"/>
                          <w:sz w:val="30"/>
                        </w:rPr>
                      </w:pPr>
                      <w:r>
                        <w:rPr>
                          <w:rFonts w:ascii="Arial;Helvetica;Sans-Serif" w:hAnsi="Arial;Helvetica;Sans-Serif"/>
                          <w:b/>
                          <w:i w:val="false"/>
                          <w:caps w:val="false"/>
                          <w:smallCaps w:val="false"/>
                          <w:sz w:val="30"/>
                        </w:rPr>
                        <w:t>Robert O. Work</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26"/>
                        <w:gridCol w:w="300"/>
                        <w:gridCol w:w="5379"/>
                      </w:tblGrid>
                      <w:tr>
                        <w:trPr/>
                        <w:tc>
                          <w:tcPr>
                            <w:tcW w:w="4526" w:type="dxa"/>
                            <w:tcBorders/>
                            <w:vAlign w:val="center"/>
                          </w:tcPr>
                          <w:p>
                            <w:pPr>
                              <w:pStyle w:val="TableContents"/>
                              <w:bidi w:val="0"/>
                              <w:spacing w:before="0" w:after="60"/>
                              <w:jc w:val="left"/>
                              <w:rPr>
                                <w:b/>
                              </w:rPr>
                            </w:pPr>
                            <w:r>
                              <w:rPr>
                                <w:b/>
                              </w:rPr>
                              <w:t>INDEPENDENT DIRECTOR</w:t>
                            </w:r>
                          </w:p>
                          <w:p>
                            <w:pPr>
                              <w:pStyle w:val="TableContents"/>
                              <w:bidi w:val="0"/>
                              <w:spacing w:before="0" w:after="283"/>
                              <w:jc w:val="left"/>
                              <w:rPr>
                                <w:sz w:val="20"/>
                              </w:rPr>
                            </w:pPr>
                            <w:r>
                              <w:rPr>
                                <w:sz w:val="20"/>
                              </w:rPr>
                              <w:t>Retired Deputy Secretary of Defense, U.S. Department of Defense</w:t>
                            </w:r>
                          </w:p>
                        </w:tc>
                        <w:tc>
                          <w:tcPr>
                            <w:tcW w:w="300" w:type="dxa"/>
                            <w:tcBorders/>
                            <w:vAlign w:val="center"/>
                          </w:tcPr>
                          <w:p>
                            <w:pPr>
                              <w:pStyle w:val="TableContents"/>
                              <w:bidi w:val="0"/>
                              <w:spacing w:before="0" w:after="283"/>
                              <w:jc w:val="left"/>
                              <w:rPr/>
                            </w:pPr>
                            <w:r>
                              <w:rPr/>
                              <w:t>     </w:t>
                            </w:r>
                          </w:p>
                        </w:tc>
                        <w:tc>
                          <w:tcPr>
                            <w:tcW w:w="5379" w:type="dxa"/>
                            <w:tcBorders/>
                            <w:vAlign w:val="center"/>
                          </w:tcPr>
                          <w:p>
                            <w:pPr>
                              <w:pStyle w:val="TableContents"/>
                              <w:bidi w:val="0"/>
                              <w:spacing w:before="0" w:after="60"/>
                              <w:jc w:val="left"/>
                              <w:rPr/>
                            </w:pPr>
                            <w:r>
                              <w:rPr/>
                              <w:t xml:space="preserve">AGE </w:t>
                            </w:r>
                            <w:r>
                              <w:rPr>
                                <w:b/>
                              </w:rPr>
                              <w:t>73</w:t>
                            </w:r>
                          </w:p>
                          <w:p>
                            <w:pPr>
                              <w:pStyle w:val="TableContents"/>
                              <w:bidi w:val="0"/>
                              <w:jc w:val="left"/>
                              <w:rPr/>
                            </w:pPr>
                            <w:r>
                              <w:rPr/>
                              <w:t xml:space="preserve">DIRECTOR SINCE </w:t>
                            </w:r>
                            <w:r>
                              <w:rPr>
                                <w:b/>
                              </w:rPr>
                              <w:t>2020</w:t>
                            </w:r>
                          </w:p>
                          <w:p>
                            <w:pPr>
                              <w:pStyle w:val="TableContents"/>
                              <w:bidi w:val="0"/>
                              <w:jc w:val="left"/>
                              <w:rPr/>
                            </w:pPr>
                            <w:r>
                              <w:rPr/>
                              <w:t>BOARD COMMITTEES</w:t>
                            </w:r>
                          </w:p>
                          <w:p>
                            <w:pPr>
                              <w:pStyle w:val="TableContents"/>
                              <w:bidi w:val="0"/>
                              <w:spacing w:before="0" w:after="283"/>
                              <w:jc w:val="left"/>
                              <w:rPr>
                                <w:b/>
                              </w:rPr>
                            </w:pPr>
                            <w:r>
                              <w:rPr>
                                <w:b/>
                              </w:rPr>
                              <w:t>Governance and Public Policy (Chair), Audit, Special Activities</w:t>
                            </w:r>
                          </w:p>
                        </w:tc>
                      </w:tr>
                      <w:tr>
                        <w:trPr/>
                        <w:tc>
                          <w:tcPr>
                            <w:tcW w:w="4526" w:type="dxa"/>
                            <w:tcBorders/>
                            <w:vAlign w:val="center"/>
                          </w:tcPr>
                          <w:p>
                            <w:pPr>
                              <w:pStyle w:val="TableContents"/>
                              <w:bidi w:val="0"/>
                              <w:spacing w:before="0" w:after="283"/>
                              <w:jc w:val="left"/>
                              <w:rPr>
                                <w:b/>
                                <w:sz w:val="20"/>
                              </w:rPr>
                            </w:pPr>
                            <w:r>
                              <w:rPr>
                                <w:b/>
                                <w:sz w:val="20"/>
                              </w:rPr>
                              <w:t>Key Skills and Expertise</w:t>
                            </w:r>
                          </w:p>
                        </w:tc>
                        <w:tc>
                          <w:tcPr>
                            <w:tcW w:w="300" w:type="dxa"/>
                            <w:tcBorders/>
                            <w:vAlign w:val="center"/>
                          </w:tcPr>
                          <w:p>
                            <w:pPr>
                              <w:pStyle w:val="TableContents"/>
                              <w:bidi w:val="0"/>
                              <w:spacing w:before="0" w:after="283"/>
                              <w:jc w:val="left"/>
                              <w:rPr/>
                            </w:pPr>
                            <w:r>
                              <w:rPr/>
                              <w:t> </w:t>
                            </w:r>
                          </w:p>
                        </w:tc>
                        <w:tc>
                          <w:tcPr>
                            <w:tcW w:w="5379"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9825" w:type="dxa"/>
                        <w:jc w:val="left"/>
                        <w:tblInd w:w="0" w:type="dxa"/>
                        <w:tblLayout w:type="fixed"/>
                        <w:tblCellMar>
                          <w:top w:w="0" w:type="dxa"/>
                          <w:left w:w="0" w:type="dxa"/>
                          <w:bottom w:w="0" w:type="dxa"/>
                          <w:right w:w="0" w:type="dxa"/>
                        </w:tblCellMar>
                      </w:tblPr>
                      <w:tblGrid>
                        <w:gridCol w:w="315"/>
                        <w:gridCol w:w="1745"/>
                        <w:gridCol w:w="330"/>
                        <w:gridCol w:w="3140"/>
                        <w:gridCol w:w="300"/>
                        <w:gridCol w:w="3995"/>
                      </w:tblGrid>
                      <w:tr>
                        <w:trPr/>
                        <w:tc>
                          <w:tcPr>
                            <w:tcW w:w="315" w:type="dxa"/>
                            <w:tcBorders/>
                            <w:vAlign w:val="center"/>
                          </w:tcPr>
                          <w:p>
                            <w:pPr>
                              <w:pStyle w:val="TableContents"/>
                              <w:bidi w:val="0"/>
                              <w:spacing w:before="0" w:after="283"/>
                              <w:jc w:val="left"/>
                              <w:rPr/>
                            </w:pPr>
                            <w:r>
                              <w:rPr/>
                              <w:drawing>
                                <wp:inline distT="0" distB="0" distL="0" distR="0">
                                  <wp:extent cx="190500" cy="495300"/>
                                  <wp:effectExtent l="0" t="0" r="0" b="0"/>
                                  <wp:docPr id="252" name="Image1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 name="Image168" descr=""/>
                                          <pic:cNvPicPr>
                                            <a:picLocks noChangeAspect="1" noChangeArrowheads="1"/>
                                          </pic:cNvPicPr>
                                        </pic:nvPicPr>
                                        <pic:blipFill>
                                          <a:blip r:embed="rId212"/>
                                          <a:stretch>
                                            <a:fillRect/>
                                          </a:stretch>
                                        </pic:blipFill>
                                        <pic:spPr bwMode="auto">
                                          <a:xfrm>
                                            <a:off x="0" y="0"/>
                                            <a:ext cx="190500" cy="495300"/>
                                          </a:xfrm>
                                          <a:prstGeom prst="rect">
                                            <a:avLst/>
                                          </a:prstGeom>
                                        </pic:spPr>
                                      </pic:pic>
                                    </a:graphicData>
                                  </a:graphic>
                                </wp:inline>
                              </w:drawing>
                            </w:r>
                          </w:p>
                        </w:tc>
                        <w:tc>
                          <w:tcPr>
                            <w:tcW w:w="1745" w:type="dxa"/>
                            <w:tcBorders/>
                            <w:vAlign w:val="center"/>
                          </w:tcPr>
                          <w:p>
                            <w:pPr>
                              <w:pStyle w:val="TableContents"/>
                              <w:bidi w:val="0"/>
                              <w:spacing w:before="0" w:after="283"/>
                              <w:jc w:val="left"/>
                              <w:rPr/>
                            </w:pPr>
                            <w:r>
                              <w:rPr/>
                              <w:t>GOVERNMENT</w:t>
                            </w:r>
                          </w:p>
                        </w:tc>
                        <w:tc>
                          <w:tcPr>
                            <w:tcW w:w="330" w:type="dxa"/>
                            <w:tcBorders/>
                            <w:vAlign w:val="center"/>
                          </w:tcPr>
                          <w:p>
                            <w:pPr>
                              <w:pStyle w:val="TableContents"/>
                              <w:bidi w:val="0"/>
                              <w:spacing w:before="0" w:after="283"/>
                              <w:jc w:val="left"/>
                              <w:rPr/>
                            </w:pPr>
                            <w:r>
                              <w:rPr/>
                              <w:drawing>
                                <wp:inline distT="0" distB="0" distL="0" distR="0">
                                  <wp:extent cx="209550" cy="495300"/>
                                  <wp:effectExtent l="0" t="0" r="0" b="0"/>
                                  <wp:docPr id="253" name="Image1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 name="Image169" descr=""/>
                                          <pic:cNvPicPr>
                                            <a:picLocks noChangeAspect="1" noChangeArrowheads="1"/>
                                          </pic:cNvPicPr>
                                        </pic:nvPicPr>
                                        <pic:blipFill>
                                          <a:blip r:embed="rId213"/>
                                          <a:stretch>
                                            <a:fillRect/>
                                          </a:stretch>
                                        </pic:blipFill>
                                        <pic:spPr bwMode="auto">
                                          <a:xfrm>
                                            <a:off x="0" y="0"/>
                                            <a:ext cx="209550" cy="495300"/>
                                          </a:xfrm>
                                          <a:prstGeom prst="rect">
                                            <a:avLst/>
                                          </a:prstGeom>
                                        </pic:spPr>
                                      </pic:pic>
                                    </a:graphicData>
                                  </a:graphic>
                                </wp:inline>
                              </w:drawing>
                            </w:r>
                          </w:p>
                        </w:tc>
                        <w:tc>
                          <w:tcPr>
                            <w:tcW w:w="3140" w:type="dxa"/>
                            <w:tcBorders/>
                            <w:vAlign w:val="center"/>
                          </w:tcPr>
                          <w:p>
                            <w:pPr>
                              <w:pStyle w:val="TableContents"/>
                              <w:bidi w:val="0"/>
                              <w:spacing w:before="0" w:after="283"/>
                              <w:jc w:val="left"/>
                              <w:rPr/>
                            </w:pPr>
                            <w:r>
                              <w:rPr/>
                              <w:t>EXPERIENCE IN INDUSTRY</w:t>
                            </w:r>
                          </w:p>
                        </w:tc>
                        <w:tc>
                          <w:tcPr>
                            <w:tcW w:w="300" w:type="dxa"/>
                            <w:tcBorders/>
                            <w:vAlign w:val="center"/>
                          </w:tcPr>
                          <w:p>
                            <w:pPr>
                              <w:pStyle w:val="TableContents"/>
                              <w:bidi w:val="0"/>
                              <w:spacing w:before="0" w:after="283"/>
                              <w:jc w:val="left"/>
                              <w:rPr/>
                            </w:pPr>
                            <w:r>
                              <w:rPr/>
                              <w:drawing>
                                <wp:inline distT="0" distB="0" distL="0" distR="0">
                                  <wp:extent cx="190500" cy="523875"/>
                                  <wp:effectExtent l="0" t="0" r="0" b="0"/>
                                  <wp:docPr id="254" name="Image1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 name="Image170" descr=""/>
                                          <pic:cNvPicPr>
                                            <a:picLocks noChangeAspect="1" noChangeArrowheads="1"/>
                                          </pic:cNvPicPr>
                                        </pic:nvPicPr>
                                        <pic:blipFill>
                                          <a:blip r:embed="rId214"/>
                                          <a:stretch>
                                            <a:fillRect/>
                                          </a:stretch>
                                        </pic:blipFill>
                                        <pic:spPr bwMode="auto">
                                          <a:xfrm>
                                            <a:off x="0" y="0"/>
                                            <a:ext cx="190500" cy="523875"/>
                                          </a:xfrm>
                                          <a:prstGeom prst="rect">
                                            <a:avLst/>
                                          </a:prstGeom>
                                        </pic:spPr>
                                      </pic:pic>
                                    </a:graphicData>
                                  </a:graphic>
                                </wp:inline>
                              </w:drawing>
                            </w:r>
                          </w:p>
                        </w:tc>
                        <w:tc>
                          <w:tcPr>
                            <w:tcW w:w="3995" w:type="dxa"/>
                            <w:tcBorders/>
                            <w:vAlign w:val="center"/>
                          </w:tcPr>
                          <w:p>
                            <w:pPr>
                              <w:pStyle w:val="TableContents"/>
                              <w:bidi w:val="0"/>
                              <w:spacing w:before="0" w:after="283"/>
                              <w:jc w:val="left"/>
                              <w:rPr/>
                            </w:pPr>
                            <w:r>
                              <w:rPr/>
                              <w:t>GOVERNANCE &amp; RESPONSIBILITY</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23">
                <wp:simplePos x="0" y="0"/>
                <wp:positionH relativeFrom="column">
                  <wp:align>right</wp:align>
                </wp:positionH>
                <wp:positionV relativeFrom="line">
                  <wp:posOffset>635</wp:posOffset>
                </wp:positionV>
                <wp:extent cx="1943735" cy="5264150"/>
                <wp:effectExtent l="0" t="0" r="0" b="0"/>
                <wp:wrapSquare wrapText="left"/>
                <wp:docPr id="255" name="Frame42"/>
                <a:graphic xmlns:a="http://schemas.openxmlformats.org/drawingml/2006/main">
                  <a:graphicData uri="http://schemas.microsoft.com/office/word/2010/wordprocessingShape">
                    <wps:wsp>
                      <wps:cNvSpPr txBox="1"/>
                      <wps:spPr>
                        <a:xfrm>
                          <a:off x="0" y="0"/>
                          <a:ext cx="1943735" cy="5264150"/>
                        </a:xfrm>
                        <a:prstGeom prst="rect"/>
                        <a:solidFill>
                          <a:srgbClr val="FFFFFF"/>
                        </a:solidFill>
                      </wps:spPr>
                      <wps:txbx>
                        <w:txbxContent>
                          <w:p>
                            <w:pPr>
                              <w:pStyle w:val="TextBody"/>
                              <w:bidi w:val="0"/>
                              <w:spacing w:before="0" w:after="283"/>
                              <w:ind w:left="0" w:right="0" w:hanging="0"/>
                              <w:jc w:val="right"/>
                              <w:rPr>
                                <w:caps w:val="false"/>
                                <w:smallCaps w:val="false"/>
                              </w:rPr>
                            </w:pPr>
                            <w:r>
                              <w:rPr>
                                <w:caps w:val="false"/>
                                <w:smallCaps w:val="false"/>
                              </w:rPr>
                              <w:drawing>
                                <wp:inline distT="0" distB="0" distL="0" distR="0">
                                  <wp:extent cx="1619250" cy="5048250"/>
                                  <wp:effectExtent l="0" t="0" r="0" b="0"/>
                                  <wp:docPr id="256" name="Image1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 name="Image171" descr=""/>
                                          <pic:cNvPicPr>
                                            <a:picLocks noChangeAspect="1" noChangeArrowheads="1"/>
                                          </pic:cNvPicPr>
                                        </pic:nvPicPr>
                                        <pic:blipFill>
                                          <a:blip r:embed="rId215"/>
                                          <a:stretch>
                                            <a:fillRect/>
                                          </a:stretch>
                                        </pic:blipFill>
                                        <pic:spPr bwMode="auto">
                                          <a:xfrm>
                                            <a:off x="0" y="0"/>
                                            <a:ext cx="1619250" cy="5048250"/>
                                          </a:xfrm>
                                          <a:prstGeom prst="rect">
                                            <a:avLst/>
                                          </a:prstGeom>
                                        </pic:spPr>
                                      </pic:pic>
                                    </a:graphicData>
                                  </a:graphic>
                                </wp:inline>
                              </w:drawing>
                            </w:r>
                          </w:p>
                        </w:txbxContent>
                      </wps:txbx>
                      <wps:bodyPr anchor="t" lIns="0" tIns="0" rIns="0" bIns="0">
                        <a:noAutofit/>
                      </wps:bodyPr>
                    </wps:wsp>
                  </a:graphicData>
                </a:graphic>
                <wp14:sizeRelH relativeFrom="margin">
                  <wp14:pctWidth>30000</wp14:pctWidth>
                </wp14:sizeRelH>
              </wp:anchor>
            </w:drawing>
          </mc:Choice>
          <mc:Fallback>
            <w:pict>
              <v:rect style="position:absolute;rotation:-0;width:153.05pt;height:414.5pt;mso-wrap-distance-left:0pt;mso-wrap-distance-right:0pt;mso-wrap-distance-top:0pt;mso-wrap-distance-bottom:0pt;margin-top:0pt;mso-position-vertical:top;mso-position-vertical-relative:text;margin-left:357.2pt;mso-position-horizontal:right;mso-position-horizontal-relative:text">
                <v:textbox>
                  <w:txbxContent>
                    <w:p>
                      <w:pPr>
                        <w:pStyle w:val="TextBody"/>
                        <w:bidi w:val="0"/>
                        <w:spacing w:before="0" w:after="283"/>
                        <w:ind w:left="0" w:right="0" w:hanging="0"/>
                        <w:jc w:val="right"/>
                        <w:rPr>
                          <w:caps w:val="false"/>
                          <w:smallCaps w:val="false"/>
                        </w:rPr>
                      </w:pPr>
                      <w:r>
                        <w:rPr>
                          <w:caps w:val="false"/>
                          <w:smallCaps w:val="false"/>
                        </w:rPr>
                        <w:drawing>
                          <wp:inline distT="0" distB="0" distL="0" distR="0">
                            <wp:extent cx="1619250" cy="5048250"/>
                            <wp:effectExtent l="0" t="0" r="0" b="0"/>
                            <wp:docPr id="257" name="Image1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7" name="Image171" descr=""/>
                                    <pic:cNvPicPr>
                                      <a:picLocks noChangeAspect="1" noChangeArrowheads="1"/>
                                    </pic:cNvPicPr>
                                  </pic:nvPicPr>
                                  <pic:blipFill>
                                    <a:blip r:embed="rId216"/>
                                    <a:stretch>
                                      <a:fillRect/>
                                    </a:stretch>
                                  </pic:blipFill>
                                  <pic:spPr bwMode="auto">
                                    <a:xfrm>
                                      <a:off x="0" y="0"/>
                                      <a:ext cx="1619250" cy="5048250"/>
                                    </a:xfrm>
                                    <a:prstGeom prst="rect">
                                      <a:avLst/>
                                    </a:prstGeom>
                                  </pic:spPr>
                                </pic:pic>
                              </a:graphicData>
                            </a:graphic>
                          </wp:inline>
                        </w:drawing>
                      </w:r>
                    </w:p>
                  </w:txbxContent>
                </v:textbox>
                <w10:wrap type="square" side="left"/>
              </v:rect>
            </w:pict>
          </mc:Fallback>
        </mc:AlternateContent>
      </w:r>
    </w:p>
    <w:p>
      <w:pPr>
        <w:pStyle w:val="TextBody"/>
        <w:bidi w:val="0"/>
        <w:jc w:val="left"/>
        <w:rPr>
          <w:caps w:val="false"/>
          <w:smallCaps w:val="false"/>
        </w:rPr>
      </w:pPr>
      <w:r>
        <w:rPr>
          <w:caps w:val="false"/>
          <w:smallCaps w:val="false"/>
        </w:rPr>
        <w:t> </w:t>
      </w:r>
    </w:p>
    <w:p>
      <w:pPr>
        <w:pStyle w:val="TextBody"/>
        <w:bidi w:val="0"/>
        <w:spacing w:before="200" w:after="283"/>
        <w:jc w:val="right"/>
        <w:rPr/>
      </w:pPr>
      <w:r>
        <w:rPr>
          <w:rFonts w:ascii="Arial;Helvetica;Sans-Serif" w:hAnsi="Arial;Helvetica;Sans-Serif"/>
          <w:b/>
          <w:i w:val="false"/>
          <w:caps w:val="false"/>
          <w:smallCaps w:val="false"/>
          <w:sz w:val="15"/>
        </w:rPr>
        <w:t xml:space="preserve">RTX </w:t>
      </w:r>
      <w:r>
        <w:rPr>
          <w:rFonts w:ascii="Arial;Helvetica;Sans-Serif" w:hAnsi="Arial;Helvetica;Sans-Serif"/>
          <w:b w:val="false"/>
          <w:i w:val="false"/>
          <w:caps w:val="false"/>
          <w:smallCaps w:val="false"/>
          <w:sz w:val="15"/>
        </w:rPr>
        <w:t>2026 PROXY STATEMENT    </w:t>
      </w:r>
      <w:r>
        <w:rPr>
          <w:rFonts w:ascii="Arial;Helvetica;Sans-Serif" w:hAnsi="Arial;Helvetica;Sans-Serif"/>
          <w:b/>
          <w:i w:val="false"/>
          <w:caps w:val="false"/>
          <w:smallCaps w:val="false"/>
          <w:sz w:val="15"/>
        </w:rPr>
        <w:t>19</w:t>
      </w:r>
      <w:r>
        <mc:AlternateContent>
          <mc:Choice Requires="wps">
            <w:drawing>
              <wp:anchor behindDoc="0" distT="0" distB="0" distL="0" distR="0" simplePos="0" locked="0" layoutInCell="1" allowOverlap="1" relativeHeight="305">
                <wp:simplePos x="0" y="0"/>
                <wp:positionH relativeFrom="column">
                  <wp:align>left</wp:align>
                </wp:positionH>
                <wp:positionV relativeFrom="line">
                  <wp:posOffset>635</wp:posOffset>
                </wp:positionV>
                <wp:extent cx="3110230" cy="4655185"/>
                <wp:effectExtent l="0" t="0" r="0" b="0"/>
                <wp:wrapSquare wrapText="right"/>
                <wp:docPr id="258" name="Frame43"/>
                <a:graphic xmlns:a="http://schemas.openxmlformats.org/drawingml/2006/main">
                  <a:graphicData uri="http://schemas.microsoft.com/office/word/2010/wordprocessingShape">
                    <wps:wsp>
                      <wps:cNvSpPr txBox="1"/>
                      <wps:spPr>
                        <a:xfrm>
                          <a:off x="0" y="0"/>
                          <a:ext cx="3110230" cy="4655185"/>
                        </a:xfrm>
                        <a:prstGeom prst="rect"/>
                        <a:solidFill>
                          <a:srgbClr val="FFFFFF"/>
                        </a:solidFill>
                      </wps:spPr>
                      <wps:txbx>
                        <w:txbxContent>
                          <w:p>
                            <w:pPr>
                              <w:pStyle w:val="TextBody"/>
                              <w:bidi w:val="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Qualifications</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Mr. Work provides the Board with significant insight into customer needs acquired through his command, leadership and management positions, including as a U.S. Marine Corps officer, Undersecretary of the Navy and Deputy Secretary of Defense. He has broad expertise in global security matters, including in the areas of defense strategy, advanced technologies, international studies and acquisition reform. He also brings experience with corporate governance and oversight of governance risks from current and past board service, including his leadership of the Governance Committee.</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Experience</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pPr>
                                  <w:r>
                                    <w:rPr/>
                                    <w:t>U.S. Deputy Secretary of Defense (executive department leadership), 2014–2017</w:t>
                                  </w:r>
                                </w:p>
                              </w:tc>
                            </w:tr>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pPr>
                                  <w:r>
                                    <w:rPr/>
                                    <w:t>Chief Executive Officer, Center for a New American Security, 2013–2014</w:t>
                                  </w:r>
                                </w:p>
                              </w:tc>
                            </w:tr>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pPr>
                                  <w:r>
                                    <w:rPr/>
                                    <w:t>Undersecretary of the Navy, U.S. Department of the Navy, 2009–2013</w:t>
                                  </w:r>
                                </w:p>
                              </w:tc>
                            </w:tr>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pPr>
                                  <w:r>
                                    <w:rPr/>
                                    <w:t>Positions with the Center for Strategic and Budgetary Assessments, serving in positions of increasing responsibility from 2002–2009, culminating in service as Vice President for Strategic Studies</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366.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Qualifications</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Mr. Work provides the Board with significant insight into customer needs acquired through his command, leadership and management positions, including as a U.S. Marine Corps officer, Undersecretary of the Navy and Deputy Secretary of Defense. He has broad expertise in global security matters, including in the areas of defense strategy, advanced technologies, international studies and acquisition reform. He also brings experience with corporate governance and oversight of governance risks from current and past board service, including his leadership of the Governance Committee.</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Experience</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pPr>
                            <w:r>
                              <w:rPr/>
                              <w:t>U.S. Deputy Secretary of Defense (executive department leadership), 2014–2017</w:t>
                            </w:r>
                          </w:p>
                        </w:tc>
                      </w:tr>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pPr>
                            <w:r>
                              <w:rPr/>
                              <w:t>Chief Executive Officer, Center for a New American Security, 2013–2014</w:t>
                            </w:r>
                          </w:p>
                        </w:tc>
                      </w:tr>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pPr>
                            <w:r>
                              <w:rPr/>
                              <w:t>Undersecretary of the Navy, U.S. Department of the Navy, 2009–2013</w:t>
                            </w:r>
                          </w:p>
                        </w:tc>
                      </w:tr>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pPr>
                            <w:r>
                              <w:rPr/>
                              <w:t>Positions with the Center for Strategic and Budgetary Assessments, serving in positions of increasing responsibility from 2002–2009, culminating in service as Vice President for Strategic Studies</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306">
                <wp:simplePos x="0" y="0"/>
                <wp:positionH relativeFrom="column">
                  <wp:align>right</wp:align>
                </wp:positionH>
                <wp:positionV relativeFrom="line">
                  <wp:posOffset>635</wp:posOffset>
                </wp:positionV>
                <wp:extent cx="3110230" cy="6823075"/>
                <wp:effectExtent l="0" t="0" r="0" b="0"/>
                <wp:wrapSquare wrapText="left"/>
                <wp:docPr id="259" name="Frame44"/>
                <a:graphic xmlns:a="http://schemas.openxmlformats.org/drawingml/2006/main">
                  <a:graphicData uri="http://schemas.microsoft.com/office/word/2010/wordprocessingShape">
                    <wps:wsp>
                      <wps:cNvSpPr txBox="1"/>
                      <wps:spPr>
                        <a:xfrm>
                          <a:off x="0" y="0"/>
                          <a:ext cx="3110230" cy="6823075"/>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pPr>
                                  <w:r>
                                    <w:rPr/>
                                    <w:t>Various positions of increasing responsibility during a 27-year career in the U.S. Marine Corps, including artillery battery commander; battalion commander; Base Commander, Camp Fuji, Japan; and Senior Aide to the Secretary of the Navy</w:t>
                                  </w:r>
                                </w:p>
                              </w:tc>
                            </w:tr>
                          </w:tbl>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Other Current Directorships</w:t>
                            </w:r>
                          </w:p>
                          <w:p>
                            <w:pPr>
                              <w:pStyle w:val="TextBody"/>
                              <w:bidi w:val="0"/>
                              <w:jc w:val="left"/>
                              <w:rPr>
                                <w:caps w:val="false"/>
                                <w:smallCaps w:val="false"/>
                              </w:rPr>
                            </w:pPr>
                            <w:r>
                              <w:rPr>
                                <w:caps w:val="false"/>
                                <w:smallCaps w:val="false"/>
                              </w:rPr>
                              <w:t> </w:t>
                            </w:r>
                          </w:p>
                          <w:tbl>
                            <w:tblPr>
                              <w:tblW w:w="3160" w:type="dxa"/>
                              <w:jc w:val="left"/>
                              <w:tblInd w:w="0" w:type="dxa"/>
                              <w:tblLayout w:type="fixed"/>
                              <w:tblCellMar>
                                <w:top w:w="0" w:type="dxa"/>
                                <w:left w:w="0" w:type="dxa"/>
                                <w:bottom w:w="0" w:type="dxa"/>
                                <w:right w:w="0" w:type="dxa"/>
                              </w:tblCellMar>
                            </w:tblPr>
                            <w:tblGrid>
                              <w:gridCol w:w="185"/>
                              <w:gridCol w:w="2975"/>
                            </w:tblGrid>
                            <w:tr>
                              <w:trPr/>
                              <w:tc>
                                <w:tcPr>
                                  <w:tcW w:w="185" w:type="dxa"/>
                                  <w:tcBorders/>
                                  <w:vAlign w:val="center"/>
                                </w:tcPr>
                                <w:p>
                                  <w:pPr>
                                    <w:pStyle w:val="TableContents"/>
                                    <w:bidi w:val="0"/>
                                    <w:spacing w:before="0" w:after="283"/>
                                    <w:jc w:val="left"/>
                                    <w:rPr/>
                                  </w:pPr>
                                  <w:r>
                                    <w:rPr/>
                                    <w:t>●</w:t>
                                  </w:r>
                                </w:p>
                              </w:tc>
                              <w:tc>
                                <w:tcPr>
                                  <w:tcW w:w="2975" w:type="dxa"/>
                                  <w:tcBorders/>
                                  <w:vAlign w:val="center"/>
                                </w:tcPr>
                                <w:p>
                                  <w:pPr>
                                    <w:pStyle w:val="TableContents"/>
                                    <w:bidi w:val="0"/>
                                    <w:spacing w:before="0" w:after="283"/>
                                    <w:jc w:val="left"/>
                                    <w:rPr/>
                                  </w:pPr>
                                  <w:r>
                                    <w:rPr/>
                                    <w:t>Govini, Chairman (non-public)</w:t>
                                  </w:r>
                                </w:p>
                              </w:tc>
                            </w:tr>
                            <w:tr>
                              <w:trPr/>
                              <w:tc>
                                <w:tcPr>
                                  <w:tcW w:w="185" w:type="dxa"/>
                                  <w:tcBorders/>
                                  <w:vAlign w:val="center"/>
                                </w:tcPr>
                                <w:p>
                                  <w:pPr>
                                    <w:pStyle w:val="TableContents"/>
                                    <w:bidi w:val="0"/>
                                    <w:spacing w:before="0" w:after="283"/>
                                    <w:jc w:val="left"/>
                                    <w:rPr/>
                                  </w:pPr>
                                  <w:r>
                                    <w:rPr/>
                                    <w:t>●</w:t>
                                  </w:r>
                                </w:p>
                              </w:tc>
                              <w:tc>
                                <w:tcPr>
                                  <w:tcW w:w="2975" w:type="dxa"/>
                                  <w:tcBorders/>
                                  <w:vAlign w:val="center"/>
                                </w:tcPr>
                                <w:p>
                                  <w:pPr>
                                    <w:pStyle w:val="TableContents"/>
                                    <w:bidi w:val="0"/>
                                    <w:spacing w:before="0" w:after="283"/>
                                    <w:jc w:val="left"/>
                                    <w:rPr/>
                                  </w:pPr>
                                  <w:r>
                                    <w:rPr/>
                                    <w:t>Black Sea (non-public)</w:t>
                                  </w:r>
                                </w:p>
                              </w:tc>
                            </w:tr>
                            <w:tr>
                              <w:trPr/>
                              <w:tc>
                                <w:tcPr>
                                  <w:tcW w:w="185" w:type="dxa"/>
                                  <w:tcBorders/>
                                  <w:vAlign w:val="center"/>
                                </w:tcPr>
                                <w:p>
                                  <w:pPr>
                                    <w:pStyle w:val="TableContents"/>
                                    <w:bidi w:val="0"/>
                                    <w:spacing w:before="0" w:after="283"/>
                                    <w:jc w:val="left"/>
                                    <w:rPr/>
                                  </w:pPr>
                                  <w:r>
                                    <w:rPr/>
                                    <w:t>●</w:t>
                                  </w:r>
                                </w:p>
                              </w:tc>
                              <w:tc>
                                <w:tcPr>
                                  <w:tcW w:w="2975" w:type="dxa"/>
                                  <w:tcBorders/>
                                  <w:vAlign w:val="center"/>
                                </w:tcPr>
                                <w:p>
                                  <w:pPr>
                                    <w:pStyle w:val="TableContents"/>
                                    <w:bidi w:val="0"/>
                                    <w:spacing w:before="0" w:after="283"/>
                                    <w:jc w:val="left"/>
                                    <w:rPr/>
                                  </w:pPr>
                                  <w:r>
                                    <w:rPr/>
                                    <w:t>Agile Defense (non-public)</w:t>
                                  </w:r>
                                </w:p>
                              </w:tc>
                            </w:tr>
                          </w:tbl>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Former Public Company Directorships</w:t>
                            </w:r>
                          </w:p>
                          <w:p>
                            <w:pPr>
                              <w:pStyle w:val="TextBody"/>
                              <w:bidi w:val="0"/>
                              <w:jc w:val="left"/>
                              <w:rPr>
                                <w:caps w:val="false"/>
                                <w:smallCaps w:val="false"/>
                              </w:rPr>
                            </w:pPr>
                            <w:r>
                              <w:rPr>
                                <w:caps w:val="false"/>
                                <w:smallCaps w:val="false"/>
                              </w:rPr>
                              <w:t> </w:t>
                            </w:r>
                          </w:p>
                          <w:tbl>
                            <w:tblPr>
                              <w:tblW w:w="3325" w:type="dxa"/>
                              <w:jc w:val="left"/>
                              <w:tblInd w:w="0" w:type="dxa"/>
                              <w:tblLayout w:type="fixed"/>
                              <w:tblCellMar>
                                <w:top w:w="0" w:type="dxa"/>
                                <w:left w:w="0" w:type="dxa"/>
                                <w:bottom w:w="0" w:type="dxa"/>
                                <w:right w:w="0" w:type="dxa"/>
                              </w:tblCellMar>
                            </w:tblPr>
                            <w:tblGrid>
                              <w:gridCol w:w="185"/>
                              <w:gridCol w:w="3140"/>
                            </w:tblGrid>
                            <w:tr>
                              <w:trPr/>
                              <w:tc>
                                <w:tcPr>
                                  <w:tcW w:w="185" w:type="dxa"/>
                                  <w:tcBorders/>
                                  <w:vAlign w:val="center"/>
                                </w:tcPr>
                                <w:p>
                                  <w:pPr>
                                    <w:pStyle w:val="TableContents"/>
                                    <w:bidi w:val="0"/>
                                    <w:spacing w:before="0" w:after="283"/>
                                    <w:jc w:val="left"/>
                                    <w:rPr/>
                                  </w:pPr>
                                  <w:r>
                                    <w:rPr/>
                                    <w:t>●</w:t>
                                  </w:r>
                                </w:p>
                              </w:tc>
                              <w:tc>
                                <w:tcPr>
                                  <w:tcW w:w="3140" w:type="dxa"/>
                                  <w:tcBorders/>
                                  <w:vAlign w:val="center"/>
                                </w:tcPr>
                                <w:p>
                                  <w:pPr>
                                    <w:pStyle w:val="TableContents"/>
                                    <w:bidi w:val="0"/>
                                    <w:spacing w:before="0" w:after="283"/>
                                    <w:jc w:val="left"/>
                                    <w:rPr/>
                                  </w:pPr>
                                  <w:r>
                                    <w:rPr/>
                                    <w:t>Raytheon Company, 2017–2020</w:t>
                                  </w:r>
                                </w:p>
                              </w:tc>
                            </w:tr>
                          </w:tbl>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Other Leadership Experience and Service</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pPr>
                                  <w:r>
                                    <w:rPr/>
                                    <w:t>Senior Counselor for Defense, Distinguished Senior Fellow for Defense and National Security, Center for a New American Security</w:t>
                                  </w:r>
                                </w:p>
                              </w:tc>
                            </w:tr>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pPr>
                                  <w:r>
                                    <w:rPr/>
                                    <w:t>Senior Fellow, Johns Hopkins Applied Physics Laboratory</w:t>
                                  </w:r>
                                </w:p>
                              </w:tc>
                            </w:tr>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pPr>
                                  <w:r>
                                    <w:rPr/>
                                    <w:t>Member, International Institute for Strategic Studies</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537.25pt;mso-wrap-distance-left:0pt;mso-wrap-distance-right:0pt;mso-wrap-distance-top:0pt;mso-wrap-distance-bottom:0pt;margin-top:0pt;mso-position-vertical:top;mso-position-vertical-relative:text;margin-left:265.35pt;mso-position-horizontal:right;mso-position-horizontal-relative:text">
                <v:textbox>
                  <w:txbxContent>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pPr>
                            <w:r>
                              <w:rPr/>
                              <w:t>Various positions of increasing responsibility during a 27-year career in the U.S. Marine Corps, including artillery battery commander; battalion commander; Base Commander, Camp Fuji, Japan; and Senior Aide to the Secretary of the Navy</w:t>
                            </w:r>
                          </w:p>
                        </w:tc>
                      </w:tr>
                    </w:tbl>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Other Current Directorships</w:t>
                      </w:r>
                    </w:p>
                    <w:p>
                      <w:pPr>
                        <w:pStyle w:val="TextBody"/>
                        <w:bidi w:val="0"/>
                        <w:jc w:val="left"/>
                        <w:rPr>
                          <w:caps w:val="false"/>
                          <w:smallCaps w:val="false"/>
                        </w:rPr>
                      </w:pPr>
                      <w:r>
                        <w:rPr>
                          <w:caps w:val="false"/>
                          <w:smallCaps w:val="false"/>
                        </w:rPr>
                        <w:t> </w:t>
                      </w:r>
                    </w:p>
                    <w:tbl>
                      <w:tblPr>
                        <w:tblW w:w="3160" w:type="dxa"/>
                        <w:jc w:val="left"/>
                        <w:tblInd w:w="0" w:type="dxa"/>
                        <w:tblLayout w:type="fixed"/>
                        <w:tblCellMar>
                          <w:top w:w="0" w:type="dxa"/>
                          <w:left w:w="0" w:type="dxa"/>
                          <w:bottom w:w="0" w:type="dxa"/>
                          <w:right w:w="0" w:type="dxa"/>
                        </w:tblCellMar>
                      </w:tblPr>
                      <w:tblGrid>
                        <w:gridCol w:w="185"/>
                        <w:gridCol w:w="2975"/>
                      </w:tblGrid>
                      <w:tr>
                        <w:trPr/>
                        <w:tc>
                          <w:tcPr>
                            <w:tcW w:w="185" w:type="dxa"/>
                            <w:tcBorders/>
                            <w:vAlign w:val="center"/>
                          </w:tcPr>
                          <w:p>
                            <w:pPr>
                              <w:pStyle w:val="TableContents"/>
                              <w:bidi w:val="0"/>
                              <w:spacing w:before="0" w:after="283"/>
                              <w:jc w:val="left"/>
                              <w:rPr/>
                            </w:pPr>
                            <w:r>
                              <w:rPr/>
                              <w:t>●</w:t>
                            </w:r>
                          </w:p>
                        </w:tc>
                        <w:tc>
                          <w:tcPr>
                            <w:tcW w:w="2975" w:type="dxa"/>
                            <w:tcBorders/>
                            <w:vAlign w:val="center"/>
                          </w:tcPr>
                          <w:p>
                            <w:pPr>
                              <w:pStyle w:val="TableContents"/>
                              <w:bidi w:val="0"/>
                              <w:spacing w:before="0" w:after="283"/>
                              <w:jc w:val="left"/>
                              <w:rPr/>
                            </w:pPr>
                            <w:r>
                              <w:rPr/>
                              <w:t>Govini, Chairman (non-public)</w:t>
                            </w:r>
                          </w:p>
                        </w:tc>
                      </w:tr>
                      <w:tr>
                        <w:trPr/>
                        <w:tc>
                          <w:tcPr>
                            <w:tcW w:w="185" w:type="dxa"/>
                            <w:tcBorders/>
                            <w:vAlign w:val="center"/>
                          </w:tcPr>
                          <w:p>
                            <w:pPr>
                              <w:pStyle w:val="TableContents"/>
                              <w:bidi w:val="0"/>
                              <w:spacing w:before="0" w:after="283"/>
                              <w:jc w:val="left"/>
                              <w:rPr/>
                            </w:pPr>
                            <w:r>
                              <w:rPr/>
                              <w:t>●</w:t>
                            </w:r>
                          </w:p>
                        </w:tc>
                        <w:tc>
                          <w:tcPr>
                            <w:tcW w:w="2975" w:type="dxa"/>
                            <w:tcBorders/>
                            <w:vAlign w:val="center"/>
                          </w:tcPr>
                          <w:p>
                            <w:pPr>
                              <w:pStyle w:val="TableContents"/>
                              <w:bidi w:val="0"/>
                              <w:spacing w:before="0" w:after="283"/>
                              <w:jc w:val="left"/>
                              <w:rPr/>
                            </w:pPr>
                            <w:r>
                              <w:rPr/>
                              <w:t>Black Sea (non-public)</w:t>
                            </w:r>
                          </w:p>
                        </w:tc>
                      </w:tr>
                      <w:tr>
                        <w:trPr/>
                        <w:tc>
                          <w:tcPr>
                            <w:tcW w:w="185" w:type="dxa"/>
                            <w:tcBorders/>
                            <w:vAlign w:val="center"/>
                          </w:tcPr>
                          <w:p>
                            <w:pPr>
                              <w:pStyle w:val="TableContents"/>
                              <w:bidi w:val="0"/>
                              <w:spacing w:before="0" w:after="283"/>
                              <w:jc w:val="left"/>
                              <w:rPr/>
                            </w:pPr>
                            <w:r>
                              <w:rPr/>
                              <w:t>●</w:t>
                            </w:r>
                          </w:p>
                        </w:tc>
                        <w:tc>
                          <w:tcPr>
                            <w:tcW w:w="2975" w:type="dxa"/>
                            <w:tcBorders/>
                            <w:vAlign w:val="center"/>
                          </w:tcPr>
                          <w:p>
                            <w:pPr>
                              <w:pStyle w:val="TableContents"/>
                              <w:bidi w:val="0"/>
                              <w:spacing w:before="0" w:after="283"/>
                              <w:jc w:val="left"/>
                              <w:rPr/>
                            </w:pPr>
                            <w:r>
                              <w:rPr/>
                              <w:t>Agile Defense (non-public)</w:t>
                            </w:r>
                          </w:p>
                        </w:tc>
                      </w:tr>
                    </w:tbl>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Former Public Company Directorships</w:t>
                      </w:r>
                    </w:p>
                    <w:p>
                      <w:pPr>
                        <w:pStyle w:val="TextBody"/>
                        <w:bidi w:val="0"/>
                        <w:jc w:val="left"/>
                        <w:rPr>
                          <w:caps w:val="false"/>
                          <w:smallCaps w:val="false"/>
                        </w:rPr>
                      </w:pPr>
                      <w:r>
                        <w:rPr>
                          <w:caps w:val="false"/>
                          <w:smallCaps w:val="false"/>
                        </w:rPr>
                        <w:t> </w:t>
                      </w:r>
                    </w:p>
                    <w:tbl>
                      <w:tblPr>
                        <w:tblW w:w="3325" w:type="dxa"/>
                        <w:jc w:val="left"/>
                        <w:tblInd w:w="0" w:type="dxa"/>
                        <w:tblLayout w:type="fixed"/>
                        <w:tblCellMar>
                          <w:top w:w="0" w:type="dxa"/>
                          <w:left w:w="0" w:type="dxa"/>
                          <w:bottom w:w="0" w:type="dxa"/>
                          <w:right w:w="0" w:type="dxa"/>
                        </w:tblCellMar>
                      </w:tblPr>
                      <w:tblGrid>
                        <w:gridCol w:w="185"/>
                        <w:gridCol w:w="3140"/>
                      </w:tblGrid>
                      <w:tr>
                        <w:trPr/>
                        <w:tc>
                          <w:tcPr>
                            <w:tcW w:w="185" w:type="dxa"/>
                            <w:tcBorders/>
                            <w:vAlign w:val="center"/>
                          </w:tcPr>
                          <w:p>
                            <w:pPr>
                              <w:pStyle w:val="TableContents"/>
                              <w:bidi w:val="0"/>
                              <w:spacing w:before="0" w:after="283"/>
                              <w:jc w:val="left"/>
                              <w:rPr/>
                            </w:pPr>
                            <w:r>
                              <w:rPr/>
                              <w:t>●</w:t>
                            </w:r>
                          </w:p>
                        </w:tc>
                        <w:tc>
                          <w:tcPr>
                            <w:tcW w:w="3140" w:type="dxa"/>
                            <w:tcBorders/>
                            <w:vAlign w:val="center"/>
                          </w:tcPr>
                          <w:p>
                            <w:pPr>
                              <w:pStyle w:val="TableContents"/>
                              <w:bidi w:val="0"/>
                              <w:spacing w:before="0" w:after="283"/>
                              <w:jc w:val="left"/>
                              <w:rPr/>
                            </w:pPr>
                            <w:r>
                              <w:rPr/>
                              <w:t>Raytheon Company, 2017–2020</w:t>
                            </w:r>
                          </w:p>
                        </w:tc>
                      </w:tr>
                    </w:tbl>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Other Leadership Experience and Service</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pPr>
                            <w:r>
                              <w:rPr/>
                              <w:t>Senior Counselor for Defense, Distinguished Senior Fellow for Defense and National Security, Center for a New American Security</w:t>
                            </w:r>
                          </w:p>
                        </w:tc>
                      </w:tr>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pPr>
                            <w:r>
                              <w:rPr/>
                              <w:t>Senior Fellow, Johns Hopkins Applied Physics Laboratory</w:t>
                            </w:r>
                          </w:p>
                        </w:tc>
                      </w:tr>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pPr>
                            <w:r>
                              <w:rPr/>
                              <w:t>Member, International Institute for Strategic Studies</w:t>
                            </w:r>
                          </w:p>
                        </w:tc>
                      </w:tr>
                    </w:tbl>
                    <w:p>
                      <w:pPr>
                        <w:pStyle w:val="TextBody"/>
                        <w:bidi w:val="0"/>
                        <w:spacing w:before="0" w:after="283"/>
                        <w:jc w:val="left"/>
                        <w:rPr/>
                      </w:pPr>
                      <w:r>
                        <w:rPr/>
                      </w:r>
                    </w:p>
                  </w:txbxContent>
                </v:textbox>
                <w10:wrap type="square" side="left"/>
              </v:rect>
            </w:pict>
          </mc:Fallback>
        </mc:AlternateContent>
      </w:r>
    </w:p>
    <w:p>
      <w:pPr>
        <w:pStyle w:val="HorizontalLine"/>
        <w:pBdr>
          <w:bottom w:val="double" w:sz="2" w:space="0" w:color="808080"/>
        </w:pBdr>
        <w:bidi w:val="0"/>
        <w:spacing w:before="0" w:after="283"/>
        <w:jc w:val="left"/>
        <w:rPr/>
      </w:pPr>
      <w:r>
        <w:rPr/>
      </w:r>
    </w:p>
    <w:p>
      <w:pPr>
        <w:pStyle w:val="TextBody"/>
        <w:bidi w:val="0"/>
        <w:spacing w:before="200" w:after="200"/>
        <w:jc w:val="left"/>
        <w:rPr/>
      </w:pPr>
      <w:hyperlink w:anchor="toc">
        <w:r>
          <w:rPr>
            <w:rStyle w:val="InternetLink"/>
            <w:rFonts w:ascii="Arial;Helvetica;Sans-Serif" w:hAnsi="Arial;Helvetica;Sans-Serif"/>
            <w:b/>
            <w:i w:val="false"/>
            <w:caps w:val="false"/>
            <w:smallCaps w:val="false"/>
            <w:sz w:val="16"/>
          </w:rPr>
          <w:t>Table of Contents</w:t>
        </w:r>
      </w:hyperlink>
    </w:p>
    <w:p>
      <w:pPr>
        <w:pStyle w:val="TextBody"/>
        <w:bidi w:val="0"/>
        <w:spacing w:before="0" w:after="0"/>
        <w:ind w:left="0" w:right="0" w:hanging="0"/>
        <w:jc w:val="left"/>
        <w:rPr>
          <w:rFonts w:ascii="Arial;Helvetica;Sans-Serif" w:hAnsi="Arial;Helvetica;Sans-Serif"/>
          <w:b/>
          <w:i w:val="false"/>
          <w:caps w:val="false"/>
          <w:smallCaps w:val="false"/>
          <w:sz w:val="56"/>
        </w:rPr>
      </w:pPr>
      <w:bookmarkStart w:id="9" w:name="rtx014050a005"/>
      <w:bookmarkEnd w:id="9"/>
      <w:r>
        <w:rPr>
          <w:rFonts w:ascii="Arial;Helvetica;Sans-Serif" w:hAnsi="Arial;Helvetica;Sans-Serif"/>
          <w:b/>
          <w:i w:val="false"/>
          <w:caps w:val="false"/>
          <w:smallCaps w:val="false"/>
          <w:sz w:val="56"/>
        </w:rPr>
        <w:t>Corporate Governance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34"/>
        </w:rPr>
      </w:pPr>
      <w:r>
        <w:rPr>
          <w:rFonts w:ascii="Arial;Helvetica;Sans-Serif" w:hAnsi="Arial;Helvetica;Sans-Serif"/>
          <w:b/>
          <w:i w:val="false"/>
          <w:caps w:val="false"/>
          <w:smallCaps w:val="false"/>
          <w:sz w:val="34"/>
        </w:rPr>
        <w:t>Our Continuing Commitment to Sound Corporate Governance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RTX is committed to strong oversight and governance practices that are grounded in a culture of integrity, accountability, transparency and the highest ethical standards. The Board believes this commitment enhances shareowner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GOVERNANCE BEST PRACTICES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Board has adopted robust governance practices, set forth in our Corporate Governance Guidelines, our Committee charters and other RTX documents and policies. The Governance Committee regularly monitors and considers current developments in corporate governance, as well as the views of our shareowners, to determine when to recommend governance changes to the Board.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623"/>
        <w:gridCol w:w="60"/>
        <w:gridCol w:w="5522"/>
      </w:tblGrid>
      <w:tr>
        <w:trPr/>
        <w:tc>
          <w:tcPr>
            <w:tcW w:w="4623" w:type="dxa"/>
            <w:tcBorders/>
            <w:vAlign w:val="center"/>
          </w:tcPr>
          <w:p>
            <w:pPr>
              <w:pStyle w:val="TableContents"/>
              <w:bidi w:val="0"/>
              <w:spacing w:before="0" w:after="283"/>
              <w:jc w:val="left"/>
              <w:rPr>
                <w:b/>
                <w:sz w:val="22"/>
                <w:bdr w:val="single" w:sz="2" w:space="1" w:color="C12E32"/>
              </w:rPr>
            </w:pPr>
            <w:r>
              <w:rPr>
                <w:b/>
                <w:sz w:val="22"/>
                <w:bdr w:val="single" w:sz="2" w:space="1" w:color="C12E32"/>
              </w:rPr>
              <w:t>Effective Board oversight</w:t>
            </w:r>
          </w:p>
        </w:tc>
        <w:tc>
          <w:tcPr>
            <w:tcW w:w="60" w:type="dxa"/>
            <w:tcBorders/>
            <w:vAlign w:val="center"/>
          </w:tcPr>
          <w:p>
            <w:pPr>
              <w:pStyle w:val="TableContents"/>
              <w:bidi w:val="0"/>
              <w:spacing w:before="0" w:after="283"/>
              <w:jc w:val="left"/>
              <w:rPr/>
            </w:pPr>
            <w:r>
              <w:rPr/>
              <w:t> </w:t>
            </w:r>
          </w:p>
        </w:tc>
        <w:tc>
          <w:tcPr>
            <w:tcW w:w="5522" w:type="dxa"/>
            <w:tcBorders/>
            <w:vAlign w:val="center"/>
          </w:tcPr>
          <w:p>
            <w:pPr>
              <w:pStyle w:val="TableContents"/>
              <w:bidi w:val="0"/>
              <w:spacing w:before="0" w:after="283"/>
              <w:jc w:val="left"/>
              <w:rPr>
                <w:b/>
                <w:sz w:val="22"/>
                <w:bdr w:val="single" w:sz="2" w:space="1" w:color="C12E32"/>
              </w:rPr>
            </w:pPr>
            <w:r>
              <w:rPr>
                <w:b/>
                <w:sz w:val="22"/>
                <w:bdr w:val="single" w:sz="2" w:space="1" w:color="C12E32"/>
              </w:rPr>
              <w:t>Board independence</w:t>
            </w:r>
          </w:p>
        </w:tc>
      </w:tr>
      <w:tr>
        <w:trPr/>
        <w:tc>
          <w:tcPr>
            <w:tcW w:w="4623" w:type="dxa"/>
            <w:tcBorders/>
            <w:vAlign w:val="center"/>
          </w:tcPr>
          <w:p>
            <w:pPr>
              <w:pStyle w:val="TableContents"/>
              <w:bidi w:val="0"/>
              <w:spacing w:before="0" w:after="0"/>
              <w:ind w:left="0" w:right="0" w:hanging="0"/>
              <w:jc w:val="left"/>
              <w:rPr/>
            </w:pPr>
            <w:r>
              <w:rPr/>
              <w:t>●</w:t>
            </w:r>
          </w:p>
          <w:p>
            <w:pPr>
              <w:pStyle w:val="TableContents"/>
              <w:bidi w:val="0"/>
              <w:spacing w:before="0" w:after="120"/>
              <w:ind w:left="240" w:right="0" w:hanging="0"/>
              <w:jc w:val="left"/>
              <w:rPr/>
            </w:pPr>
            <w:r>
              <w:rPr/>
              <w:t>Highly qualified Board with diverse mix of perspectives, experience and tenures</w:t>
            </w:r>
          </w:p>
          <w:p>
            <w:pPr>
              <w:pStyle w:val="TableContents"/>
              <w:bidi w:val="0"/>
              <w:spacing w:before="0" w:after="0"/>
              <w:ind w:left="0" w:right="0" w:hanging="0"/>
              <w:jc w:val="left"/>
              <w:rPr/>
            </w:pPr>
            <w:r>
              <w:rPr/>
              <w:t>●</w:t>
            </w:r>
          </w:p>
          <w:p>
            <w:pPr>
              <w:pStyle w:val="TableContents"/>
              <w:bidi w:val="0"/>
              <w:spacing w:before="0" w:after="120"/>
              <w:ind w:left="240" w:right="0" w:hanging="0"/>
              <w:jc w:val="left"/>
              <w:rPr/>
            </w:pPr>
            <w:r>
              <w:rPr/>
              <w:t>Regular Board review of strategic plans and priorities</w:t>
            </w:r>
          </w:p>
          <w:p>
            <w:pPr>
              <w:pStyle w:val="TableContents"/>
              <w:bidi w:val="0"/>
              <w:spacing w:before="0" w:after="0"/>
              <w:ind w:left="0" w:right="0" w:hanging="0"/>
              <w:jc w:val="left"/>
              <w:rPr/>
            </w:pPr>
            <w:r>
              <w:rPr/>
              <w:t>●</w:t>
            </w:r>
          </w:p>
          <w:p>
            <w:pPr>
              <w:pStyle w:val="TableContents"/>
              <w:bidi w:val="0"/>
              <w:spacing w:before="0" w:after="120"/>
              <w:ind w:left="240" w:right="0" w:hanging="0"/>
              <w:jc w:val="left"/>
              <w:rPr/>
            </w:pPr>
            <w:r>
              <w:rPr/>
              <w:t>Regular Board and Committee review of significant risks, including product safety and cybersecurity risks</w:t>
            </w:r>
          </w:p>
          <w:p>
            <w:pPr>
              <w:pStyle w:val="TableContents"/>
              <w:bidi w:val="0"/>
              <w:spacing w:before="0" w:after="0"/>
              <w:ind w:left="0" w:right="0" w:hanging="0"/>
              <w:jc w:val="left"/>
              <w:rPr/>
            </w:pPr>
            <w:r>
              <w:rPr/>
              <w:t>●</w:t>
            </w:r>
          </w:p>
          <w:p>
            <w:pPr>
              <w:pStyle w:val="TableContents"/>
              <w:bidi w:val="0"/>
              <w:spacing w:before="0" w:after="120"/>
              <w:ind w:left="240" w:right="0" w:hanging="0"/>
              <w:jc w:val="left"/>
              <w:rPr/>
            </w:pPr>
            <w:r>
              <w:rPr/>
              <w:t>Annual Board evaluation of CEO performance</w:t>
            </w:r>
          </w:p>
          <w:p>
            <w:pPr>
              <w:pStyle w:val="TableContents"/>
              <w:bidi w:val="0"/>
              <w:spacing w:before="0" w:after="0"/>
              <w:ind w:left="0" w:right="0" w:hanging="0"/>
              <w:jc w:val="left"/>
              <w:rPr/>
            </w:pPr>
            <w:r>
              <w:rPr/>
              <w:t>●</w:t>
            </w:r>
          </w:p>
          <w:p>
            <w:pPr>
              <w:pStyle w:val="TableContents"/>
              <w:bidi w:val="0"/>
              <w:spacing w:before="0" w:after="0"/>
              <w:ind w:left="240" w:right="0" w:hanging="0"/>
              <w:jc w:val="left"/>
              <w:rPr/>
            </w:pPr>
            <w:r>
              <w:rPr/>
              <w:t>Regular CEO and senior management succession planning</w:t>
            </w:r>
          </w:p>
        </w:tc>
        <w:tc>
          <w:tcPr>
            <w:tcW w:w="60" w:type="dxa"/>
            <w:tcBorders/>
            <w:vAlign w:val="center"/>
          </w:tcPr>
          <w:p>
            <w:pPr>
              <w:pStyle w:val="TableContents"/>
              <w:bidi w:val="0"/>
              <w:spacing w:before="0" w:after="283"/>
              <w:jc w:val="left"/>
              <w:rPr/>
            </w:pPr>
            <w:r>
              <w:rPr/>
              <w:t> </w:t>
            </w:r>
          </w:p>
        </w:tc>
        <w:tc>
          <w:tcPr>
            <w:tcW w:w="5522" w:type="dxa"/>
            <w:tcBorders/>
            <w:vAlign w:val="center"/>
          </w:tcPr>
          <w:p>
            <w:pPr>
              <w:pStyle w:val="TableContents"/>
              <w:bidi w:val="0"/>
              <w:spacing w:before="0" w:after="0"/>
              <w:ind w:left="0" w:right="0" w:hanging="0"/>
              <w:jc w:val="left"/>
              <w:rPr/>
            </w:pPr>
            <w:r>
              <w:rPr/>
              <w:t>●</w:t>
            </w:r>
          </w:p>
          <w:p>
            <w:pPr>
              <w:pStyle w:val="TableContents"/>
              <w:bidi w:val="0"/>
              <w:spacing w:before="0" w:after="120"/>
              <w:ind w:left="240" w:right="0" w:hanging="0"/>
              <w:jc w:val="left"/>
              <w:rPr/>
            </w:pPr>
            <w:r>
              <w:rPr/>
              <w:t>9 out of 10 director nominees are independent</w:t>
            </w:r>
          </w:p>
          <w:p>
            <w:pPr>
              <w:pStyle w:val="TableContents"/>
              <w:bidi w:val="0"/>
              <w:spacing w:before="0" w:after="0"/>
              <w:ind w:left="0" w:right="0" w:hanging="0"/>
              <w:jc w:val="left"/>
              <w:rPr/>
            </w:pPr>
            <w:r>
              <w:rPr/>
              <w:t>●</w:t>
            </w:r>
          </w:p>
          <w:p>
            <w:pPr>
              <w:pStyle w:val="TableContents"/>
              <w:bidi w:val="0"/>
              <w:spacing w:before="0" w:after="120"/>
              <w:ind w:left="240" w:right="0" w:hanging="0"/>
              <w:jc w:val="left"/>
              <w:rPr/>
            </w:pPr>
            <w:r>
              <w:rPr/>
              <w:t>Robust Independent Lead Director role, a position of authority with clearly defined responsibilities</w:t>
            </w:r>
          </w:p>
          <w:p>
            <w:pPr>
              <w:pStyle w:val="TableContents"/>
              <w:bidi w:val="0"/>
              <w:spacing w:before="0" w:after="0"/>
              <w:ind w:left="0" w:right="0" w:hanging="0"/>
              <w:jc w:val="left"/>
              <w:rPr/>
            </w:pPr>
            <w:r>
              <w:rPr/>
              <w:t>●</w:t>
            </w:r>
          </w:p>
          <w:p>
            <w:pPr>
              <w:pStyle w:val="TableContents"/>
              <w:bidi w:val="0"/>
              <w:spacing w:before="0" w:after="120"/>
              <w:ind w:left="240" w:right="0" w:hanging="0"/>
              <w:jc w:val="left"/>
              <w:rPr/>
            </w:pPr>
            <w:r>
              <w:rPr/>
              <w:t>Independent directors meet regularly without management</w:t>
            </w:r>
          </w:p>
          <w:p>
            <w:pPr>
              <w:pStyle w:val="TableContents"/>
              <w:bidi w:val="0"/>
              <w:spacing w:before="0" w:after="0"/>
              <w:ind w:left="0" w:right="0" w:hanging="0"/>
              <w:jc w:val="left"/>
              <w:rPr/>
            </w:pPr>
            <w:r>
              <w:rPr/>
              <w:t>●</w:t>
            </w:r>
          </w:p>
          <w:p>
            <w:pPr>
              <w:pStyle w:val="TableContents"/>
              <w:bidi w:val="0"/>
              <w:spacing w:before="0" w:after="120"/>
              <w:ind w:left="240" w:right="0" w:hanging="0"/>
              <w:jc w:val="left"/>
              <w:rPr/>
            </w:pPr>
            <w:r>
              <w:rPr/>
              <w:t>Fully independent Audit, Human Capital &amp; Compensation and Governance Committees</w:t>
            </w:r>
          </w:p>
          <w:p>
            <w:pPr>
              <w:pStyle w:val="TableContents"/>
              <w:bidi w:val="0"/>
              <w:spacing w:before="0" w:after="0"/>
              <w:ind w:left="0" w:right="0" w:hanging="0"/>
              <w:jc w:val="left"/>
              <w:rPr/>
            </w:pPr>
            <w:r>
              <w:rPr/>
              <w:t>●</w:t>
            </w:r>
          </w:p>
          <w:p>
            <w:pPr>
              <w:pStyle w:val="TableContents"/>
              <w:bidi w:val="0"/>
              <w:spacing w:before="0" w:after="0"/>
              <w:ind w:left="240" w:right="0" w:hanging="0"/>
              <w:jc w:val="left"/>
              <w:rPr/>
            </w:pPr>
            <w:r>
              <w:rPr/>
              <w:t>All directors are empowered to suggest additional agenda topics for the Board to consider</w:t>
            </w:r>
          </w:p>
        </w:tc>
      </w:tr>
      <w:tr>
        <w:trPr/>
        <w:tc>
          <w:tcPr>
            <w:tcW w:w="462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522" w:type="dxa"/>
            <w:tcBorders/>
            <w:vAlign w:val="center"/>
          </w:tcPr>
          <w:p>
            <w:pPr>
              <w:pStyle w:val="TableContents"/>
              <w:bidi w:val="0"/>
              <w:spacing w:before="0" w:after="283"/>
              <w:jc w:val="left"/>
              <w:rPr/>
            </w:pPr>
            <w:r>
              <w:rPr/>
              <w:t> </w:t>
            </w:r>
          </w:p>
        </w:tc>
      </w:tr>
      <w:tr>
        <w:trPr/>
        <w:tc>
          <w:tcPr>
            <w:tcW w:w="4623" w:type="dxa"/>
            <w:tcBorders/>
            <w:vAlign w:val="center"/>
          </w:tcPr>
          <w:p>
            <w:pPr>
              <w:pStyle w:val="TableContents"/>
              <w:bidi w:val="0"/>
              <w:spacing w:before="0" w:after="283"/>
              <w:jc w:val="left"/>
              <w:rPr>
                <w:b/>
                <w:sz w:val="22"/>
                <w:bdr w:val="single" w:sz="2" w:space="1" w:color="C12E32"/>
              </w:rPr>
            </w:pPr>
            <w:r>
              <w:rPr>
                <w:b/>
                <w:sz w:val="22"/>
                <w:bdr w:val="single" w:sz="2" w:space="1" w:color="C12E32"/>
              </w:rPr>
              <w:t>Commitment to shareowner rights</w:t>
            </w:r>
          </w:p>
        </w:tc>
        <w:tc>
          <w:tcPr>
            <w:tcW w:w="60" w:type="dxa"/>
            <w:tcBorders/>
            <w:vAlign w:val="center"/>
          </w:tcPr>
          <w:p>
            <w:pPr>
              <w:pStyle w:val="TableContents"/>
              <w:bidi w:val="0"/>
              <w:spacing w:before="0" w:after="283"/>
              <w:jc w:val="left"/>
              <w:rPr/>
            </w:pPr>
            <w:r>
              <w:rPr/>
              <w:t> </w:t>
            </w:r>
          </w:p>
        </w:tc>
        <w:tc>
          <w:tcPr>
            <w:tcW w:w="5522" w:type="dxa"/>
            <w:tcBorders/>
            <w:vAlign w:val="center"/>
          </w:tcPr>
          <w:p>
            <w:pPr>
              <w:pStyle w:val="TableContents"/>
              <w:bidi w:val="0"/>
              <w:spacing w:before="0" w:after="283"/>
              <w:jc w:val="left"/>
              <w:rPr>
                <w:b/>
                <w:sz w:val="22"/>
                <w:bdr w:val="single" w:sz="2" w:space="1" w:color="C12E32"/>
              </w:rPr>
            </w:pPr>
            <w:r>
              <w:rPr>
                <w:b/>
                <w:sz w:val="22"/>
                <w:bdr w:val="single" w:sz="2" w:space="1" w:color="C12E32"/>
              </w:rPr>
              <w:t>Board accountability</w:t>
            </w:r>
          </w:p>
        </w:tc>
      </w:tr>
      <w:tr>
        <w:trPr/>
        <w:tc>
          <w:tcPr>
            <w:tcW w:w="4623" w:type="dxa"/>
            <w:tcBorders/>
            <w:vAlign w:val="center"/>
          </w:tcPr>
          <w:p>
            <w:pPr>
              <w:pStyle w:val="TableContents"/>
              <w:bidi w:val="0"/>
              <w:spacing w:before="0" w:after="0"/>
              <w:ind w:left="0" w:right="0" w:hanging="0"/>
              <w:jc w:val="left"/>
              <w:rPr/>
            </w:pPr>
            <w:r>
              <w:rPr/>
              <w:t>●</w:t>
            </w:r>
          </w:p>
          <w:p>
            <w:pPr>
              <w:pStyle w:val="TableContents"/>
              <w:bidi w:val="0"/>
              <w:spacing w:before="0" w:after="120"/>
              <w:ind w:left="240" w:right="0" w:hanging="0"/>
              <w:jc w:val="left"/>
              <w:rPr/>
            </w:pPr>
            <w:r>
              <w:rPr/>
              <w:t>Active and ongoing shareowner engagement</w:t>
            </w:r>
          </w:p>
          <w:p>
            <w:pPr>
              <w:pStyle w:val="TableContents"/>
              <w:bidi w:val="0"/>
              <w:spacing w:before="0" w:after="0"/>
              <w:ind w:left="0" w:right="0" w:hanging="0"/>
              <w:jc w:val="left"/>
              <w:rPr/>
            </w:pPr>
            <w:r>
              <w:rPr/>
              <w:t>●</w:t>
            </w:r>
          </w:p>
          <w:p>
            <w:pPr>
              <w:pStyle w:val="TableContents"/>
              <w:bidi w:val="0"/>
              <w:spacing w:before="0" w:after="120"/>
              <w:ind w:left="240" w:right="0" w:hanging="0"/>
              <w:jc w:val="left"/>
              <w:rPr/>
            </w:pPr>
            <w:r>
              <w:rPr/>
              <w:t>Proxy access with customary terms</w:t>
            </w:r>
          </w:p>
          <w:p>
            <w:pPr>
              <w:pStyle w:val="TableContents"/>
              <w:bidi w:val="0"/>
              <w:spacing w:before="0" w:after="0"/>
              <w:ind w:left="0" w:right="0" w:hanging="0"/>
              <w:jc w:val="left"/>
              <w:rPr/>
            </w:pPr>
            <w:r>
              <w:rPr/>
              <w:t>●</w:t>
            </w:r>
          </w:p>
          <w:p>
            <w:pPr>
              <w:pStyle w:val="TableContents"/>
              <w:bidi w:val="0"/>
              <w:spacing w:before="0" w:after="120"/>
              <w:ind w:left="240" w:right="0" w:hanging="0"/>
              <w:jc w:val="left"/>
              <w:rPr/>
            </w:pPr>
            <w:r>
              <w:rPr/>
              <w:t>Shareowners can act by written consent</w:t>
            </w:r>
          </w:p>
          <w:p>
            <w:pPr>
              <w:pStyle w:val="TableContents"/>
              <w:bidi w:val="0"/>
              <w:spacing w:before="0" w:after="0"/>
              <w:ind w:left="0" w:right="0" w:hanging="0"/>
              <w:jc w:val="left"/>
              <w:rPr/>
            </w:pPr>
            <w:r>
              <w:rPr/>
              <w:t>●</w:t>
            </w:r>
          </w:p>
          <w:p>
            <w:pPr>
              <w:pStyle w:val="TableContents"/>
              <w:bidi w:val="0"/>
              <w:spacing w:before="0" w:after="120"/>
              <w:ind w:left="240" w:right="0" w:hanging="0"/>
              <w:jc w:val="left"/>
              <w:rPr/>
            </w:pPr>
            <w:r>
              <w:rPr/>
              <w:t>15% of voting stock can call special meetings</w:t>
            </w:r>
          </w:p>
          <w:p>
            <w:pPr>
              <w:pStyle w:val="TableContents"/>
              <w:bidi w:val="0"/>
              <w:spacing w:before="0" w:after="0"/>
              <w:ind w:left="0" w:right="0" w:hanging="0"/>
              <w:jc w:val="left"/>
              <w:rPr/>
            </w:pPr>
            <w:r>
              <w:rPr/>
              <w:t>●</w:t>
            </w:r>
          </w:p>
          <w:p>
            <w:pPr>
              <w:pStyle w:val="TableContents"/>
              <w:bidi w:val="0"/>
              <w:spacing w:before="0" w:after="120"/>
              <w:ind w:left="240" w:right="0" w:hanging="0"/>
              <w:jc w:val="left"/>
              <w:rPr/>
            </w:pPr>
            <w:r>
              <w:rPr/>
              <w:t>No charter provisions requiring more than a simple majority vote of shares</w:t>
            </w:r>
          </w:p>
          <w:p>
            <w:pPr>
              <w:pStyle w:val="TableContents"/>
              <w:bidi w:val="0"/>
              <w:spacing w:before="0" w:after="0"/>
              <w:ind w:left="0" w:right="0" w:hanging="0"/>
              <w:jc w:val="left"/>
              <w:rPr/>
            </w:pPr>
            <w:r>
              <w:rPr/>
              <w:t>●</w:t>
            </w:r>
          </w:p>
          <w:p>
            <w:pPr>
              <w:pStyle w:val="TableContents"/>
              <w:bidi w:val="0"/>
              <w:spacing w:before="0" w:after="120"/>
              <w:ind w:left="240" w:right="0" w:hanging="0"/>
              <w:jc w:val="left"/>
              <w:rPr/>
            </w:pPr>
            <w:r>
              <w:rPr/>
              <w:t>Robust clawback policies</w:t>
            </w:r>
          </w:p>
          <w:p>
            <w:pPr>
              <w:pStyle w:val="TableContents"/>
              <w:bidi w:val="0"/>
              <w:spacing w:before="0" w:after="0"/>
              <w:ind w:left="0" w:right="0" w:hanging="0"/>
              <w:jc w:val="left"/>
              <w:rPr/>
            </w:pPr>
            <w:r>
              <w:rPr/>
              <w:t>●</w:t>
            </w:r>
          </w:p>
          <w:p>
            <w:pPr>
              <w:pStyle w:val="TableContents"/>
              <w:bidi w:val="0"/>
              <w:spacing w:before="0" w:after="120"/>
              <w:ind w:left="240" w:right="0" w:hanging="0"/>
              <w:jc w:val="left"/>
              <w:rPr/>
            </w:pPr>
            <w:r>
              <w:rPr/>
              <w:t>No hedging, short sales or pledging of RTX securities by officers or directors</w:t>
            </w:r>
          </w:p>
          <w:p>
            <w:pPr>
              <w:pStyle w:val="TableContents"/>
              <w:bidi w:val="0"/>
              <w:spacing w:before="0" w:after="0"/>
              <w:ind w:left="0" w:right="0" w:hanging="0"/>
              <w:jc w:val="left"/>
              <w:rPr/>
            </w:pPr>
            <w:r>
              <w:rPr/>
              <w:t>●</w:t>
            </w:r>
          </w:p>
          <w:p>
            <w:pPr>
              <w:pStyle w:val="TableContents"/>
              <w:bidi w:val="0"/>
              <w:spacing w:before="0" w:after="0"/>
              <w:ind w:left="240" w:right="0" w:hanging="0"/>
              <w:jc w:val="left"/>
              <w:rPr/>
            </w:pPr>
            <w:r>
              <w:rPr/>
              <w:t>Rigorous share ownership requirements for directors and senior management</w:t>
            </w:r>
          </w:p>
        </w:tc>
        <w:tc>
          <w:tcPr>
            <w:tcW w:w="60" w:type="dxa"/>
            <w:tcBorders/>
            <w:vAlign w:val="center"/>
          </w:tcPr>
          <w:p>
            <w:pPr>
              <w:pStyle w:val="TableContents"/>
              <w:bidi w:val="0"/>
              <w:spacing w:before="0" w:after="283"/>
              <w:jc w:val="left"/>
              <w:rPr/>
            </w:pPr>
            <w:r>
              <w:rPr/>
              <w:t> </w:t>
            </w:r>
          </w:p>
        </w:tc>
        <w:tc>
          <w:tcPr>
            <w:tcW w:w="5522" w:type="dxa"/>
            <w:tcBorders/>
            <w:vAlign w:val="center"/>
          </w:tcPr>
          <w:p>
            <w:pPr>
              <w:pStyle w:val="TableContents"/>
              <w:bidi w:val="0"/>
              <w:spacing w:before="0" w:after="0"/>
              <w:ind w:left="0" w:right="0" w:hanging="0"/>
              <w:jc w:val="left"/>
              <w:rPr/>
            </w:pPr>
            <w:r>
              <w:rPr/>
              <w:t>●</w:t>
            </w:r>
          </w:p>
          <w:p>
            <w:pPr>
              <w:pStyle w:val="TableContents"/>
              <w:bidi w:val="0"/>
              <w:spacing w:before="0" w:after="120"/>
              <w:ind w:left="240" w:right="0" w:hanging="0"/>
              <w:jc w:val="left"/>
              <w:rPr/>
            </w:pPr>
            <w:r>
              <w:rPr/>
              <w:t>Annual Board, Committee and individual director evaluations</w:t>
            </w:r>
          </w:p>
          <w:p>
            <w:pPr>
              <w:pStyle w:val="TableContents"/>
              <w:bidi w:val="0"/>
              <w:spacing w:before="0" w:after="0"/>
              <w:ind w:left="0" w:right="0" w:hanging="0"/>
              <w:jc w:val="left"/>
              <w:rPr/>
            </w:pPr>
            <w:r>
              <w:rPr/>
              <w:t>●</w:t>
            </w:r>
          </w:p>
          <w:p>
            <w:pPr>
              <w:pStyle w:val="TableContents"/>
              <w:bidi w:val="0"/>
              <w:spacing w:before="0" w:after="120"/>
              <w:ind w:left="240" w:right="0" w:hanging="0"/>
              <w:jc w:val="left"/>
              <w:rPr/>
            </w:pPr>
            <w:r>
              <w:rPr/>
              <w:t>Annual election of all directors</w:t>
            </w:r>
          </w:p>
          <w:p>
            <w:pPr>
              <w:pStyle w:val="TableContents"/>
              <w:bidi w:val="0"/>
              <w:spacing w:before="0" w:after="0"/>
              <w:ind w:left="0" w:right="0" w:hanging="0"/>
              <w:jc w:val="left"/>
              <w:rPr/>
            </w:pPr>
            <w:r>
              <w:rPr/>
              <w:t>●</w:t>
            </w:r>
          </w:p>
          <w:p>
            <w:pPr>
              <w:pStyle w:val="TableContents"/>
              <w:bidi w:val="0"/>
              <w:spacing w:before="0" w:after="120"/>
              <w:ind w:left="240" w:right="0" w:hanging="0"/>
              <w:jc w:val="left"/>
              <w:rPr/>
            </w:pPr>
            <w:r>
              <w:rPr/>
              <w:t>Majority voting for directors in uncontested elections</w:t>
            </w:r>
          </w:p>
          <w:p>
            <w:pPr>
              <w:pStyle w:val="TableContents"/>
              <w:bidi w:val="0"/>
              <w:spacing w:before="0" w:after="0"/>
              <w:ind w:left="0" w:right="0" w:hanging="0"/>
              <w:jc w:val="left"/>
              <w:rPr/>
            </w:pPr>
            <w:r>
              <w:rPr/>
              <w:t>●</w:t>
            </w:r>
          </w:p>
          <w:p>
            <w:pPr>
              <w:pStyle w:val="TableContents"/>
              <w:bidi w:val="0"/>
              <w:spacing w:before="0" w:after="120"/>
              <w:ind w:left="240" w:right="0" w:hanging="0"/>
              <w:jc w:val="left"/>
              <w:rPr/>
            </w:pPr>
            <w:r>
              <w:rPr/>
              <w:t>Ongoing attention to Board composition and refreshment</w:t>
            </w:r>
          </w:p>
          <w:p>
            <w:pPr>
              <w:pStyle w:val="TableContents"/>
              <w:bidi w:val="0"/>
              <w:spacing w:before="0" w:after="0"/>
              <w:ind w:left="0" w:right="0" w:hanging="0"/>
              <w:jc w:val="left"/>
              <w:rPr/>
            </w:pPr>
            <w:r>
              <w:rPr/>
              <w:t>●</w:t>
            </w:r>
          </w:p>
          <w:p>
            <w:pPr>
              <w:pStyle w:val="TableContents"/>
              <w:bidi w:val="0"/>
              <w:spacing w:before="0" w:after="120"/>
              <w:ind w:left="240" w:right="0" w:hanging="0"/>
              <w:jc w:val="left"/>
              <w:rPr/>
            </w:pPr>
            <w:r>
              <w:rPr/>
              <w:t>No re-nomination of a director who has served for 15 years or reached age 75, unless waived by the Board</w:t>
            </w:r>
          </w:p>
          <w:p>
            <w:pPr>
              <w:pStyle w:val="TableContents"/>
              <w:bidi w:val="0"/>
              <w:spacing w:before="0" w:after="0"/>
              <w:ind w:left="0" w:right="0" w:hanging="0"/>
              <w:jc w:val="left"/>
              <w:rPr/>
            </w:pPr>
            <w:r>
              <w:rPr/>
              <w:t>●</w:t>
            </w:r>
          </w:p>
          <w:p>
            <w:pPr>
              <w:pStyle w:val="TableContents"/>
              <w:bidi w:val="0"/>
              <w:spacing w:before="0" w:after="120"/>
              <w:ind w:left="240" w:right="0" w:hanging="0"/>
              <w:jc w:val="left"/>
              <w:rPr/>
            </w:pPr>
            <w:r>
              <w:rPr/>
              <w:t>Regular review of Committee assignments and leadership; objective to rotate chairs, members at least every five years</w:t>
            </w:r>
          </w:p>
          <w:p>
            <w:pPr>
              <w:pStyle w:val="TableContents"/>
              <w:bidi w:val="0"/>
              <w:spacing w:before="0" w:after="0"/>
              <w:ind w:left="0" w:right="0" w:hanging="0"/>
              <w:jc w:val="left"/>
              <w:rPr/>
            </w:pPr>
            <w:r>
              <w:rPr/>
              <w:t>●</w:t>
            </w:r>
          </w:p>
          <w:p>
            <w:pPr>
              <w:pStyle w:val="TableContents"/>
              <w:bidi w:val="0"/>
              <w:spacing w:before="0" w:after="120"/>
              <w:ind w:left="240" w:right="0" w:hanging="0"/>
              <w:jc w:val="left"/>
              <w:rPr/>
            </w:pPr>
            <w:r>
              <w:rPr/>
              <w:t>Limits on outside public company board service</w:t>
            </w:r>
          </w:p>
          <w:p>
            <w:pPr>
              <w:pStyle w:val="TableContents"/>
              <w:bidi w:val="0"/>
              <w:spacing w:before="0" w:after="0"/>
              <w:ind w:left="0" w:right="0" w:hanging="0"/>
              <w:jc w:val="left"/>
              <w:rPr/>
            </w:pPr>
            <w:r>
              <w:rPr/>
              <w:t>●</w:t>
            </w:r>
          </w:p>
          <w:p>
            <w:pPr>
              <w:pStyle w:val="TableContents"/>
              <w:bidi w:val="0"/>
              <w:spacing w:before="0" w:after="0"/>
              <w:ind w:left="240" w:right="0" w:hanging="0"/>
              <w:jc w:val="left"/>
              <w:rPr/>
            </w:pPr>
            <w:r>
              <w:rPr/>
              <w:t>Process for considering and approving new outside directorships and paid consulting/advisory engagements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CODE OF CONDUCT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Our Code of Conduct reinforces our values and high governance standards by:</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pPr>
            <w:r>
              <w:rPr/>
              <w:t xml:space="preserve">Explaining how our values of Safety, Trust, Respect, Accountability, Collaboration and Innovation must inform our actions </w:t>
            </w:r>
          </w:p>
        </w:tc>
      </w:tr>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pPr>
            <w:r>
              <w:rPr/>
              <w:t xml:space="preserve">Guiding the conduct of our employees, officers and directors with each other, our business partners and our communities </w:t>
            </w:r>
          </w:p>
        </w:tc>
      </w:tr>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pPr>
            <w:r>
              <w:rPr/>
              <w:t>Emphasizing the responsibility to conduct our business with integrity, to respect and protect human rights and to report violations of the Code without fear of retaliation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encourage you to visit the Corporate Governance section of our website (</w:t>
      </w:r>
      <w:r>
        <w:rPr>
          <w:rFonts w:ascii="Arial;Helvetica;Sans-Serif" w:hAnsi="Arial;Helvetica;Sans-Serif"/>
          <w:b w:val="false"/>
          <w:i w:val="false"/>
          <w:caps w:val="false"/>
          <w:smallCaps w:val="false"/>
          <w:color w:val="C12E33"/>
          <w:sz w:val="20"/>
          <w:u w:val="single"/>
        </w:rPr>
        <w:t>www.rtx.com</w:t>
      </w:r>
      <w:r>
        <w:rPr>
          <w:rFonts w:ascii="Arial;Helvetica;Sans-Serif" w:hAnsi="Arial;Helvetica;Sans-Serif"/>
          <w:b w:val="false"/>
          <w:i w:val="false"/>
          <w:caps w:val="false"/>
          <w:smallCaps w:val="false"/>
          <w:sz w:val="20"/>
        </w:rPr>
        <w:t>) for more information about corporate governance at RTX and our Code of Conduct.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15"/>
        </w:rPr>
      </w:pPr>
      <w:r>
        <w:rPr>
          <w:rFonts w:ascii="Arial;Helvetica;Sans-Serif" w:hAnsi="Arial;Helvetica;Sans-Serif"/>
          <w:b/>
          <w:i w:val="false"/>
          <w:caps w:val="false"/>
          <w:smallCaps w:val="false"/>
          <w:sz w:val="15"/>
        </w:rPr>
        <w:t>20    RTX</w:t>
      </w:r>
      <w:r>
        <w:rPr>
          <w:rFonts w:ascii="Arial;Helvetica;Sans-Serif" w:hAnsi="Arial;Helvetica;Sans-Serif"/>
          <w:b w:val="false"/>
          <w:i w:val="false"/>
          <w:caps w:val="false"/>
          <w:smallCaps w:val="false"/>
          <w:sz w:val="15"/>
        </w:rPr>
        <w:t xml:space="preserve"> 2026 PROXY STATEMENT</w:t>
      </w:r>
    </w:p>
    <w:p>
      <w:pPr>
        <w:pStyle w:val="HorizontalLine"/>
        <w:pBdr>
          <w:bottom w:val="double" w:sz="2" w:space="0" w:color="808080"/>
        </w:pBdr>
        <w:bidi w:val="0"/>
        <w:spacing w:before="0" w:after="283"/>
        <w:jc w:val="left"/>
        <w:rPr/>
      </w:pPr>
      <w:r>
        <w:rPr/>
      </w:r>
    </w:p>
    <w:p>
      <w:pPr>
        <w:pStyle w:val="TextBody"/>
        <w:bidi w:val="0"/>
        <w:spacing w:before="200" w:after="200"/>
        <w:jc w:val="left"/>
        <w:rPr/>
      </w:pPr>
      <w:hyperlink w:anchor="toc">
        <w:r>
          <w:rPr>
            <w:rStyle w:val="InternetLink"/>
            <w:rFonts w:ascii="Arial;Helvetica;Sans-Serif" w:hAnsi="Arial;Helvetica;Sans-Serif"/>
            <w:b/>
            <w:i w:val="false"/>
            <w:caps w:val="false"/>
            <w:smallCaps w:val="false"/>
            <w:sz w:val="16"/>
          </w:rPr>
          <w:t>Table of Contents</w:t>
        </w:r>
      </w:hyperlink>
    </w:p>
    <w:p>
      <w:pPr>
        <w:pStyle w:val="TextBody"/>
        <w:bidi w:val="0"/>
        <w:spacing w:before="0" w:after="0"/>
        <w:ind w:left="0" w:right="0" w:hanging="0"/>
        <w:jc w:val="right"/>
        <w:rPr>
          <w:rFonts w:ascii="Arial;Helvetica;Sans-Serif" w:hAnsi="Arial;Helvetica;Sans-Serif"/>
          <w:b/>
          <w:i w:val="false"/>
          <w:caps w:val="false"/>
          <w:smallCaps w:val="false"/>
          <w:color w:val="C12E33"/>
          <w:sz w:val="15"/>
        </w:rPr>
      </w:pPr>
      <w:r>
        <w:rPr>
          <w:rFonts w:ascii="Arial;Helvetica;Sans-Serif" w:hAnsi="Arial;Helvetica;Sans-Serif"/>
          <w:b/>
          <w:i w:val="false"/>
          <w:caps w:val="false"/>
          <w:smallCaps w:val="false"/>
          <w:color w:val="C12E33"/>
          <w:sz w:val="15"/>
        </w:rPr>
        <w:t>CORPORATE GOVERNANCE</w:t>
      </w:r>
    </w:p>
    <w:p>
      <w:pPr>
        <w:pStyle w:val="TextBody"/>
        <w:bidi w:val="0"/>
        <w:spacing w:before="0" w:after="0"/>
        <w:ind w:left="0" w:right="0" w:hanging="0"/>
        <w:jc w:val="righ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BOARD LEADERSHIP STRUCTURE</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34"/>
        </w:rPr>
      </w:pPr>
      <w:r>
        <w:rPr>
          <w:rFonts w:ascii="Arial;Helvetica;Sans-Serif" w:hAnsi="Arial;Helvetica;Sans-Serif"/>
          <w:b/>
          <w:i w:val="false"/>
          <w:caps w:val="false"/>
          <w:smallCaps w:val="false"/>
          <w:sz w:val="34"/>
        </w:rPr>
        <w:t>Board Leadership Structure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 xml:space="preserve">The Board’s approach. </w:t>
      </w:r>
      <w:r>
        <w:rPr>
          <w:rFonts w:ascii="Arial;Helvetica;Sans-Serif" w:hAnsi="Arial;Helvetica;Sans-Serif"/>
          <w:b w:val="false"/>
          <w:i w:val="false"/>
          <w:caps w:val="false"/>
          <w:smallCaps w:val="false"/>
          <w:sz w:val="20"/>
        </w:rPr>
        <w:t>Under our Corporate Governance Guidelines, the Board does not have a fixed policy on whether the roles of Chair of the Board and CEO should be separate or combined. Instead, the Governance Committee regularly reviews our Board leadership structure, and the Board selects the structure that it believes will provide the most effective leadership and oversight for RTX in light of the risks and opportunities then faced by the Company.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CHAIRMAN &amp; CEO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 2025, Mr. Gregory J. Hayes decided to step down as Executive Chairman of the Board. The Board reviewed its leadership structure at that time and elected Mr. Calio to succeed Mr. Hayes as Chairman. The Board also determined that Mr. Calio would continue to serve in his role as President &amp; CEO and that Mr. Reynolds would continue to serve as Independent Lead Director. Informed by feedback from shareowners, Governance Committee members and other stakeholders, the Board continues to view a unified Chairman &amp; CEO role—balanced by an otherwise fully independent Board that is led by an Independent Lead Director with robust responsibilities—as the appropriate leadership structure at this time to provide responsible governance for RTX and generate long-term returns for our shareowners.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Combining the roles of Chair and CEO continues to offer substantial advantages to RTX, including: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pPr>
            <w:r>
              <w:rPr/>
              <w:t>Decision-making agility, clarity, efficiency and speed.</w:t>
            </w:r>
          </w:p>
        </w:tc>
      </w:tr>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pPr>
            <w:r>
              <w:rPr/>
              <w:t>Alignment between successful implementation of RTX’s strategy and thoughtful Board agendas and materials designed to facilitate strategic oversight. </w:t>
            </w:r>
          </w:p>
        </w:tc>
      </w:tr>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pPr>
            <w:r>
              <w:rPr/>
              <w:t>Consistent messaging in leadership communication, both internally and with shareowners, customers and other key stakeholders.</w:t>
            </w:r>
          </w:p>
        </w:tc>
      </w:tr>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pPr>
            <w:r>
              <w:rPr/>
              <w:t>Deeply informed Board leadership necessary to shape oversight of our business in the context of the technical, regulatory and competitive complexity of the aerospace and defense industries.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INDEPENDENT LEAD DIRECTOR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To ensure strong independent leadership of the Board, our Corporate Governance Guidelines provide that when the Chair of the Board is not independent, our independent directors must designate from among themselves an Independent Lead Director. This structure is supported by other key features of RTX’s governance that enable the Board to effectively oversee the Company, including: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pPr>
            <w:r>
              <w:rPr/>
              <w:t>All directors other than Mr. Calio are independent.</w:t>
            </w:r>
          </w:p>
        </w:tc>
      </w:tr>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pPr>
            <w:r>
              <w:rPr/>
              <w:t>Our Audit, Governance and Human Capital &amp; Compensation Committees are comprised entirely of independent directors. </w:t>
            </w:r>
          </w:p>
        </w:tc>
      </w:tr>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pPr>
            <w:r>
              <w:rPr/>
              <w:t>The independent directors hold frequent private sessions under the guidance of Mr. Reynolds, at least once during each Board meeting and frequently more often, including private Committee sessions and cross-attendance of Committee meetings by directors.</w:t>
            </w:r>
          </w:p>
        </w:tc>
      </w:tr>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pPr>
            <w:r>
              <w:rPr/>
              <w:t>All of our directors are empowered and encouraged to shape the agenda of the Board, including by suggesting items for meeting agendas, receiving meeting agendas and materials in advance and raising at any meeting topics not formally on the agenda.</w:t>
            </w:r>
          </w:p>
        </w:tc>
      </w:tr>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pPr>
            <w:r>
              <w:rPr/>
              <w:t>The directors are supported by a fulsome and effective set of governance policies and practices, including our Corporate Governance Guidelines and our Code of Conduct.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Mr. Reynolds was unanimously designated as the Independent Lead Director by RTX’s independent directors because of his deep knowledge of the Company’s business and strategy, his experience with risk management, financial oversight and governance, and his proven leadership skills and judgment. In selecting Mr. Reynolds as Independent Lead Director, the independent directors considered the tenure, experience and capabilities of each independent director, as well as their willingness and capacity to satisfy the significant time commitment of the role. Further, in light of Mr. Reynolds’ exemplary service and Mr. Calio’s recent election to the role of Chairman effective April 30, 2025, the Board believes that RTX and its shareowners are best served by Mr. Reynolds’ re-election to the role of director and continuation in the role of Independent Lead Director.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Arial;Helvetica;Sans-Serif" w:hAnsi="Arial;Helvetica;Sans-Serif"/>
          <w:b w:val="false"/>
          <w:i w:val="false"/>
          <w:caps w:val="false"/>
          <w:smallCaps w:val="false"/>
          <w:sz w:val="15"/>
        </w:rPr>
      </w:pPr>
      <w:r>
        <w:rPr>
          <w:rFonts w:ascii="Arial;Helvetica;Sans-Serif" w:hAnsi="Arial;Helvetica;Sans-Serif"/>
          <w:b/>
          <w:i w:val="false"/>
          <w:caps w:val="false"/>
          <w:smallCaps w:val="false"/>
          <w:sz w:val="15"/>
        </w:rPr>
        <w:t>RTX</w:t>
      </w:r>
      <w:r>
        <w:rPr>
          <w:rFonts w:ascii="Arial;Helvetica;Sans-Serif" w:hAnsi="Arial;Helvetica;Sans-Serif"/>
          <w:b w:val="false"/>
          <w:i w:val="false"/>
          <w:caps w:val="false"/>
          <w:smallCaps w:val="false"/>
          <w:sz w:val="15"/>
        </w:rPr>
        <w:t xml:space="preserve"> 2026 PROXY STATEMENT    </w:t>
      </w:r>
      <w:r>
        <w:rPr>
          <w:rFonts w:ascii="Arial;Helvetica;Sans-Serif" w:hAnsi="Arial;Helvetica;Sans-Serif"/>
          <w:b/>
          <w:i w:val="false"/>
          <w:caps w:val="false"/>
          <w:smallCaps w:val="false"/>
          <w:sz w:val="15"/>
        </w:rPr>
        <w:t>21</w:t>
      </w:r>
    </w:p>
    <w:p>
      <w:pPr>
        <w:pStyle w:val="HorizontalLine"/>
        <w:pBdr>
          <w:bottom w:val="double" w:sz="2" w:space="0" w:color="808080"/>
        </w:pBdr>
        <w:bidi w:val="0"/>
        <w:spacing w:before="0" w:after="283"/>
        <w:jc w:val="left"/>
        <w:rPr/>
      </w:pPr>
      <w:r>
        <w:rPr/>
      </w:r>
    </w:p>
    <w:p>
      <w:pPr>
        <w:pStyle w:val="TextBody"/>
        <w:bidi w:val="0"/>
        <w:spacing w:before="200" w:after="200"/>
        <w:jc w:val="left"/>
        <w:rPr/>
      </w:pPr>
      <w:hyperlink w:anchor="toc">
        <w:r>
          <w:rPr>
            <w:rStyle w:val="InternetLink"/>
            <w:rFonts w:ascii="Arial;Helvetica;Sans-Serif" w:hAnsi="Arial;Helvetica;Sans-Serif"/>
            <w:b/>
            <w:i w:val="false"/>
            <w:caps w:val="false"/>
            <w:smallCaps w:val="false"/>
            <w:sz w:val="16"/>
          </w:rPr>
          <w:t>Table of Contents</w:t>
        </w:r>
      </w:hyperlink>
    </w:p>
    <w:p>
      <w:pPr>
        <w:pStyle w:val="TextBody"/>
        <w:bidi w:val="0"/>
        <w:spacing w:before="0" w:after="0"/>
        <w:ind w:left="0" w:right="0" w:hanging="0"/>
        <w:jc w:val="left"/>
        <w:rPr>
          <w:rFonts w:ascii="Arial;Helvetica;Sans-Serif" w:hAnsi="Arial;Helvetica;Sans-Serif"/>
          <w:b/>
          <w:i w:val="false"/>
          <w:caps w:val="false"/>
          <w:smallCaps w:val="false"/>
          <w:color w:val="C12E33"/>
          <w:sz w:val="15"/>
        </w:rPr>
      </w:pPr>
      <w:r>
        <w:rPr>
          <w:rFonts w:ascii="Arial;Helvetica;Sans-Serif" w:hAnsi="Arial;Helvetica;Sans-Serif"/>
          <w:b/>
          <w:i w:val="false"/>
          <w:caps w:val="false"/>
          <w:smallCaps w:val="false"/>
          <w:color w:val="C12E33"/>
          <w:sz w:val="15"/>
        </w:rPr>
        <w:t>CORPORATE GOVERNANCE</w:t>
      </w:r>
    </w:p>
    <w:p>
      <w:pPr>
        <w:pStyle w:val="TextBody"/>
        <w:bidi w:val="0"/>
        <w:spacing w:before="0" w:after="0"/>
        <w:ind w:left="0" w:right="0" w:hanging="0"/>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BOARD LEADERSHIP STRUCTURE</w:t>
      </w:r>
    </w:p>
    <w:p>
      <w:pPr>
        <w:pStyle w:val="TextBody"/>
        <w:bidi w:val="0"/>
        <w:spacing w:before="0" w:after="0"/>
        <w:ind w:left="0" w:right="0" w:hanging="0"/>
        <w:jc w:val="left"/>
        <w:rPr>
          <w:caps w:val="false"/>
          <w:smallCaps w:val="false"/>
          <w:color w:val="C12E33"/>
        </w:rPr>
      </w:pPr>
      <w:r>
        <w:rPr>
          <w:caps w:val="false"/>
          <w:smallCaps w:val="false"/>
          <w:color w:val="C12E33"/>
        </w:rPr>
        <w:t> </w:t>
      </w:r>
    </w:p>
    <w:p>
      <w:pPr>
        <w:pStyle w:val="TextBody"/>
        <w:bidi w:val="0"/>
        <w:spacing w:before="0" w:after="0"/>
        <w:ind w:left="0" w:right="0" w:hanging="0"/>
        <w:jc w:val="left"/>
        <w:rPr>
          <w:rFonts w:ascii="Arial;Helvetica;Sans-Serif" w:hAnsi="Arial;Helvetica;Sans-Serif"/>
          <w:b/>
          <w:i w:val="false"/>
          <w:caps w:val="false"/>
          <w:smallCaps w:val="false"/>
          <w:color w:val="C12E33"/>
          <w:sz w:val="20"/>
        </w:rPr>
      </w:pPr>
      <w:r>
        <w:rPr>
          <w:rFonts w:ascii="Arial;Helvetica;Sans-Serif" w:hAnsi="Arial;Helvetica;Sans-Serif"/>
          <w:b/>
          <w:i w:val="false"/>
          <w:caps w:val="false"/>
          <w:smallCaps w:val="false"/>
          <w:color w:val="C12E33"/>
          <w:sz w:val="20"/>
        </w:rPr>
        <w:t>ROLES, RESPONSIBILITIES AND AUTHORITY OF CHAIRMAN &amp; CEO AND INDEPENDENT LEAD DIRECTOR</w:t>
      </w:r>
    </w:p>
    <w:p>
      <w:pPr>
        <w:pStyle w:val="TextBody"/>
        <w:bidi w:val="0"/>
        <w:spacing w:before="0" w:after="0"/>
        <w:ind w:left="0" w:right="0" w:hanging="0"/>
        <w:jc w:val="left"/>
        <w:rPr>
          <w:caps w:val="false"/>
          <w:smallCaps w:val="false"/>
          <w:color w:val="C12E33"/>
        </w:rPr>
      </w:pPr>
      <w:r>
        <w:rPr>
          <w:caps w:val="false"/>
          <w:smallCaps w:val="false"/>
          <w:color w:val="C12E33"/>
        </w:rPr>
        <w:t> </w:t>
      </w:r>
    </w:p>
    <w:p>
      <w:pPr>
        <w:pStyle w:val="TextBody"/>
        <w:bidi w:val="0"/>
        <w:spacing w:before="0" w:after="0"/>
        <w:ind w:left="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The Independent Lead Director and our Chairman &amp; CEO meet with each other regularly about the Company’s strategy and operations and the functioning of the Board. The Board has vested significant authority in the Independent Lead Director under our Corporate Governance Guidelines, which are designed to promote strong, independent oversight of RTX’s management and affairs.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160" w:type="dxa"/>
          <w:left w:w="0" w:type="dxa"/>
          <w:bottom w:w="0" w:type="dxa"/>
          <w:right w:w="0" w:type="dxa"/>
        </w:tblCellMar>
      </w:tblPr>
      <w:tblGrid>
        <w:gridCol w:w="75"/>
        <w:gridCol w:w="2290"/>
        <w:gridCol w:w="2507"/>
        <w:gridCol w:w="300"/>
        <w:gridCol w:w="60"/>
        <w:gridCol w:w="2174"/>
        <w:gridCol w:w="2799"/>
      </w:tblGrid>
      <w:tr>
        <w:trPr/>
        <w:tc>
          <w:tcPr>
            <w:tcW w:w="75" w:type="dxa"/>
            <w:tcBorders>
              <w:top w:val="single" w:sz="8" w:space="0" w:color="C12E32"/>
            </w:tcBorders>
            <w:shd w:fill="EDEDEE" w:val="clear"/>
            <w:vAlign w:val="center"/>
          </w:tcPr>
          <w:p>
            <w:pPr>
              <w:pStyle w:val="TableContents"/>
              <w:bidi w:val="0"/>
              <w:spacing w:before="0" w:after="283"/>
              <w:jc w:val="left"/>
              <w:rPr/>
            </w:pPr>
            <w:r>
              <w:rPr/>
              <w:t> </w:t>
            </w:r>
          </w:p>
        </w:tc>
        <w:tc>
          <w:tcPr>
            <w:tcW w:w="2290" w:type="dxa"/>
            <w:tcBorders>
              <w:top w:val="single" w:sz="8" w:space="0" w:color="C12E32"/>
            </w:tcBorders>
            <w:shd w:fill="EDEDEE" w:val="clear"/>
            <w:vAlign w:val="center"/>
          </w:tcPr>
          <w:p>
            <w:pPr>
              <w:pStyle w:val="TableContents"/>
              <w:bidi w:val="0"/>
              <w:spacing w:before="0" w:after="283"/>
              <w:jc w:val="left"/>
              <w:rPr>
                <w:b/>
                <w:sz w:val="22"/>
              </w:rPr>
            </w:pPr>
            <w:r>
              <w:rPr>
                <w:b/>
                <w:sz w:val="22"/>
              </w:rPr>
              <w:t>CHAIRMAN &amp; CEO</w:t>
            </w:r>
          </w:p>
        </w:tc>
        <w:tc>
          <w:tcPr>
            <w:tcW w:w="2507" w:type="dxa"/>
            <w:vMerge w:val="restart"/>
            <w:tcBorders>
              <w:top w:val="single" w:sz="8" w:space="0" w:color="C12E32"/>
              <w:bottom w:val="single" w:sz="8" w:space="0" w:color="EDEDED"/>
            </w:tcBorders>
            <w:shd w:fill="EDEDEE" w:val="clear"/>
            <w:tcMar>
              <w:bottom w:w="28" w:type="dxa"/>
            </w:tcMar>
            <w:vAlign w:val="center"/>
          </w:tcPr>
          <w:p>
            <w:pPr>
              <w:pStyle w:val="TableContents"/>
              <w:bidi w:val="0"/>
              <w:spacing w:before="0" w:after="283"/>
              <w:jc w:val="right"/>
              <w:rPr/>
            </w:pPr>
            <w:r>
              <w:rPr/>
              <w:drawing>
                <wp:inline distT="0" distB="0" distL="0" distR="0">
                  <wp:extent cx="1476375" cy="3590925"/>
                  <wp:effectExtent l="0" t="0" r="0" b="0"/>
                  <wp:docPr id="260" name="Image1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 name="Image172" descr=""/>
                          <pic:cNvPicPr>
                            <a:picLocks noChangeAspect="1" noChangeArrowheads="1"/>
                          </pic:cNvPicPr>
                        </pic:nvPicPr>
                        <pic:blipFill>
                          <a:blip r:embed="rId217"/>
                          <a:stretch>
                            <a:fillRect/>
                          </a:stretch>
                        </pic:blipFill>
                        <pic:spPr bwMode="auto">
                          <a:xfrm>
                            <a:off x="0" y="0"/>
                            <a:ext cx="1476375" cy="3590925"/>
                          </a:xfrm>
                          <a:prstGeom prst="rect">
                            <a:avLst/>
                          </a:prstGeom>
                        </pic:spPr>
                      </pic:pic>
                    </a:graphicData>
                  </a:graphic>
                </wp:inline>
              </w:drawing>
            </w:r>
          </w:p>
        </w:tc>
        <w:tc>
          <w:tcPr>
            <w:tcW w:w="300" w:type="dxa"/>
            <w:tcBorders/>
            <w:tcMar>
              <w:top w:w="0" w:type="dxa"/>
            </w:tcMar>
            <w:vAlign w:val="center"/>
          </w:tcPr>
          <w:p>
            <w:pPr>
              <w:pStyle w:val="TableContents"/>
              <w:bidi w:val="0"/>
              <w:spacing w:before="0" w:after="283"/>
              <w:jc w:val="left"/>
              <w:rPr/>
            </w:pPr>
            <w:r>
              <w:rPr/>
              <w:t>     </w:t>
            </w:r>
          </w:p>
        </w:tc>
        <w:tc>
          <w:tcPr>
            <w:tcW w:w="60" w:type="dxa"/>
            <w:tcBorders>
              <w:top w:val="single" w:sz="8" w:space="0" w:color="C12E32"/>
            </w:tcBorders>
            <w:shd w:fill="EDEDEE" w:val="clear"/>
            <w:vAlign w:val="center"/>
          </w:tcPr>
          <w:p>
            <w:pPr>
              <w:pStyle w:val="TableContents"/>
              <w:bidi w:val="0"/>
              <w:spacing w:before="0" w:after="283"/>
              <w:jc w:val="left"/>
              <w:rPr/>
            </w:pPr>
            <w:r>
              <w:rPr/>
              <w:t> </w:t>
            </w:r>
          </w:p>
        </w:tc>
        <w:tc>
          <w:tcPr>
            <w:tcW w:w="2174" w:type="dxa"/>
            <w:tcBorders>
              <w:top w:val="single" w:sz="8" w:space="0" w:color="C12E32"/>
            </w:tcBorders>
            <w:shd w:fill="EDEDEE" w:val="clear"/>
            <w:vAlign w:val="center"/>
          </w:tcPr>
          <w:p>
            <w:pPr>
              <w:pStyle w:val="TableContents"/>
              <w:bidi w:val="0"/>
              <w:spacing w:before="0" w:after="283"/>
              <w:jc w:val="left"/>
              <w:rPr>
                <w:b/>
                <w:sz w:val="22"/>
              </w:rPr>
            </w:pPr>
            <w:r>
              <w:rPr>
                <w:b/>
                <w:sz w:val="22"/>
              </w:rPr>
              <w:t>INDEPENDENT LEAD   DIRECTOR</w:t>
            </w:r>
          </w:p>
        </w:tc>
        <w:tc>
          <w:tcPr>
            <w:tcW w:w="2799" w:type="dxa"/>
            <w:vMerge w:val="restart"/>
            <w:tcBorders>
              <w:top w:val="single" w:sz="8" w:space="0" w:color="C12E32"/>
              <w:bottom w:val="single" w:sz="8" w:space="0" w:color="EDEDED"/>
            </w:tcBorders>
            <w:shd w:fill="EDEDEE" w:val="clear"/>
            <w:tcMar>
              <w:bottom w:w="28" w:type="dxa"/>
            </w:tcMar>
            <w:vAlign w:val="center"/>
          </w:tcPr>
          <w:p>
            <w:pPr>
              <w:pStyle w:val="TableContents"/>
              <w:bidi w:val="0"/>
              <w:spacing w:before="0" w:after="283"/>
              <w:jc w:val="right"/>
              <w:rPr/>
            </w:pPr>
            <w:r>
              <w:rPr/>
              <w:drawing>
                <wp:inline distT="0" distB="0" distL="0" distR="0">
                  <wp:extent cx="1600200" cy="3733800"/>
                  <wp:effectExtent l="0" t="0" r="0" b="0"/>
                  <wp:docPr id="261" name="Image1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 name="Image173" descr=""/>
                          <pic:cNvPicPr>
                            <a:picLocks noChangeAspect="1" noChangeArrowheads="1"/>
                          </pic:cNvPicPr>
                        </pic:nvPicPr>
                        <pic:blipFill>
                          <a:blip r:embed="rId218"/>
                          <a:stretch>
                            <a:fillRect/>
                          </a:stretch>
                        </pic:blipFill>
                        <pic:spPr bwMode="auto">
                          <a:xfrm>
                            <a:off x="0" y="0"/>
                            <a:ext cx="1600200" cy="3733800"/>
                          </a:xfrm>
                          <a:prstGeom prst="rect">
                            <a:avLst/>
                          </a:prstGeom>
                        </pic:spPr>
                      </pic:pic>
                    </a:graphicData>
                  </a:graphic>
                </wp:inline>
              </w:drawing>
            </w:r>
          </w:p>
        </w:tc>
      </w:tr>
      <w:tr>
        <w:trPr/>
        <w:tc>
          <w:tcPr>
            <w:tcW w:w="75" w:type="dxa"/>
            <w:tcBorders>
              <w:bottom w:val="single" w:sz="8" w:space="0" w:color="EDEDED"/>
            </w:tcBorders>
            <w:shd w:fill="EDEDEE" w:val="clear"/>
            <w:tcMar>
              <w:top w:w="0" w:type="dxa"/>
              <w:bottom w:w="28" w:type="dxa"/>
            </w:tcMar>
            <w:vAlign w:val="center"/>
          </w:tcPr>
          <w:p>
            <w:pPr>
              <w:pStyle w:val="TableContents"/>
              <w:bidi w:val="0"/>
              <w:spacing w:before="0" w:after="283"/>
              <w:jc w:val="left"/>
              <w:rPr/>
            </w:pPr>
            <w:r>
              <w:rPr/>
              <w:t> </w:t>
            </w:r>
          </w:p>
        </w:tc>
        <w:tc>
          <w:tcPr>
            <w:tcW w:w="2290" w:type="dxa"/>
            <w:tcBorders>
              <w:bottom w:val="single" w:sz="8" w:space="0" w:color="EDEDED"/>
            </w:tcBorders>
            <w:shd w:fill="EDEDEE" w:val="clear"/>
            <w:tcMar>
              <w:top w:w="0" w:type="dxa"/>
              <w:bottom w:w="100" w:type="dxa"/>
            </w:tcMar>
            <w:vAlign w:val="center"/>
          </w:tcPr>
          <w:p>
            <w:pPr>
              <w:pStyle w:val="TableContents"/>
              <w:bidi w:val="0"/>
              <w:spacing w:before="0" w:after="283"/>
              <w:jc w:val="left"/>
              <w:rPr/>
            </w:pPr>
            <w:r>
              <w:rPr>
                <w:b/>
                <w:sz w:val="24"/>
              </w:rPr>
              <w:t>Christopher T. Calio</w:t>
            </w:r>
            <w:r>
              <w:rPr/>
              <w:br/>
            </w:r>
            <w:r>
              <w:rPr>
                <w:b/>
              </w:rPr>
              <w:t>Director since 2023</w:t>
            </w:r>
          </w:p>
        </w:tc>
        <w:tc>
          <w:tcPr>
            <w:tcW w:w="2507" w:type="dxa"/>
            <w:vMerge w:val="continue"/>
            <w:tcBorders>
              <w:top w:val="single" w:sz="8" w:space="0" w:color="C12E32"/>
              <w:bottom w:val="single" w:sz="8" w:space="0" w:color="EDEDED"/>
            </w:tcBorders>
            <w:shd w:fill="EDEDEE" w:val="clear"/>
            <w:tcMar>
              <w:bottom w:w="28" w:type="dxa"/>
            </w:tcMar>
            <w:vAlign w:val="center"/>
          </w:tcPr>
          <w:p>
            <w:pPr>
              <w:pStyle w:val="Normal"/>
              <w:bidi w:val="0"/>
              <w:jc w:val="left"/>
              <w:rPr/>
            </w:pPr>
            <w:r>
              <w:rPr/>
            </w:r>
          </w:p>
        </w:tc>
        <w:tc>
          <w:tcPr>
            <w:tcW w:w="300" w:type="dxa"/>
            <w:tcBorders/>
            <w:tcMar>
              <w:top w:w="0" w:type="dxa"/>
            </w:tcMar>
            <w:vAlign w:val="center"/>
          </w:tcPr>
          <w:p>
            <w:pPr>
              <w:pStyle w:val="TableContents"/>
              <w:bidi w:val="0"/>
              <w:spacing w:before="0" w:after="283"/>
              <w:jc w:val="left"/>
              <w:rPr/>
            </w:pPr>
            <w:r>
              <w:rPr/>
              <w:t> </w:t>
            </w:r>
          </w:p>
        </w:tc>
        <w:tc>
          <w:tcPr>
            <w:tcW w:w="60" w:type="dxa"/>
            <w:tcBorders>
              <w:bottom w:val="single" w:sz="8" w:space="0" w:color="EDEDED"/>
            </w:tcBorders>
            <w:shd w:fill="EDEDEE" w:val="clear"/>
            <w:tcMar>
              <w:top w:w="0" w:type="dxa"/>
              <w:bottom w:w="28" w:type="dxa"/>
            </w:tcMar>
            <w:vAlign w:val="center"/>
          </w:tcPr>
          <w:p>
            <w:pPr>
              <w:pStyle w:val="TableContents"/>
              <w:bidi w:val="0"/>
              <w:spacing w:before="0" w:after="283"/>
              <w:jc w:val="left"/>
              <w:rPr/>
            </w:pPr>
            <w:r>
              <w:rPr/>
              <w:t> </w:t>
            </w:r>
          </w:p>
        </w:tc>
        <w:tc>
          <w:tcPr>
            <w:tcW w:w="2174" w:type="dxa"/>
            <w:tcBorders>
              <w:bottom w:val="single" w:sz="8" w:space="0" w:color="EDEDED"/>
            </w:tcBorders>
            <w:shd w:fill="EDEDEE" w:val="clear"/>
            <w:tcMar>
              <w:top w:w="0" w:type="dxa"/>
              <w:bottom w:w="100" w:type="dxa"/>
            </w:tcMar>
            <w:vAlign w:val="center"/>
          </w:tcPr>
          <w:p>
            <w:pPr>
              <w:pStyle w:val="TableContents"/>
              <w:bidi w:val="0"/>
              <w:spacing w:before="0" w:after="283"/>
              <w:jc w:val="left"/>
              <w:rPr/>
            </w:pPr>
            <w:r>
              <w:rPr>
                <w:b/>
                <w:sz w:val="24"/>
              </w:rPr>
              <w:t>Fredric G. Reynolds</w:t>
            </w:r>
            <w:r>
              <w:rPr/>
              <w:br/>
            </w:r>
            <w:r>
              <w:rPr>
                <w:b/>
              </w:rPr>
              <w:t>Director since 2016</w:t>
            </w:r>
          </w:p>
        </w:tc>
        <w:tc>
          <w:tcPr>
            <w:tcW w:w="2799" w:type="dxa"/>
            <w:vMerge w:val="continue"/>
            <w:tcBorders>
              <w:top w:val="single" w:sz="8" w:space="0" w:color="C12E32"/>
              <w:bottom w:val="single" w:sz="8" w:space="0" w:color="EDEDED"/>
            </w:tcBorders>
            <w:shd w:fill="EDEDEE" w:val="clear"/>
            <w:tcMar>
              <w:bottom w:w="28" w:type="dxa"/>
            </w:tcMar>
            <w:vAlign w:val="center"/>
          </w:tcPr>
          <w:p>
            <w:pPr>
              <w:pStyle w:val="Normal"/>
              <w:bidi w:val="0"/>
              <w:jc w:val="left"/>
              <w:rPr/>
            </w:pPr>
            <w:r>
              <w:rPr/>
            </w:r>
          </w:p>
        </w:tc>
      </w:tr>
      <w:tr>
        <w:trPr/>
        <w:tc>
          <w:tcPr>
            <w:tcW w:w="75" w:type="dxa"/>
            <w:tcBorders/>
            <w:shd w:fill="EDEDEE" w:val="clear"/>
            <w:tcMar>
              <w:top w:w="0" w:type="dxa"/>
            </w:tcMar>
            <w:vAlign w:val="center"/>
          </w:tcPr>
          <w:p>
            <w:pPr>
              <w:pStyle w:val="TableContents"/>
              <w:bidi w:val="0"/>
              <w:spacing w:before="0" w:after="283"/>
              <w:jc w:val="left"/>
              <w:rPr/>
            </w:pPr>
            <w:r>
              <w:rPr/>
              <w:t> </w:t>
            </w:r>
          </w:p>
        </w:tc>
        <w:tc>
          <w:tcPr>
            <w:tcW w:w="4797" w:type="dxa"/>
            <w:gridSpan w:val="2"/>
            <w:tcBorders>
              <w:top w:val="single" w:sz="8" w:space="0" w:color="FFFFFF"/>
            </w:tcBorders>
            <w:shd w:fill="EDEDEE" w:val="clear"/>
            <w:tcMar>
              <w:top w:w="120" w:type="dxa"/>
            </w:tcMar>
            <w:vAlign w:val="center"/>
          </w:tcPr>
          <w:p>
            <w:pPr>
              <w:pStyle w:val="TableContents"/>
              <w:bidi w:val="0"/>
              <w:spacing w:before="0" w:after="0"/>
              <w:ind w:left="0" w:right="0" w:hanging="0"/>
              <w:jc w:val="left"/>
              <w:rPr/>
            </w:pPr>
            <w:r>
              <w:rPr/>
              <w:t>In his capacity as Chairman, Mr. Calio:</w:t>
            </w:r>
          </w:p>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w:t>
            </w:r>
          </w:p>
          <w:p>
            <w:pPr>
              <w:pStyle w:val="TableContents"/>
              <w:bidi w:val="0"/>
              <w:spacing w:before="0" w:after="120"/>
              <w:ind w:left="240" w:right="0" w:hanging="0"/>
              <w:jc w:val="left"/>
              <w:rPr/>
            </w:pPr>
            <w:r>
              <w:rPr/>
              <w:t>Presides at all meetings of the full Board</w:t>
            </w:r>
          </w:p>
          <w:p>
            <w:pPr>
              <w:pStyle w:val="TableContents"/>
              <w:bidi w:val="0"/>
              <w:spacing w:before="0" w:after="0"/>
              <w:ind w:left="0" w:right="0" w:hanging="0"/>
              <w:jc w:val="left"/>
              <w:rPr/>
            </w:pPr>
            <w:r>
              <w:rPr/>
              <w:t>●</w:t>
            </w:r>
          </w:p>
          <w:p>
            <w:pPr>
              <w:pStyle w:val="TableContents"/>
              <w:bidi w:val="0"/>
              <w:spacing w:before="0" w:after="120"/>
              <w:ind w:left="240" w:right="0" w:hanging="0"/>
              <w:jc w:val="left"/>
              <w:rPr/>
            </w:pPr>
            <w:r>
              <w:rPr/>
              <w:t>Presides at meetings of shareowners</w:t>
            </w:r>
          </w:p>
          <w:p>
            <w:pPr>
              <w:pStyle w:val="TableContents"/>
              <w:bidi w:val="0"/>
              <w:spacing w:before="0" w:after="0"/>
              <w:ind w:left="0" w:right="0" w:hanging="0"/>
              <w:jc w:val="left"/>
              <w:rPr/>
            </w:pPr>
            <w:r>
              <w:rPr/>
              <w:t>●</w:t>
            </w:r>
          </w:p>
          <w:p>
            <w:pPr>
              <w:pStyle w:val="TableContents"/>
              <w:bidi w:val="0"/>
              <w:spacing w:before="0" w:after="120"/>
              <w:ind w:left="240" w:right="0" w:hanging="0"/>
              <w:jc w:val="left"/>
              <w:rPr/>
            </w:pPr>
            <w:r>
              <w:rPr/>
              <w:t>Calls special Board meetings</w:t>
            </w:r>
          </w:p>
          <w:p>
            <w:pPr>
              <w:pStyle w:val="TableContents"/>
              <w:bidi w:val="0"/>
              <w:spacing w:before="0" w:after="0"/>
              <w:ind w:left="0" w:right="0" w:hanging="0"/>
              <w:jc w:val="left"/>
              <w:rPr/>
            </w:pPr>
            <w:r>
              <w:rPr/>
              <w:t>●</w:t>
            </w:r>
          </w:p>
          <w:p>
            <w:pPr>
              <w:pStyle w:val="TableContents"/>
              <w:bidi w:val="0"/>
              <w:spacing w:before="0" w:after="120"/>
              <w:ind w:left="240" w:right="0" w:hanging="0"/>
              <w:jc w:val="left"/>
              <w:rPr/>
            </w:pPr>
            <w:r>
              <w:rPr/>
              <w:t>Empowered to call special meetings of Board Committees</w:t>
            </w:r>
          </w:p>
          <w:p>
            <w:pPr>
              <w:pStyle w:val="TableContents"/>
              <w:bidi w:val="0"/>
              <w:spacing w:before="0" w:after="0"/>
              <w:ind w:left="0" w:right="0" w:hanging="0"/>
              <w:jc w:val="left"/>
              <w:rPr/>
            </w:pPr>
            <w:r>
              <w:rPr/>
              <w:t>●</w:t>
            </w:r>
          </w:p>
          <w:p>
            <w:pPr>
              <w:pStyle w:val="TableContents"/>
              <w:bidi w:val="0"/>
              <w:spacing w:before="0" w:after="120"/>
              <w:ind w:left="240" w:right="0" w:hanging="0"/>
              <w:jc w:val="left"/>
              <w:rPr/>
            </w:pPr>
            <w:r>
              <w:rPr/>
              <w:t>In conjunction with the Independent Lead Director, plans and approves the schedule and agenda for Board meetings</w:t>
            </w:r>
          </w:p>
          <w:p>
            <w:pPr>
              <w:pStyle w:val="TableContents"/>
              <w:bidi w:val="0"/>
              <w:spacing w:before="0" w:after="0"/>
              <w:ind w:left="0" w:right="0" w:hanging="0"/>
              <w:jc w:val="left"/>
              <w:rPr/>
            </w:pPr>
            <w:r>
              <w:rPr/>
              <w:t>●</w:t>
            </w:r>
          </w:p>
          <w:p>
            <w:pPr>
              <w:pStyle w:val="TableContents"/>
              <w:bidi w:val="0"/>
              <w:spacing w:before="0" w:after="120"/>
              <w:ind w:left="240" w:right="0" w:hanging="0"/>
              <w:jc w:val="left"/>
              <w:rPr/>
            </w:pPr>
            <w:r>
              <w:rPr/>
              <w:t>Ensures Board materials are appropriate, sufficient and of high quality</w:t>
            </w:r>
          </w:p>
          <w:p>
            <w:pPr>
              <w:pStyle w:val="TableContents"/>
              <w:bidi w:val="0"/>
              <w:spacing w:before="0" w:after="0"/>
              <w:ind w:left="0" w:right="0" w:hanging="0"/>
              <w:jc w:val="left"/>
              <w:rPr/>
            </w:pPr>
            <w:r>
              <w:rPr/>
              <w:t>●</w:t>
            </w:r>
          </w:p>
          <w:p>
            <w:pPr>
              <w:pStyle w:val="TableContents"/>
              <w:bidi w:val="0"/>
              <w:spacing w:before="0" w:after="120"/>
              <w:ind w:left="240" w:right="0" w:hanging="0"/>
              <w:jc w:val="left"/>
              <w:rPr/>
            </w:pPr>
            <w:r>
              <w:rPr/>
              <w:t>Subject to input from the Independent Lead Director, approves information sent to the Board</w:t>
            </w:r>
          </w:p>
          <w:p>
            <w:pPr>
              <w:pStyle w:val="TableContents"/>
              <w:bidi w:val="0"/>
              <w:spacing w:before="0" w:after="0"/>
              <w:ind w:left="0" w:right="0" w:hanging="0"/>
              <w:jc w:val="left"/>
              <w:rPr/>
            </w:pPr>
            <w:r>
              <w:rPr/>
              <w:t>●</w:t>
            </w:r>
          </w:p>
          <w:p>
            <w:pPr>
              <w:pStyle w:val="TableContents"/>
              <w:bidi w:val="0"/>
              <w:spacing w:before="0" w:after="0"/>
              <w:ind w:left="240" w:right="0" w:hanging="0"/>
              <w:jc w:val="left"/>
              <w:rPr/>
            </w:pPr>
            <w:r>
              <w:rPr/>
              <w:t>Engages with significant stakeholders, as appropriate</w:t>
            </w:r>
          </w:p>
        </w:tc>
        <w:tc>
          <w:tcPr>
            <w:tcW w:w="300" w:type="dxa"/>
            <w:tcBorders/>
            <w:tcMar>
              <w:top w:w="0" w:type="dxa"/>
            </w:tcMar>
            <w:vAlign w:val="center"/>
          </w:tcPr>
          <w:p>
            <w:pPr>
              <w:pStyle w:val="TableContents"/>
              <w:bidi w:val="0"/>
              <w:spacing w:before="0" w:after="283"/>
              <w:jc w:val="left"/>
              <w:rPr/>
            </w:pPr>
            <w:r>
              <w:rPr/>
              <w:t> </w:t>
            </w:r>
          </w:p>
        </w:tc>
        <w:tc>
          <w:tcPr>
            <w:tcW w:w="60" w:type="dxa"/>
            <w:tcBorders/>
            <w:shd w:fill="EDEDEE" w:val="clear"/>
            <w:tcMar>
              <w:top w:w="0" w:type="dxa"/>
            </w:tcMar>
            <w:vAlign w:val="center"/>
          </w:tcPr>
          <w:p>
            <w:pPr>
              <w:pStyle w:val="TableContents"/>
              <w:bidi w:val="0"/>
              <w:spacing w:before="0" w:after="283"/>
              <w:jc w:val="left"/>
              <w:rPr/>
            </w:pPr>
            <w:r>
              <w:rPr/>
              <w:t> </w:t>
            </w:r>
          </w:p>
        </w:tc>
        <w:tc>
          <w:tcPr>
            <w:tcW w:w="4973" w:type="dxa"/>
            <w:gridSpan w:val="2"/>
            <w:tcBorders>
              <w:top w:val="single" w:sz="8" w:space="0" w:color="FFFFFF"/>
            </w:tcBorders>
            <w:shd w:fill="EDEDEE" w:val="clear"/>
            <w:tcMar>
              <w:top w:w="120" w:type="dxa"/>
            </w:tcMar>
            <w:vAlign w:val="center"/>
          </w:tcPr>
          <w:p>
            <w:pPr>
              <w:pStyle w:val="TableContents"/>
              <w:bidi w:val="0"/>
              <w:spacing w:before="0" w:after="0"/>
              <w:ind w:left="0" w:right="0" w:hanging="0"/>
              <w:jc w:val="left"/>
              <w:rPr/>
            </w:pPr>
            <w:r>
              <w:rPr/>
              <w:t>●</w:t>
            </w:r>
          </w:p>
          <w:p>
            <w:pPr>
              <w:pStyle w:val="TableContents"/>
              <w:bidi w:val="0"/>
              <w:spacing w:before="0" w:after="120"/>
              <w:ind w:left="240" w:right="0" w:hanging="0"/>
              <w:jc w:val="left"/>
              <w:rPr/>
            </w:pPr>
            <w:r>
              <w:rPr/>
              <w:t>Presides over all private sessions of the independent directors, whether regularly scheduled or called at the Independent Lead Director’s discretion</w:t>
            </w:r>
          </w:p>
          <w:p>
            <w:pPr>
              <w:pStyle w:val="TableContents"/>
              <w:bidi w:val="0"/>
              <w:spacing w:before="0" w:after="0"/>
              <w:ind w:left="0" w:right="0" w:hanging="0"/>
              <w:jc w:val="left"/>
              <w:rPr/>
            </w:pPr>
            <w:r>
              <w:rPr/>
              <w:t>●</w:t>
            </w:r>
          </w:p>
          <w:p>
            <w:pPr>
              <w:pStyle w:val="TableContents"/>
              <w:bidi w:val="0"/>
              <w:spacing w:before="0" w:after="120"/>
              <w:ind w:left="240" w:right="0" w:hanging="0"/>
              <w:jc w:val="left"/>
              <w:rPr/>
            </w:pPr>
            <w:r>
              <w:rPr/>
              <w:t>Empowered to call special Board meetings</w:t>
            </w:r>
          </w:p>
          <w:p>
            <w:pPr>
              <w:pStyle w:val="TableContents"/>
              <w:bidi w:val="0"/>
              <w:spacing w:before="0" w:after="0"/>
              <w:ind w:left="0" w:right="0" w:hanging="0"/>
              <w:jc w:val="left"/>
              <w:rPr/>
            </w:pPr>
            <w:r>
              <w:rPr/>
              <w:t>●</w:t>
            </w:r>
          </w:p>
          <w:p>
            <w:pPr>
              <w:pStyle w:val="TableContents"/>
              <w:bidi w:val="0"/>
              <w:spacing w:before="0" w:after="120"/>
              <w:ind w:left="240" w:right="0" w:hanging="0"/>
              <w:jc w:val="left"/>
              <w:rPr/>
            </w:pPr>
            <w:r>
              <w:rPr/>
              <w:t>Collaborates with the Chairman &amp; CEO to approve the schedule and set the agenda for Board meetings</w:t>
            </w:r>
          </w:p>
          <w:p>
            <w:pPr>
              <w:pStyle w:val="TableContents"/>
              <w:bidi w:val="0"/>
              <w:spacing w:before="0" w:after="0"/>
              <w:ind w:left="0" w:right="0" w:hanging="0"/>
              <w:jc w:val="left"/>
              <w:rPr/>
            </w:pPr>
            <w:r>
              <w:rPr/>
              <w:t>●</w:t>
            </w:r>
          </w:p>
          <w:p>
            <w:pPr>
              <w:pStyle w:val="TableContents"/>
              <w:bidi w:val="0"/>
              <w:spacing w:before="0" w:after="120"/>
              <w:ind w:left="240" w:right="0" w:hanging="0"/>
              <w:jc w:val="left"/>
              <w:rPr/>
            </w:pPr>
            <w:r>
              <w:rPr/>
              <w:t>Provides input to the Chairman &amp; CEO on information sent to the Board</w:t>
            </w:r>
          </w:p>
          <w:p>
            <w:pPr>
              <w:pStyle w:val="TableContents"/>
              <w:bidi w:val="0"/>
              <w:spacing w:before="0" w:after="0"/>
              <w:ind w:left="0" w:right="0" w:hanging="0"/>
              <w:jc w:val="left"/>
              <w:rPr/>
            </w:pPr>
            <w:r>
              <w:rPr/>
              <w:t>●</w:t>
            </w:r>
          </w:p>
          <w:p>
            <w:pPr>
              <w:pStyle w:val="TableContents"/>
              <w:bidi w:val="0"/>
              <w:spacing w:before="0" w:after="120"/>
              <w:ind w:left="240" w:right="0" w:hanging="0"/>
              <w:jc w:val="left"/>
              <w:rPr/>
            </w:pPr>
            <w:r>
              <w:rPr/>
              <w:t>Presides at Board meetings when the Chairman &amp; CEO is not present</w:t>
            </w:r>
          </w:p>
          <w:p>
            <w:pPr>
              <w:pStyle w:val="TableContents"/>
              <w:bidi w:val="0"/>
              <w:spacing w:before="0" w:after="0"/>
              <w:ind w:left="0" w:right="0" w:hanging="0"/>
              <w:jc w:val="left"/>
              <w:rPr/>
            </w:pPr>
            <w:r>
              <w:rPr/>
              <w:t>●</w:t>
            </w:r>
          </w:p>
          <w:p>
            <w:pPr>
              <w:pStyle w:val="TableContents"/>
              <w:bidi w:val="0"/>
              <w:spacing w:before="0" w:after="120"/>
              <w:ind w:left="240" w:right="0" w:hanging="0"/>
              <w:jc w:val="left"/>
              <w:rPr/>
            </w:pPr>
            <w:r>
              <w:rPr/>
              <w:t>Engages with significant stakeholders, as requested</w:t>
            </w:r>
          </w:p>
          <w:p>
            <w:pPr>
              <w:pStyle w:val="TableContents"/>
              <w:bidi w:val="0"/>
              <w:spacing w:before="0" w:after="0"/>
              <w:ind w:left="0" w:right="0" w:hanging="0"/>
              <w:jc w:val="left"/>
              <w:rPr/>
            </w:pPr>
            <w:r>
              <w:rPr/>
              <w:t>●</w:t>
            </w:r>
          </w:p>
          <w:p>
            <w:pPr>
              <w:pStyle w:val="TableContents"/>
              <w:bidi w:val="0"/>
              <w:spacing w:before="0" w:after="120"/>
              <w:ind w:left="240" w:right="0" w:hanging="0"/>
              <w:jc w:val="left"/>
              <w:rPr/>
            </w:pPr>
            <w:r>
              <w:rPr/>
              <w:t>Oversees the Board’s evaluation of the performance of the Chairman &amp; CEO</w:t>
            </w:r>
          </w:p>
          <w:p>
            <w:pPr>
              <w:pStyle w:val="TableContents"/>
              <w:bidi w:val="0"/>
              <w:spacing w:before="0" w:after="0"/>
              <w:ind w:left="0" w:right="0" w:hanging="0"/>
              <w:jc w:val="left"/>
              <w:rPr/>
            </w:pPr>
            <w:r>
              <w:rPr/>
              <w:t>●</w:t>
            </w:r>
          </w:p>
          <w:p>
            <w:pPr>
              <w:pStyle w:val="TableContents"/>
              <w:bidi w:val="0"/>
              <w:spacing w:before="0" w:after="120"/>
              <w:ind w:left="240" w:right="0" w:hanging="0"/>
              <w:jc w:val="left"/>
              <w:rPr/>
            </w:pPr>
            <w:r>
              <w:rPr/>
              <w:t>Communicates regularly with the Chairman &amp; CEO and other directors regarding risk management oversight</w:t>
            </w:r>
          </w:p>
          <w:p>
            <w:pPr>
              <w:pStyle w:val="TableContents"/>
              <w:bidi w:val="0"/>
              <w:spacing w:before="0" w:after="0"/>
              <w:ind w:left="0" w:right="0" w:hanging="0"/>
              <w:jc w:val="left"/>
              <w:rPr/>
            </w:pPr>
            <w:r>
              <w:rPr/>
              <w:t>●</w:t>
            </w:r>
          </w:p>
          <w:p>
            <w:pPr>
              <w:pStyle w:val="TableContents"/>
              <w:bidi w:val="0"/>
              <w:spacing w:before="0" w:after="120"/>
              <w:ind w:left="240" w:right="0" w:hanging="0"/>
              <w:jc w:val="left"/>
              <w:rPr/>
            </w:pPr>
            <w:r>
              <w:rPr/>
              <w:t>Facilitates succession planning and management development</w:t>
            </w:r>
          </w:p>
          <w:p>
            <w:pPr>
              <w:pStyle w:val="TableContents"/>
              <w:bidi w:val="0"/>
              <w:spacing w:before="0" w:after="0"/>
              <w:ind w:left="0" w:right="0" w:hanging="0"/>
              <w:jc w:val="left"/>
              <w:rPr/>
            </w:pPr>
            <w:r>
              <w:rPr/>
              <w:t>●</w:t>
            </w:r>
          </w:p>
          <w:p>
            <w:pPr>
              <w:pStyle w:val="TableContents"/>
              <w:bidi w:val="0"/>
              <w:spacing w:before="0" w:after="120"/>
              <w:ind w:left="240" w:right="0" w:hanging="0"/>
              <w:jc w:val="left"/>
              <w:rPr/>
            </w:pPr>
            <w:r>
              <w:rPr/>
              <w:t>Works with the Governance Committee Chair to lead the Board’s annual self-evaluation process and to review any director’s request to accept a new outside directorship or other paid engagement</w:t>
            </w:r>
          </w:p>
          <w:p>
            <w:pPr>
              <w:pStyle w:val="TableContents"/>
              <w:bidi w:val="0"/>
              <w:spacing w:before="0" w:after="0"/>
              <w:ind w:left="0" w:right="0" w:hanging="0"/>
              <w:jc w:val="left"/>
              <w:rPr/>
            </w:pPr>
            <w:r>
              <w:rPr/>
              <w:t>●</w:t>
            </w:r>
          </w:p>
          <w:p>
            <w:pPr>
              <w:pStyle w:val="TableContents"/>
              <w:bidi w:val="0"/>
              <w:spacing w:before="0" w:after="120"/>
              <w:ind w:left="240" w:right="0" w:hanging="0"/>
              <w:jc w:val="left"/>
              <w:rPr/>
            </w:pPr>
            <w:r>
              <w:rPr/>
              <w:t>Authorizes retention of outside advisors and consultants who report to the Board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15"/>
        </w:rPr>
      </w:pPr>
      <w:r>
        <w:rPr>
          <w:rFonts w:ascii="Arial;Helvetica;Sans-Serif" w:hAnsi="Arial;Helvetica;Sans-Serif"/>
          <w:b/>
          <w:i w:val="false"/>
          <w:caps w:val="false"/>
          <w:smallCaps w:val="false"/>
          <w:sz w:val="15"/>
        </w:rPr>
        <w:t>22    RTX</w:t>
      </w:r>
      <w:r>
        <w:rPr>
          <w:rFonts w:ascii="Arial;Helvetica;Sans-Serif" w:hAnsi="Arial;Helvetica;Sans-Serif"/>
          <w:b w:val="false"/>
          <w:i w:val="false"/>
          <w:caps w:val="false"/>
          <w:smallCaps w:val="false"/>
          <w:sz w:val="15"/>
        </w:rPr>
        <w:t xml:space="preserve"> 2026 PROXY STATEMENT</w:t>
      </w:r>
    </w:p>
    <w:p>
      <w:pPr>
        <w:pStyle w:val="HorizontalLine"/>
        <w:pBdr>
          <w:bottom w:val="double" w:sz="2" w:space="0" w:color="808080"/>
        </w:pBdr>
        <w:bidi w:val="0"/>
        <w:spacing w:before="0" w:after="283"/>
        <w:jc w:val="left"/>
        <w:rPr/>
      </w:pPr>
      <w:r>
        <w:rPr/>
      </w:r>
    </w:p>
    <w:p>
      <w:pPr>
        <w:pStyle w:val="TextBody"/>
        <w:bidi w:val="0"/>
        <w:spacing w:before="200" w:after="200"/>
        <w:jc w:val="left"/>
        <w:rPr/>
      </w:pPr>
      <w:hyperlink w:anchor="toc">
        <w:r>
          <w:rPr>
            <w:rStyle w:val="InternetLink"/>
            <w:rFonts w:ascii="Arial;Helvetica;Sans-Serif" w:hAnsi="Arial;Helvetica;Sans-Serif"/>
            <w:b/>
            <w:i w:val="false"/>
            <w:caps w:val="false"/>
            <w:smallCaps w:val="false"/>
            <w:sz w:val="16"/>
          </w:rPr>
          <w:t>Table of Contents</w:t>
        </w:r>
      </w:hyperlink>
    </w:p>
    <w:p>
      <w:pPr>
        <w:pStyle w:val="TextBody"/>
        <w:bidi w:val="0"/>
        <w:spacing w:before="0" w:after="0"/>
        <w:ind w:left="0" w:right="0" w:hanging="0"/>
        <w:jc w:val="right"/>
        <w:rPr>
          <w:rFonts w:ascii="Arial;Helvetica;Sans-Serif" w:hAnsi="Arial;Helvetica;Sans-Serif"/>
          <w:b/>
          <w:i w:val="false"/>
          <w:caps w:val="false"/>
          <w:smallCaps w:val="false"/>
          <w:color w:val="C12E33"/>
          <w:sz w:val="15"/>
        </w:rPr>
      </w:pPr>
      <w:r>
        <w:rPr>
          <w:rFonts w:ascii="Arial;Helvetica;Sans-Serif" w:hAnsi="Arial;Helvetica;Sans-Serif"/>
          <w:b/>
          <w:i w:val="false"/>
          <w:caps w:val="false"/>
          <w:smallCaps w:val="false"/>
          <w:color w:val="C12E33"/>
          <w:sz w:val="15"/>
        </w:rPr>
        <w:t>CORPORATE GOVERNANCE</w:t>
      </w:r>
    </w:p>
    <w:p>
      <w:pPr>
        <w:pStyle w:val="TextBody"/>
        <w:bidi w:val="0"/>
        <w:spacing w:before="0" w:after="0"/>
        <w:ind w:left="0" w:right="0" w:hanging="0"/>
        <w:jc w:val="righ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BOARD SELF-EVALUATION</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34"/>
        </w:rPr>
      </w:pPr>
      <w:r>
        <w:rPr>
          <w:rFonts w:ascii="Arial;Helvetica;Sans-Serif" w:hAnsi="Arial;Helvetica;Sans-Serif"/>
          <w:b/>
          <w:i w:val="false"/>
          <w:caps w:val="false"/>
          <w:smallCaps w:val="false"/>
          <w:sz w:val="34"/>
        </w:rPr>
        <w:t>Board Self-Evaluation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Board believes that robust and constructive self-evaluation is an essential element of good corporate governance, Board effectiveness and continuous improvement. To this end, the Board annually evaluates its own performance and the performance of the Committees and of each individual director.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OVERVIEW OF THE SELF-EVALUATION PROCESS</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r>
        <mc:AlternateContent>
          <mc:Choice Requires="wps">
            <w:drawing>
              <wp:anchor behindDoc="0" distT="0" distB="0" distL="0" distR="0" simplePos="0" locked="0" layoutInCell="1" allowOverlap="1" relativeHeight="307">
                <wp:simplePos x="0" y="0"/>
                <wp:positionH relativeFrom="column">
                  <wp:align>left</wp:align>
                </wp:positionH>
                <wp:positionV relativeFrom="line">
                  <wp:posOffset>635</wp:posOffset>
                </wp:positionV>
                <wp:extent cx="3757930" cy="6127750"/>
                <wp:effectExtent l="0" t="0" r="0" b="0"/>
                <wp:wrapSquare wrapText="right"/>
                <wp:docPr id="262" name="Frame45"/>
                <a:graphic xmlns:a="http://schemas.openxmlformats.org/drawingml/2006/main">
                  <a:graphicData uri="http://schemas.microsoft.com/office/word/2010/wordprocessingShape">
                    <wps:wsp>
                      <wps:cNvSpPr txBox="1"/>
                      <wps:spPr>
                        <a:xfrm>
                          <a:off x="0" y="0"/>
                          <a:ext cx="3757930" cy="6127750"/>
                        </a:xfrm>
                        <a:prstGeom prst="rect"/>
                        <a:solidFill>
                          <a:srgbClr val="FFFFFF"/>
                        </a:solidFill>
                      </wps:spPr>
                      <wps:txbx>
                        <w:txbxContent>
                          <w:tbl>
                            <w:tblPr>
                              <w:tblW w:w="2600" w:type="dxa"/>
                              <w:jc w:val="left"/>
                              <w:tblInd w:w="0" w:type="dxa"/>
                              <w:tblLayout w:type="fixed"/>
                              <w:tblCellMar>
                                <w:top w:w="0" w:type="dxa"/>
                                <w:left w:w="0" w:type="dxa"/>
                                <w:bottom w:w="0" w:type="dxa"/>
                                <w:right w:w="0" w:type="dxa"/>
                              </w:tblCellMar>
                            </w:tblPr>
                            <w:tblGrid>
                              <w:gridCol w:w="2600"/>
                            </w:tblGrid>
                            <w:tr>
                              <w:trPr/>
                              <w:tc>
                                <w:tcPr>
                                  <w:tcW w:w="2600" w:type="dxa"/>
                                  <w:tcBorders/>
                                  <w:vAlign w:val="center"/>
                                </w:tcPr>
                                <w:p>
                                  <w:pPr>
                                    <w:pStyle w:val="TableContents"/>
                                    <w:bidi w:val="0"/>
                                    <w:spacing w:before="0" w:after="283"/>
                                    <w:jc w:val="left"/>
                                    <w:rPr>
                                      <w:b/>
                                      <w:sz w:val="24"/>
                                      <w:bdr w:val="single" w:sz="2" w:space="1" w:color="C12E32"/>
                                    </w:rPr>
                                  </w:pPr>
                                  <w:r>
                                    <w:rPr>
                                      <w:b/>
                                      <w:sz w:val="24"/>
                                      <w:bdr w:val="single" w:sz="2" w:space="1" w:color="C12E32"/>
                                    </w:rPr>
                                    <w:t>Oversight and leadership</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The Governance Committee designs and has oversight responsibility for the annual self-evaluation process.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Independent Lead Director and the Governance Committee Chair jointly lead the process.</w:t>
                            </w:r>
                          </w:p>
                          <w:p>
                            <w:pPr>
                              <w:pStyle w:val="TextBody"/>
                              <w:bidi w:val="0"/>
                              <w:spacing w:before="0" w:after="0"/>
                              <w:ind w:left="0" w:right="0" w:hanging="0"/>
                              <w:jc w:val="left"/>
                              <w:rPr>
                                <w:caps w:val="false"/>
                                <w:smallCaps w:val="false"/>
                              </w:rPr>
                            </w:pPr>
                            <w:r>
                              <w:rPr>
                                <w:caps w:val="false"/>
                                <w:smallCaps w:val="false"/>
                              </w:rPr>
                              <w:t> </w:t>
                            </w:r>
                          </w:p>
                          <w:tbl>
                            <w:tblPr>
                              <w:tblW w:w="1415" w:type="dxa"/>
                              <w:jc w:val="left"/>
                              <w:tblInd w:w="0" w:type="dxa"/>
                              <w:tblLayout w:type="fixed"/>
                              <w:tblCellMar>
                                <w:top w:w="0" w:type="dxa"/>
                                <w:left w:w="0" w:type="dxa"/>
                                <w:bottom w:w="0" w:type="dxa"/>
                                <w:right w:w="0" w:type="dxa"/>
                              </w:tblCellMar>
                            </w:tblPr>
                            <w:tblGrid>
                              <w:gridCol w:w="1415"/>
                            </w:tblGrid>
                            <w:tr>
                              <w:trPr/>
                              <w:tc>
                                <w:tcPr>
                                  <w:tcW w:w="1415" w:type="dxa"/>
                                  <w:tcBorders/>
                                  <w:vAlign w:val="center"/>
                                </w:tcPr>
                                <w:p>
                                  <w:pPr>
                                    <w:pStyle w:val="TableContents"/>
                                    <w:bidi w:val="0"/>
                                    <w:spacing w:before="0" w:after="283"/>
                                    <w:jc w:val="left"/>
                                    <w:rPr>
                                      <w:b/>
                                      <w:sz w:val="24"/>
                                      <w:bdr w:val="single" w:sz="2" w:space="1" w:color="C12E32"/>
                                    </w:rPr>
                                  </w:pPr>
                                  <w:r>
                                    <w:rPr>
                                      <w:b/>
                                      <w:sz w:val="24"/>
                                      <w:bdr w:val="single" w:sz="2" w:space="1" w:color="C12E32"/>
                                    </w:rPr>
                                    <w:t>How it works</w:t>
                                  </w:r>
                                </w:p>
                              </w:tc>
                            </w:tr>
                          </w:tbl>
                          <w:tbl>
                            <w:tblPr>
                              <w:tblW w:w="10205" w:type="dxa"/>
                              <w:jc w:val="left"/>
                              <w:tblInd w:w="0" w:type="dxa"/>
                              <w:tblLayout w:type="fixed"/>
                              <w:tblCellMar>
                                <w:top w:w="0" w:type="dxa"/>
                                <w:left w:w="0" w:type="dxa"/>
                                <w:bottom w:w="0" w:type="dxa"/>
                                <w:right w:w="0" w:type="dxa"/>
                              </w:tblCellMar>
                            </w:tblPr>
                            <w:tblGrid>
                              <w:gridCol w:w="305"/>
                              <w:gridCol w:w="9900"/>
                            </w:tblGrid>
                            <w:tr>
                              <w:trPr/>
                              <w:tc>
                                <w:tcPr>
                                  <w:tcW w:w="305"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left"/>
                                    <w:rPr/>
                                  </w:pPr>
                                  <w:r>
                                    <w:rPr/>
                                    <w:t> </w:t>
                                  </w:r>
                                </w:p>
                              </w:tc>
                            </w:tr>
                            <w:tr>
                              <w:trPr/>
                              <w:tc>
                                <w:tcPr>
                                  <w:tcW w:w="305" w:type="dxa"/>
                                  <w:tcBorders/>
                                  <w:vAlign w:val="center"/>
                                </w:tcPr>
                                <w:p>
                                  <w:pPr>
                                    <w:pStyle w:val="TableContents"/>
                                    <w:bidi w:val="0"/>
                                    <w:spacing w:before="0" w:after="283"/>
                                    <w:jc w:val="left"/>
                                    <w:rPr>
                                      <w:b/>
                                      <w:sz w:val="52"/>
                                    </w:rPr>
                                  </w:pPr>
                                  <w:r>
                                    <w:rPr>
                                      <w:b/>
                                      <w:sz w:val="52"/>
                                    </w:rPr>
                                    <w:t>1</w:t>
                                  </w:r>
                                </w:p>
                              </w:tc>
                              <w:tc>
                                <w:tcPr>
                                  <w:tcW w:w="9900" w:type="dxa"/>
                                  <w:tcBorders/>
                                  <w:vAlign w:val="center"/>
                                </w:tcPr>
                                <w:p>
                                  <w:pPr>
                                    <w:pStyle w:val="TableContents"/>
                                    <w:bidi w:val="0"/>
                                    <w:spacing w:before="0" w:after="283"/>
                                    <w:jc w:val="left"/>
                                    <w:rPr/>
                                  </w:pPr>
                                  <w:r>
                                    <w:rPr/>
                                    <w:t>Each director completes a survey regarding significant governance topics, such as the quality of information and briefings provided to the Board and the effectiveness of the Board’s relationship with, and oversight of, senior management.</w:t>
                                  </w:r>
                                </w:p>
                              </w:tc>
                            </w:tr>
                            <w:tr>
                              <w:trPr/>
                              <w:tc>
                                <w:tcPr>
                                  <w:tcW w:w="305"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left"/>
                                    <w:rPr/>
                                  </w:pPr>
                                  <w:r>
                                    <w:rPr/>
                                    <w:t> </w:t>
                                  </w:r>
                                </w:p>
                              </w:tc>
                            </w:tr>
                            <w:tr>
                              <w:trPr/>
                              <w:tc>
                                <w:tcPr>
                                  <w:tcW w:w="305" w:type="dxa"/>
                                  <w:tcBorders/>
                                  <w:vAlign w:val="center"/>
                                </w:tcPr>
                                <w:p>
                                  <w:pPr>
                                    <w:pStyle w:val="TableContents"/>
                                    <w:bidi w:val="0"/>
                                    <w:spacing w:before="0" w:after="283"/>
                                    <w:jc w:val="left"/>
                                    <w:rPr>
                                      <w:b/>
                                      <w:sz w:val="52"/>
                                    </w:rPr>
                                  </w:pPr>
                                  <w:r>
                                    <w:rPr>
                                      <w:b/>
                                      <w:sz w:val="52"/>
                                    </w:rPr>
                                    <w:t>2</w:t>
                                  </w:r>
                                </w:p>
                              </w:tc>
                              <w:tc>
                                <w:tcPr>
                                  <w:tcW w:w="9900" w:type="dxa"/>
                                  <w:tcBorders/>
                                  <w:vAlign w:val="center"/>
                                </w:tcPr>
                                <w:p>
                                  <w:pPr>
                                    <w:pStyle w:val="TableContents"/>
                                    <w:bidi w:val="0"/>
                                    <w:spacing w:before="0" w:after="283"/>
                                    <w:jc w:val="left"/>
                                    <w:rPr/>
                                  </w:pPr>
                                  <w:r>
                                    <w:rPr/>
                                    <w:t>Each director also confers with the Independent Lead Director and the Governance Committee Chair to provide additional feedback, including a candid assessment of peer contributions and performance.</w:t>
                                  </w:r>
                                </w:p>
                              </w:tc>
                            </w:tr>
                            <w:tr>
                              <w:trPr/>
                              <w:tc>
                                <w:tcPr>
                                  <w:tcW w:w="305"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left"/>
                                    <w:rPr/>
                                  </w:pPr>
                                  <w:r>
                                    <w:rPr/>
                                    <w:t> </w:t>
                                  </w:r>
                                </w:p>
                              </w:tc>
                            </w:tr>
                            <w:tr>
                              <w:trPr/>
                              <w:tc>
                                <w:tcPr>
                                  <w:tcW w:w="305" w:type="dxa"/>
                                  <w:tcBorders/>
                                  <w:vAlign w:val="center"/>
                                </w:tcPr>
                                <w:p>
                                  <w:pPr>
                                    <w:pStyle w:val="TableContents"/>
                                    <w:bidi w:val="0"/>
                                    <w:spacing w:before="0" w:after="283"/>
                                    <w:jc w:val="left"/>
                                    <w:rPr>
                                      <w:b/>
                                      <w:sz w:val="52"/>
                                    </w:rPr>
                                  </w:pPr>
                                  <w:r>
                                    <w:rPr>
                                      <w:b/>
                                      <w:sz w:val="52"/>
                                    </w:rPr>
                                    <w:t>3</w:t>
                                  </w:r>
                                </w:p>
                              </w:tc>
                              <w:tc>
                                <w:tcPr>
                                  <w:tcW w:w="9900" w:type="dxa"/>
                                  <w:tcBorders/>
                                  <w:vAlign w:val="center"/>
                                </w:tcPr>
                                <w:p>
                                  <w:pPr>
                                    <w:pStyle w:val="TableContents"/>
                                    <w:bidi w:val="0"/>
                                    <w:spacing w:before="0" w:after="283"/>
                                    <w:jc w:val="left"/>
                                    <w:rPr/>
                                  </w:pPr>
                                  <w:r>
                                    <w:rPr/>
                                    <w:t>The Independent Lead Director and the Governance Committee Chair communicate peer feedback to individual directors, making suggestions for improvement where appropriate, and provide feedback on Committee performance to each Committee chair for discussion with their Committee.</w:t>
                                  </w:r>
                                </w:p>
                              </w:tc>
                            </w:tr>
                            <w:tr>
                              <w:trPr/>
                              <w:tc>
                                <w:tcPr>
                                  <w:tcW w:w="305"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left"/>
                                    <w:rPr/>
                                  </w:pPr>
                                  <w:r>
                                    <w:rPr/>
                                    <w:t> </w:t>
                                  </w:r>
                                </w:p>
                              </w:tc>
                            </w:tr>
                            <w:tr>
                              <w:trPr/>
                              <w:tc>
                                <w:tcPr>
                                  <w:tcW w:w="305" w:type="dxa"/>
                                  <w:tcBorders/>
                                  <w:vAlign w:val="center"/>
                                </w:tcPr>
                                <w:p>
                                  <w:pPr>
                                    <w:pStyle w:val="TableContents"/>
                                    <w:bidi w:val="0"/>
                                    <w:spacing w:before="0" w:after="283"/>
                                    <w:jc w:val="left"/>
                                    <w:rPr>
                                      <w:b/>
                                      <w:sz w:val="52"/>
                                    </w:rPr>
                                  </w:pPr>
                                  <w:r>
                                    <w:rPr>
                                      <w:b/>
                                      <w:sz w:val="52"/>
                                    </w:rPr>
                                    <w:t>4</w:t>
                                  </w:r>
                                </w:p>
                              </w:tc>
                              <w:tc>
                                <w:tcPr>
                                  <w:tcW w:w="9900" w:type="dxa"/>
                                  <w:tcBorders/>
                                  <w:vAlign w:val="center"/>
                                </w:tcPr>
                                <w:p>
                                  <w:pPr>
                                    <w:pStyle w:val="TableContents"/>
                                    <w:bidi w:val="0"/>
                                    <w:spacing w:before="0" w:after="283"/>
                                    <w:jc w:val="left"/>
                                    <w:rPr/>
                                  </w:pPr>
                                  <w:r>
                                    <w:rPr/>
                                    <w:t>The Independent Lead Director and the Governance Committee Chair provide the full Board with a summary of the self-evaluation results and facilitate a Board discussion regarding opportunities for improvement.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58000</wp14:pctWidth>
                </wp14:sizeRelH>
              </wp:anchor>
            </w:drawing>
          </mc:Choice>
          <mc:Fallback>
            <w:pict>
              <v:rect style="position:absolute;rotation:-0;width:295.9pt;height:482.5pt;mso-wrap-distance-left:0pt;mso-wrap-distance-right:0pt;mso-wrap-distance-top:0pt;mso-wrap-distance-bottom:0pt;margin-top:0pt;mso-position-vertical:top;mso-position-vertical-relative:text;margin-left:0pt;mso-position-horizontal:left;mso-position-horizontal-relative:text">
                <v:textbox>
                  <w:txbxContent>
                    <w:tbl>
                      <w:tblPr>
                        <w:tblW w:w="2600" w:type="dxa"/>
                        <w:jc w:val="left"/>
                        <w:tblInd w:w="0" w:type="dxa"/>
                        <w:tblLayout w:type="fixed"/>
                        <w:tblCellMar>
                          <w:top w:w="0" w:type="dxa"/>
                          <w:left w:w="0" w:type="dxa"/>
                          <w:bottom w:w="0" w:type="dxa"/>
                          <w:right w:w="0" w:type="dxa"/>
                        </w:tblCellMar>
                      </w:tblPr>
                      <w:tblGrid>
                        <w:gridCol w:w="2600"/>
                      </w:tblGrid>
                      <w:tr>
                        <w:trPr/>
                        <w:tc>
                          <w:tcPr>
                            <w:tcW w:w="2600" w:type="dxa"/>
                            <w:tcBorders/>
                            <w:vAlign w:val="center"/>
                          </w:tcPr>
                          <w:p>
                            <w:pPr>
                              <w:pStyle w:val="TableContents"/>
                              <w:bidi w:val="0"/>
                              <w:spacing w:before="0" w:after="283"/>
                              <w:jc w:val="left"/>
                              <w:rPr>
                                <w:b/>
                                <w:sz w:val="24"/>
                                <w:bdr w:val="single" w:sz="2" w:space="1" w:color="C12E32"/>
                              </w:rPr>
                            </w:pPr>
                            <w:r>
                              <w:rPr>
                                <w:b/>
                                <w:sz w:val="24"/>
                                <w:bdr w:val="single" w:sz="2" w:space="1" w:color="C12E32"/>
                              </w:rPr>
                              <w:t>Oversight and leadership</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The Governance Committee designs and has oversight responsibility for the annual self-evaluation process.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Independent Lead Director and the Governance Committee Chair jointly lead the process.</w:t>
                      </w:r>
                    </w:p>
                    <w:p>
                      <w:pPr>
                        <w:pStyle w:val="TextBody"/>
                        <w:bidi w:val="0"/>
                        <w:spacing w:before="0" w:after="0"/>
                        <w:ind w:left="0" w:right="0" w:hanging="0"/>
                        <w:jc w:val="left"/>
                        <w:rPr>
                          <w:caps w:val="false"/>
                          <w:smallCaps w:val="false"/>
                        </w:rPr>
                      </w:pPr>
                      <w:r>
                        <w:rPr>
                          <w:caps w:val="false"/>
                          <w:smallCaps w:val="false"/>
                        </w:rPr>
                        <w:t> </w:t>
                      </w:r>
                    </w:p>
                    <w:tbl>
                      <w:tblPr>
                        <w:tblW w:w="1415" w:type="dxa"/>
                        <w:jc w:val="left"/>
                        <w:tblInd w:w="0" w:type="dxa"/>
                        <w:tblLayout w:type="fixed"/>
                        <w:tblCellMar>
                          <w:top w:w="0" w:type="dxa"/>
                          <w:left w:w="0" w:type="dxa"/>
                          <w:bottom w:w="0" w:type="dxa"/>
                          <w:right w:w="0" w:type="dxa"/>
                        </w:tblCellMar>
                      </w:tblPr>
                      <w:tblGrid>
                        <w:gridCol w:w="1415"/>
                      </w:tblGrid>
                      <w:tr>
                        <w:trPr/>
                        <w:tc>
                          <w:tcPr>
                            <w:tcW w:w="1415" w:type="dxa"/>
                            <w:tcBorders/>
                            <w:vAlign w:val="center"/>
                          </w:tcPr>
                          <w:p>
                            <w:pPr>
                              <w:pStyle w:val="TableContents"/>
                              <w:bidi w:val="0"/>
                              <w:spacing w:before="0" w:after="283"/>
                              <w:jc w:val="left"/>
                              <w:rPr>
                                <w:b/>
                                <w:sz w:val="24"/>
                                <w:bdr w:val="single" w:sz="2" w:space="1" w:color="C12E32"/>
                              </w:rPr>
                            </w:pPr>
                            <w:r>
                              <w:rPr>
                                <w:b/>
                                <w:sz w:val="24"/>
                                <w:bdr w:val="single" w:sz="2" w:space="1" w:color="C12E32"/>
                              </w:rPr>
                              <w:t>How it works</w:t>
                            </w:r>
                          </w:p>
                        </w:tc>
                      </w:tr>
                    </w:tbl>
                    <w:tbl>
                      <w:tblPr>
                        <w:tblW w:w="10205" w:type="dxa"/>
                        <w:jc w:val="left"/>
                        <w:tblInd w:w="0" w:type="dxa"/>
                        <w:tblLayout w:type="fixed"/>
                        <w:tblCellMar>
                          <w:top w:w="0" w:type="dxa"/>
                          <w:left w:w="0" w:type="dxa"/>
                          <w:bottom w:w="0" w:type="dxa"/>
                          <w:right w:w="0" w:type="dxa"/>
                        </w:tblCellMar>
                      </w:tblPr>
                      <w:tblGrid>
                        <w:gridCol w:w="305"/>
                        <w:gridCol w:w="9900"/>
                      </w:tblGrid>
                      <w:tr>
                        <w:trPr/>
                        <w:tc>
                          <w:tcPr>
                            <w:tcW w:w="305"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left"/>
                              <w:rPr/>
                            </w:pPr>
                            <w:r>
                              <w:rPr/>
                              <w:t> </w:t>
                            </w:r>
                          </w:p>
                        </w:tc>
                      </w:tr>
                      <w:tr>
                        <w:trPr/>
                        <w:tc>
                          <w:tcPr>
                            <w:tcW w:w="305" w:type="dxa"/>
                            <w:tcBorders/>
                            <w:vAlign w:val="center"/>
                          </w:tcPr>
                          <w:p>
                            <w:pPr>
                              <w:pStyle w:val="TableContents"/>
                              <w:bidi w:val="0"/>
                              <w:spacing w:before="0" w:after="283"/>
                              <w:jc w:val="left"/>
                              <w:rPr>
                                <w:b/>
                                <w:sz w:val="52"/>
                              </w:rPr>
                            </w:pPr>
                            <w:r>
                              <w:rPr>
                                <w:b/>
                                <w:sz w:val="52"/>
                              </w:rPr>
                              <w:t>1</w:t>
                            </w:r>
                          </w:p>
                        </w:tc>
                        <w:tc>
                          <w:tcPr>
                            <w:tcW w:w="9900" w:type="dxa"/>
                            <w:tcBorders/>
                            <w:vAlign w:val="center"/>
                          </w:tcPr>
                          <w:p>
                            <w:pPr>
                              <w:pStyle w:val="TableContents"/>
                              <w:bidi w:val="0"/>
                              <w:spacing w:before="0" w:after="283"/>
                              <w:jc w:val="left"/>
                              <w:rPr/>
                            </w:pPr>
                            <w:r>
                              <w:rPr/>
                              <w:t>Each director completes a survey regarding significant governance topics, such as the quality of information and briefings provided to the Board and the effectiveness of the Board’s relationship with, and oversight of, senior management.</w:t>
                            </w:r>
                          </w:p>
                        </w:tc>
                      </w:tr>
                      <w:tr>
                        <w:trPr/>
                        <w:tc>
                          <w:tcPr>
                            <w:tcW w:w="305"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left"/>
                              <w:rPr/>
                            </w:pPr>
                            <w:r>
                              <w:rPr/>
                              <w:t> </w:t>
                            </w:r>
                          </w:p>
                        </w:tc>
                      </w:tr>
                      <w:tr>
                        <w:trPr/>
                        <w:tc>
                          <w:tcPr>
                            <w:tcW w:w="305" w:type="dxa"/>
                            <w:tcBorders/>
                            <w:vAlign w:val="center"/>
                          </w:tcPr>
                          <w:p>
                            <w:pPr>
                              <w:pStyle w:val="TableContents"/>
                              <w:bidi w:val="0"/>
                              <w:spacing w:before="0" w:after="283"/>
                              <w:jc w:val="left"/>
                              <w:rPr>
                                <w:b/>
                                <w:sz w:val="52"/>
                              </w:rPr>
                            </w:pPr>
                            <w:r>
                              <w:rPr>
                                <w:b/>
                                <w:sz w:val="52"/>
                              </w:rPr>
                              <w:t>2</w:t>
                            </w:r>
                          </w:p>
                        </w:tc>
                        <w:tc>
                          <w:tcPr>
                            <w:tcW w:w="9900" w:type="dxa"/>
                            <w:tcBorders/>
                            <w:vAlign w:val="center"/>
                          </w:tcPr>
                          <w:p>
                            <w:pPr>
                              <w:pStyle w:val="TableContents"/>
                              <w:bidi w:val="0"/>
                              <w:spacing w:before="0" w:after="283"/>
                              <w:jc w:val="left"/>
                              <w:rPr/>
                            </w:pPr>
                            <w:r>
                              <w:rPr/>
                              <w:t>Each director also confers with the Independent Lead Director and the Governance Committee Chair to provide additional feedback, including a candid assessment of peer contributions and performance.</w:t>
                            </w:r>
                          </w:p>
                        </w:tc>
                      </w:tr>
                      <w:tr>
                        <w:trPr/>
                        <w:tc>
                          <w:tcPr>
                            <w:tcW w:w="305"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left"/>
                              <w:rPr/>
                            </w:pPr>
                            <w:r>
                              <w:rPr/>
                              <w:t> </w:t>
                            </w:r>
                          </w:p>
                        </w:tc>
                      </w:tr>
                      <w:tr>
                        <w:trPr/>
                        <w:tc>
                          <w:tcPr>
                            <w:tcW w:w="305" w:type="dxa"/>
                            <w:tcBorders/>
                            <w:vAlign w:val="center"/>
                          </w:tcPr>
                          <w:p>
                            <w:pPr>
                              <w:pStyle w:val="TableContents"/>
                              <w:bidi w:val="0"/>
                              <w:spacing w:before="0" w:after="283"/>
                              <w:jc w:val="left"/>
                              <w:rPr>
                                <w:b/>
                                <w:sz w:val="52"/>
                              </w:rPr>
                            </w:pPr>
                            <w:r>
                              <w:rPr>
                                <w:b/>
                                <w:sz w:val="52"/>
                              </w:rPr>
                              <w:t>3</w:t>
                            </w:r>
                          </w:p>
                        </w:tc>
                        <w:tc>
                          <w:tcPr>
                            <w:tcW w:w="9900" w:type="dxa"/>
                            <w:tcBorders/>
                            <w:vAlign w:val="center"/>
                          </w:tcPr>
                          <w:p>
                            <w:pPr>
                              <w:pStyle w:val="TableContents"/>
                              <w:bidi w:val="0"/>
                              <w:spacing w:before="0" w:after="283"/>
                              <w:jc w:val="left"/>
                              <w:rPr/>
                            </w:pPr>
                            <w:r>
                              <w:rPr/>
                              <w:t>The Independent Lead Director and the Governance Committee Chair communicate peer feedback to individual directors, making suggestions for improvement where appropriate, and provide feedback on Committee performance to each Committee chair for discussion with their Committee.</w:t>
                            </w:r>
                          </w:p>
                        </w:tc>
                      </w:tr>
                      <w:tr>
                        <w:trPr/>
                        <w:tc>
                          <w:tcPr>
                            <w:tcW w:w="305"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left"/>
                              <w:rPr/>
                            </w:pPr>
                            <w:r>
                              <w:rPr/>
                              <w:t> </w:t>
                            </w:r>
                          </w:p>
                        </w:tc>
                      </w:tr>
                      <w:tr>
                        <w:trPr/>
                        <w:tc>
                          <w:tcPr>
                            <w:tcW w:w="305" w:type="dxa"/>
                            <w:tcBorders/>
                            <w:vAlign w:val="center"/>
                          </w:tcPr>
                          <w:p>
                            <w:pPr>
                              <w:pStyle w:val="TableContents"/>
                              <w:bidi w:val="0"/>
                              <w:spacing w:before="0" w:after="283"/>
                              <w:jc w:val="left"/>
                              <w:rPr>
                                <w:b/>
                                <w:sz w:val="52"/>
                              </w:rPr>
                            </w:pPr>
                            <w:r>
                              <w:rPr>
                                <w:b/>
                                <w:sz w:val="52"/>
                              </w:rPr>
                              <w:t>4</w:t>
                            </w:r>
                          </w:p>
                        </w:tc>
                        <w:tc>
                          <w:tcPr>
                            <w:tcW w:w="9900" w:type="dxa"/>
                            <w:tcBorders/>
                            <w:vAlign w:val="center"/>
                          </w:tcPr>
                          <w:p>
                            <w:pPr>
                              <w:pStyle w:val="TableContents"/>
                              <w:bidi w:val="0"/>
                              <w:spacing w:before="0" w:after="283"/>
                              <w:jc w:val="left"/>
                              <w:rPr/>
                            </w:pPr>
                            <w:r>
                              <w:rPr/>
                              <w:t>The Independent Lead Director and the Governance Committee Chair provide the full Board with a summary of the self-evaluation results and facilitate a Board discussion regarding opportunities for improvement.</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308">
                <wp:simplePos x="0" y="0"/>
                <wp:positionH relativeFrom="column">
                  <wp:align>right</wp:align>
                </wp:positionH>
                <wp:positionV relativeFrom="line">
                  <wp:posOffset>635</wp:posOffset>
                </wp:positionV>
                <wp:extent cx="2592070" cy="5846445"/>
                <wp:effectExtent l="0" t="0" r="0" b="0"/>
                <wp:wrapSquare wrapText="left"/>
                <wp:docPr id="263" name="Frame46"/>
                <a:graphic xmlns:a="http://schemas.openxmlformats.org/drawingml/2006/main">
                  <a:graphicData uri="http://schemas.microsoft.com/office/word/2010/wordprocessingShape">
                    <wps:wsp>
                      <wps:cNvSpPr txBox="1"/>
                      <wps:spPr>
                        <a:xfrm>
                          <a:off x="0" y="0"/>
                          <a:ext cx="2592070" cy="5846445"/>
                        </a:xfrm>
                        <a:prstGeom prst="rect"/>
                        <a:solidFill>
                          <a:srgbClr val="FFFFFF"/>
                        </a:solidFill>
                      </wps:spPr>
                      <wps:txbx>
                        <w:txbxContent>
                          <w:tbl>
                            <w:tblPr>
                              <w:tblW w:w="2180" w:type="dxa"/>
                              <w:jc w:val="left"/>
                              <w:tblInd w:w="0" w:type="dxa"/>
                              <w:tblLayout w:type="fixed"/>
                              <w:tblCellMar>
                                <w:top w:w="0" w:type="dxa"/>
                                <w:left w:w="0" w:type="dxa"/>
                                <w:bottom w:w="0" w:type="dxa"/>
                                <w:right w:w="0" w:type="dxa"/>
                              </w:tblCellMar>
                            </w:tblPr>
                            <w:tblGrid>
                              <w:gridCol w:w="2180"/>
                            </w:tblGrid>
                            <w:tr>
                              <w:trPr/>
                              <w:tc>
                                <w:tcPr>
                                  <w:tcW w:w="2180" w:type="dxa"/>
                                  <w:tcBorders/>
                                  <w:vAlign w:val="center"/>
                                </w:tcPr>
                                <w:p>
                                  <w:pPr>
                                    <w:pStyle w:val="TableContents"/>
                                    <w:bidi w:val="0"/>
                                    <w:spacing w:before="0" w:after="283"/>
                                    <w:jc w:val="left"/>
                                    <w:rPr/>
                                  </w:pPr>
                                  <w:r>
                                    <w:rPr>
                                      <w:b/>
                                    </w:rPr>
                                    <w:t>How it contributes to</w:t>
                                  </w:r>
                                  <w:r>
                                    <w:rPr/>
                                    <w:br/>
                                  </w:r>
                                  <w:r>
                                    <w:rPr>
                                      <w:b/>
                                      <w:bdr w:val="single" w:sz="2" w:space="1" w:color="C12E32"/>
                                    </w:rPr>
                                    <w:t>Board performance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The self-evaluation process informs the Board’s consideration of:</w:t>
                            </w:r>
                          </w:p>
                          <w:p>
                            <w:pPr>
                              <w:pStyle w:val="TextBody"/>
                              <w:bidi w:val="0"/>
                              <w:spacing w:before="0" w:after="0"/>
                              <w:ind w:left="0" w:right="0" w:hanging="0"/>
                              <w:jc w:val="left"/>
                              <w:rPr>
                                <w:caps w:val="false"/>
                                <w:smallCaps w:val="false"/>
                              </w:rPr>
                            </w:pPr>
                            <w:r>
                              <w:rPr>
                                <w:caps w:val="false"/>
                                <w:smallCaps w:val="false"/>
                              </w:rPr>
                              <w:t> </w:t>
                            </w:r>
                          </w:p>
                          <w:tbl>
                            <w:tblPr>
                              <w:tblW w:w="6055" w:type="dxa"/>
                              <w:jc w:val="left"/>
                              <w:tblInd w:w="0" w:type="dxa"/>
                              <w:tblLayout w:type="fixed"/>
                              <w:tblCellMar>
                                <w:top w:w="0" w:type="dxa"/>
                                <w:left w:w="0" w:type="dxa"/>
                                <w:bottom w:w="0" w:type="dxa"/>
                                <w:right w:w="0" w:type="dxa"/>
                              </w:tblCellMar>
                            </w:tblPr>
                            <w:tblGrid>
                              <w:gridCol w:w="185"/>
                              <w:gridCol w:w="5870"/>
                            </w:tblGrid>
                            <w:tr>
                              <w:trPr/>
                              <w:tc>
                                <w:tcPr>
                                  <w:tcW w:w="185" w:type="dxa"/>
                                  <w:tcBorders/>
                                  <w:vAlign w:val="center"/>
                                </w:tcPr>
                                <w:p>
                                  <w:pPr>
                                    <w:pStyle w:val="TableContents"/>
                                    <w:bidi w:val="0"/>
                                    <w:spacing w:before="0" w:after="283"/>
                                    <w:jc w:val="left"/>
                                    <w:rPr/>
                                  </w:pPr>
                                  <w:r>
                                    <w:rPr/>
                                    <w:t>●</w:t>
                                  </w:r>
                                </w:p>
                              </w:tc>
                              <w:tc>
                                <w:tcPr>
                                  <w:tcW w:w="5870" w:type="dxa"/>
                                  <w:tcBorders/>
                                  <w:vAlign w:val="center"/>
                                </w:tcPr>
                                <w:p>
                                  <w:pPr>
                                    <w:pStyle w:val="TableContents"/>
                                    <w:bidi w:val="0"/>
                                    <w:spacing w:before="0" w:after="283"/>
                                    <w:jc w:val="left"/>
                                    <w:rPr/>
                                  </w:pPr>
                                  <w:r>
                                    <w:rPr/>
                                    <w:t>Board and Committee structure</w:t>
                                  </w:r>
                                </w:p>
                              </w:tc>
                            </w:tr>
                            <w:tr>
                              <w:trPr/>
                              <w:tc>
                                <w:tcPr>
                                  <w:tcW w:w="185" w:type="dxa"/>
                                  <w:tcBorders/>
                                  <w:vAlign w:val="center"/>
                                </w:tcPr>
                                <w:p>
                                  <w:pPr>
                                    <w:pStyle w:val="TableContents"/>
                                    <w:bidi w:val="0"/>
                                    <w:spacing w:before="0" w:after="283"/>
                                    <w:jc w:val="left"/>
                                    <w:rPr/>
                                  </w:pPr>
                                  <w:r>
                                    <w:rPr/>
                                    <w:t>●</w:t>
                                  </w:r>
                                </w:p>
                              </w:tc>
                              <w:tc>
                                <w:tcPr>
                                  <w:tcW w:w="5870" w:type="dxa"/>
                                  <w:tcBorders/>
                                  <w:vAlign w:val="center"/>
                                </w:tcPr>
                                <w:p>
                                  <w:pPr>
                                    <w:pStyle w:val="TableContents"/>
                                    <w:bidi w:val="0"/>
                                    <w:spacing w:before="0" w:after="283"/>
                                    <w:jc w:val="left"/>
                                    <w:rPr/>
                                  </w:pPr>
                                  <w:r>
                                    <w:rPr/>
                                    <w:t xml:space="preserve">Board preparedness, effectiveness and oversight priorities </w:t>
                                  </w:r>
                                </w:p>
                              </w:tc>
                            </w:tr>
                            <w:tr>
                              <w:trPr/>
                              <w:tc>
                                <w:tcPr>
                                  <w:tcW w:w="185" w:type="dxa"/>
                                  <w:tcBorders/>
                                  <w:vAlign w:val="center"/>
                                </w:tcPr>
                                <w:p>
                                  <w:pPr>
                                    <w:pStyle w:val="TableContents"/>
                                    <w:bidi w:val="0"/>
                                    <w:spacing w:before="0" w:after="283"/>
                                    <w:jc w:val="left"/>
                                    <w:rPr/>
                                  </w:pPr>
                                  <w:r>
                                    <w:rPr/>
                                    <w:t>●</w:t>
                                  </w:r>
                                </w:p>
                              </w:tc>
                              <w:tc>
                                <w:tcPr>
                                  <w:tcW w:w="5870" w:type="dxa"/>
                                  <w:tcBorders/>
                                  <w:vAlign w:val="center"/>
                                </w:tcPr>
                                <w:p>
                                  <w:pPr>
                                    <w:pStyle w:val="TableContents"/>
                                    <w:bidi w:val="0"/>
                                    <w:spacing w:before="0" w:after="283"/>
                                    <w:jc w:val="left"/>
                                    <w:rPr/>
                                  </w:pPr>
                                  <w:r>
                                    <w:rPr/>
                                    <w:t xml:space="preserve">Committee assignments, leadership and performance </w:t>
                                  </w:r>
                                </w:p>
                              </w:tc>
                            </w:tr>
                            <w:tr>
                              <w:trPr/>
                              <w:tc>
                                <w:tcPr>
                                  <w:tcW w:w="185" w:type="dxa"/>
                                  <w:tcBorders/>
                                  <w:vAlign w:val="center"/>
                                </w:tcPr>
                                <w:p>
                                  <w:pPr>
                                    <w:pStyle w:val="TableContents"/>
                                    <w:bidi w:val="0"/>
                                    <w:spacing w:before="0" w:after="283"/>
                                    <w:jc w:val="left"/>
                                    <w:rPr/>
                                  </w:pPr>
                                  <w:r>
                                    <w:rPr/>
                                    <w:t>●</w:t>
                                  </w:r>
                                </w:p>
                              </w:tc>
                              <w:tc>
                                <w:tcPr>
                                  <w:tcW w:w="5870" w:type="dxa"/>
                                  <w:tcBorders/>
                                  <w:vAlign w:val="center"/>
                                </w:tcPr>
                                <w:p>
                                  <w:pPr>
                                    <w:pStyle w:val="TableContents"/>
                                    <w:bidi w:val="0"/>
                                    <w:spacing w:before="0" w:after="283"/>
                                    <w:jc w:val="left"/>
                                    <w:rPr/>
                                  </w:pPr>
                                  <w:r>
                                    <w:rPr/>
                                    <w:t xml:space="preserve">Refreshment objectives, including composition and key skills </w:t>
                                  </w:r>
                                </w:p>
                              </w:tc>
                            </w:tr>
                            <w:tr>
                              <w:trPr/>
                              <w:tc>
                                <w:tcPr>
                                  <w:tcW w:w="185" w:type="dxa"/>
                                  <w:tcBorders/>
                                  <w:vAlign w:val="center"/>
                                </w:tcPr>
                                <w:p>
                                  <w:pPr>
                                    <w:pStyle w:val="TableContents"/>
                                    <w:bidi w:val="0"/>
                                    <w:spacing w:before="0" w:after="283"/>
                                    <w:jc w:val="left"/>
                                    <w:rPr/>
                                  </w:pPr>
                                  <w:r>
                                    <w:rPr/>
                                    <w:t>●</w:t>
                                  </w:r>
                                </w:p>
                              </w:tc>
                              <w:tc>
                                <w:tcPr>
                                  <w:tcW w:w="5870" w:type="dxa"/>
                                  <w:tcBorders/>
                                  <w:vAlign w:val="center"/>
                                </w:tcPr>
                                <w:p>
                                  <w:pPr>
                                    <w:pStyle w:val="TableContents"/>
                                    <w:bidi w:val="0"/>
                                    <w:spacing w:before="0" w:after="283"/>
                                    <w:jc w:val="left"/>
                                    <w:rPr/>
                                  </w:pPr>
                                  <w:r>
                                    <w:rPr/>
                                    <w:t xml:space="preserve">Director and senior management succession planning </w:t>
                                  </w:r>
                                </w:p>
                              </w:tc>
                            </w:tr>
                            <w:tr>
                              <w:trPr/>
                              <w:tc>
                                <w:tcPr>
                                  <w:tcW w:w="185" w:type="dxa"/>
                                  <w:tcBorders/>
                                  <w:vAlign w:val="center"/>
                                </w:tcPr>
                                <w:p>
                                  <w:pPr>
                                    <w:pStyle w:val="TableContents"/>
                                    <w:bidi w:val="0"/>
                                    <w:spacing w:before="0" w:after="283"/>
                                    <w:jc w:val="left"/>
                                    <w:rPr/>
                                  </w:pPr>
                                  <w:r>
                                    <w:rPr/>
                                    <w:t>●</w:t>
                                  </w:r>
                                </w:p>
                              </w:tc>
                              <w:tc>
                                <w:tcPr>
                                  <w:tcW w:w="5870" w:type="dxa"/>
                                  <w:tcBorders/>
                                  <w:vAlign w:val="center"/>
                                </w:tcPr>
                                <w:p>
                                  <w:pPr>
                                    <w:pStyle w:val="TableContents"/>
                                    <w:bidi w:val="0"/>
                                    <w:spacing w:before="0" w:after="283"/>
                                    <w:jc w:val="left"/>
                                    <w:rPr/>
                                  </w:pPr>
                                  <w:r>
                                    <w:rPr/>
                                    <w:t>Individual director development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The self-evaluation process continues to generate improvements in our corporate governance and Board effectiveness, including:</w:t>
                            </w:r>
                          </w:p>
                          <w:p>
                            <w:pPr>
                              <w:pStyle w:val="TextBody"/>
                              <w:bidi w:val="0"/>
                              <w:spacing w:before="0" w:after="0"/>
                              <w:ind w:left="0" w:right="0" w:hanging="0"/>
                              <w:jc w:val="left"/>
                              <w:rPr>
                                <w:caps w:val="false"/>
                                <w:smallCaps w:val="false"/>
                              </w:rPr>
                            </w:pPr>
                            <w:r>
                              <w:rPr>
                                <w:caps w:val="false"/>
                                <w:smallCaps w:val="false"/>
                              </w:rPr>
                              <w:t> </w:t>
                            </w:r>
                          </w:p>
                          <w:tbl>
                            <w:tblPr>
                              <w:tblW w:w="9865" w:type="dxa"/>
                              <w:jc w:val="left"/>
                              <w:tblInd w:w="0" w:type="dxa"/>
                              <w:tblLayout w:type="fixed"/>
                              <w:tblCellMar>
                                <w:top w:w="0" w:type="dxa"/>
                                <w:left w:w="0" w:type="dxa"/>
                                <w:bottom w:w="0" w:type="dxa"/>
                                <w:right w:w="0" w:type="dxa"/>
                              </w:tblCellMar>
                            </w:tblPr>
                            <w:tblGrid>
                              <w:gridCol w:w="185"/>
                              <w:gridCol w:w="9680"/>
                            </w:tblGrid>
                            <w:tr>
                              <w:trPr/>
                              <w:tc>
                                <w:tcPr>
                                  <w:tcW w:w="185" w:type="dxa"/>
                                  <w:tcBorders/>
                                  <w:vAlign w:val="center"/>
                                </w:tcPr>
                                <w:p>
                                  <w:pPr>
                                    <w:pStyle w:val="TableContents"/>
                                    <w:bidi w:val="0"/>
                                    <w:spacing w:before="0" w:after="283"/>
                                    <w:jc w:val="left"/>
                                    <w:rPr/>
                                  </w:pPr>
                                  <w:r>
                                    <w:rPr/>
                                    <w:t>●</w:t>
                                  </w:r>
                                </w:p>
                              </w:tc>
                              <w:tc>
                                <w:tcPr>
                                  <w:tcW w:w="9680" w:type="dxa"/>
                                  <w:tcBorders/>
                                  <w:vAlign w:val="center"/>
                                </w:tcPr>
                                <w:p>
                                  <w:pPr>
                                    <w:pStyle w:val="TableContents"/>
                                    <w:bidi w:val="0"/>
                                    <w:spacing w:before="0" w:after="283"/>
                                    <w:jc w:val="left"/>
                                    <w:rPr/>
                                  </w:pPr>
                                  <w:r>
                                    <w:rPr/>
                                    <w:t xml:space="preserve">Deepening our Board refreshment strategy </w:t>
                                  </w:r>
                                </w:p>
                              </w:tc>
                            </w:tr>
                            <w:tr>
                              <w:trPr/>
                              <w:tc>
                                <w:tcPr>
                                  <w:tcW w:w="185" w:type="dxa"/>
                                  <w:tcBorders/>
                                  <w:vAlign w:val="center"/>
                                </w:tcPr>
                                <w:p>
                                  <w:pPr>
                                    <w:pStyle w:val="TableContents"/>
                                    <w:bidi w:val="0"/>
                                    <w:spacing w:before="0" w:after="283"/>
                                    <w:jc w:val="left"/>
                                    <w:rPr/>
                                  </w:pPr>
                                  <w:r>
                                    <w:rPr/>
                                    <w:t>●</w:t>
                                  </w:r>
                                </w:p>
                              </w:tc>
                              <w:tc>
                                <w:tcPr>
                                  <w:tcW w:w="9680" w:type="dxa"/>
                                  <w:tcBorders/>
                                  <w:vAlign w:val="center"/>
                                </w:tcPr>
                                <w:p>
                                  <w:pPr>
                                    <w:pStyle w:val="TableContents"/>
                                    <w:bidi w:val="0"/>
                                    <w:spacing w:before="0" w:after="283"/>
                                    <w:jc w:val="left"/>
                                    <w:rPr/>
                                  </w:pPr>
                                  <w:r>
                                    <w:rPr/>
                                    <w:t xml:space="preserve">Sharpening the Board’s focus on key strategic oversight priorities and competitive challenges </w:t>
                                  </w:r>
                                </w:p>
                              </w:tc>
                            </w:tr>
                            <w:tr>
                              <w:trPr/>
                              <w:tc>
                                <w:tcPr>
                                  <w:tcW w:w="185" w:type="dxa"/>
                                  <w:tcBorders/>
                                  <w:vAlign w:val="center"/>
                                </w:tcPr>
                                <w:p>
                                  <w:pPr>
                                    <w:pStyle w:val="TableContents"/>
                                    <w:bidi w:val="0"/>
                                    <w:spacing w:before="0" w:after="283"/>
                                    <w:jc w:val="left"/>
                                    <w:rPr/>
                                  </w:pPr>
                                  <w:r>
                                    <w:rPr/>
                                    <w:t>●</w:t>
                                  </w:r>
                                </w:p>
                              </w:tc>
                              <w:tc>
                                <w:tcPr>
                                  <w:tcW w:w="9680" w:type="dxa"/>
                                  <w:tcBorders/>
                                  <w:vAlign w:val="center"/>
                                </w:tcPr>
                                <w:p>
                                  <w:pPr>
                                    <w:pStyle w:val="TableContents"/>
                                    <w:bidi w:val="0"/>
                                    <w:spacing w:before="0" w:after="283"/>
                                    <w:jc w:val="left"/>
                                    <w:rPr/>
                                  </w:pPr>
                                  <w:r>
                                    <w:rPr/>
                                    <w:t>Strengthening Board materials by identifying themes and issues that require enhanced Board oversight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40000</wp14:pctWidth>
                </wp14:sizeRelH>
              </wp:anchor>
            </w:drawing>
          </mc:Choice>
          <mc:Fallback>
            <w:pict>
              <v:rect style="position:absolute;rotation:-0;width:204.1pt;height:460.35pt;mso-wrap-distance-left:0pt;mso-wrap-distance-right:0pt;mso-wrap-distance-top:0pt;mso-wrap-distance-bottom:0pt;margin-top:0pt;mso-position-vertical:top;mso-position-vertical-relative:text;margin-left:306.15pt;mso-position-horizontal:right;mso-position-horizontal-relative:text">
                <v:textbox>
                  <w:txbxContent>
                    <w:tbl>
                      <w:tblPr>
                        <w:tblW w:w="2180" w:type="dxa"/>
                        <w:jc w:val="left"/>
                        <w:tblInd w:w="0" w:type="dxa"/>
                        <w:tblLayout w:type="fixed"/>
                        <w:tblCellMar>
                          <w:top w:w="0" w:type="dxa"/>
                          <w:left w:w="0" w:type="dxa"/>
                          <w:bottom w:w="0" w:type="dxa"/>
                          <w:right w:w="0" w:type="dxa"/>
                        </w:tblCellMar>
                      </w:tblPr>
                      <w:tblGrid>
                        <w:gridCol w:w="2180"/>
                      </w:tblGrid>
                      <w:tr>
                        <w:trPr/>
                        <w:tc>
                          <w:tcPr>
                            <w:tcW w:w="2180" w:type="dxa"/>
                            <w:tcBorders/>
                            <w:vAlign w:val="center"/>
                          </w:tcPr>
                          <w:p>
                            <w:pPr>
                              <w:pStyle w:val="TableContents"/>
                              <w:bidi w:val="0"/>
                              <w:spacing w:before="0" w:after="283"/>
                              <w:jc w:val="left"/>
                              <w:rPr/>
                            </w:pPr>
                            <w:r>
                              <w:rPr>
                                <w:b/>
                              </w:rPr>
                              <w:t>How it contributes to</w:t>
                            </w:r>
                            <w:r>
                              <w:rPr/>
                              <w:br/>
                            </w:r>
                            <w:r>
                              <w:rPr>
                                <w:b/>
                                <w:bdr w:val="single" w:sz="2" w:space="1" w:color="C12E32"/>
                              </w:rPr>
                              <w:t>Board performance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The self-evaluation process informs the Board’s consideration of:</w:t>
                      </w:r>
                    </w:p>
                    <w:p>
                      <w:pPr>
                        <w:pStyle w:val="TextBody"/>
                        <w:bidi w:val="0"/>
                        <w:spacing w:before="0" w:after="0"/>
                        <w:ind w:left="0" w:right="0" w:hanging="0"/>
                        <w:jc w:val="left"/>
                        <w:rPr>
                          <w:caps w:val="false"/>
                          <w:smallCaps w:val="false"/>
                        </w:rPr>
                      </w:pPr>
                      <w:r>
                        <w:rPr>
                          <w:caps w:val="false"/>
                          <w:smallCaps w:val="false"/>
                        </w:rPr>
                        <w:t> </w:t>
                      </w:r>
                    </w:p>
                    <w:tbl>
                      <w:tblPr>
                        <w:tblW w:w="6055" w:type="dxa"/>
                        <w:jc w:val="left"/>
                        <w:tblInd w:w="0" w:type="dxa"/>
                        <w:tblLayout w:type="fixed"/>
                        <w:tblCellMar>
                          <w:top w:w="0" w:type="dxa"/>
                          <w:left w:w="0" w:type="dxa"/>
                          <w:bottom w:w="0" w:type="dxa"/>
                          <w:right w:w="0" w:type="dxa"/>
                        </w:tblCellMar>
                      </w:tblPr>
                      <w:tblGrid>
                        <w:gridCol w:w="185"/>
                        <w:gridCol w:w="5870"/>
                      </w:tblGrid>
                      <w:tr>
                        <w:trPr/>
                        <w:tc>
                          <w:tcPr>
                            <w:tcW w:w="185" w:type="dxa"/>
                            <w:tcBorders/>
                            <w:vAlign w:val="center"/>
                          </w:tcPr>
                          <w:p>
                            <w:pPr>
                              <w:pStyle w:val="TableContents"/>
                              <w:bidi w:val="0"/>
                              <w:spacing w:before="0" w:after="283"/>
                              <w:jc w:val="left"/>
                              <w:rPr/>
                            </w:pPr>
                            <w:r>
                              <w:rPr/>
                              <w:t>●</w:t>
                            </w:r>
                          </w:p>
                        </w:tc>
                        <w:tc>
                          <w:tcPr>
                            <w:tcW w:w="5870" w:type="dxa"/>
                            <w:tcBorders/>
                            <w:vAlign w:val="center"/>
                          </w:tcPr>
                          <w:p>
                            <w:pPr>
                              <w:pStyle w:val="TableContents"/>
                              <w:bidi w:val="0"/>
                              <w:spacing w:before="0" w:after="283"/>
                              <w:jc w:val="left"/>
                              <w:rPr/>
                            </w:pPr>
                            <w:r>
                              <w:rPr/>
                              <w:t>Board and Committee structure</w:t>
                            </w:r>
                          </w:p>
                        </w:tc>
                      </w:tr>
                      <w:tr>
                        <w:trPr/>
                        <w:tc>
                          <w:tcPr>
                            <w:tcW w:w="185" w:type="dxa"/>
                            <w:tcBorders/>
                            <w:vAlign w:val="center"/>
                          </w:tcPr>
                          <w:p>
                            <w:pPr>
                              <w:pStyle w:val="TableContents"/>
                              <w:bidi w:val="0"/>
                              <w:spacing w:before="0" w:after="283"/>
                              <w:jc w:val="left"/>
                              <w:rPr/>
                            </w:pPr>
                            <w:r>
                              <w:rPr/>
                              <w:t>●</w:t>
                            </w:r>
                          </w:p>
                        </w:tc>
                        <w:tc>
                          <w:tcPr>
                            <w:tcW w:w="5870" w:type="dxa"/>
                            <w:tcBorders/>
                            <w:vAlign w:val="center"/>
                          </w:tcPr>
                          <w:p>
                            <w:pPr>
                              <w:pStyle w:val="TableContents"/>
                              <w:bidi w:val="0"/>
                              <w:spacing w:before="0" w:after="283"/>
                              <w:jc w:val="left"/>
                              <w:rPr/>
                            </w:pPr>
                            <w:r>
                              <w:rPr/>
                              <w:t xml:space="preserve">Board preparedness, effectiveness and oversight priorities </w:t>
                            </w:r>
                          </w:p>
                        </w:tc>
                      </w:tr>
                      <w:tr>
                        <w:trPr/>
                        <w:tc>
                          <w:tcPr>
                            <w:tcW w:w="185" w:type="dxa"/>
                            <w:tcBorders/>
                            <w:vAlign w:val="center"/>
                          </w:tcPr>
                          <w:p>
                            <w:pPr>
                              <w:pStyle w:val="TableContents"/>
                              <w:bidi w:val="0"/>
                              <w:spacing w:before="0" w:after="283"/>
                              <w:jc w:val="left"/>
                              <w:rPr/>
                            </w:pPr>
                            <w:r>
                              <w:rPr/>
                              <w:t>●</w:t>
                            </w:r>
                          </w:p>
                        </w:tc>
                        <w:tc>
                          <w:tcPr>
                            <w:tcW w:w="5870" w:type="dxa"/>
                            <w:tcBorders/>
                            <w:vAlign w:val="center"/>
                          </w:tcPr>
                          <w:p>
                            <w:pPr>
                              <w:pStyle w:val="TableContents"/>
                              <w:bidi w:val="0"/>
                              <w:spacing w:before="0" w:after="283"/>
                              <w:jc w:val="left"/>
                              <w:rPr/>
                            </w:pPr>
                            <w:r>
                              <w:rPr/>
                              <w:t xml:space="preserve">Committee assignments, leadership and performance </w:t>
                            </w:r>
                          </w:p>
                        </w:tc>
                      </w:tr>
                      <w:tr>
                        <w:trPr/>
                        <w:tc>
                          <w:tcPr>
                            <w:tcW w:w="185" w:type="dxa"/>
                            <w:tcBorders/>
                            <w:vAlign w:val="center"/>
                          </w:tcPr>
                          <w:p>
                            <w:pPr>
                              <w:pStyle w:val="TableContents"/>
                              <w:bidi w:val="0"/>
                              <w:spacing w:before="0" w:after="283"/>
                              <w:jc w:val="left"/>
                              <w:rPr/>
                            </w:pPr>
                            <w:r>
                              <w:rPr/>
                              <w:t>●</w:t>
                            </w:r>
                          </w:p>
                        </w:tc>
                        <w:tc>
                          <w:tcPr>
                            <w:tcW w:w="5870" w:type="dxa"/>
                            <w:tcBorders/>
                            <w:vAlign w:val="center"/>
                          </w:tcPr>
                          <w:p>
                            <w:pPr>
                              <w:pStyle w:val="TableContents"/>
                              <w:bidi w:val="0"/>
                              <w:spacing w:before="0" w:after="283"/>
                              <w:jc w:val="left"/>
                              <w:rPr/>
                            </w:pPr>
                            <w:r>
                              <w:rPr/>
                              <w:t xml:space="preserve">Refreshment objectives, including composition and key skills </w:t>
                            </w:r>
                          </w:p>
                        </w:tc>
                      </w:tr>
                      <w:tr>
                        <w:trPr/>
                        <w:tc>
                          <w:tcPr>
                            <w:tcW w:w="185" w:type="dxa"/>
                            <w:tcBorders/>
                            <w:vAlign w:val="center"/>
                          </w:tcPr>
                          <w:p>
                            <w:pPr>
                              <w:pStyle w:val="TableContents"/>
                              <w:bidi w:val="0"/>
                              <w:spacing w:before="0" w:after="283"/>
                              <w:jc w:val="left"/>
                              <w:rPr/>
                            </w:pPr>
                            <w:r>
                              <w:rPr/>
                              <w:t>●</w:t>
                            </w:r>
                          </w:p>
                        </w:tc>
                        <w:tc>
                          <w:tcPr>
                            <w:tcW w:w="5870" w:type="dxa"/>
                            <w:tcBorders/>
                            <w:vAlign w:val="center"/>
                          </w:tcPr>
                          <w:p>
                            <w:pPr>
                              <w:pStyle w:val="TableContents"/>
                              <w:bidi w:val="0"/>
                              <w:spacing w:before="0" w:after="283"/>
                              <w:jc w:val="left"/>
                              <w:rPr/>
                            </w:pPr>
                            <w:r>
                              <w:rPr/>
                              <w:t xml:space="preserve">Director and senior management succession planning </w:t>
                            </w:r>
                          </w:p>
                        </w:tc>
                      </w:tr>
                      <w:tr>
                        <w:trPr/>
                        <w:tc>
                          <w:tcPr>
                            <w:tcW w:w="185" w:type="dxa"/>
                            <w:tcBorders/>
                            <w:vAlign w:val="center"/>
                          </w:tcPr>
                          <w:p>
                            <w:pPr>
                              <w:pStyle w:val="TableContents"/>
                              <w:bidi w:val="0"/>
                              <w:spacing w:before="0" w:after="283"/>
                              <w:jc w:val="left"/>
                              <w:rPr/>
                            </w:pPr>
                            <w:r>
                              <w:rPr/>
                              <w:t>●</w:t>
                            </w:r>
                          </w:p>
                        </w:tc>
                        <w:tc>
                          <w:tcPr>
                            <w:tcW w:w="5870" w:type="dxa"/>
                            <w:tcBorders/>
                            <w:vAlign w:val="center"/>
                          </w:tcPr>
                          <w:p>
                            <w:pPr>
                              <w:pStyle w:val="TableContents"/>
                              <w:bidi w:val="0"/>
                              <w:spacing w:before="0" w:after="283"/>
                              <w:jc w:val="left"/>
                              <w:rPr/>
                            </w:pPr>
                            <w:r>
                              <w:rPr/>
                              <w:t>Individual director development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The self-evaluation process continues to generate improvements in our corporate governance and Board effectiveness, including:</w:t>
                      </w:r>
                    </w:p>
                    <w:p>
                      <w:pPr>
                        <w:pStyle w:val="TextBody"/>
                        <w:bidi w:val="0"/>
                        <w:spacing w:before="0" w:after="0"/>
                        <w:ind w:left="0" w:right="0" w:hanging="0"/>
                        <w:jc w:val="left"/>
                        <w:rPr>
                          <w:caps w:val="false"/>
                          <w:smallCaps w:val="false"/>
                        </w:rPr>
                      </w:pPr>
                      <w:r>
                        <w:rPr>
                          <w:caps w:val="false"/>
                          <w:smallCaps w:val="false"/>
                        </w:rPr>
                        <w:t> </w:t>
                      </w:r>
                    </w:p>
                    <w:tbl>
                      <w:tblPr>
                        <w:tblW w:w="9865" w:type="dxa"/>
                        <w:jc w:val="left"/>
                        <w:tblInd w:w="0" w:type="dxa"/>
                        <w:tblLayout w:type="fixed"/>
                        <w:tblCellMar>
                          <w:top w:w="0" w:type="dxa"/>
                          <w:left w:w="0" w:type="dxa"/>
                          <w:bottom w:w="0" w:type="dxa"/>
                          <w:right w:w="0" w:type="dxa"/>
                        </w:tblCellMar>
                      </w:tblPr>
                      <w:tblGrid>
                        <w:gridCol w:w="185"/>
                        <w:gridCol w:w="9680"/>
                      </w:tblGrid>
                      <w:tr>
                        <w:trPr/>
                        <w:tc>
                          <w:tcPr>
                            <w:tcW w:w="185" w:type="dxa"/>
                            <w:tcBorders/>
                            <w:vAlign w:val="center"/>
                          </w:tcPr>
                          <w:p>
                            <w:pPr>
                              <w:pStyle w:val="TableContents"/>
                              <w:bidi w:val="0"/>
                              <w:spacing w:before="0" w:after="283"/>
                              <w:jc w:val="left"/>
                              <w:rPr/>
                            </w:pPr>
                            <w:r>
                              <w:rPr/>
                              <w:t>●</w:t>
                            </w:r>
                          </w:p>
                        </w:tc>
                        <w:tc>
                          <w:tcPr>
                            <w:tcW w:w="9680" w:type="dxa"/>
                            <w:tcBorders/>
                            <w:vAlign w:val="center"/>
                          </w:tcPr>
                          <w:p>
                            <w:pPr>
                              <w:pStyle w:val="TableContents"/>
                              <w:bidi w:val="0"/>
                              <w:spacing w:before="0" w:after="283"/>
                              <w:jc w:val="left"/>
                              <w:rPr/>
                            </w:pPr>
                            <w:r>
                              <w:rPr/>
                              <w:t xml:space="preserve">Deepening our Board refreshment strategy </w:t>
                            </w:r>
                          </w:p>
                        </w:tc>
                      </w:tr>
                      <w:tr>
                        <w:trPr/>
                        <w:tc>
                          <w:tcPr>
                            <w:tcW w:w="185" w:type="dxa"/>
                            <w:tcBorders/>
                            <w:vAlign w:val="center"/>
                          </w:tcPr>
                          <w:p>
                            <w:pPr>
                              <w:pStyle w:val="TableContents"/>
                              <w:bidi w:val="0"/>
                              <w:spacing w:before="0" w:after="283"/>
                              <w:jc w:val="left"/>
                              <w:rPr/>
                            </w:pPr>
                            <w:r>
                              <w:rPr/>
                              <w:t>●</w:t>
                            </w:r>
                          </w:p>
                        </w:tc>
                        <w:tc>
                          <w:tcPr>
                            <w:tcW w:w="9680" w:type="dxa"/>
                            <w:tcBorders/>
                            <w:vAlign w:val="center"/>
                          </w:tcPr>
                          <w:p>
                            <w:pPr>
                              <w:pStyle w:val="TableContents"/>
                              <w:bidi w:val="0"/>
                              <w:spacing w:before="0" w:after="283"/>
                              <w:jc w:val="left"/>
                              <w:rPr/>
                            </w:pPr>
                            <w:r>
                              <w:rPr/>
                              <w:t xml:space="preserve">Sharpening the Board’s focus on key strategic oversight priorities and competitive challenges </w:t>
                            </w:r>
                          </w:p>
                        </w:tc>
                      </w:tr>
                      <w:tr>
                        <w:trPr/>
                        <w:tc>
                          <w:tcPr>
                            <w:tcW w:w="185" w:type="dxa"/>
                            <w:tcBorders/>
                            <w:vAlign w:val="center"/>
                          </w:tcPr>
                          <w:p>
                            <w:pPr>
                              <w:pStyle w:val="TableContents"/>
                              <w:bidi w:val="0"/>
                              <w:spacing w:before="0" w:after="283"/>
                              <w:jc w:val="left"/>
                              <w:rPr/>
                            </w:pPr>
                            <w:r>
                              <w:rPr/>
                              <w:t>●</w:t>
                            </w:r>
                          </w:p>
                        </w:tc>
                        <w:tc>
                          <w:tcPr>
                            <w:tcW w:w="9680" w:type="dxa"/>
                            <w:tcBorders/>
                            <w:vAlign w:val="center"/>
                          </w:tcPr>
                          <w:p>
                            <w:pPr>
                              <w:pStyle w:val="TableContents"/>
                              <w:bidi w:val="0"/>
                              <w:spacing w:before="0" w:after="283"/>
                              <w:jc w:val="left"/>
                              <w:rPr/>
                            </w:pPr>
                            <w:r>
                              <w:rPr/>
                              <w:t>Strengthening Board materials by identifying themes and issues that require enhanced Board oversight</w:t>
                            </w:r>
                          </w:p>
                        </w:tc>
                      </w:tr>
                    </w:tbl>
                    <w:p>
                      <w:pPr>
                        <w:pStyle w:val="TextBody"/>
                        <w:bidi w:val="0"/>
                        <w:spacing w:before="0" w:after="283"/>
                        <w:jc w:val="left"/>
                        <w:rPr/>
                      </w:pPr>
                      <w:r>
                        <w:rPr/>
                      </w:r>
                    </w:p>
                  </w:txbxContent>
                </v:textbox>
                <w10:wrap type="square" side="left"/>
              </v:rect>
            </w:pict>
          </mc:Fallback>
        </mc:AlternateContent>
      </w:r>
    </w:p>
    <w:p>
      <w:pPr>
        <w:pStyle w:val="TextBody"/>
        <w:bidi w:val="0"/>
        <w:spacing w:before="0" w:after="0"/>
        <w:ind w:left="0" w:right="0" w:hanging="0"/>
        <w:jc w:val="left"/>
        <w:rPr>
          <w:rFonts w:ascii="Arial;Helvetica;Sans-Serif" w:hAnsi="Arial;Helvetica;Sans-Serif"/>
          <w:b/>
          <w:i w:val="false"/>
          <w:caps w:val="false"/>
          <w:smallCaps w:val="false"/>
          <w:sz w:val="20"/>
          <w:bdr w:val="single" w:sz="12" w:space="8" w:color="C12E33"/>
          <w:shd w:fill="EDEDEE" w:val="clear"/>
        </w:rPr>
      </w:pPr>
      <w:r>
        <w:rPr>
          <w:rFonts w:ascii="Arial;Helvetica;Sans-Serif" w:hAnsi="Arial;Helvetica;Sans-Serif"/>
          <w:b/>
          <w:i w:val="false"/>
          <w:caps w:val="false"/>
          <w:smallCaps w:val="false"/>
          <w:sz w:val="20"/>
          <w:bdr w:val="single" w:sz="12" w:space="8" w:color="C12E33"/>
          <w:shd w:fill="EDEDEE" w:val="clear"/>
        </w:rPr>
        <w:t>During 2025, the Board updated its approach to self-evaluation by:</w:t>
      </w:r>
    </w:p>
    <w:p>
      <w:pPr>
        <w:pStyle w:val="TextBody"/>
        <w:bidi w:val="0"/>
        <w:spacing w:before="0" w:after="0"/>
        <w:ind w:left="0" w:right="0" w:hanging="0"/>
        <w:jc w:val="left"/>
        <w:rPr>
          <w:caps w:val="false"/>
          <w:smallCaps w:val="false"/>
          <w:bdr w:val="single" w:sz="12" w:space="8" w:color="C12E33"/>
          <w:shd w:fill="EDEDEE" w:val="clear"/>
        </w:rPr>
      </w:pPr>
      <w:r>
        <w:rPr>
          <w:caps w:val="false"/>
          <w:smallCaps w:val="false"/>
          <w:bdr w:val="single" w:sz="12" w:space="8" w:color="C12E33"/>
          <w:shd w:fill="EDEDEE" w:val="clear"/>
        </w:rPr>
        <w:t> </w:t>
      </w:r>
    </w:p>
    <w:tbl>
      <w:tblPr>
        <w:tblW w:w="9535" w:type="dxa"/>
        <w:jc w:val="left"/>
        <w:tblInd w:w="0" w:type="dxa"/>
        <w:tblLayout w:type="fixed"/>
        <w:tblCellMar>
          <w:top w:w="0" w:type="dxa"/>
          <w:left w:w="0" w:type="dxa"/>
          <w:bottom w:w="0" w:type="dxa"/>
          <w:right w:w="0" w:type="dxa"/>
        </w:tblCellMar>
      </w:tblPr>
      <w:tblGrid>
        <w:gridCol w:w="170"/>
        <w:gridCol w:w="9365"/>
      </w:tblGrid>
      <w:tr>
        <w:trPr/>
        <w:tc>
          <w:tcPr>
            <w:tcW w:w="170" w:type="dxa"/>
            <w:tcBorders/>
            <w:vAlign w:val="center"/>
          </w:tcPr>
          <w:p>
            <w:pPr>
              <w:pStyle w:val="TableContents"/>
              <w:bidi w:val="0"/>
              <w:spacing w:before="0" w:after="283"/>
              <w:jc w:val="left"/>
              <w:rPr/>
            </w:pPr>
            <w:r>
              <w:rPr/>
              <w:t>●</w:t>
            </w:r>
          </w:p>
        </w:tc>
        <w:tc>
          <w:tcPr>
            <w:tcW w:w="9365" w:type="dxa"/>
            <w:tcBorders/>
            <w:vAlign w:val="center"/>
          </w:tcPr>
          <w:p>
            <w:pPr>
              <w:pStyle w:val="TableContents"/>
              <w:bidi w:val="0"/>
              <w:spacing w:before="0" w:after="283"/>
              <w:jc w:val="left"/>
              <w:rPr/>
            </w:pPr>
            <w:r>
              <w:rPr/>
              <w:t>Re-instituting a survey process to elicit more detailed feedback from each director</w:t>
            </w:r>
          </w:p>
        </w:tc>
      </w:tr>
      <w:tr>
        <w:trPr/>
        <w:tc>
          <w:tcPr>
            <w:tcW w:w="170" w:type="dxa"/>
            <w:tcBorders/>
            <w:vAlign w:val="center"/>
          </w:tcPr>
          <w:p>
            <w:pPr>
              <w:pStyle w:val="TableContents"/>
              <w:bidi w:val="0"/>
              <w:spacing w:before="0" w:after="283"/>
              <w:jc w:val="left"/>
              <w:rPr/>
            </w:pPr>
            <w:r>
              <w:rPr/>
              <w:t>●</w:t>
            </w:r>
          </w:p>
        </w:tc>
        <w:tc>
          <w:tcPr>
            <w:tcW w:w="9365" w:type="dxa"/>
            <w:tcBorders/>
            <w:vAlign w:val="center"/>
          </w:tcPr>
          <w:p>
            <w:pPr>
              <w:pStyle w:val="TableContents"/>
              <w:bidi w:val="0"/>
              <w:spacing w:before="0" w:after="283"/>
              <w:jc w:val="left"/>
              <w:rPr/>
            </w:pPr>
            <w:r>
              <w:rPr/>
              <w:t>Placing greater focus on Board and Committee refreshment planning</w:t>
            </w:r>
          </w:p>
        </w:tc>
      </w:tr>
      <w:tr>
        <w:trPr/>
        <w:tc>
          <w:tcPr>
            <w:tcW w:w="170" w:type="dxa"/>
            <w:tcBorders/>
            <w:vAlign w:val="center"/>
          </w:tcPr>
          <w:p>
            <w:pPr>
              <w:pStyle w:val="TableContents"/>
              <w:bidi w:val="0"/>
              <w:spacing w:before="0" w:after="283"/>
              <w:jc w:val="left"/>
              <w:rPr/>
            </w:pPr>
            <w:r>
              <w:rPr/>
              <w:t>●</w:t>
            </w:r>
          </w:p>
        </w:tc>
        <w:tc>
          <w:tcPr>
            <w:tcW w:w="9365" w:type="dxa"/>
            <w:tcBorders/>
            <w:vAlign w:val="center"/>
          </w:tcPr>
          <w:p>
            <w:pPr>
              <w:pStyle w:val="TableContents"/>
              <w:bidi w:val="0"/>
              <w:spacing w:before="0" w:after="283"/>
              <w:jc w:val="left"/>
              <w:rPr/>
            </w:pPr>
            <w:r>
              <w:rPr/>
              <w:t>Creating more opportunities for Board feedback on long-term strategy and oversight considerations</w:t>
            </w:r>
          </w:p>
        </w:tc>
      </w:tr>
    </w:tbl>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Arial;Helvetica;Sans-Serif" w:hAnsi="Arial;Helvetica;Sans-Serif"/>
          <w:b w:val="false"/>
          <w:i w:val="false"/>
          <w:caps w:val="false"/>
          <w:smallCaps w:val="false"/>
          <w:sz w:val="15"/>
        </w:rPr>
      </w:pPr>
      <w:r>
        <w:rPr>
          <w:rFonts w:ascii="Arial;Helvetica;Sans-Serif" w:hAnsi="Arial;Helvetica;Sans-Serif"/>
          <w:b/>
          <w:i w:val="false"/>
          <w:caps w:val="false"/>
          <w:smallCaps w:val="false"/>
          <w:sz w:val="15"/>
        </w:rPr>
        <w:t>RTX</w:t>
      </w:r>
      <w:r>
        <w:rPr>
          <w:rFonts w:ascii="Arial;Helvetica;Sans-Serif" w:hAnsi="Arial;Helvetica;Sans-Serif"/>
          <w:b w:val="false"/>
          <w:i w:val="false"/>
          <w:caps w:val="false"/>
          <w:smallCaps w:val="false"/>
          <w:sz w:val="15"/>
        </w:rPr>
        <w:t xml:space="preserve"> 2026 PROXY STATEMENT    </w:t>
      </w:r>
      <w:r>
        <w:rPr>
          <w:rFonts w:ascii="Arial;Helvetica;Sans-Serif" w:hAnsi="Arial;Helvetica;Sans-Serif"/>
          <w:b/>
          <w:i w:val="false"/>
          <w:caps w:val="false"/>
          <w:smallCaps w:val="false"/>
          <w:sz w:val="15"/>
        </w:rPr>
        <w:t>23</w:t>
      </w:r>
    </w:p>
    <w:p>
      <w:pPr>
        <w:pStyle w:val="HorizontalLine"/>
        <w:pBdr>
          <w:bottom w:val="double" w:sz="2" w:space="0" w:color="808080"/>
        </w:pBdr>
        <w:bidi w:val="0"/>
        <w:spacing w:before="0" w:after="283"/>
        <w:jc w:val="left"/>
        <w:rPr/>
      </w:pPr>
      <w:r>
        <w:rPr/>
      </w:r>
    </w:p>
    <w:p>
      <w:pPr>
        <w:pStyle w:val="TextBody"/>
        <w:bidi w:val="0"/>
        <w:spacing w:before="200" w:after="200"/>
        <w:jc w:val="left"/>
        <w:rPr/>
      </w:pPr>
      <w:hyperlink w:anchor="toc">
        <w:r>
          <w:rPr>
            <w:rStyle w:val="InternetLink"/>
            <w:rFonts w:ascii="Arial;Helvetica;Sans-Serif" w:hAnsi="Arial;Helvetica;Sans-Serif"/>
            <w:b/>
            <w:i w:val="false"/>
            <w:caps w:val="false"/>
            <w:smallCaps w:val="false"/>
            <w:sz w:val="16"/>
          </w:rPr>
          <w:t>Table of Contents</w:t>
        </w:r>
      </w:hyperlink>
    </w:p>
    <w:p>
      <w:pPr>
        <w:pStyle w:val="TextBody"/>
        <w:bidi w:val="0"/>
        <w:jc w:val="left"/>
        <w:rPr>
          <w:rFonts w:ascii="Arial;Helvetica;Sans-Serif" w:hAnsi="Arial;Helvetica;Sans-Serif"/>
          <w:b/>
          <w:i w:val="false"/>
          <w:caps w:val="false"/>
          <w:smallCaps w:val="false"/>
          <w:color w:val="C12E33"/>
          <w:sz w:val="15"/>
        </w:rPr>
      </w:pPr>
      <w:r>
        <w:rPr>
          <w:rFonts w:ascii="Arial;Helvetica;Sans-Serif" w:hAnsi="Arial;Helvetica;Sans-Serif"/>
          <w:b/>
          <w:i w:val="false"/>
          <w:caps w:val="false"/>
          <w:smallCaps w:val="false"/>
          <w:color w:val="C12E33"/>
          <w:sz w:val="15"/>
        </w:rPr>
        <w:t>CORPORATE GOVERNANCE</w:t>
      </w:r>
    </w:p>
    <w:p>
      <w:pPr>
        <w:pStyle w:val="TextBody"/>
        <w:bidi w:val="0"/>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BOARD COMMITTEES</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i w:val="false"/>
          <w:caps w:val="false"/>
          <w:smallCaps w:val="false"/>
          <w:sz w:val="34"/>
        </w:rPr>
      </w:pPr>
      <w:r>
        <w:rPr>
          <w:rFonts w:ascii="Arial;Helvetica;Sans-Serif" w:hAnsi="Arial;Helvetica;Sans-Serif"/>
          <w:b/>
          <w:i w:val="false"/>
          <w:caps w:val="false"/>
          <w:smallCaps w:val="false"/>
          <w:sz w:val="34"/>
        </w:rPr>
        <w:t>Board Committees</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Board currently has the following standing Committees: the Audit Committee, the Governance Committee, the Finance Committee, the Human Capital &amp; Compensation Committee and the Special Activities Committee. Our Corporate Governance Guidelines require the Governance Committee to periodically review Committee structure and assignments. The Board gave consideration to individual director development, interests and the functioning of the Committees, and determined that Mr. George Oliver will be appointed Chair of the Governance Committee, with anticipated effect on April 30, 2026, immediately following the 2026 Annual Meeting. In addition, Mr. James Winnefeld, Jr. resigned from the Board effective March 5, 2026. The Board anticipates appointing a new Chair of the Special Activities Committee prior to or immediately following the 2026 Annual Meeting.</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Audit Committee, the Governance Committee and the Human Capital &amp; Compensation Committee are composed exclusively of independent directors. Mr. Calio (who is an active employee) serves on the Finance Committee and the Special Activities Committee, because the Board believes he brings particular insights on topics within these Committees’ responsibilities.</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Each Committee has the authority to retain independent advisors, to approve the fees paid to those advisors and to terminate their engagements.</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Each Committee operates under a charter that it reviews annually. These charters are available in the Corporate Governance section of our website (</w:t>
      </w:r>
      <w:r>
        <w:rPr>
          <w:rFonts w:ascii="Arial;Helvetica;Sans-Serif" w:hAnsi="Arial;Helvetica;Sans-Serif"/>
          <w:b w:val="false"/>
          <w:i w:val="false"/>
          <w:caps w:val="false"/>
          <w:smallCaps w:val="false"/>
          <w:color w:val="C12E33"/>
          <w:sz w:val="20"/>
          <w:u w:val="single"/>
        </w:rPr>
        <w:t>www.rtx.com</w:t>
      </w:r>
      <w:r>
        <w:rPr>
          <w:rFonts w:ascii="Arial;Helvetica;Sans-Serif" w:hAnsi="Arial;Helvetica;Sans-Serif"/>
          <w:b w:val="false"/>
          <w:i w:val="false"/>
          <w:caps w:val="false"/>
          <w:smallCaps w:val="false"/>
          <w:sz w:val="20"/>
        </w:rPr>
        <w:t>).</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68"/>
        <w:gridCol w:w="60"/>
        <w:gridCol w:w="4320"/>
        <w:gridCol w:w="3557"/>
      </w:tblGrid>
      <w:tr>
        <w:trPr/>
        <w:tc>
          <w:tcPr>
            <w:tcW w:w="2268" w:type="dxa"/>
            <w:tcBorders/>
            <w:shd w:fill="EDEDEE" w:val="clear"/>
            <w:vAlign w:val="center"/>
          </w:tcPr>
          <w:p>
            <w:pPr>
              <w:pStyle w:val="TableContents"/>
              <w:bidi w:val="0"/>
              <w:spacing w:before="0" w:after="283"/>
              <w:jc w:val="left"/>
              <w:rPr>
                <w:caps w:val="false"/>
                <w:smallCaps w:val="false"/>
              </w:rPr>
            </w:pPr>
            <w:r>
              <w:rPr>
                <w:caps w:val="false"/>
                <w:smallCaps w:val="false"/>
              </w:rPr>
              <w:drawing>
                <wp:inline distT="0" distB="0" distL="0" distR="0">
                  <wp:extent cx="1428750" cy="3419475"/>
                  <wp:effectExtent l="0" t="0" r="0" b="0"/>
                  <wp:docPr id="264" name="Image1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 name="Image174" descr=""/>
                          <pic:cNvPicPr>
                            <a:picLocks noChangeAspect="1" noChangeArrowheads="1"/>
                          </pic:cNvPicPr>
                        </pic:nvPicPr>
                        <pic:blipFill>
                          <a:blip r:embed="rId219"/>
                          <a:stretch>
                            <a:fillRect/>
                          </a:stretch>
                        </pic:blipFill>
                        <pic:spPr bwMode="auto">
                          <a:xfrm>
                            <a:off x="0" y="0"/>
                            <a:ext cx="1428750" cy="3419475"/>
                          </a:xfrm>
                          <a:prstGeom prst="rect">
                            <a:avLst/>
                          </a:prstGeom>
                        </pic:spPr>
                      </pic:pic>
                    </a:graphicData>
                  </a:graphic>
                </wp:inline>
              </w:drawing>
            </w:r>
          </w:p>
        </w:tc>
        <w:tc>
          <w:tcPr>
            <w:tcW w:w="60" w:type="dxa"/>
            <w:tcBorders/>
            <w:shd w:fill="EDEDEE" w:val="clear"/>
            <w:vAlign w:val="center"/>
          </w:tcPr>
          <w:p>
            <w:pPr>
              <w:pStyle w:val="TableContents"/>
              <w:bidi w:val="0"/>
              <w:spacing w:before="0" w:after="283"/>
              <w:jc w:val="left"/>
              <w:rPr>
                <w:caps w:val="false"/>
                <w:smallCaps w:val="false"/>
              </w:rPr>
            </w:pPr>
            <w:r>
              <w:rPr>
                <w:caps w:val="false"/>
                <w:smallCaps w:val="false"/>
              </w:rPr>
              <w:t> </w:t>
            </w:r>
          </w:p>
        </w:tc>
        <w:tc>
          <w:tcPr>
            <w:tcW w:w="4320" w:type="dxa"/>
            <w:tcBorders/>
            <w:shd w:fill="EDEDEE" w:val="clear"/>
            <w:vAlign w:val="center"/>
          </w:tcPr>
          <w:p>
            <w:pPr>
              <w:pStyle w:val="TableContents"/>
              <w:bidi w:val="0"/>
              <w:jc w:val="left"/>
              <w:rPr>
                <w:rFonts w:ascii="Arial;Helvetica;Sans-Serif" w:hAnsi="Arial;Helvetica;Sans-Serif"/>
                <w:b/>
                <w:i w:val="false"/>
                <w:caps w:val="false"/>
                <w:smallCaps w:val="false"/>
                <w:sz w:val="36"/>
              </w:rPr>
            </w:pPr>
            <w:r>
              <w:rPr>
                <w:rFonts w:ascii="Arial;Helvetica;Sans-Serif" w:hAnsi="Arial;Helvetica;Sans-Serif"/>
                <w:b/>
                <w:i w:val="false"/>
                <w:caps w:val="false"/>
                <w:smallCaps w:val="false"/>
                <w:sz w:val="36"/>
              </w:rPr>
              <w:t>Audit</w:t>
            </w:r>
          </w:p>
          <w:p>
            <w:pPr>
              <w:pStyle w:val="TableContents"/>
              <w:bidi w:val="0"/>
              <w:jc w:val="left"/>
              <w:rPr>
                <w:caps w:val="false"/>
                <w:smallCaps w:val="false"/>
              </w:rPr>
            </w:pPr>
            <w:r>
              <w:rPr>
                <w:caps w:val="false"/>
                <w:smallCaps w:val="false"/>
              </w:rPr>
              <w:t> </w:t>
            </w:r>
          </w:p>
          <w:p>
            <w:pPr>
              <w:pStyle w:val="TableContents"/>
              <w:bidi w:val="0"/>
              <w:jc w:val="left"/>
              <w:rPr>
                <w:caps w:val="false"/>
                <w:smallCaps w:val="false"/>
              </w:rPr>
            </w:pPr>
            <w:r>
              <w:rPr>
                <w:caps w:val="false"/>
                <w:smallCaps w:val="false"/>
              </w:rPr>
              <w:t> </w:t>
            </w:r>
          </w:p>
          <w:p>
            <w:pPr>
              <w:pStyle w:val="TableContents"/>
              <w:bidi w:val="0"/>
              <w:jc w:val="left"/>
              <w:rPr>
                <w:caps w:val="false"/>
                <w:smallCaps w:val="false"/>
              </w:rPr>
            </w:pPr>
            <w:r>
              <w:rPr>
                <w:caps w:val="false"/>
                <w:smallCaps w:val="false"/>
              </w:rPr>
              <w:t> </w:t>
            </w:r>
          </w:p>
          <w:p>
            <w:pPr>
              <w:pStyle w:val="TableContents"/>
              <w:bidi w:val="0"/>
              <w:jc w:val="left"/>
              <w:rPr>
                <w:caps w:val="false"/>
                <w:smallCaps w:val="false"/>
              </w:rPr>
            </w:pPr>
            <w:r>
              <w:rPr>
                <w:caps w:val="false"/>
                <w:smallCaps w:val="false"/>
              </w:rPr>
              <w:t> </w:t>
            </w:r>
          </w:p>
          <w:p>
            <w:pPr>
              <w:pStyle w:val="TableContents"/>
              <w:bidi w:val="0"/>
              <w:jc w:val="left"/>
              <w:rPr>
                <w:rFonts w:ascii="Arial;Helvetica;Sans-Serif" w:hAnsi="Arial;Helvetica;Sans-Serif"/>
                <w:b/>
                <w:i w:val="false"/>
                <w:caps w:val="false"/>
                <w:smallCaps w:val="false"/>
                <w:sz w:val="15"/>
              </w:rPr>
            </w:pPr>
            <w:r>
              <w:rPr>
                <w:rFonts w:ascii="Arial;Helvetica;Sans-Serif" w:hAnsi="Arial;Helvetica;Sans-Serif"/>
                <w:b/>
                <w:i w:val="false"/>
                <w:caps w:val="false"/>
                <w:smallCaps w:val="false"/>
                <w:sz w:val="15"/>
              </w:rPr>
              <w:t>Leanne G. Caret</w:t>
            </w:r>
          </w:p>
          <w:p>
            <w:pPr>
              <w:pStyle w:val="TableContents"/>
              <w:bidi w:val="0"/>
              <w:spacing w:before="0" w:after="283"/>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Chair</w:t>
            </w:r>
          </w:p>
        </w:tc>
        <w:tc>
          <w:tcPr>
            <w:tcW w:w="3557" w:type="dxa"/>
            <w:tcBorders/>
            <w:shd w:fill="EDEDEE" w:val="clear"/>
            <w:vAlign w:val="center"/>
          </w:tcPr>
          <w:p>
            <w:pPr>
              <w:pStyle w:val="TableContents"/>
              <w:bidi w:val="0"/>
              <w:spacing w:before="0" w:after="283"/>
              <w:jc w:val="left"/>
              <w:rPr>
                <w:caps w:val="false"/>
                <w:smallCaps w:val="false"/>
              </w:rPr>
            </w:pPr>
            <w:r>
              <w:rPr>
                <w:caps w:val="false"/>
                <w:smallCaps w:val="false"/>
              </w:rPr>
              <w:drawing>
                <wp:inline distT="0" distB="0" distL="0" distR="0">
                  <wp:extent cx="590550" cy="1943100"/>
                  <wp:effectExtent l="0" t="0" r="0" b="0"/>
                  <wp:docPr id="265" name="Image1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 name="Image175" descr=""/>
                          <pic:cNvPicPr>
                            <a:picLocks noChangeAspect="1" noChangeArrowheads="1"/>
                          </pic:cNvPicPr>
                        </pic:nvPicPr>
                        <pic:blipFill>
                          <a:blip r:embed="rId220"/>
                          <a:stretch>
                            <a:fillRect/>
                          </a:stretch>
                        </pic:blipFill>
                        <pic:spPr bwMode="auto">
                          <a:xfrm>
                            <a:off x="0" y="0"/>
                            <a:ext cx="590550" cy="1943100"/>
                          </a:xfrm>
                          <a:prstGeom prst="rect">
                            <a:avLst/>
                          </a:prstGeom>
                        </pic:spPr>
                      </pic:pic>
                    </a:graphicData>
                  </a:graphic>
                </wp:inline>
              </w:drawing>
            </w:r>
          </w:p>
        </w:tc>
      </w:tr>
      <w:tr>
        <w:trPr/>
        <w:tc>
          <w:tcPr>
            <w:tcW w:w="2268"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4320" w:type="dxa"/>
            <w:tcBorders/>
            <w:vAlign w:val="center"/>
          </w:tcPr>
          <w:p>
            <w:pPr>
              <w:pStyle w:val="TableContents"/>
              <w:bidi w:val="0"/>
              <w:spacing w:before="0" w:after="283"/>
              <w:jc w:val="left"/>
              <w:rPr>
                <w:caps w:val="false"/>
                <w:smallCaps w:val="false"/>
              </w:rPr>
            </w:pPr>
            <w:r>
              <w:rPr>
                <w:caps w:val="false"/>
                <w:smallCaps w:val="false"/>
              </w:rPr>
              <w:t> </w:t>
            </w:r>
          </w:p>
        </w:tc>
        <w:tc>
          <w:tcPr>
            <w:tcW w:w="355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268" w:type="dxa"/>
            <w:tcBorders/>
            <w:vAlign w:val="center"/>
          </w:tcPr>
          <w:p>
            <w:pPr>
              <w:pStyle w:val="TableContents"/>
              <w:bidi w:val="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2025 MEETINGS: </w:t>
            </w:r>
            <w:r>
              <w:rPr>
                <w:rFonts w:ascii="Arial;Helvetica;Sans-Serif" w:hAnsi="Arial;Helvetica;Sans-Serif"/>
                <w:b/>
                <w:i w:val="false"/>
                <w:caps w:val="false"/>
                <w:smallCaps w:val="false"/>
                <w:sz w:val="20"/>
              </w:rPr>
              <w:t>8</w:t>
            </w:r>
          </w:p>
          <w:p>
            <w:pPr>
              <w:pStyle w:val="TableContents"/>
              <w:bidi w:val="0"/>
              <w:jc w:val="left"/>
              <w:rPr>
                <w:caps w:val="false"/>
                <w:smallCaps w:val="false"/>
              </w:rPr>
            </w:pPr>
            <w:r>
              <w:rPr>
                <w:caps w:val="false"/>
                <w:smallCaps w:val="false"/>
              </w:rPr>
              <w:t> </w:t>
            </w:r>
          </w:p>
          <w:p>
            <w:pPr>
              <w:pStyle w:val="TableContents"/>
              <w:bidi w:val="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COMMITTEE MEMBERS</w:t>
            </w:r>
          </w:p>
          <w:p>
            <w:pPr>
              <w:pStyle w:val="TableContents"/>
              <w:bidi w:val="0"/>
              <w:jc w:val="left"/>
              <w:rPr>
                <w:caps w:val="false"/>
                <w:smallCaps w:val="false"/>
              </w:rPr>
            </w:pPr>
            <w:r>
              <w:rPr>
                <w:caps w:val="false"/>
                <w:smallCaps w:val="false"/>
              </w:rPr>
              <w:t> </w:t>
            </w:r>
          </w:p>
          <w:p>
            <w:pPr>
              <w:pStyle w:val="TableContents"/>
              <w:bidi w:val="0"/>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Bernard A. Harris, Jr.</w:t>
            </w:r>
          </w:p>
          <w:p>
            <w:pPr>
              <w:pStyle w:val="TableContents"/>
              <w:bidi w:val="0"/>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Denise L. Ramos</w:t>
            </w:r>
          </w:p>
          <w:p>
            <w:pPr>
              <w:pStyle w:val="TableContents"/>
              <w:bidi w:val="0"/>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Robert O. Work</w:t>
            </w:r>
          </w:p>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7877" w:type="dxa"/>
            <w:gridSpan w:val="2"/>
            <w:tcBorders/>
            <w:vAlign w:val="center"/>
          </w:tcPr>
          <w:p>
            <w:pPr>
              <w:pStyle w:val="TableContents"/>
              <w:bidi w:val="0"/>
              <w:ind w:left="220" w:right="0" w:hanging="220"/>
              <w:jc w:val="left"/>
              <w:rPr>
                <w:caps w:val="false"/>
                <w:smallCaps w:val="false"/>
              </w:rPr>
            </w:pPr>
            <w:r>
              <w:rPr>
                <w:caps w:val="false"/>
                <w:smallCaps w:val="false"/>
              </w:rPr>
              <w:t>●  </w:t>
            </w:r>
            <w:r>
              <w:rPr>
                <w:rFonts w:ascii="Arial;Helvetica;Sans-Serif" w:hAnsi="Arial;Helvetica;Sans-Serif"/>
                <w:b w:val="false"/>
                <w:i w:val="false"/>
                <w:caps w:val="false"/>
                <w:smallCaps w:val="false"/>
                <w:sz w:val="20"/>
              </w:rPr>
              <w:t>Assists the Board in overseeing: the integrity of RTX’s financial statements; the independence, qualifications and performance of RTX’s internal and external auditors; the Company’s compliance with its policies and procedures, internal controls, Code of Conduct and applicable laws and regulations; policies and procedures with respect to risk assessment and management; and other responsibilities as delegated by the Board from time to time</w:t>
            </w:r>
          </w:p>
          <w:p>
            <w:pPr>
              <w:pStyle w:val="TableContents"/>
              <w:bidi w:val="0"/>
              <w:ind w:left="220" w:right="0" w:hanging="220"/>
              <w:jc w:val="left"/>
              <w:rPr>
                <w:caps w:val="false"/>
                <w:smallCaps w:val="false"/>
              </w:rPr>
            </w:pPr>
            <w:r>
              <w:rPr>
                <w:caps w:val="false"/>
                <w:smallCaps w:val="false"/>
              </w:rPr>
              <w:t> </w:t>
            </w:r>
          </w:p>
          <w:p>
            <w:pPr>
              <w:pStyle w:val="TableContents"/>
              <w:bidi w:val="0"/>
              <w:ind w:left="220" w:right="0" w:hanging="220"/>
              <w:jc w:val="left"/>
              <w:rPr>
                <w:caps w:val="false"/>
                <w:smallCaps w:val="false"/>
              </w:rPr>
            </w:pPr>
            <w:r>
              <w:rPr>
                <w:caps w:val="false"/>
                <w:smallCaps w:val="false"/>
              </w:rPr>
              <w:t>●  </w:t>
            </w:r>
            <w:r>
              <w:rPr>
                <w:rFonts w:ascii="Arial;Helvetica;Sans-Serif" w:hAnsi="Arial;Helvetica;Sans-Serif"/>
                <w:b w:val="false"/>
                <w:i w:val="false"/>
                <w:caps w:val="false"/>
                <w:smallCaps w:val="false"/>
                <w:sz w:val="20"/>
              </w:rPr>
              <w:t>Recommends to the Board (for shareowner approval) a nominee accounting firm to serve as RTX’s independent auditor and maintains responsibility for compensation, retention and oversight of the auditor</w:t>
            </w:r>
          </w:p>
          <w:p>
            <w:pPr>
              <w:pStyle w:val="TableContents"/>
              <w:bidi w:val="0"/>
              <w:ind w:left="220" w:right="0" w:hanging="220"/>
              <w:jc w:val="left"/>
              <w:rPr>
                <w:caps w:val="false"/>
                <w:smallCaps w:val="false"/>
              </w:rPr>
            </w:pPr>
            <w:r>
              <w:rPr>
                <w:caps w:val="false"/>
                <w:smallCaps w:val="false"/>
              </w:rPr>
              <w:t> </w:t>
            </w:r>
          </w:p>
          <w:p>
            <w:pPr>
              <w:pStyle w:val="TableContents"/>
              <w:bidi w:val="0"/>
              <w:ind w:left="220" w:right="0" w:hanging="220"/>
              <w:jc w:val="left"/>
              <w:rPr>
                <w:caps w:val="false"/>
                <w:smallCaps w:val="false"/>
              </w:rPr>
            </w:pPr>
            <w:r>
              <w:rPr>
                <w:caps w:val="false"/>
                <w:smallCaps w:val="false"/>
              </w:rPr>
              <w:t>●  </w:t>
            </w:r>
            <w:r>
              <w:rPr>
                <w:rFonts w:ascii="Arial;Helvetica;Sans-Serif" w:hAnsi="Arial;Helvetica;Sans-Serif"/>
                <w:b w:val="false"/>
                <w:i w:val="false"/>
                <w:caps w:val="false"/>
                <w:smallCaps w:val="false"/>
                <w:sz w:val="20"/>
              </w:rPr>
              <w:t>Pre-approves all auditing services and permitted non-audit services to be performed for RTX by its independent auditor</w:t>
            </w:r>
          </w:p>
          <w:p>
            <w:pPr>
              <w:pStyle w:val="TableContents"/>
              <w:bidi w:val="0"/>
              <w:ind w:left="220" w:right="0" w:hanging="220"/>
              <w:jc w:val="left"/>
              <w:rPr>
                <w:caps w:val="false"/>
                <w:smallCaps w:val="false"/>
              </w:rPr>
            </w:pPr>
            <w:r>
              <w:rPr>
                <w:caps w:val="false"/>
                <w:smallCaps w:val="false"/>
              </w:rPr>
              <w:t> </w:t>
            </w:r>
          </w:p>
          <w:p>
            <w:pPr>
              <w:pStyle w:val="TableContents"/>
              <w:bidi w:val="0"/>
              <w:ind w:left="220" w:right="0" w:hanging="220"/>
              <w:jc w:val="left"/>
              <w:rPr>
                <w:caps w:val="false"/>
                <w:smallCaps w:val="false"/>
              </w:rPr>
            </w:pPr>
            <w:r>
              <w:rPr>
                <w:caps w:val="false"/>
                <w:smallCaps w:val="false"/>
              </w:rPr>
              <w:t>●  </w:t>
            </w:r>
            <w:r>
              <w:rPr>
                <w:rFonts w:ascii="Arial;Helvetica;Sans-Serif" w:hAnsi="Arial;Helvetica;Sans-Serif"/>
                <w:b w:val="false"/>
                <w:i w:val="false"/>
                <w:caps w:val="false"/>
                <w:smallCaps w:val="false"/>
                <w:sz w:val="20"/>
              </w:rPr>
              <w:t>Reviews and approves the appointment and replacement of the senior Internal Audit executive</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Board has determined that each of Ms. Caret and Ms. Ramos is an “audit committee financial expert,” as defined in the rules of the Securities and Exchange Commission (“SEC”).</w:t>
            </w:r>
          </w:p>
        </w:tc>
      </w:tr>
    </w:tbl>
    <w:p>
      <w:pPr>
        <w:pStyle w:val="TextBody"/>
        <w:bidi w:val="0"/>
        <w:jc w:val="left"/>
        <w:rPr>
          <w:caps w:val="false"/>
          <w:smallCaps w:val="false"/>
        </w:rPr>
      </w:pPr>
      <w:r>
        <w:rPr>
          <w:caps w:val="false"/>
          <w:smallCaps w:val="false"/>
        </w:rPr>
        <w:t> </w:t>
      </w:r>
    </w:p>
    <w:p>
      <w:pPr>
        <w:pStyle w:val="TextBody"/>
        <w:bidi w:val="0"/>
        <w:jc w:val="left"/>
        <w:rPr/>
      </w:pPr>
      <w:r>
        <w:rPr>
          <w:rFonts w:ascii="Arial;Helvetica;Sans-Serif" w:hAnsi="Arial;Helvetica;Sans-Serif"/>
          <w:b/>
          <w:i w:val="false"/>
          <w:caps w:val="false"/>
          <w:smallCaps w:val="false"/>
          <w:color w:val="000000"/>
          <w:sz w:val="15"/>
        </w:rPr>
        <w:t>24</w:t>
      </w:r>
      <w:r>
        <w:rPr>
          <w:rFonts w:ascii="Arial;Helvetica;Sans-Serif" w:hAnsi="Arial;Helvetica;Sans-Serif"/>
          <w:b w:val="false"/>
          <w:i w:val="false"/>
          <w:caps w:val="false"/>
          <w:smallCaps w:val="false"/>
          <w:color w:val="000000"/>
          <w:sz w:val="15"/>
        </w:rPr>
        <w:t>    </w:t>
      </w:r>
      <w:r>
        <w:rPr>
          <w:rFonts w:ascii="Arial;Helvetica;Sans-Serif" w:hAnsi="Arial;Helvetica;Sans-Serif"/>
          <w:b/>
          <w:i w:val="false"/>
          <w:caps w:val="false"/>
          <w:smallCaps w:val="false"/>
          <w:sz w:val="15"/>
        </w:rPr>
        <w:t xml:space="preserve">RTX </w:t>
      </w:r>
      <w:r>
        <w:rPr>
          <w:rFonts w:ascii="Arial;Helvetica;Sans-Serif" w:hAnsi="Arial;Helvetica;Sans-Serif"/>
          <w:b w:val="false"/>
          <w:i w:val="false"/>
          <w:caps w:val="false"/>
          <w:smallCaps w:val="false"/>
          <w:sz w:val="15"/>
        </w:rPr>
        <w:t>2026 PROXY STATEMENT</w:t>
      </w:r>
    </w:p>
    <w:p>
      <w:pPr>
        <w:pStyle w:val="HorizontalLine"/>
        <w:pBdr>
          <w:bottom w:val="double" w:sz="2" w:space="0" w:color="808080"/>
        </w:pBdr>
        <w:bidi w:val="0"/>
        <w:spacing w:before="0" w:after="283"/>
        <w:jc w:val="left"/>
        <w:rPr/>
      </w:pPr>
      <w:r>
        <w:rPr/>
      </w:r>
    </w:p>
    <w:p>
      <w:pPr>
        <w:pStyle w:val="TextBody"/>
        <w:bidi w:val="0"/>
        <w:spacing w:before="200" w:after="200"/>
        <w:jc w:val="left"/>
        <w:rPr/>
      </w:pPr>
      <w:hyperlink w:anchor="toc">
        <w:r>
          <w:rPr>
            <w:rStyle w:val="InternetLink"/>
            <w:rFonts w:ascii="Arial;Helvetica;Sans-Serif" w:hAnsi="Arial;Helvetica;Sans-Serif"/>
            <w:b/>
            <w:i w:val="false"/>
            <w:caps w:val="false"/>
            <w:smallCaps w:val="false"/>
            <w:sz w:val="16"/>
          </w:rPr>
          <w:t>Table of Contents</w:t>
        </w:r>
      </w:hyperlink>
    </w:p>
    <w:p>
      <w:pPr>
        <w:pStyle w:val="TextBody"/>
        <w:bidi w:val="0"/>
        <w:jc w:val="right"/>
        <w:rPr>
          <w:rFonts w:ascii="Arial;Helvetica;Sans-Serif" w:hAnsi="Arial;Helvetica;Sans-Serif"/>
          <w:b/>
          <w:i w:val="false"/>
          <w:caps w:val="false"/>
          <w:smallCaps w:val="false"/>
          <w:color w:val="C12E33"/>
          <w:sz w:val="15"/>
        </w:rPr>
      </w:pPr>
      <w:r>
        <w:rPr>
          <w:rFonts w:ascii="Arial;Helvetica;Sans-Serif" w:hAnsi="Arial;Helvetica;Sans-Serif"/>
          <w:b/>
          <w:i w:val="false"/>
          <w:caps w:val="false"/>
          <w:smallCaps w:val="false"/>
          <w:color w:val="C12E33"/>
          <w:sz w:val="15"/>
        </w:rPr>
        <w:t>CORPORATE GOVERNANCE</w:t>
      </w:r>
    </w:p>
    <w:p>
      <w:pPr>
        <w:pStyle w:val="TextBody"/>
        <w:bidi w:val="0"/>
        <w:jc w:val="righ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BOARD COMMITTEES</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240"/>
        <w:gridCol w:w="60"/>
        <w:gridCol w:w="4650"/>
        <w:gridCol w:w="1255"/>
      </w:tblGrid>
      <w:tr>
        <w:trPr/>
        <w:tc>
          <w:tcPr>
            <w:tcW w:w="4240" w:type="dxa"/>
            <w:tcBorders/>
            <w:shd w:fill="EDEDEE" w:val="clear"/>
            <w:vAlign w:val="center"/>
          </w:tcPr>
          <w:p>
            <w:pPr>
              <w:pStyle w:val="TableContents"/>
              <w:bidi w:val="0"/>
              <w:spacing w:before="0" w:after="283"/>
              <w:jc w:val="left"/>
              <w:rPr>
                <w:caps w:val="false"/>
                <w:smallCaps w:val="false"/>
              </w:rPr>
            </w:pPr>
            <w:r>
              <w:rPr>
                <w:caps w:val="false"/>
                <w:smallCaps w:val="false"/>
              </w:rPr>
              <w:drawing>
                <wp:inline distT="0" distB="0" distL="0" distR="0">
                  <wp:extent cx="1428750" cy="3619500"/>
                  <wp:effectExtent l="0" t="0" r="0" b="0"/>
                  <wp:docPr id="266" name="Image1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 name="Image176" descr=""/>
                          <pic:cNvPicPr>
                            <a:picLocks noChangeAspect="1" noChangeArrowheads="1"/>
                          </pic:cNvPicPr>
                        </pic:nvPicPr>
                        <pic:blipFill>
                          <a:blip r:embed="rId221"/>
                          <a:stretch>
                            <a:fillRect/>
                          </a:stretch>
                        </pic:blipFill>
                        <pic:spPr bwMode="auto">
                          <a:xfrm>
                            <a:off x="0" y="0"/>
                            <a:ext cx="1428750" cy="3619500"/>
                          </a:xfrm>
                          <a:prstGeom prst="rect">
                            <a:avLst/>
                          </a:prstGeom>
                        </pic:spPr>
                      </pic:pic>
                    </a:graphicData>
                  </a:graphic>
                </wp:inline>
              </w:drawing>
            </w:r>
          </w:p>
        </w:tc>
        <w:tc>
          <w:tcPr>
            <w:tcW w:w="60" w:type="dxa"/>
            <w:tcBorders/>
            <w:shd w:fill="EDEDEE" w:val="clear"/>
            <w:vAlign w:val="center"/>
          </w:tcPr>
          <w:p>
            <w:pPr>
              <w:pStyle w:val="TableContents"/>
              <w:bidi w:val="0"/>
              <w:spacing w:before="0" w:after="283"/>
              <w:jc w:val="left"/>
              <w:rPr/>
            </w:pPr>
            <w:r>
              <w:rPr/>
              <w:t> </w:t>
            </w:r>
          </w:p>
        </w:tc>
        <w:tc>
          <w:tcPr>
            <w:tcW w:w="4650" w:type="dxa"/>
            <w:tcBorders/>
            <w:shd w:fill="EDEDEE" w:val="clear"/>
            <w:vAlign w:val="center"/>
          </w:tcPr>
          <w:p>
            <w:pPr>
              <w:pStyle w:val="TableContents"/>
              <w:bidi w:val="0"/>
              <w:jc w:val="left"/>
              <w:rPr>
                <w:rFonts w:ascii="Arial;Helvetica;Sans-Serif" w:hAnsi="Arial;Helvetica;Sans-Serif"/>
                <w:b/>
                <w:i w:val="false"/>
                <w:caps w:val="false"/>
                <w:smallCaps w:val="false"/>
                <w:sz w:val="36"/>
              </w:rPr>
            </w:pPr>
            <w:r>
              <w:rPr>
                <w:rFonts w:ascii="Arial;Helvetica;Sans-Serif" w:hAnsi="Arial;Helvetica;Sans-Serif"/>
                <w:b/>
                <w:i w:val="false"/>
                <w:caps w:val="false"/>
                <w:smallCaps w:val="false"/>
                <w:sz w:val="36"/>
              </w:rPr>
              <w:t>Governance and Public Policy</w:t>
            </w:r>
          </w:p>
          <w:p>
            <w:pPr>
              <w:pStyle w:val="TableContents"/>
              <w:bidi w:val="0"/>
              <w:jc w:val="left"/>
              <w:rPr>
                <w:caps w:val="false"/>
                <w:smallCaps w:val="false"/>
              </w:rPr>
            </w:pPr>
            <w:r>
              <w:rPr>
                <w:caps w:val="false"/>
                <w:smallCaps w:val="false"/>
              </w:rPr>
              <w:t> </w:t>
            </w:r>
          </w:p>
          <w:p>
            <w:pPr>
              <w:pStyle w:val="TableContents"/>
              <w:bidi w:val="0"/>
              <w:jc w:val="left"/>
              <w:rPr>
                <w:caps w:val="false"/>
                <w:smallCaps w:val="false"/>
              </w:rPr>
            </w:pPr>
            <w:r>
              <w:rPr>
                <w:caps w:val="false"/>
                <w:smallCaps w:val="false"/>
              </w:rPr>
              <w:t> </w:t>
            </w:r>
          </w:p>
          <w:p>
            <w:pPr>
              <w:pStyle w:val="TableContents"/>
              <w:bidi w:val="0"/>
              <w:jc w:val="left"/>
              <w:rPr>
                <w:caps w:val="false"/>
                <w:smallCaps w:val="false"/>
              </w:rPr>
            </w:pPr>
            <w:r>
              <w:rPr>
                <w:caps w:val="false"/>
                <w:smallCaps w:val="false"/>
              </w:rPr>
              <w:t> </w:t>
            </w:r>
          </w:p>
          <w:p>
            <w:pPr>
              <w:pStyle w:val="TableContents"/>
              <w:bidi w:val="0"/>
              <w:jc w:val="left"/>
              <w:rPr>
                <w:rFonts w:ascii="Arial;Helvetica;Sans-Serif" w:hAnsi="Arial;Helvetica;Sans-Serif"/>
                <w:b/>
                <w:i w:val="false"/>
                <w:caps w:val="false"/>
                <w:smallCaps w:val="false"/>
                <w:sz w:val="15"/>
              </w:rPr>
            </w:pPr>
            <w:r>
              <w:rPr>
                <w:rFonts w:ascii="Arial;Helvetica;Sans-Serif" w:hAnsi="Arial;Helvetica;Sans-Serif"/>
                <w:b/>
                <w:i w:val="false"/>
                <w:caps w:val="false"/>
                <w:smallCaps w:val="false"/>
                <w:sz w:val="15"/>
              </w:rPr>
              <w:t>Robert O. Work</w:t>
            </w:r>
          </w:p>
          <w:p>
            <w:pPr>
              <w:pStyle w:val="TableContents"/>
              <w:bidi w:val="0"/>
              <w:spacing w:before="0" w:after="283"/>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Chair </w:t>
            </w:r>
          </w:p>
        </w:tc>
        <w:tc>
          <w:tcPr>
            <w:tcW w:w="1255" w:type="dxa"/>
            <w:tcBorders/>
            <w:shd w:fill="EDEDEE" w:val="clear"/>
            <w:vAlign w:val="center"/>
          </w:tcPr>
          <w:p>
            <w:pPr>
              <w:pStyle w:val="TableContents"/>
              <w:bidi w:val="0"/>
              <w:spacing w:before="0" w:after="283"/>
              <w:jc w:val="left"/>
              <w:rPr>
                <w:caps w:val="false"/>
                <w:smallCaps w:val="false"/>
              </w:rPr>
            </w:pPr>
            <w:r>
              <w:rPr>
                <w:caps w:val="false"/>
                <w:smallCaps w:val="false"/>
              </w:rPr>
              <w:drawing>
                <wp:inline distT="0" distB="0" distL="0" distR="0">
                  <wp:extent cx="590550" cy="1704975"/>
                  <wp:effectExtent l="0" t="0" r="0" b="0"/>
                  <wp:docPr id="267" name="Image1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7" name="Image177" descr=""/>
                          <pic:cNvPicPr>
                            <a:picLocks noChangeAspect="1" noChangeArrowheads="1"/>
                          </pic:cNvPicPr>
                        </pic:nvPicPr>
                        <pic:blipFill>
                          <a:blip r:embed="rId222"/>
                          <a:stretch>
                            <a:fillRect/>
                          </a:stretch>
                        </pic:blipFill>
                        <pic:spPr bwMode="auto">
                          <a:xfrm>
                            <a:off x="0" y="0"/>
                            <a:ext cx="590550" cy="1704975"/>
                          </a:xfrm>
                          <a:prstGeom prst="rect">
                            <a:avLst/>
                          </a:prstGeom>
                        </pic:spPr>
                      </pic:pic>
                    </a:graphicData>
                  </a:graphic>
                </wp:inline>
              </w:drawing>
            </w:r>
          </w:p>
        </w:tc>
      </w:tr>
      <w:tr>
        <w:trPr/>
        <w:tc>
          <w:tcPr>
            <w:tcW w:w="424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4650" w:type="dxa"/>
            <w:tcBorders/>
            <w:vAlign w:val="center"/>
          </w:tcPr>
          <w:p>
            <w:pPr>
              <w:pStyle w:val="TableContents"/>
              <w:bidi w:val="0"/>
              <w:spacing w:before="0" w:after="283"/>
              <w:jc w:val="left"/>
              <w:rPr>
                <w:caps w:val="false"/>
                <w:smallCaps w:val="false"/>
              </w:rPr>
            </w:pPr>
            <w:r>
              <w:rPr>
                <w:caps w:val="false"/>
                <w:smallCaps w:val="false"/>
              </w:rPr>
              <w:t> </w:t>
            </w:r>
          </w:p>
        </w:tc>
        <w:tc>
          <w:tcPr>
            <w:tcW w:w="12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240" w:type="dxa"/>
            <w:tcBorders/>
            <w:vAlign w:val="center"/>
          </w:tcPr>
          <w:p>
            <w:pPr>
              <w:pStyle w:val="TableContents"/>
              <w:bidi w:val="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2025 MEETINGS: </w:t>
            </w:r>
            <w:r>
              <w:rPr>
                <w:rFonts w:ascii="Arial;Helvetica;Sans-Serif" w:hAnsi="Arial;Helvetica;Sans-Serif"/>
                <w:b/>
                <w:i w:val="false"/>
                <w:caps w:val="false"/>
                <w:smallCaps w:val="false"/>
                <w:sz w:val="20"/>
              </w:rPr>
              <w:t>5</w:t>
            </w:r>
          </w:p>
          <w:p>
            <w:pPr>
              <w:pStyle w:val="TableContents"/>
              <w:bidi w:val="0"/>
              <w:jc w:val="left"/>
              <w:rPr>
                <w:caps w:val="false"/>
                <w:smallCaps w:val="false"/>
              </w:rPr>
            </w:pPr>
            <w:r>
              <w:rPr>
                <w:caps w:val="false"/>
                <w:smallCaps w:val="false"/>
              </w:rPr>
              <w:t> </w:t>
            </w:r>
          </w:p>
          <w:p>
            <w:pPr>
              <w:pStyle w:val="TableContents"/>
              <w:bidi w:val="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COMMITTEE MEMBERS</w:t>
            </w:r>
          </w:p>
          <w:p>
            <w:pPr>
              <w:pStyle w:val="TableContents"/>
              <w:bidi w:val="0"/>
              <w:jc w:val="left"/>
              <w:rPr>
                <w:caps w:val="false"/>
                <w:smallCaps w:val="false"/>
              </w:rPr>
            </w:pPr>
            <w:r>
              <w:rPr>
                <w:caps w:val="false"/>
                <w:smallCaps w:val="false"/>
              </w:rPr>
              <w:t> </w:t>
            </w:r>
          </w:p>
          <w:p>
            <w:pPr>
              <w:pStyle w:val="TableContents"/>
              <w:bidi w:val="0"/>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Denise L. Ramos</w:t>
            </w:r>
          </w:p>
          <w:p>
            <w:pPr>
              <w:pStyle w:val="TableContents"/>
              <w:bidi w:val="0"/>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Fredric G. Reynolds</w:t>
            </w:r>
          </w:p>
          <w:p>
            <w:pPr>
              <w:pStyle w:val="TableContents"/>
              <w:bidi w:val="0"/>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James A. Winnefeld, Jr.</w:t>
            </w:r>
          </w:p>
          <w:p>
            <w:pPr>
              <w:pStyle w:val="TableContents"/>
              <w:bidi w:val="0"/>
              <w:jc w:val="left"/>
              <w:rPr>
                <w:caps w:val="false"/>
                <w:smallCaps w:val="false"/>
              </w:rPr>
            </w:pPr>
            <w:r>
              <w:rPr>
                <w:caps w:val="false"/>
                <w:smallCaps w:val="false"/>
              </w:rPr>
              <w:t> </w:t>
            </w:r>
          </w:p>
          <w:p>
            <w:pPr>
              <w:pStyle w:val="TableContents"/>
              <w:bidi w:val="0"/>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Effective April 30, 2026, George R. Oliver will join the Governance Committee and serve as its Chair.</w:t>
            </w:r>
          </w:p>
          <w:p>
            <w:pPr>
              <w:pStyle w:val="TableContents"/>
              <w:bidi w:val="0"/>
              <w:jc w:val="left"/>
              <w:rPr>
                <w:caps w:val="false"/>
                <w:smallCaps w:val="false"/>
              </w:rPr>
            </w:pPr>
            <w:r>
              <w:rPr>
                <w:caps w:val="false"/>
                <w:smallCaps w:val="false"/>
              </w:rPr>
              <w:t> </w:t>
            </w:r>
          </w:p>
          <w:p>
            <w:pPr>
              <w:pStyle w:val="TableContents"/>
              <w:bidi w:val="0"/>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Effective March 5, 2026, Mr. James A. Winnefeld, Jr. resigned from the Board and is no longer a member of the Governance Committee.</w:t>
            </w:r>
          </w:p>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5905" w:type="dxa"/>
            <w:gridSpan w:val="2"/>
            <w:tcBorders/>
            <w:vAlign w:val="center"/>
          </w:tcPr>
          <w:p>
            <w:pPr>
              <w:pStyle w:val="TableContents"/>
              <w:bidi w:val="0"/>
              <w:ind w:left="220" w:right="0" w:hanging="220"/>
              <w:jc w:val="left"/>
              <w:rPr>
                <w:caps w:val="false"/>
                <w:smallCaps w:val="false"/>
              </w:rPr>
            </w:pPr>
            <w:r>
              <w:rPr>
                <w:caps w:val="false"/>
                <w:smallCaps w:val="false"/>
              </w:rPr>
              <w:t>●  </w:t>
            </w:r>
            <w:r>
              <w:rPr>
                <w:rFonts w:ascii="Arial;Helvetica;Sans-Serif" w:hAnsi="Arial;Helvetica;Sans-Serif"/>
                <w:b w:val="false"/>
                <w:i w:val="false"/>
                <w:caps w:val="false"/>
                <w:smallCaps w:val="false"/>
                <w:sz w:val="20"/>
              </w:rPr>
              <w:t>Provides oversight of the safety of the Company’s products and services and its quality management system</w:t>
            </w:r>
          </w:p>
          <w:p>
            <w:pPr>
              <w:pStyle w:val="TableContents"/>
              <w:bidi w:val="0"/>
              <w:spacing w:before="120" w:after="120"/>
              <w:ind w:left="220" w:right="120" w:hanging="220"/>
              <w:jc w:val="left"/>
              <w:rPr>
                <w:caps w:val="false"/>
                <w:smallCaps w:val="false"/>
              </w:rPr>
            </w:pPr>
            <w:r>
              <w:rPr>
                <w:caps w:val="false"/>
                <w:smallCaps w:val="false"/>
              </w:rPr>
              <w:t>●  </w:t>
            </w:r>
            <w:r>
              <w:rPr>
                <w:rFonts w:ascii="Arial;Helvetica;Sans-Serif" w:hAnsi="Arial;Helvetica;Sans-Serif"/>
                <w:b w:val="false"/>
                <w:i w:val="false"/>
                <w:caps w:val="false"/>
                <w:smallCaps w:val="false"/>
                <w:sz w:val="20"/>
              </w:rPr>
              <w:t>Oversees RTX’s positions on significant public policy issues</w:t>
            </w:r>
          </w:p>
          <w:p>
            <w:pPr>
              <w:pStyle w:val="TableContents"/>
              <w:bidi w:val="0"/>
              <w:spacing w:before="120" w:after="120"/>
              <w:ind w:left="220" w:right="120" w:hanging="220"/>
              <w:jc w:val="left"/>
              <w:rPr>
                <w:caps w:val="false"/>
                <w:smallCaps w:val="false"/>
              </w:rPr>
            </w:pPr>
            <w:r>
              <w:rPr>
                <w:caps w:val="false"/>
                <w:smallCaps w:val="false"/>
              </w:rPr>
              <w:t>●  </w:t>
            </w:r>
            <w:r>
              <w:rPr>
                <w:rFonts w:ascii="Arial;Helvetica;Sans-Serif" w:hAnsi="Arial;Helvetica;Sans-Serif"/>
                <w:b w:val="false"/>
                <w:i w:val="false"/>
                <w:caps w:val="false"/>
                <w:smallCaps w:val="false"/>
                <w:sz w:val="20"/>
              </w:rPr>
              <w:t>Reviews and monitors the development of RTX’s AI strategy</w:t>
            </w:r>
          </w:p>
          <w:p>
            <w:pPr>
              <w:pStyle w:val="TableContents"/>
              <w:bidi w:val="0"/>
              <w:spacing w:before="120" w:after="120"/>
              <w:ind w:left="220" w:right="120" w:hanging="220"/>
              <w:jc w:val="left"/>
              <w:rPr>
                <w:caps w:val="false"/>
                <w:smallCaps w:val="false"/>
              </w:rPr>
            </w:pPr>
            <w:r>
              <w:rPr>
                <w:caps w:val="false"/>
                <w:smallCaps w:val="false"/>
              </w:rPr>
              <w:t>●  </w:t>
            </w:r>
            <w:r>
              <w:rPr>
                <w:rFonts w:ascii="Arial;Helvetica;Sans-Serif" w:hAnsi="Arial;Helvetica;Sans-Serif"/>
                <w:b w:val="false"/>
                <w:i w:val="false"/>
                <w:caps w:val="false"/>
                <w:smallCaps w:val="false"/>
                <w:sz w:val="20"/>
              </w:rPr>
              <w:t>Develops and recommends modifications to our Corporate Governance Guidelines</w:t>
            </w:r>
          </w:p>
          <w:p>
            <w:pPr>
              <w:pStyle w:val="TableContents"/>
              <w:bidi w:val="0"/>
              <w:spacing w:before="120" w:after="120"/>
              <w:ind w:left="220" w:right="120" w:hanging="220"/>
              <w:jc w:val="left"/>
              <w:rPr>
                <w:caps w:val="false"/>
                <w:smallCaps w:val="false"/>
              </w:rPr>
            </w:pPr>
            <w:r>
              <w:rPr>
                <w:caps w:val="false"/>
                <w:smallCaps w:val="false"/>
              </w:rPr>
              <w:t>●  </w:t>
            </w:r>
            <w:r>
              <w:rPr>
                <w:rFonts w:ascii="Arial;Helvetica;Sans-Serif" w:hAnsi="Arial;Helvetica;Sans-Serif"/>
                <w:b w:val="false"/>
                <w:i w:val="false"/>
                <w:caps w:val="false"/>
                <w:smallCaps w:val="false"/>
                <w:sz w:val="20"/>
              </w:rPr>
              <w:t>Identifies and recommends qualified candidates for election to the Board</w:t>
            </w:r>
          </w:p>
          <w:p>
            <w:pPr>
              <w:pStyle w:val="TableContents"/>
              <w:bidi w:val="0"/>
              <w:spacing w:before="120" w:after="120"/>
              <w:ind w:left="220" w:right="120" w:hanging="220"/>
              <w:jc w:val="left"/>
              <w:rPr>
                <w:caps w:val="false"/>
                <w:smallCaps w:val="false"/>
              </w:rPr>
            </w:pPr>
            <w:r>
              <w:rPr>
                <w:caps w:val="false"/>
                <w:smallCaps w:val="false"/>
              </w:rPr>
              <w:t>●  </w:t>
            </w:r>
            <w:r>
              <w:rPr>
                <w:rFonts w:ascii="Arial;Helvetica;Sans-Serif" w:hAnsi="Arial;Helvetica;Sans-Serif"/>
                <w:b w:val="false"/>
                <w:i w:val="false"/>
                <w:caps w:val="false"/>
                <w:smallCaps w:val="false"/>
                <w:sz w:val="20"/>
              </w:rPr>
              <w:t>Reviews periodically the Company’s policies on retirement age and term limits for non-employee directors</w:t>
            </w:r>
          </w:p>
          <w:p>
            <w:pPr>
              <w:pStyle w:val="TableContents"/>
              <w:bidi w:val="0"/>
              <w:spacing w:before="120" w:after="120"/>
              <w:ind w:left="220" w:right="120" w:hanging="220"/>
              <w:jc w:val="left"/>
              <w:rPr>
                <w:caps w:val="false"/>
                <w:smallCaps w:val="false"/>
              </w:rPr>
            </w:pPr>
            <w:r>
              <w:rPr>
                <w:caps w:val="false"/>
                <w:smallCaps w:val="false"/>
              </w:rPr>
              <w:t>●  </w:t>
            </w:r>
            <w:r>
              <w:rPr>
                <w:rFonts w:ascii="Arial;Helvetica;Sans-Serif" w:hAnsi="Arial;Helvetica;Sans-Serif"/>
                <w:b w:val="false"/>
                <w:i w:val="false"/>
                <w:caps w:val="false"/>
                <w:smallCaps w:val="false"/>
                <w:sz w:val="20"/>
              </w:rPr>
              <w:t>Makes recommendations to the Board for Committee assignments</w:t>
            </w:r>
          </w:p>
          <w:p>
            <w:pPr>
              <w:pStyle w:val="TableContents"/>
              <w:bidi w:val="0"/>
              <w:spacing w:before="120" w:after="120"/>
              <w:ind w:left="220" w:right="120" w:hanging="220"/>
              <w:jc w:val="left"/>
              <w:rPr>
                <w:caps w:val="false"/>
                <w:smallCaps w:val="false"/>
              </w:rPr>
            </w:pPr>
            <w:r>
              <w:rPr>
                <w:caps w:val="false"/>
                <w:smallCaps w:val="false"/>
              </w:rPr>
              <w:t>●  </w:t>
            </w:r>
            <w:r>
              <w:rPr>
                <w:rFonts w:ascii="Arial;Helvetica;Sans-Serif" w:hAnsi="Arial;Helvetica;Sans-Serif"/>
                <w:b w:val="false"/>
                <w:i w:val="false"/>
                <w:caps w:val="false"/>
                <w:smallCaps w:val="false"/>
                <w:sz w:val="20"/>
              </w:rPr>
              <w:t>Reviews and monitors the orientation of new Board members and the continuing education of all directors</w:t>
            </w:r>
          </w:p>
          <w:p>
            <w:pPr>
              <w:pStyle w:val="TableContents"/>
              <w:bidi w:val="0"/>
              <w:spacing w:before="120" w:after="120"/>
              <w:ind w:left="220" w:right="120" w:hanging="220"/>
              <w:jc w:val="left"/>
              <w:rPr>
                <w:caps w:val="false"/>
                <w:smallCaps w:val="false"/>
              </w:rPr>
            </w:pPr>
            <w:r>
              <w:rPr>
                <w:caps w:val="false"/>
                <w:smallCaps w:val="false"/>
              </w:rPr>
              <w:t>●  </w:t>
            </w:r>
            <w:r>
              <w:rPr>
                <w:rFonts w:ascii="Arial;Helvetica;Sans-Serif" w:hAnsi="Arial;Helvetica;Sans-Serif"/>
                <w:b w:val="false"/>
                <w:i w:val="false"/>
                <w:caps w:val="false"/>
                <w:smallCaps w:val="false"/>
                <w:sz w:val="20"/>
              </w:rPr>
              <w:t>Oversees the design and conduct of the annual self-evaluation of the Board, its Committees and individual directors</w:t>
            </w:r>
          </w:p>
          <w:p>
            <w:pPr>
              <w:pStyle w:val="TableContents"/>
              <w:bidi w:val="0"/>
              <w:spacing w:before="120" w:after="120"/>
              <w:ind w:left="220" w:right="120" w:hanging="220"/>
              <w:jc w:val="left"/>
              <w:rPr>
                <w:caps w:val="false"/>
                <w:smallCaps w:val="false"/>
              </w:rPr>
            </w:pPr>
            <w:r>
              <w:rPr>
                <w:caps w:val="false"/>
                <w:smallCaps w:val="false"/>
              </w:rPr>
              <w:t>●  </w:t>
            </w:r>
            <w:r>
              <w:rPr>
                <w:rFonts w:ascii="Arial;Helvetica;Sans-Serif" w:hAnsi="Arial;Helvetica;Sans-Serif"/>
                <w:b w:val="false"/>
                <w:i w:val="false"/>
                <w:caps w:val="false"/>
                <w:smallCaps w:val="false"/>
                <w:sz w:val="20"/>
              </w:rPr>
              <w:t>Reviews corporate governance developments and trends and, where appropriate, makes recommendations to the Board on the Company’s governance</w:t>
            </w:r>
          </w:p>
          <w:p>
            <w:pPr>
              <w:pStyle w:val="TableContents"/>
              <w:bidi w:val="0"/>
              <w:spacing w:before="120" w:after="120"/>
              <w:ind w:left="220" w:right="120" w:hanging="220"/>
              <w:jc w:val="left"/>
              <w:rPr>
                <w:caps w:val="false"/>
                <w:smallCaps w:val="false"/>
              </w:rPr>
            </w:pPr>
            <w:r>
              <w:rPr>
                <w:caps w:val="false"/>
                <w:smallCaps w:val="false"/>
              </w:rPr>
              <w:t>●  </w:t>
            </w:r>
            <w:r>
              <w:rPr>
                <w:rFonts w:ascii="Arial;Helvetica;Sans-Serif" w:hAnsi="Arial;Helvetica;Sans-Serif"/>
                <w:b w:val="false"/>
                <w:i w:val="false"/>
                <w:caps w:val="false"/>
                <w:smallCaps w:val="false"/>
                <w:sz w:val="20"/>
              </w:rPr>
              <w:t>Recommends to the Board appropriate compensation of non-employee directors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90"/>
        <w:gridCol w:w="60"/>
        <w:gridCol w:w="4728"/>
        <w:gridCol w:w="3227"/>
      </w:tblGrid>
      <w:tr>
        <w:trPr/>
        <w:tc>
          <w:tcPr>
            <w:tcW w:w="2190" w:type="dxa"/>
            <w:tcBorders/>
            <w:shd w:fill="EDEDEE" w:val="clear"/>
            <w:vAlign w:val="center"/>
          </w:tcPr>
          <w:p>
            <w:pPr>
              <w:pStyle w:val="TableContents"/>
              <w:bidi w:val="0"/>
              <w:spacing w:before="0" w:after="283"/>
              <w:jc w:val="left"/>
              <w:rPr>
                <w:caps w:val="false"/>
                <w:smallCaps w:val="false"/>
              </w:rPr>
            </w:pPr>
            <w:r>
              <w:rPr>
                <w:caps w:val="false"/>
                <w:smallCaps w:val="false"/>
              </w:rPr>
              <w:drawing>
                <wp:inline distT="0" distB="0" distL="0" distR="0">
                  <wp:extent cx="1362075" cy="3562350"/>
                  <wp:effectExtent l="0" t="0" r="0" b="0"/>
                  <wp:docPr id="268" name="Image1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 name="Image178" descr=""/>
                          <pic:cNvPicPr>
                            <a:picLocks noChangeAspect="1" noChangeArrowheads="1"/>
                          </pic:cNvPicPr>
                        </pic:nvPicPr>
                        <pic:blipFill>
                          <a:blip r:embed="rId223"/>
                          <a:stretch>
                            <a:fillRect/>
                          </a:stretch>
                        </pic:blipFill>
                        <pic:spPr bwMode="auto">
                          <a:xfrm>
                            <a:off x="0" y="0"/>
                            <a:ext cx="1362075" cy="3562350"/>
                          </a:xfrm>
                          <a:prstGeom prst="rect">
                            <a:avLst/>
                          </a:prstGeom>
                        </pic:spPr>
                      </pic:pic>
                    </a:graphicData>
                  </a:graphic>
                </wp:inline>
              </w:drawing>
            </w:r>
          </w:p>
        </w:tc>
        <w:tc>
          <w:tcPr>
            <w:tcW w:w="60" w:type="dxa"/>
            <w:tcBorders/>
            <w:shd w:fill="EDEDEE" w:val="clear"/>
            <w:vAlign w:val="center"/>
          </w:tcPr>
          <w:p>
            <w:pPr>
              <w:pStyle w:val="TableContents"/>
              <w:bidi w:val="0"/>
              <w:spacing w:before="0" w:after="283"/>
              <w:jc w:val="left"/>
              <w:rPr/>
            </w:pPr>
            <w:r>
              <w:rPr/>
              <w:t> </w:t>
            </w:r>
          </w:p>
        </w:tc>
        <w:tc>
          <w:tcPr>
            <w:tcW w:w="4728" w:type="dxa"/>
            <w:tcBorders/>
            <w:shd w:fill="EDEDEE" w:val="clear"/>
            <w:vAlign w:val="center"/>
          </w:tcPr>
          <w:p>
            <w:pPr>
              <w:pStyle w:val="TableContents"/>
              <w:bidi w:val="0"/>
              <w:jc w:val="left"/>
              <w:rPr>
                <w:rFonts w:ascii="Arial;Helvetica;Sans-Serif" w:hAnsi="Arial;Helvetica;Sans-Serif"/>
                <w:b/>
                <w:i w:val="false"/>
                <w:caps w:val="false"/>
                <w:smallCaps w:val="false"/>
                <w:sz w:val="36"/>
              </w:rPr>
            </w:pPr>
            <w:r>
              <w:rPr>
                <w:rFonts w:ascii="Arial;Helvetica;Sans-Serif" w:hAnsi="Arial;Helvetica;Sans-Serif"/>
                <w:b/>
                <w:i w:val="false"/>
                <w:caps w:val="false"/>
                <w:smallCaps w:val="false"/>
                <w:sz w:val="36"/>
              </w:rPr>
              <w:t>Finance</w:t>
            </w:r>
          </w:p>
          <w:p>
            <w:pPr>
              <w:pStyle w:val="TableContents"/>
              <w:bidi w:val="0"/>
              <w:jc w:val="left"/>
              <w:rPr>
                <w:caps w:val="false"/>
                <w:smallCaps w:val="false"/>
              </w:rPr>
            </w:pPr>
            <w:r>
              <w:rPr>
                <w:caps w:val="false"/>
                <w:smallCaps w:val="false"/>
              </w:rPr>
              <w:t> </w:t>
            </w:r>
          </w:p>
          <w:p>
            <w:pPr>
              <w:pStyle w:val="TableContents"/>
              <w:bidi w:val="0"/>
              <w:jc w:val="left"/>
              <w:rPr>
                <w:caps w:val="false"/>
                <w:smallCaps w:val="false"/>
              </w:rPr>
            </w:pPr>
            <w:r>
              <w:rPr>
                <w:caps w:val="false"/>
                <w:smallCaps w:val="false"/>
              </w:rPr>
              <w:t> </w:t>
            </w:r>
          </w:p>
          <w:p>
            <w:pPr>
              <w:pStyle w:val="TableContents"/>
              <w:bidi w:val="0"/>
              <w:jc w:val="left"/>
              <w:rPr>
                <w:caps w:val="false"/>
                <w:smallCaps w:val="false"/>
              </w:rPr>
            </w:pPr>
            <w:r>
              <w:rPr>
                <w:caps w:val="false"/>
                <w:smallCaps w:val="false"/>
              </w:rPr>
              <w:t> </w:t>
            </w:r>
          </w:p>
          <w:p>
            <w:pPr>
              <w:pStyle w:val="TableContents"/>
              <w:bidi w:val="0"/>
              <w:jc w:val="left"/>
              <w:rPr>
                <w:rFonts w:ascii="Arial;Helvetica;Sans-Serif" w:hAnsi="Arial;Helvetica;Sans-Serif"/>
                <w:b/>
                <w:i w:val="false"/>
                <w:caps w:val="false"/>
                <w:smallCaps w:val="false"/>
                <w:sz w:val="15"/>
              </w:rPr>
            </w:pPr>
            <w:r>
              <w:rPr>
                <w:rFonts w:ascii="Arial;Helvetica;Sans-Serif" w:hAnsi="Arial;Helvetica;Sans-Serif"/>
                <w:b/>
                <w:i w:val="false"/>
                <w:caps w:val="false"/>
                <w:smallCaps w:val="false"/>
                <w:sz w:val="15"/>
              </w:rPr>
              <w:t>Brian C. Rogers</w:t>
            </w:r>
          </w:p>
          <w:p>
            <w:pPr>
              <w:pStyle w:val="TableContents"/>
              <w:bidi w:val="0"/>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Chair</w:t>
            </w:r>
          </w:p>
          <w:p>
            <w:pPr>
              <w:pStyle w:val="TableContents"/>
              <w:bidi w:val="0"/>
              <w:spacing w:before="0" w:after="283"/>
              <w:jc w:val="left"/>
              <w:rPr>
                <w:caps w:val="false"/>
                <w:smallCaps w:val="false"/>
              </w:rPr>
            </w:pPr>
            <w:r>
              <w:rPr>
                <w:caps w:val="false"/>
                <w:smallCaps w:val="false"/>
              </w:rPr>
              <w:t> </w:t>
            </w:r>
          </w:p>
        </w:tc>
        <w:tc>
          <w:tcPr>
            <w:tcW w:w="3227" w:type="dxa"/>
            <w:tcBorders/>
            <w:shd w:fill="EDEDEE" w:val="clear"/>
            <w:vAlign w:val="center"/>
          </w:tcPr>
          <w:p>
            <w:pPr>
              <w:pStyle w:val="TableContents"/>
              <w:bidi w:val="0"/>
              <w:spacing w:before="0" w:after="283"/>
              <w:jc w:val="left"/>
              <w:rPr>
                <w:caps w:val="false"/>
                <w:smallCaps w:val="false"/>
              </w:rPr>
            </w:pPr>
            <w:r>
              <w:rPr>
                <w:caps w:val="false"/>
                <w:smallCaps w:val="false"/>
              </w:rPr>
              <w:drawing>
                <wp:inline distT="0" distB="0" distL="0" distR="0">
                  <wp:extent cx="590550" cy="1695450"/>
                  <wp:effectExtent l="0" t="0" r="0" b="0"/>
                  <wp:docPr id="269" name="Image1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 name="Image179" descr=""/>
                          <pic:cNvPicPr>
                            <a:picLocks noChangeAspect="1" noChangeArrowheads="1"/>
                          </pic:cNvPicPr>
                        </pic:nvPicPr>
                        <pic:blipFill>
                          <a:blip r:embed="rId224"/>
                          <a:stretch>
                            <a:fillRect/>
                          </a:stretch>
                        </pic:blipFill>
                        <pic:spPr bwMode="auto">
                          <a:xfrm>
                            <a:off x="0" y="0"/>
                            <a:ext cx="590550" cy="1695450"/>
                          </a:xfrm>
                          <a:prstGeom prst="rect">
                            <a:avLst/>
                          </a:prstGeom>
                        </pic:spPr>
                      </pic:pic>
                    </a:graphicData>
                  </a:graphic>
                </wp:inline>
              </w:drawing>
            </w:r>
          </w:p>
        </w:tc>
      </w:tr>
      <w:tr>
        <w:trPr/>
        <w:tc>
          <w:tcPr>
            <w:tcW w:w="219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4728" w:type="dxa"/>
            <w:tcBorders/>
            <w:vAlign w:val="center"/>
          </w:tcPr>
          <w:p>
            <w:pPr>
              <w:pStyle w:val="TableContents"/>
              <w:bidi w:val="0"/>
              <w:spacing w:before="0" w:after="283"/>
              <w:jc w:val="left"/>
              <w:rPr>
                <w:caps w:val="false"/>
                <w:smallCaps w:val="false"/>
              </w:rPr>
            </w:pPr>
            <w:r>
              <w:rPr>
                <w:caps w:val="false"/>
                <w:smallCaps w:val="false"/>
              </w:rPr>
              <w:t> </w:t>
            </w:r>
          </w:p>
        </w:tc>
        <w:tc>
          <w:tcPr>
            <w:tcW w:w="322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190" w:type="dxa"/>
            <w:tcBorders/>
            <w:vAlign w:val="center"/>
          </w:tcPr>
          <w:p>
            <w:pPr>
              <w:pStyle w:val="TableContents"/>
              <w:bidi w:val="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2025 MEETINGS: </w:t>
            </w:r>
            <w:r>
              <w:rPr>
                <w:rFonts w:ascii="Arial;Helvetica;Sans-Serif" w:hAnsi="Arial;Helvetica;Sans-Serif"/>
                <w:b/>
                <w:i w:val="false"/>
                <w:caps w:val="false"/>
                <w:smallCaps w:val="false"/>
                <w:sz w:val="20"/>
              </w:rPr>
              <w:t>4</w:t>
            </w:r>
          </w:p>
          <w:p>
            <w:pPr>
              <w:pStyle w:val="TableContents"/>
              <w:bidi w:val="0"/>
              <w:jc w:val="left"/>
              <w:rPr>
                <w:caps w:val="false"/>
                <w:smallCaps w:val="false"/>
              </w:rPr>
            </w:pPr>
            <w:r>
              <w:rPr>
                <w:caps w:val="false"/>
                <w:smallCaps w:val="false"/>
              </w:rPr>
              <w:t> </w:t>
            </w:r>
          </w:p>
          <w:p>
            <w:pPr>
              <w:pStyle w:val="TableContents"/>
              <w:bidi w:val="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COMMITTEE MEMBERS</w:t>
            </w:r>
          </w:p>
          <w:p>
            <w:pPr>
              <w:pStyle w:val="TableContents"/>
              <w:bidi w:val="0"/>
              <w:jc w:val="left"/>
              <w:rPr>
                <w:caps w:val="false"/>
                <w:smallCaps w:val="false"/>
              </w:rPr>
            </w:pPr>
            <w:r>
              <w:rPr>
                <w:caps w:val="false"/>
                <w:smallCaps w:val="false"/>
              </w:rPr>
              <w:t> </w:t>
            </w:r>
          </w:p>
          <w:p>
            <w:pPr>
              <w:pStyle w:val="TableContents"/>
              <w:bidi w:val="0"/>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Tracy A. Atkinson</w:t>
            </w:r>
          </w:p>
          <w:p>
            <w:pPr>
              <w:pStyle w:val="TableContents"/>
              <w:bidi w:val="0"/>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Christopher T. Calio</w:t>
            </w:r>
          </w:p>
          <w:p>
            <w:pPr>
              <w:pStyle w:val="TableContents"/>
              <w:bidi w:val="0"/>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George R. Oliver</w:t>
            </w:r>
          </w:p>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7955" w:type="dxa"/>
            <w:gridSpan w:val="2"/>
            <w:tcBorders/>
            <w:vAlign w:val="center"/>
          </w:tcPr>
          <w:p>
            <w:pPr>
              <w:pStyle w:val="TableContents"/>
              <w:bidi w:val="0"/>
              <w:ind w:left="220" w:right="0" w:hanging="220"/>
              <w:jc w:val="left"/>
              <w:rPr>
                <w:caps w:val="false"/>
                <w:smallCaps w:val="false"/>
              </w:rPr>
            </w:pPr>
            <w:r>
              <w:rPr>
                <w:caps w:val="false"/>
                <w:smallCaps w:val="false"/>
              </w:rPr>
              <w:t>●  </w:t>
            </w:r>
            <w:r>
              <w:rPr>
                <w:rFonts w:ascii="Arial;Helvetica;Sans-Serif" w:hAnsi="Arial;Helvetica;Sans-Serif"/>
                <w:b w:val="false"/>
                <w:i w:val="false"/>
                <w:caps w:val="false"/>
                <w:smallCaps w:val="false"/>
                <w:sz w:val="20"/>
              </w:rPr>
              <w:t>Reviews and monitors the management of RTX’s financial resources and financial risks</w:t>
            </w:r>
          </w:p>
          <w:p>
            <w:pPr>
              <w:pStyle w:val="TableContents"/>
              <w:bidi w:val="0"/>
              <w:spacing w:before="120" w:after="120"/>
              <w:ind w:left="220" w:right="120" w:hanging="220"/>
              <w:jc w:val="left"/>
              <w:rPr>
                <w:caps w:val="false"/>
                <w:smallCaps w:val="false"/>
              </w:rPr>
            </w:pPr>
            <w:r>
              <w:rPr>
                <w:caps w:val="false"/>
                <w:smallCaps w:val="false"/>
              </w:rPr>
              <w:t>●  </w:t>
            </w:r>
            <w:r>
              <w:rPr>
                <w:rFonts w:ascii="Arial;Helvetica;Sans-Serif" w:hAnsi="Arial;Helvetica;Sans-Serif"/>
                <w:b w:val="false"/>
                <w:i w:val="false"/>
                <w:caps w:val="false"/>
                <w:smallCaps w:val="false"/>
                <w:sz w:val="20"/>
              </w:rPr>
              <w:t>Considers plans for significant acquisitions and divestitures</w:t>
            </w:r>
          </w:p>
          <w:p>
            <w:pPr>
              <w:pStyle w:val="TableContents"/>
              <w:bidi w:val="0"/>
              <w:spacing w:before="120" w:after="120"/>
              <w:ind w:left="220" w:right="120" w:hanging="220"/>
              <w:jc w:val="left"/>
              <w:rPr>
                <w:caps w:val="false"/>
                <w:smallCaps w:val="false"/>
              </w:rPr>
            </w:pPr>
            <w:r>
              <w:rPr>
                <w:caps w:val="false"/>
                <w:smallCaps w:val="false"/>
              </w:rPr>
              <w:t>●  </w:t>
            </w:r>
            <w:r>
              <w:rPr>
                <w:rFonts w:ascii="Arial;Helvetica;Sans-Serif" w:hAnsi="Arial;Helvetica;Sans-Serif"/>
                <w:b w:val="false"/>
                <w:i w:val="false"/>
                <w:caps w:val="false"/>
                <w:smallCaps w:val="false"/>
                <w:sz w:val="20"/>
              </w:rPr>
              <w:t>Monitors progress on pending and completed acquisitions and divestitures</w:t>
            </w:r>
          </w:p>
          <w:p>
            <w:pPr>
              <w:pStyle w:val="TableContents"/>
              <w:bidi w:val="0"/>
              <w:spacing w:before="120" w:after="120"/>
              <w:ind w:left="220" w:right="120" w:hanging="220"/>
              <w:jc w:val="left"/>
              <w:rPr>
                <w:caps w:val="false"/>
                <w:smallCaps w:val="false"/>
              </w:rPr>
            </w:pPr>
            <w:r>
              <w:rPr>
                <w:caps w:val="false"/>
                <w:smallCaps w:val="false"/>
              </w:rPr>
              <w:t>●  </w:t>
            </w:r>
            <w:r>
              <w:rPr>
                <w:rFonts w:ascii="Arial;Helvetica;Sans-Serif" w:hAnsi="Arial;Helvetica;Sans-Serif"/>
                <w:b w:val="false"/>
                <w:i w:val="false"/>
                <w:caps w:val="false"/>
                <w:smallCaps w:val="false"/>
                <w:sz w:val="20"/>
              </w:rPr>
              <w:t>Reviews significant financing programs in support of business objectives</w:t>
            </w:r>
          </w:p>
          <w:p>
            <w:pPr>
              <w:pStyle w:val="TableContents"/>
              <w:bidi w:val="0"/>
              <w:spacing w:before="120" w:after="120"/>
              <w:ind w:left="220" w:right="120" w:hanging="220"/>
              <w:jc w:val="left"/>
              <w:rPr>
                <w:caps w:val="false"/>
                <w:smallCaps w:val="false"/>
              </w:rPr>
            </w:pPr>
            <w:r>
              <w:rPr>
                <w:caps w:val="false"/>
                <w:smallCaps w:val="false"/>
              </w:rPr>
              <w:t>●  </w:t>
            </w:r>
            <w:r>
              <w:rPr>
                <w:rFonts w:ascii="Arial;Helvetica;Sans-Serif" w:hAnsi="Arial;Helvetica;Sans-Serif"/>
                <w:b w:val="false"/>
                <w:i w:val="false"/>
                <w:caps w:val="false"/>
                <w:smallCaps w:val="false"/>
                <w:sz w:val="20"/>
              </w:rPr>
              <w:t>Reviews significant capital appropriations</w:t>
            </w:r>
          </w:p>
          <w:p>
            <w:pPr>
              <w:pStyle w:val="TableContents"/>
              <w:bidi w:val="0"/>
              <w:spacing w:before="120" w:after="120"/>
              <w:ind w:left="220" w:right="120" w:hanging="220"/>
              <w:jc w:val="left"/>
              <w:rPr>
                <w:caps w:val="false"/>
                <w:smallCaps w:val="false"/>
              </w:rPr>
            </w:pPr>
            <w:r>
              <w:rPr>
                <w:caps w:val="false"/>
                <w:smallCaps w:val="false"/>
              </w:rPr>
              <w:t>●  </w:t>
            </w:r>
            <w:r>
              <w:rPr>
                <w:rFonts w:ascii="Arial;Helvetica;Sans-Serif" w:hAnsi="Arial;Helvetica;Sans-Serif"/>
                <w:b w:val="false"/>
                <w:i w:val="false"/>
                <w:caps w:val="false"/>
                <w:smallCaps w:val="false"/>
                <w:sz w:val="20"/>
              </w:rPr>
              <w:t>Reviews policies and programs related to: dividends and share repurchases; financing, working and long-term capital requirements; managing exposure with respect to foreign exchange, interest rates and raw material prices; investment of pension assets; and insurance and risk management</w:t>
            </w:r>
          </w:p>
        </w:tc>
      </w:tr>
    </w:tbl>
    <w:p>
      <w:pPr>
        <w:pStyle w:val="TextBody"/>
        <w:bidi w:val="0"/>
        <w:jc w:val="left"/>
        <w:rPr>
          <w:caps w:val="false"/>
          <w:smallCaps w:val="false"/>
        </w:rPr>
      </w:pPr>
      <w:r>
        <w:rPr>
          <w:caps w:val="false"/>
          <w:smallCaps w:val="false"/>
        </w:rPr>
        <w:t> </w:t>
      </w:r>
    </w:p>
    <w:p>
      <w:pPr>
        <w:pStyle w:val="TextBody"/>
        <w:bidi w:val="0"/>
        <w:jc w:val="right"/>
        <w:rPr>
          <w:rFonts w:ascii="Arial;Helvetica;Sans-Serif" w:hAnsi="Arial;Helvetica;Sans-Serif"/>
          <w:b w:val="false"/>
          <w:i w:val="false"/>
          <w:caps w:val="false"/>
          <w:smallCaps w:val="false"/>
          <w:sz w:val="15"/>
        </w:rPr>
      </w:pPr>
      <w:r>
        <w:rPr>
          <w:rFonts w:ascii="Arial;Helvetica;Sans-Serif" w:hAnsi="Arial;Helvetica;Sans-Serif"/>
          <w:b/>
          <w:i w:val="false"/>
          <w:caps w:val="false"/>
          <w:smallCaps w:val="false"/>
          <w:sz w:val="15"/>
        </w:rPr>
        <w:t>RTX</w:t>
      </w:r>
      <w:r>
        <w:rPr>
          <w:rFonts w:ascii="Arial;Helvetica;Sans-Serif" w:hAnsi="Arial;Helvetica;Sans-Serif"/>
          <w:b w:val="false"/>
          <w:i w:val="false"/>
          <w:caps w:val="false"/>
          <w:smallCaps w:val="false"/>
          <w:sz w:val="15"/>
        </w:rPr>
        <w:t xml:space="preserve"> 2026 PROXY STATEMENT    </w:t>
      </w:r>
      <w:r>
        <w:rPr>
          <w:rFonts w:ascii="Arial;Helvetica;Sans-Serif" w:hAnsi="Arial;Helvetica;Sans-Serif"/>
          <w:b/>
          <w:i w:val="false"/>
          <w:caps w:val="false"/>
          <w:smallCaps w:val="false"/>
          <w:sz w:val="15"/>
        </w:rPr>
        <w:t>25</w:t>
      </w:r>
    </w:p>
    <w:p>
      <w:pPr>
        <w:pStyle w:val="HorizontalLine"/>
        <w:pBdr>
          <w:bottom w:val="double" w:sz="2" w:space="0" w:color="808080"/>
        </w:pBdr>
        <w:bidi w:val="0"/>
        <w:spacing w:before="0" w:after="283"/>
        <w:jc w:val="left"/>
        <w:rPr/>
      </w:pPr>
      <w:r>
        <w:rPr/>
      </w:r>
    </w:p>
    <w:p>
      <w:pPr>
        <w:pStyle w:val="TextBody"/>
        <w:bidi w:val="0"/>
        <w:spacing w:before="200" w:after="200"/>
        <w:jc w:val="left"/>
        <w:rPr/>
      </w:pPr>
      <w:hyperlink w:anchor="toc">
        <w:r>
          <w:rPr>
            <w:rStyle w:val="InternetLink"/>
            <w:rFonts w:ascii="Arial;Helvetica;Sans-Serif" w:hAnsi="Arial;Helvetica;Sans-Serif"/>
            <w:b/>
            <w:i w:val="false"/>
            <w:caps w:val="false"/>
            <w:smallCaps w:val="false"/>
            <w:sz w:val="16"/>
          </w:rPr>
          <w:t>Table of Contents</w:t>
        </w:r>
      </w:hyperlink>
    </w:p>
    <w:p>
      <w:pPr>
        <w:pStyle w:val="TextBody"/>
        <w:bidi w:val="0"/>
        <w:jc w:val="left"/>
        <w:rPr>
          <w:rFonts w:ascii="Arial;Helvetica;Sans-Serif" w:hAnsi="Arial;Helvetica;Sans-Serif"/>
          <w:b/>
          <w:i w:val="false"/>
          <w:caps w:val="false"/>
          <w:smallCaps w:val="false"/>
          <w:color w:val="C12E33"/>
          <w:sz w:val="15"/>
        </w:rPr>
      </w:pPr>
      <w:r>
        <w:rPr>
          <w:rFonts w:ascii="Arial;Helvetica;Sans-Serif" w:hAnsi="Arial;Helvetica;Sans-Serif"/>
          <w:b/>
          <w:i w:val="false"/>
          <w:caps w:val="false"/>
          <w:smallCaps w:val="false"/>
          <w:color w:val="C12E33"/>
          <w:sz w:val="15"/>
        </w:rPr>
        <w:t>CORPORATE GOVERNANCE</w:t>
      </w:r>
    </w:p>
    <w:p>
      <w:pPr>
        <w:pStyle w:val="TextBody"/>
        <w:bidi w:val="0"/>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BOARD COMMITTEES</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03"/>
        <w:gridCol w:w="60"/>
        <w:gridCol w:w="6528"/>
        <w:gridCol w:w="1414"/>
      </w:tblGrid>
      <w:tr>
        <w:trPr/>
        <w:tc>
          <w:tcPr>
            <w:tcW w:w="2203" w:type="dxa"/>
            <w:tcBorders/>
            <w:shd w:fill="EDEDEE" w:val="clear"/>
            <w:vAlign w:val="center"/>
          </w:tcPr>
          <w:p>
            <w:pPr>
              <w:pStyle w:val="TableContents"/>
              <w:bidi w:val="0"/>
              <w:spacing w:before="0" w:after="283"/>
              <w:jc w:val="left"/>
              <w:rPr>
                <w:caps w:val="false"/>
                <w:smallCaps w:val="false"/>
              </w:rPr>
            </w:pPr>
            <w:r>
              <w:rPr>
                <w:caps w:val="false"/>
                <w:smallCaps w:val="false"/>
              </w:rPr>
              <w:drawing>
                <wp:inline distT="0" distB="0" distL="0" distR="0">
                  <wp:extent cx="1362075" cy="3629025"/>
                  <wp:effectExtent l="0" t="0" r="0" b="0"/>
                  <wp:docPr id="270" name="Image1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 name="Image180" descr=""/>
                          <pic:cNvPicPr>
                            <a:picLocks noChangeAspect="1" noChangeArrowheads="1"/>
                          </pic:cNvPicPr>
                        </pic:nvPicPr>
                        <pic:blipFill>
                          <a:blip r:embed="rId225"/>
                          <a:stretch>
                            <a:fillRect/>
                          </a:stretch>
                        </pic:blipFill>
                        <pic:spPr bwMode="auto">
                          <a:xfrm>
                            <a:off x="0" y="0"/>
                            <a:ext cx="1362075" cy="3629025"/>
                          </a:xfrm>
                          <a:prstGeom prst="rect">
                            <a:avLst/>
                          </a:prstGeom>
                        </pic:spPr>
                      </pic:pic>
                    </a:graphicData>
                  </a:graphic>
                </wp:inline>
              </w:drawing>
            </w:r>
          </w:p>
        </w:tc>
        <w:tc>
          <w:tcPr>
            <w:tcW w:w="60" w:type="dxa"/>
            <w:tcBorders/>
            <w:shd w:fill="EDEDEE" w:val="clear"/>
            <w:vAlign w:val="center"/>
          </w:tcPr>
          <w:p>
            <w:pPr>
              <w:pStyle w:val="TableContents"/>
              <w:bidi w:val="0"/>
              <w:spacing w:before="0" w:after="283"/>
              <w:jc w:val="left"/>
              <w:rPr/>
            </w:pPr>
            <w:r>
              <w:rPr/>
              <w:t> </w:t>
            </w:r>
          </w:p>
        </w:tc>
        <w:tc>
          <w:tcPr>
            <w:tcW w:w="6528" w:type="dxa"/>
            <w:tcBorders/>
            <w:shd w:fill="EDEDEE" w:val="clear"/>
            <w:vAlign w:val="center"/>
          </w:tcPr>
          <w:p>
            <w:pPr>
              <w:pStyle w:val="TableContents"/>
              <w:bidi w:val="0"/>
              <w:jc w:val="left"/>
              <w:rPr>
                <w:rFonts w:ascii="Arial;Helvetica;Sans-Serif" w:hAnsi="Arial;Helvetica;Sans-Serif"/>
                <w:b/>
                <w:i w:val="false"/>
                <w:caps w:val="false"/>
                <w:smallCaps w:val="false"/>
                <w:sz w:val="36"/>
              </w:rPr>
            </w:pPr>
            <w:r>
              <w:rPr>
                <w:rFonts w:ascii="Arial;Helvetica;Sans-Serif" w:hAnsi="Arial;Helvetica;Sans-Serif"/>
                <w:b/>
                <w:i w:val="false"/>
                <w:caps w:val="false"/>
                <w:smallCaps w:val="false"/>
                <w:sz w:val="36"/>
              </w:rPr>
              <w:t>Human Capital &amp; Compensation</w:t>
            </w:r>
          </w:p>
          <w:p>
            <w:pPr>
              <w:pStyle w:val="TableContents"/>
              <w:bidi w:val="0"/>
              <w:jc w:val="left"/>
              <w:rPr>
                <w:caps w:val="false"/>
                <w:smallCaps w:val="false"/>
              </w:rPr>
            </w:pPr>
            <w:r>
              <w:rPr>
                <w:caps w:val="false"/>
                <w:smallCaps w:val="false"/>
              </w:rPr>
              <w:t> </w:t>
            </w:r>
          </w:p>
          <w:p>
            <w:pPr>
              <w:pStyle w:val="TableContents"/>
              <w:bidi w:val="0"/>
              <w:jc w:val="left"/>
              <w:rPr>
                <w:caps w:val="false"/>
                <w:smallCaps w:val="false"/>
              </w:rPr>
            </w:pPr>
            <w:r>
              <w:rPr>
                <w:caps w:val="false"/>
                <w:smallCaps w:val="false"/>
              </w:rPr>
              <w:t> </w:t>
            </w:r>
          </w:p>
          <w:p>
            <w:pPr>
              <w:pStyle w:val="TableContents"/>
              <w:bidi w:val="0"/>
              <w:jc w:val="left"/>
              <w:rPr>
                <w:caps w:val="false"/>
                <w:smallCaps w:val="false"/>
              </w:rPr>
            </w:pPr>
            <w:r>
              <w:rPr>
                <w:caps w:val="false"/>
                <w:smallCaps w:val="false"/>
              </w:rPr>
              <w:t> </w:t>
            </w:r>
          </w:p>
          <w:p>
            <w:pPr>
              <w:pStyle w:val="TableContents"/>
              <w:bidi w:val="0"/>
              <w:jc w:val="left"/>
              <w:rPr>
                <w:caps w:val="false"/>
                <w:smallCaps w:val="false"/>
              </w:rPr>
            </w:pPr>
            <w:r>
              <w:rPr>
                <w:caps w:val="false"/>
                <w:smallCaps w:val="false"/>
              </w:rPr>
              <w:t> </w:t>
            </w:r>
          </w:p>
          <w:p>
            <w:pPr>
              <w:pStyle w:val="TableContents"/>
              <w:bidi w:val="0"/>
              <w:jc w:val="left"/>
              <w:rPr>
                <w:caps w:val="false"/>
                <w:smallCaps w:val="false"/>
              </w:rPr>
            </w:pPr>
            <w:r>
              <w:rPr>
                <w:caps w:val="false"/>
                <w:smallCaps w:val="false"/>
              </w:rPr>
              <w:t> </w:t>
            </w:r>
          </w:p>
          <w:p>
            <w:pPr>
              <w:pStyle w:val="TableContents"/>
              <w:bidi w:val="0"/>
              <w:jc w:val="left"/>
              <w:rPr>
                <w:rFonts w:ascii="Arial;Helvetica;Sans-Serif" w:hAnsi="Arial;Helvetica;Sans-Serif"/>
                <w:b/>
                <w:i w:val="false"/>
                <w:caps w:val="false"/>
                <w:smallCaps w:val="false"/>
                <w:sz w:val="15"/>
              </w:rPr>
            </w:pPr>
            <w:r>
              <w:rPr>
                <w:rFonts w:ascii="Arial;Helvetica;Sans-Serif" w:hAnsi="Arial;Helvetica;Sans-Serif"/>
                <w:b/>
                <w:i w:val="false"/>
                <w:caps w:val="false"/>
                <w:smallCaps w:val="false"/>
                <w:sz w:val="15"/>
              </w:rPr>
              <w:t>Tracy A. Atkinson</w:t>
            </w:r>
          </w:p>
          <w:p>
            <w:pPr>
              <w:pStyle w:val="TableContents"/>
              <w:bidi w:val="0"/>
              <w:spacing w:before="0" w:after="283"/>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Chair</w:t>
            </w:r>
          </w:p>
        </w:tc>
        <w:tc>
          <w:tcPr>
            <w:tcW w:w="1414" w:type="dxa"/>
            <w:tcBorders/>
            <w:shd w:fill="EDEDEE" w:val="clear"/>
            <w:vAlign w:val="center"/>
          </w:tcPr>
          <w:p>
            <w:pPr>
              <w:pStyle w:val="TableContents"/>
              <w:bidi w:val="0"/>
              <w:spacing w:before="0" w:after="283"/>
              <w:jc w:val="left"/>
              <w:rPr>
                <w:caps w:val="false"/>
                <w:smallCaps w:val="false"/>
              </w:rPr>
            </w:pPr>
            <w:r>
              <w:rPr>
                <w:caps w:val="false"/>
                <w:smallCaps w:val="false"/>
              </w:rPr>
              <w:drawing>
                <wp:inline distT="0" distB="0" distL="0" distR="0">
                  <wp:extent cx="590550" cy="1857375"/>
                  <wp:effectExtent l="0" t="0" r="0" b="0"/>
                  <wp:docPr id="271" name="Image1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 name="Image181" descr=""/>
                          <pic:cNvPicPr>
                            <a:picLocks noChangeAspect="1" noChangeArrowheads="1"/>
                          </pic:cNvPicPr>
                        </pic:nvPicPr>
                        <pic:blipFill>
                          <a:blip r:embed="rId226"/>
                          <a:stretch>
                            <a:fillRect/>
                          </a:stretch>
                        </pic:blipFill>
                        <pic:spPr bwMode="auto">
                          <a:xfrm>
                            <a:off x="0" y="0"/>
                            <a:ext cx="590550" cy="1857375"/>
                          </a:xfrm>
                          <a:prstGeom prst="rect">
                            <a:avLst/>
                          </a:prstGeom>
                        </pic:spPr>
                      </pic:pic>
                    </a:graphicData>
                  </a:graphic>
                </wp:inline>
              </w:drawing>
            </w:r>
          </w:p>
        </w:tc>
      </w:tr>
      <w:tr>
        <w:trPr/>
        <w:tc>
          <w:tcPr>
            <w:tcW w:w="2203"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528" w:type="dxa"/>
            <w:tcBorders/>
            <w:vAlign w:val="center"/>
          </w:tcPr>
          <w:p>
            <w:pPr>
              <w:pStyle w:val="TableContents"/>
              <w:bidi w:val="0"/>
              <w:spacing w:before="0" w:after="283"/>
              <w:jc w:val="left"/>
              <w:rPr>
                <w:caps w:val="false"/>
                <w:smallCaps w:val="false"/>
              </w:rPr>
            </w:pPr>
            <w:r>
              <w:rPr>
                <w:caps w:val="false"/>
                <w:smallCaps w:val="false"/>
              </w:rPr>
              <w:t> </w:t>
            </w:r>
          </w:p>
        </w:tc>
        <w:tc>
          <w:tcPr>
            <w:tcW w:w="1414"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203" w:type="dxa"/>
            <w:tcBorders/>
            <w:vAlign w:val="center"/>
          </w:tcPr>
          <w:p>
            <w:pPr>
              <w:pStyle w:val="TableContents"/>
              <w:bidi w:val="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2025 MEETINGS: </w:t>
            </w:r>
            <w:r>
              <w:rPr>
                <w:rFonts w:ascii="Arial;Helvetica;Sans-Serif" w:hAnsi="Arial;Helvetica;Sans-Serif"/>
                <w:b/>
                <w:i w:val="false"/>
                <w:caps w:val="false"/>
                <w:smallCaps w:val="false"/>
                <w:sz w:val="20"/>
              </w:rPr>
              <w:t>5</w:t>
            </w:r>
          </w:p>
          <w:p>
            <w:pPr>
              <w:pStyle w:val="TableContents"/>
              <w:bidi w:val="0"/>
              <w:jc w:val="left"/>
              <w:rPr>
                <w:caps w:val="false"/>
                <w:smallCaps w:val="false"/>
              </w:rPr>
            </w:pPr>
            <w:r>
              <w:rPr>
                <w:caps w:val="false"/>
                <w:smallCaps w:val="false"/>
              </w:rPr>
              <w:t> </w:t>
            </w:r>
          </w:p>
          <w:p>
            <w:pPr>
              <w:pStyle w:val="TableContents"/>
              <w:bidi w:val="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COMMITTEE MEMBERS</w:t>
            </w:r>
          </w:p>
          <w:p>
            <w:pPr>
              <w:pStyle w:val="TableContents"/>
              <w:bidi w:val="0"/>
              <w:jc w:val="left"/>
              <w:rPr>
                <w:caps w:val="false"/>
                <w:smallCaps w:val="false"/>
              </w:rPr>
            </w:pPr>
            <w:r>
              <w:rPr>
                <w:caps w:val="false"/>
                <w:smallCaps w:val="false"/>
              </w:rPr>
              <w:t> </w:t>
            </w:r>
          </w:p>
          <w:p>
            <w:pPr>
              <w:pStyle w:val="TableContents"/>
              <w:bidi w:val="0"/>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George R. Oliver</w:t>
            </w:r>
          </w:p>
          <w:p>
            <w:pPr>
              <w:pStyle w:val="TableContents"/>
              <w:bidi w:val="0"/>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Ellen M. Pawlikowski</w:t>
            </w:r>
          </w:p>
          <w:p>
            <w:pPr>
              <w:pStyle w:val="TableContents"/>
              <w:bidi w:val="0"/>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Fredric G. Reynolds</w:t>
            </w:r>
          </w:p>
          <w:p>
            <w:pPr>
              <w:pStyle w:val="TableContents"/>
              <w:bidi w:val="0"/>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Brian C. Rogers</w:t>
            </w:r>
          </w:p>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7942" w:type="dxa"/>
            <w:gridSpan w:val="2"/>
            <w:tcBorders/>
            <w:vAlign w:val="center"/>
          </w:tcPr>
          <w:p>
            <w:pPr>
              <w:pStyle w:val="TableContents"/>
              <w:bidi w:val="0"/>
              <w:ind w:left="220" w:right="0" w:hanging="220"/>
              <w:jc w:val="left"/>
              <w:rPr>
                <w:caps w:val="false"/>
                <w:smallCaps w:val="false"/>
              </w:rPr>
            </w:pPr>
            <w:r>
              <w:rPr>
                <w:caps w:val="false"/>
                <w:smallCaps w:val="false"/>
              </w:rPr>
              <w:t>●  </w:t>
            </w:r>
            <w:r>
              <w:rPr>
                <w:rFonts w:ascii="Arial;Helvetica;Sans-Serif" w:hAnsi="Arial;Helvetica;Sans-Serif"/>
                <w:b w:val="false"/>
                <w:i w:val="false"/>
                <w:caps w:val="false"/>
                <w:smallCaps w:val="false"/>
                <w:sz w:val="20"/>
              </w:rPr>
              <w:t>Reviews RTX’s executive compensation policies and practices to ensure that they adequately and appropriately align executive and shareowner interests</w:t>
            </w:r>
          </w:p>
          <w:p>
            <w:pPr>
              <w:pStyle w:val="TableContents"/>
              <w:bidi w:val="0"/>
              <w:spacing w:before="120" w:after="120"/>
              <w:ind w:left="220" w:right="120" w:hanging="220"/>
              <w:jc w:val="left"/>
              <w:rPr>
                <w:caps w:val="false"/>
                <w:smallCaps w:val="false"/>
              </w:rPr>
            </w:pPr>
            <w:r>
              <w:rPr>
                <w:caps w:val="false"/>
                <w:smallCaps w:val="false"/>
              </w:rPr>
              <w:t>●  </w:t>
            </w:r>
            <w:r>
              <w:rPr>
                <w:rFonts w:ascii="Arial;Helvetica;Sans-Serif" w:hAnsi="Arial;Helvetica;Sans-Serif"/>
                <w:b w:val="false"/>
                <w:i w:val="false"/>
                <w:caps w:val="false"/>
                <w:smallCaps w:val="false"/>
                <w:sz w:val="20"/>
              </w:rPr>
              <w:t>Reviews and approves the design of, and sets performance goals for, our executive annual and long-term incentive programs</w:t>
            </w:r>
          </w:p>
          <w:p>
            <w:pPr>
              <w:pStyle w:val="TableContents"/>
              <w:bidi w:val="0"/>
              <w:spacing w:before="120" w:after="120"/>
              <w:ind w:left="220" w:right="120" w:hanging="220"/>
              <w:jc w:val="left"/>
              <w:rPr>
                <w:caps w:val="false"/>
                <w:smallCaps w:val="false"/>
              </w:rPr>
            </w:pPr>
            <w:r>
              <w:rPr>
                <w:caps w:val="false"/>
                <w:smallCaps w:val="false"/>
              </w:rPr>
              <w:t>●  </w:t>
            </w:r>
            <w:r>
              <w:rPr>
                <w:rFonts w:ascii="Arial;Helvetica;Sans-Serif" w:hAnsi="Arial;Helvetica;Sans-Serif"/>
                <w:b w:val="false"/>
                <w:i w:val="false"/>
                <w:caps w:val="false"/>
                <w:smallCaps w:val="false"/>
                <w:sz w:val="20"/>
              </w:rPr>
              <w:t>Evaluates the performance of RTX, our business units and our NEOs relative to performance goals set by the HCC Committee for the annual and long-term incentive programs</w:t>
            </w:r>
          </w:p>
          <w:p>
            <w:pPr>
              <w:pStyle w:val="TableContents"/>
              <w:bidi w:val="0"/>
              <w:spacing w:before="120" w:after="120"/>
              <w:ind w:left="220" w:right="120" w:hanging="220"/>
              <w:jc w:val="left"/>
              <w:rPr>
                <w:caps w:val="false"/>
                <w:smallCaps w:val="false"/>
              </w:rPr>
            </w:pPr>
            <w:r>
              <w:rPr>
                <w:caps w:val="false"/>
                <w:smallCaps w:val="false"/>
              </w:rPr>
              <w:t>●  </w:t>
            </w:r>
            <w:r>
              <w:rPr>
                <w:rFonts w:ascii="Arial;Helvetica;Sans-Serif" w:hAnsi="Arial;Helvetica;Sans-Serif"/>
                <w:b w:val="false"/>
                <w:i w:val="false"/>
                <w:caps w:val="false"/>
                <w:smallCaps w:val="false"/>
                <w:sz w:val="20"/>
              </w:rPr>
              <w:t>Reviews and approves compensation for the CEO and other executive officers of the Company</w:t>
            </w:r>
          </w:p>
          <w:p>
            <w:pPr>
              <w:pStyle w:val="TableContents"/>
              <w:bidi w:val="0"/>
              <w:spacing w:before="120" w:after="120"/>
              <w:ind w:left="220" w:right="120" w:hanging="220"/>
              <w:jc w:val="left"/>
              <w:rPr>
                <w:caps w:val="false"/>
                <w:smallCaps w:val="false"/>
              </w:rPr>
            </w:pPr>
            <w:r>
              <w:rPr>
                <w:caps w:val="false"/>
                <w:smallCaps w:val="false"/>
              </w:rPr>
              <w:t>●  </w:t>
            </w:r>
            <w:r>
              <w:rPr>
                <w:rFonts w:ascii="Arial;Helvetica;Sans-Serif" w:hAnsi="Arial;Helvetica;Sans-Serif"/>
                <w:b w:val="false"/>
                <w:i w:val="false"/>
                <w:caps w:val="false"/>
                <w:smallCaps w:val="false"/>
                <w:sz w:val="20"/>
              </w:rPr>
              <w:t>Reviews a risk assessment of RTX’s compensation policies, plans and practices</w:t>
            </w:r>
          </w:p>
          <w:p>
            <w:pPr>
              <w:pStyle w:val="TableContents"/>
              <w:bidi w:val="0"/>
              <w:spacing w:before="120" w:after="120"/>
              <w:ind w:left="220" w:right="120" w:hanging="220"/>
              <w:jc w:val="left"/>
              <w:rPr>
                <w:caps w:val="false"/>
                <w:smallCaps w:val="false"/>
              </w:rPr>
            </w:pPr>
            <w:r>
              <w:rPr>
                <w:caps w:val="false"/>
                <w:smallCaps w:val="false"/>
              </w:rPr>
              <w:t>●  </w:t>
            </w:r>
            <w:r>
              <w:rPr>
                <w:rFonts w:ascii="Arial;Helvetica;Sans-Serif" w:hAnsi="Arial;Helvetica;Sans-Serif"/>
                <w:b w:val="false"/>
                <w:i w:val="false"/>
                <w:caps w:val="false"/>
                <w:smallCaps w:val="false"/>
                <w:sz w:val="20"/>
              </w:rPr>
              <w:t>Reviews the Company’s initiatives relating to human capital management</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22"/>
        <w:gridCol w:w="60"/>
        <w:gridCol w:w="2852"/>
        <w:gridCol w:w="1271"/>
      </w:tblGrid>
      <w:tr>
        <w:trPr/>
        <w:tc>
          <w:tcPr>
            <w:tcW w:w="6022" w:type="dxa"/>
            <w:tcBorders/>
            <w:shd w:fill="EDEDEE" w:val="clear"/>
            <w:vAlign w:val="center"/>
          </w:tcPr>
          <w:p>
            <w:pPr>
              <w:pStyle w:val="TableContents"/>
              <w:bidi w:val="0"/>
              <w:spacing w:before="0" w:after="283"/>
              <w:jc w:val="left"/>
              <w:rPr>
                <w:caps w:val="false"/>
                <w:smallCaps w:val="false"/>
              </w:rPr>
            </w:pPr>
            <w:r>
              <w:rPr>
                <w:caps w:val="false"/>
                <w:smallCaps w:val="false"/>
              </w:rPr>
              <w:drawing>
                <wp:inline distT="0" distB="0" distL="0" distR="0">
                  <wp:extent cx="1428750" cy="3590925"/>
                  <wp:effectExtent l="0" t="0" r="0" b="0"/>
                  <wp:docPr id="272" name="Image1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 name="Image182" descr=""/>
                          <pic:cNvPicPr>
                            <a:picLocks noChangeAspect="1" noChangeArrowheads="1"/>
                          </pic:cNvPicPr>
                        </pic:nvPicPr>
                        <pic:blipFill>
                          <a:blip r:embed="rId227"/>
                          <a:stretch>
                            <a:fillRect/>
                          </a:stretch>
                        </pic:blipFill>
                        <pic:spPr bwMode="auto">
                          <a:xfrm>
                            <a:off x="0" y="0"/>
                            <a:ext cx="1428750" cy="3590925"/>
                          </a:xfrm>
                          <a:prstGeom prst="rect">
                            <a:avLst/>
                          </a:prstGeom>
                        </pic:spPr>
                      </pic:pic>
                    </a:graphicData>
                  </a:graphic>
                </wp:inline>
              </w:drawing>
            </w:r>
          </w:p>
        </w:tc>
        <w:tc>
          <w:tcPr>
            <w:tcW w:w="60" w:type="dxa"/>
            <w:tcBorders/>
            <w:shd w:fill="EDEDEE" w:val="clear"/>
            <w:vAlign w:val="center"/>
          </w:tcPr>
          <w:p>
            <w:pPr>
              <w:pStyle w:val="TableContents"/>
              <w:bidi w:val="0"/>
              <w:spacing w:before="0" w:after="283"/>
              <w:jc w:val="left"/>
              <w:rPr/>
            </w:pPr>
            <w:r>
              <w:rPr/>
              <w:t> </w:t>
            </w:r>
          </w:p>
        </w:tc>
        <w:tc>
          <w:tcPr>
            <w:tcW w:w="2852" w:type="dxa"/>
            <w:tcBorders/>
            <w:shd w:fill="EDEDEE" w:val="clear"/>
            <w:vAlign w:val="center"/>
          </w:tcPr>
          <w:p>
            <w:pPr>
              <w:pStyle w:val="TableContents"/>
              <w:bidi w:val="0"/>
              <w:jc w:val="left"/>
              <w:rPr>
                <w:rFonts w:ascii="Arial;Helvetica;Sans-Serif" w:hAnsi="Arial;Helvetica;Sans-Serif"/>
                <w:b/>
                <w:i w:val="false"/>
                <w:caps w:val="false"/>
                <w:smallCaps w:val="false"/>
                <w:sz w:val="36"/>
              </w:rPr>
            </w:pPr>
            <w:r>
              <w:rPr>
                <w:rFonts w:ascii="Arial;Helvetica;Sans-Serif" w:hAnsi="Arial;Helvetica;Sans-Serif"/>
                <w:b/>
                <w:i w:val="false"/>
                <w:caps w:val="false"/>
                <w:smallCaps w:val="false"/>
                <w:sz w:val="36"/>
              </w:rPr>
              <w:t>Special Activities</w:t>
            </w:r>
          </w:p>
          <w:p>
            <w:pPr>
              <w:pStyle w:val="TableContents"/>
              <w:bidi w:val="0"/>
              <w:jc w:val="left"/>
              <w:rPr>
                <w:caps w:val="false"/>
                <w:smallCaps w:val="false"/>
              </w:rPr>
            </w:pPr>
            <w:r>
              <w:rPr>
                <w:caps w:val="false"/>
                <w:smallCaps w:val="false"/>
              </w:rPr>
              <w:t> </w:t>
            </w:r>
          </w:p>
          <w:p>
            <w:pPr>
              <w:pStyle w:val="TableContents"/>
              <w:bidi w:val="0"/>
              <w:jc w:val="left"/>
              <w:rPr>
                <w:caps w:val="false"/>
                <w:smallCaps w:val="false"/>
              </w:rPr>
            </w:pPr>
            <w:r>
              <w:rPr>
                <w:caps w:val="false"/>
                <w:smallCaps w:val="false"/>
              </w:rPr>
              <w:t> </w:t>
            </w:r>
          </w:p>
          <w:p>
            <w:pPr>
              <w:pStyle w:val="TableContents"/>
              <w:bidi w:val="0"/>
              <w:jc w:val="left"/>
              <w:rPr>
                <w:caps w:val="false"/>
                <w:smallCaps w:val="false"/>
              </w:rPr>
            </w:pPr>
            <w:r>
              <w:rPr>
                <w:caps w:val="false"/>
                <w:smallCaps w:val="false"/>
              </w:rPr>
              <w:t> </w:t>
            </w:r>
          </w:p>
          <w:p>
            <w:pPr>
              <w:pStyle w:val="TableContents"/>
              <w:bidi w:val="0"/>
              <w:jc w:val="left"/>
              <w:rPr>
                <w:rFonts w:ascii="Arial;Helvetica;Sans-Serif" w:hAnsi="Arial;Helvetica;Sans-Serif"/>
                <w:b/>
                <w:i w:val="false"/>
                <w:caps w:val="false"/>
                <w:smallCaps w:val="false"/>
                <w:sz w:val="15"/>
              </w:rPr>
            </w:pPr>
            <w:r>
              <w:rPr>
                <w:rFonts w:ascii="Arial;Helvetica;Sans-Serif" w:hAnsi="Arial;Helvetica;Sans-Serif"/>
                <w:b/>
                <w:i w:val="false"/>
                <w:caps w:val="false"/>
                <w:smallCaps w:val="false"/>
                <w:sz w:val="15"/>
              </w:rPr>
              <w:t>James A. Winnefeld, Jr.</w:t>
            </w:r>
          </w:p>
          <w:p>
            <w:pPr>
              <w:pStyle w:val="TableContents"/>
              <w:bidi w:val="0"/>
              <w:spacing w:before="0" w:after="283"/>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Chair </w:t>
            </w:r>
          </w:p>
        </w:tc>
        <w:tc>
          <w:tcPr>
            <w:tcW w:w="1271" w:type="dxa"/>
            <w:tcBorders/>
            <w:shd w:fill="EDEDEE" w:val="clear"/>
            <w:vAlign w:val="center"/>
          </w:tcPr>
          <w:p>
            <w:pPr>
              <w:pStyle w:val="TableContents"/>
              <w:bidi w:val="0"/>
              <w:spacing w:before="0" w:after="283"/>
              <w:jc w:val="left"/>
              <w:rPr>
                <w:caps w:val="false"/>
                <w:smallCaps w:val="false"/>
              </w:rPr>
            </w:pPr>
            <w:r>
              <w:rPr>
                <w:caps w:val="false"/>
                <w:smallCaps w:val="false"/>
              </w:rPr>
              <w:drawing>
                <wp:inline distT="0" distB="0" distL="0" distR="0">
                  <wp:extent cx="590550" cy="2000250"/>
                  <wp:effectExtent l="0" t="0" r="0" b="0"/>
                  <wp:docPr id="273" name="Image1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 name="Image183" descr=""/>
                          <pic:cNvPicPr>
                            <a:picLocks noChangeAspect="1" noChangeArrowheads="1"/>
                          </pic:cNvPicPr>
                        </pic:nvPicPr>
                        <pic:blipFill>
                          <a:blip r:embed="rId228"/>
                          <a:stretch>
                            <a:fillRect/>
                          </a:stretch>
                        </pic:blipFill>
                        <pic:spPr bwMode="auto">
                          <a:xfrm>
                            <a:off x="0" y="0"/>
                            <a:ext cx="590550" cy="2000250"/>
                          </a:xfrm>
                          <a:prstGeom prst="rect">
                            <a:avLst/>
                          </a:prstGeom>
                        </pic:spPr>
                      </pic:pic>
                    </a:graphicData>
                  </a:graphic>
                </wp:inline>
              </w:drawing>
            </w:r>
          </w:p>
        </w:tc>
      </w:tr>
      <w:tr>
        <w:trPr/>
        <w:tc>
          <w:tcPr>
            <w:tcW w:w="6022"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2852" w:type="dxa"/>
            <w:tcBorders/>
            <w:vAlign w:val="center"/>
          </w:tcPr>
          <w:p>
            <w:pPr>
              <w:pStyle w:val="TableContents"/>
              <w:bidi w:val="0"/>
              <w:spacing w:before="0" w:after="283"/>
              <w:jc w:val="left"/>
              <w:rPr>
                <w:caps w:val="false"/>
                <w:smallCaps w:val="false"/>
              </w:rPr>
            </w:pPr>
            <w:r>
              <w:rPr>
                <w:caps w:val="false"/>
                <w:smallCaps w:val="false"/>
              </w:rPr>
              <w:t> </w:t>
            </w:r>
          </w:p>
        </w:tc>
        <w:tc>
          <w:tcPr>
            <w:tcW w:w="1271"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022" w:type="dxa"/>
            <w:tcBorders/>
            <w:vAlign w:val="center"/>
          </w:tcPr>
          <w:p>
            <w:pPr>
              <w:pStyle w:val="TableContents"/>
              <w:bidi w:val="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2025 MEETINGS: </w:t>
            </w:r>
            <w:r>
              <w:rPr>
                <w:rFonts w:ascii="Arial;Helvetica;Sans-Serif" w:hAnsi="Arial;Helvetica;Sans-Serif"/>
                <w:b/>
                <w:i w:val="false"/>
                <w:caps w:val="false"/>
                <w:smallCaps w:val="false"/>
                <w:sz w:val="20"/>
              </w:rPr>
              <w:t>4</w:t>
            </w:r>
          </w:p>
          <w:p>
            <w:pPr>
              <w:pStyle w:val="TableContents"/>
              <w:bidi w:val="0"/>
              <w:jc w:val="left"/>
              <w:rPr>
                <w:caps w:val="false"/>
                <w:smallCaps w:val="false"/>
              </w:rPr>
            </w:pPr>
            <w:r>
              <w:rPr>
                <w:caps w:val="false"/>
                <w:smallCaps w:val="false"/>
              </w:rPr>
              <w:t> </w:t>
            </w:r>
          </w:p>
          <w:p>
            <w:pPr>
              <w:pStyle w:val="TableContents"/>
              <w:bidi w:val="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COMMITTEE MEMBERS</w:t>
            </w:r>
          </w:p>
          <w:p>
            <w:pPr>
              <w:pStyle w:val="TableContents"/>
              <w:bidi w:val="0"/>
              <w:jc w:val="left"/>
              <w:rPr>
                <w:caps w:val="false"/>
                <w:smallCaps w:val="false"/>
              </w:rPr>
            </w:pPr>
            <w:r>
              <w:rPr>
                <w:caps w:val="false"/>
                <w:smallCaps w:val="false"/>
              </w:rPr>
              <w:t> </w:t>
            </w:r>
          </w:p>
          <w:p>
            <w:pPr>
              <w:pStyle w:val="TableContents"/>
              <w:bidi w:val="0"/>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Christopher T. Calio</w:t>
            </w:r>
          </w:p>
          <w:p>
            <w:pPr>
              <w:pStyle w:val="TableContents"/>
              <w:bidi w:val="0"/>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Leanne G. Caret</w:t>
            </w:r>
          </w:p>
          <w:p>
            <w:pPr>
              <w:pStyle w:val="TableContents"/>
              <w:bidi w:val="0"/>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Bernard A. Harris, Jr.</w:t>
            </w:r>
          </w:p>
          <w:p>
            <w:pPr>
              <w:pStyle w:val="TableContents"/>
              <w:bidi w:val="0"/>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Ellen M. Pawlikowski</w:t>
            </w:r>
          </w:p>
          <w:p>
            <w:pPr>
              <w:pStyle w:val="TableContents"/>
              <w:bidi w:val="0"/>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Robert O. Work</w:t>
            </w:r>
          </w:p>
          <w:p>
            <w:pPr>
              <w:pStyle w:val="TableContents"/>
              <w:bidi w:val="0"/>
              <w:jc w:val="left"/>
              <w:rPr>
                <w:caps w:val="false"/>
                <w:smallCaps w:val="false"/>
              </w:rPr>
            </w:pPr>
            <w:r>
              <w:rPr>
                <w:caps w:val="false"/>
                <w:smallCaps w:val="false"/>
              </w:rPr>
              <w:t> </w:t>
            </w:r>
          </w:p>
          <w:p>
            <w:pPr>
              <w:pStyle w:val="TableContents"/>
              <w:bidi w:val="0"/>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Mr. James A. Winnefeld, Jr. served as the Chair of the Special Activities Committee throughout 2025. Effective March 5, 2026, Mr. Winnefeld resigned from the Board and is no longer a member of the Special Activities Committee. The Board anticipates appointing a new Chair of the Special Activities Committee prior to or immediately following the 2026 Annual Meeting.</w:t>
            </w:r>
          </w:p>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4123" w:type="dxa"/>
            <w:gridSpan w:val="2"/>
            <w:tcBorders/>
            <w:vAlign w:val="center"/>
          </w:tcPr>
          <w:p>
            <w:pPr>
              <w:pStyle w:val="TableContents"/>
              <w:bidi w:val="0"/>
              <w:ind w:left="220" w:right="0" w:hanging="220"/>
              <w:jc w:val="left"/>
              <w:rPr>
                <w:caps w:val="false"/>
                <w:smallCaps w:val="false"/>
              </w:rPr>
            </w:pPr>
            <w:r>
              <w:rPr>
                <w:caps w:val="false"/>
                <w:smallCaps w:val="false"/>
              </w:rPr>
              <w:t>●  </w:t>
            </w:r>
            <w:r>
              <w:rPr>
                <w:rFonts w:ascii="Arial;Helvetica;Sans-Serif" w:hAnsi="Arial;Helvetica;Sans-Serif"/>
                <w:b w:val="false"/>
                <w:i w:val="false"/>
                <w:caps w:val="false"/>
                <w:smallCaps w:val="false"/>
                <w:sz w:val="20"/>
              </w:rPr>
              <w:t>Reviews and monitors activities involving classified business of RTX, including significant classified programs</w:t>
            </w:r>
          </w:p>
          <w:p>
            <w:pPr>
              <w:pStyle w:val="TableContents"/>
              <w:bidi w:val="0"/>
              <w:spacing w:before="120" w:after="120"/>
              <w:ind w:left="220" w:right="120" w:hanging="220"/>
              <w:jc w:val="left"/>
              <w:rPr>
                <w:caps w:val="false"/>
                <w:smallCaps w:val="false"/>
              </w:rPr>
            </w:pPr>
            <w:r>
              <w:rPr>
                <w:caps w:val="false"/>
                <w:smallCaps w:val="false"/>
              </w:rPr>
              <w:t>●  </w:t>
            </w:r>
            <w:r>
              <w:rPr>
                <w:rFonts w:ascii="Arial;Helvetica;Sans-Serif" w:hAnsi="Arial;Helvetica;Sans-Serif"/>
                <w:b w:val="false"/>
                <w:i w:val="false"/>
                <w:caps w:val="false"/>
                <w:smallCaps w:val="false"/>
                <w:sz w:val="20"/>
              </w:rPr>
              <w:t>Reviews policies, processes, risk management and internal controls applicable to classified business</w:t>
            </w:r>
          </w:p>
          <w:p>
            <w:pPr>
              <w:pStyle w:val="TableContents"/>
              <w:bidi w:val="0"/>
              <w:spacing w:before="120" w:after="120"/>
              <w:ind w:left="220" w:right="120" w:hanging="220"/>
              <w:jc w:val="left"/>
              <w:rPr>
                <w:caps w:val="false"/>
                <w:smallCaps w:val="false"/>
              </w:rPr>
            </w:pPr>
            <w:r>
              <w:rPr>
                <w:caps w:val="false"/>
                <w:smallCaps w:val="false"/>
              </w:rPr>
              <w:t>●  </w:t>
            </w:r>
            <w:r>
              <w:rPr>
                <w:rFonts w:ascii="Arial;Helvetica;Sans-Serif" w:hAnsi="Arial;Helvetica;Sans-Serif"/>
                <w:b w:val="false"/>
                <w:i w:val="false"/>
                <w:caps w:val="false"/>
                <w:smallCaps w:val="false"/>
                <w:sz w:val="20"/>
              </w:rPr>
              <w:t>Supports the Board as required in oversight of classified cybersecurity</w:t>
            </w:r>
          </w:p>
          <w:p>
            <w:pPr>
              <w:pStyle w:val="TableContents"/>
              <w:bidi w:val="0"/>
              <w:spacing w:before="120" w:after="120"/>
              <w:ind w:left="220" w:right="120" w:hanging="220"/>
              <w:jc w:val="left"/>
              <w:rPr>
                <w:caps w:val="false"/>
                <w:smallCaps w:val="false"/>
              </w:rPr>
            </w:pPr>
            <w:r>
              <w:rPr>
                <w:caps w:val="false"/>
                <w:smallCaps w:val="false"/>
              </w:rPr>
              <w:t>●  </w:t>
            </w:r>
            <w:r>
              <w:rPr>
                <w:rFonts w:ascii="Arial;Helvetica;Sans-Serif" w:hAnsi="Arial;Helvetica;Sans-Serif"/>
                <w:b w:val="false"/>
                <w:i w:val="false"/>
                <w:caps w:val="false"/>
                <w:smallCaps w:val="false"/>
                <w:sz w:val="20"/>
              </w:rPr>
              <w:t>Reviews RTX’s cybersecurity risk exposure with respect to the Company’s products and management’s efforts to manage that exposure</w:t>
            </w:r>
          </w:p>
          <w:p>
            <w:pPr>
              <w:pStyle w:val="TableContents"/>
              <w:bidi w:val="0"/>
              <w:spacing w:before="120" w:after="120"/>
              <w:ind w:left="220" w:right="120" w:hanging="220"/>
              <w:jc w:val="left"/>
              <w:rPr>
                <w:caps w:val="false"/>
                <w:smallCaps w:val="false"/>
              </w:rPr>
            </w:pPr>
            <w:r>
              <w:rPr>
                <w:caps w:val="false"/>
                <w:smallCaps w:val="false"/>
              </w:rPr>
              <w:t>●  </w:t>
            </w:r>
            <w:r>
              <w:rPr>
                <w:rFonts w:ascii="Arial;Helvetica;Sans-Serif" w:hAnsi="Arial;Helvetica;Sans-Serif"/>
                <w:b w:val="false"/>
                <w:i w:val="false"/>
                <w:caps w:val="false"/>
                <w:smallCaps w:val="false"/>
                <w:sz w:val="20"/>
              </w:rPr>
              <w:t>Assists other Committees with their activities and oversight related to product safety risk and development of technical talent</w:t>
            </w:r>
          </w:p>
          <w:p>
            <w:pPr>
              <w:pStyle w:val="TableContents"/>
              <w:bidi w:val="0"/>
              <w:spacing w:before="120" w:after="120"/>
              <w:ind w:left="220" w:right="120" w:hanging="220"/>
              <w:jc w:val="left"/>
              <w:rPr>
                <w:caps w:val="false"/>
                <w:smallCaps w:val="false"/>
              </w:rPr>
            </w:pPr>
            <w:r>
              <w:rPr>
                <w:caps w:val="false"/>
                <w:smallCaps w:val="false"/>
              </w:rPr>
              <w:t>●  </w:t>
            </w:r>
            <w:r>
              <w:rPr>
                <w:rFonts w:ascii="Arial;Helvetica;Sans-Serif" w:hAnsi="Arial;Helvetica;Sans-Serif"/>
                <w:b w:val="false"/>
                <w:i w:val="false"/>
                <w:caps w:val="false"/>
                <w:smallCaps w:val="false"/>
                <w:sz w:val="20"/>
              </w:rPr>
              <w:t>Monitors critical technology gaps and reviews investments, talent development and other efforts by management to address those gaps</w:t>
            </w:r>
          </w:p>
        </w:tc>
      </w:tr>
    </w:tbl>
    <w:p>
      <w:pPr>
        <w:pStyle w:val="TextBody"/>
        <w:bidi w:val="0"/>
        <w:jc w:val="left"/>
        <w:rPr>
          <w:caps w:val="false"/>
          <w:smallCaps w:val="false"/>
        </w:rPr>
      </w:pPr>
      <w:r>
        <w:rPr>
          <w:caps w:val="false"/>
          <w:smallCaps w:val="false"/>
        </w:rPr>
        <w:t> </w:t>
      </w:r>
    </w:p>
    <w:p>
      <w:pPr>
        <w:pStyle w:val="TextBody"/>
        <w:bidi w:val="0"/>
        <w:jc w:val="left"/>
        <w:rPr/>
      </w:pPr>
      <w:r>
        <w:rPr>
          <w:rFonts w:ascii="Arial;Helvetica;Sans-Serif" w:hAnsi="Arial;Helvetica;Sans-Serif"/>
          <w:b/>
          <w:i w:val="false"/>
          <w:caps w:val="false"/>
          <w:smallCaps w:val="false"/>
          <w:color w:val="000000"/>
          <w:sz w:val="15"/>
        </w:rPr>
        <w:t>26</w:t>
      </w:r>
      <w:r>
        <w:rPr>
          <w:rFonts w:ascii="Arial;Helvetica;Sans-Serif" w:hAnsi="Arial;Helvetica;Sans-Serif"/>
          <w:b w:val="false"/>
          <w:i w:val="false"/>
          <w:caps w:val="false"/>
          <w:smallCaps w:val="false"/>
          <w:color w:val="000000"/>
          <w:sz w:val="15"/>
        </w:rPr>
        <w:t>    </w:t>
      </w:r>
      <w:r>
        <w:rPr>
          <w:rFonts w:ascii="Arial;Helvetica;Sans-Serif" w:hAnsi="Arial;Helvetica;Sans-Serif"/>
          <w:b/>
          <w:i w:val="false"/>
          <w:caps w:val="false"/>
          <w:smallCaps w:val="false"/>
          <w:sz w:val="15"/>
        </w:rPr>
        <w:t xml:space="preserve">RTX </w:t>
      </w:r>
      <w:r>
        <w:rPr>
          <w:rFonts w:ascii="Arial;Helvetica;Sans-Serif" w:hAnsi="Arial;Helvetica;Sans-Serif"/>
          <w:b w:val="false"/>
          <w:i w:val="false"/>
          <w:caps w:val="false"/>
          <w:smallCaps w:val="false"/>
          <w:sz w:val="15"/>
        </w:rPr>
        <w:t>2026 PROXY STATEMENT</w:t>
      </w:r>
    </w:p>
    <w:p>
      <w:pPr>
        <w:pStyle w:val="HorizontalLine"/>
        <w:pBdr>
          <w:bottom w:val="double" w:sz="2" w:space="0" w:color="808080"/>
        </w:pBdr>
        <w:bidi w:val="0"/>
        <w:spacing w:before="0" w:after="283"/>
        <w:jc w:val="left"/>
        <w:rPr/>
      </w:pPr>
      <w:r>
        <w:rPr/>
      </w:r>
    </w:p>
    <w:p>
      <w:pPr>
        <w:pStyle w:val="TextBody"/>
        <w:bidi w:val="0"/>
        <w:spacing w:before="200" w:after="200"/>
        <w:jc w:val="left"/>
        <w:rPr/>
      </w:pPr>
      <w:hyperlink w:anchor="toc">
        <w:r>
          <w:rPr>
            <w:rStyle w:val="InternetLink"/>
            <w:rFonts w:ascii="Arial;Helvetica;Sans-Serif" w:hAnsi="Arial;Helvetica;Sans-Serif"/>
            <w:b/>
            <w:i w:val="false"/>
            <w:caps w:val="false"/>
            <w:smallCaps w:val="false"/>
            <w:sz w:val="16"/>
          </w:rPr>
          <w:t>Table of Contents</w:t>
        </w:r>
      </w:hyperlink>
    </w:p>
    <w:p>
      <w:pPr>
        <w:pStyle w:val="TextBody"/>
        <w:bidi w:val="0"/>
        <w:jc w:val="right"/>
        <w:rPr>
          <w:rFonts w:ascii="Arial;Helvetica;Sans-Serif" w:hAnsi="Arial;Helvetica;Sans-Serif"/>
          <w:b/>
          <w:i w:val="false"/>
          <w:caps w:val="false"/>
          <w:smallCaps w:val="false"/>
          <w:color w:val="C12E33"/>
          <w:sz w:val="15"/>
        </w:rPr>
      </w:pPr>
      <w:r>
        <w:rPr>
          <w:rFonts w:ascii="Arial;Helvetica;Sans-Serif" w:hAnsi="Arial;Helvetica;Sans-Serif"/>
          <w:b/>
          <w:i w:val="false"/>
          <w:caps w:val="false"/>
          <w:smallCaps w:val="false"/>
          <w:color w:val="C12E33"/>
          <w:sz w:val="15"/>
        </w:rPr>
        <w:t>CORPORATE GOVERNANCE</w:t>
      </w:r>
    </w:p>
    <w:p>
      <w:pPr>
        <w:pStyle w:val="TextBody"/>
        <w:bidi w:val="0"/>
        <w:jc w:val="righ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DIRECTOR INDEPENDENCE</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i w:val="false"/>
          <w:caps w:val="false"/>
          <w:smallCaps w:val="false"/>
          <w:sz w:val="34"/>
        </w:rPr>
      </w:pPr>
      <w:r>
        <w:rPr>
          <w:rFonts w:ascii="Arial;Helvetica;Sans-Serif" w:hAnsi="Arial;Helvetica;Sans-Serif"/>
          <w:b/>
          <w:i w:val="false"/>
          <w:caps w:val="false"/>
          <w:smallCaps w:val="false"/>
          <w:sz w:val="34"/>
        </w:rPr>
        <w:t>Director Independence</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Under RTX’s Director Independence Policy and the New York Stock Exchange (“NYSE”) listing standards, a majority of our directors must be independent, meaning that they do not have a direct or indirect material relationship with RTX (other than as a director). The Board’s Director Independence Policy guides the independence determination and defines certain categories of relationships that will not be considered material relationships that would impair a director’s independence. This policy is available on the Corporate Governance section of our website (</w:t>
      </w:r>
      <w:r>
        <w:rPr>
          <w:rFonts w:ascii="Arial;Helvetica;Sans-Serif" w:hAnsi="Arial;Helvetica;Sans-Serif"/>
          <w:b w:val="false"/>
          <w:i w:val="false"/>
          <w:caps w:val="false"/>
          <w:smallCaps w:val="false"/>
          <w:color w:val="C12E33"/>
          <w:sz w:val="20"/>
          <w:u w:val="single"/>
        </w:rPr>
        <w:t>www.rtx.com</w:t>
      </w:r>
      <w:r>
        <w:rPr>
          <w:rFonts w:ascii="Arial;Helvetica;Sans-Serif" w:hAnsi="Arial;Helvetica;San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Before joining the Board and annually thereafter, each director or nominee completes a questionnaire about relationships and transactions that may require disclosure, may affect independence or may affect our ability to meet the heightened independence standards for members of the Audit Committee and members of the Human Capital &amp; Compensation Committee. The Governance Committee’s assessment of independence considers all known relevant facts and circumstances about the relationships bearing on the independence of a director or nominee. The Board considers potential materiality of a director’s relationship with RTX both from the director’s standpoint and from the standpoint of persons or organizations with which the director has an affiliation. The assessment also considers sales and purchases of products and services between RTX (including its subsidiaries) and other companies or charitable organizations where a director or a nominee (or an immediate family member of a director or nominee) may have relationships pertinent to the independence determination.</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 accordance with the Director Independence Policy and NYSE listing standards, the Board has determined that, other than Mr. Calio (who is a current employee of RTX), none of the nominees for election at the 2026 Annual Meeting has, directly or indirectly, a material relationship with RTX (outside of serving as a director) or any direct or indirect material interest in any transaction involving RTX. Other than Mr. Calio, each nominee satisfies our independence criteria and the independence standards of the NYSE and the SEC.</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i w:val="false"/>
          <w:caps w:val="false"/>
          <w:smallCaps w:val="false"/>
          <w:sz w:val="34"/>
        </w:rPr>
      </w:pPr>
      <w:r>
        <w:rPr>
          <w:rFonts w:ascii="Arial;Helvetica;Sans-Serif" w:hAnsi="Arial;Helvetica;Sans-Serif"/>
          <w:b/>
          <w:i w:val="false"/>
          <w:caps w:val="false"/>
          <w:smallCaps w:val="false"/>
          <w:sz w:val="34"/>
        </w:rPr>
        <w:t>The Board’s Role</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Board provides active and independent oversight and guidance to management regarding the Company’s long-term strategy and priorities, risk management, and CEO and senior management succession planning, as well as other aspects of our business and affairs. In addition, the Board has adopted robust governance practices to enhance its effectiveness and is engaged on behalf of our shareowners.</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736"/>
        <w:gridCol w:w="60"/>
        <w:gridCol w:w="4409"/>
      </w:tblGrid>
      <w:tr>
        <w:trPr/>
        <w:tc>
          <w:tcPr>
            <w:tcW w:w="5736" w:type="dxa"/>
            <w:tcBorders/>
            <w:shd w:fill="EDEDEE"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EDEDEE" w:val="clear"/>
            <w:vAlign w:val="center"/>
          </w:tcPr>
          <w:p>
            <w:pPr>
              <w:pStyle w:val="TableContents"/>
              <w:bidi w:val="0"/>
              <w:spacing w:before="0" w:after="283"/>
              <w:jc w:val="left"/>
              <w:rPr>
                <w:caps w:val="false"/>
                <w:smallCaps w:val="false"/>
              </w:rPr>
            </w:pPr>
            <w:r>
              <w:rPr>
                <w:caps w:val="false"/>
                <w:smallCaps w:val="false"/>
              </w:rPr>
              <w:t> </w:t>
            </w:r>
          </w:p>
        </w:tc>
        <w:tc>
          <w:tcPr>
            <w:tcW w:w="4409" w:type="dxa"/>
            <w:tcBorders/>
            <w:shd w:fill="EDEDEE" w:val="clear"/>
            <w:vAlign w:val="center"/>
          </w:tcPr>
          <w:p>
            <w:pPr>
              <w:pStyle w:val="TableContents"/>
              <w:bidi w:val="0"/>
              <w:spacing w:before="0" w:after="283"/>
              <w:jc w:val="left"/>
              <w:rPr>
                <w:caps w:val="false"/>
                <w:smallCaps w:val="false"/>
              </w:rPr>
            </w:pPr>
            <w:r>
              <w:rPr>
                <w:caps w:val="false"/>
                <w:smallCaps w:val="false"/>
              </w:rPr>
              <w:t> </w:t>
            </w:r>
          </w:p>
        </w:tc>
      </w:tr>
      <w:tr>
        <w:trPr/>
        <w:tc>
          <w:tcPr>
            <w:tcW w:w="5736" w:type="dxa"/>
            <w:tcBorders/>
            <w:shd w:fill="EDEDEE" w:val="clear"/>
            <w:vAlign w:val="center"/>
          </w:tcPr>
          <w:p>
            <w:pPr>
              <w:pStyle w:val="TableContents"/>
              <w:bidi w:val="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As part of carrying out its oversight responsibilities, the Board:</w:t>
            </w:r>
          </w:p>
          <w:p>
            <w:pPr>
              <w:pStyle w:val="TableContents"/>
              <w:bidi w:val="0"/>
              <w:spacing w:before="120" w:after="120"/>
              <w:ind w:left="220" w:right="120" w:hanging="220"/>
              <w:jc w:val="left"/>
              <w:rPr>
                <w:caps w:val="false"/>
                <w:smallCaps w:val="false"/>
              </w:rPr>
            </w:pPr>
            <w:r>
              <w:rPr>
                <w:caps w:val="false"/>
                <w:smallCaps w:val="false"/>
              </w:rPr>
              <w:t>●  </w:t>
            </w:r>
            <w:r>
              <w:rPr>
                <w:rFonts w:ascii="Arial;Helvetica;Sans-Serif" w:hAnsi="Arial;Helvetica;Sans-Serif"/>
                <w:b w:val="false"/>
                <w:i w:val="false"/>
                <w:caps w:val="false"/>
                <w:smallCaps w:val="false"/>
                <w:sz w:val="20"/>
              </w:rPr>
              <w:t>Annually reviews the Company’s long-term plan and strategy and those of its business units</w:t>
            </w:r>
          </w:p>
          <w:p>
            <w:pPr>
              <w:pStyle w:val="TableContents"/>
              <w:bidi w:val="0"/>
              <w:spacing w:before="120" w:after="120"/>
              <w:ind w:left="220" w:right="120" w:hanging="220"/>
              <w:jc w:val="left"/>
              <w:rPr>
                <w:caps w:val="false"/>
                <w:smallCaps w:val="false"/>
              </w:rPr>
            </w:pPr>
            <w:r>
              <w:rPr>
                <w:caps w:val="false"/>
                <w:smallCaps w:val="false"/>
              </w:rPr>
              <w:t>●  </w:t>
            </w:r>
            <w:r>
              <w:rPr>
                <w:rFonts w:ascii="Arial;Helvetica;Sans-Serif" w:hAnsi="Arial;Helvetica;Sans-Serif"/>
                <w:b w:val="false"/>
                <w:i w:val="false"/>
                <w:caps w:val="false"/>
                <w:smallCaps w:val="false"/>
                <w:sz w:val="20"/>
              </w:rPr>
              <w:t>Engages in ongoing discussion of near-, medium- and long-term risks and strategic matters, including the geopolitical environment, economic conditions, industry trends and developments, and their impacts on our business, as well as strategic opportunities and challenges</w:t>
            </w:r>
          </w:p>
          <w:p>
            <w:pPr>
              <w:pStyle w:val="TableContents"/>
              <w:bidi w:val="0"/>
              <w:spacing w:before="120" w:after="120"/>
              <w:ind w:left="220" w:right="120" w:hanging="220"/>
              <w:jc w:val="left"/>
              <w:rPr>
                <w:caps w:val="false"/>
                <w:smallCaps w:val="false"/>
              </w:rPr>
            </w:pPr>
            <w:r>
              <w:rPr>
                <w:caps w:val="false"/>
                <w:smallCaps w:val="false"/>
              </w:rPr>
              <w:t>●  </w:t>
            </w:r>
            <w:r>
              <w:rPr>
                <w:rFonts w:ascii="Arial;Helvetica;Sans-Serif" w:hAnsi="Arial;Helvetica;Sans-Serif"/>
                <w:b w:val="false"/>
                <w:i w:val="false"/>
                <w:caps w:val="false"/>
                <w:smallCaps w:val="false"/>
                <w:sz w:val="20"/>
              </w:rPr>
              <w:t>Is regularly briefed on assessments of the Company’s business portfolio and is engaged in the Company’s mergers, acquisitions, divestitures and other corporate development activities</w:t>
            </w:r>
          </w:p>
          <w:p>
            <w:pPr>
              <w:pStyle w:val="TableContents"/>
              <w:bidi w:val="0"/>
              <w:spacing w:before="120" w:after="120"/>
              <w:ind w:left="220" w:right="120" w:hanging="220"/>
              <w:jc w:val="left"/>
              <w:rPr>
                <w:caps w:val="false"/>
                <w:smallCaps w:val="false"/>
              </w:rPr>
            </w:pPr>
            <w:r>
              <w:rPr>
                <w:caps w:val="false"/>
                <w:smallCaps w:val="false"/>
              </w:rPr>
              <w:t>●  </w:t>
            </w:r>
            <w:r>
              <w:rPr>
                <w:rFonts w:ascii="Arial;Helvetica;Sans-Serif" w:hAnsi="Arial;Helvetica;Sans-Serif"/>
                <w:b w:val="false"/>
                <w:i w:val="false"/>
                <w:caps w:val="false"/>
                <w:smallCaps w:val="false"/>
                <w:sz w:val="20"/>
              </w:rPr>
              <w:t>Reviews and approves the Company’s annual operating plan, and receives regular updates on management’s progress against its annual operating plan, including opportunities and challenges that arise</w:t>
            </w:r>
          </w:p>
          <w:p>
            <w:pPr>
              <w:pStyle w:val="TableContents"/>
              <w:bidi w:val="0"/>
              <w:spacing w:before="120" w:after="120"/>
              <w:ind w:left="220" w:right="120" w:hanging="220"/>
              <w:jc w:val="left"/>
              <w:rPr>
                <w:caps w:val="false"/>
                <w:smallCaps w:val="false"/>
              </w:rPr>
            </w:pPr>
            <w:r>
              <w:rPr>
                <w:caps w:val="false"/>
                <w:smallCaps w:val="false"/>
              </w:rPr>
              <w:t>●  </w:t>
            </w:r>
            <w:r>
              <w:rPr>
                <w:rFonts w:ascii="Arial;Helvetica;Sans-Serif" w:hAnsi="Arial;Helvetica;Sans-Serif"/>
                <w:b w:val="false"/>
                <w:i w:val="false"/>
                <w:caps w:val="false"/>
                <w:smallCaps w:val="false"/>
                <w:sz w:val="20"/>
              </w:rPr>
              <w:t>Periodically engages with shareowners on a variety of matters, including the financial performance, capital allocation and business strategy of the Company</w:t>
            </w:r>
          </w:p>
          <w:p>
            <w:pPr>
              <w:pStyle w:val="TableContents"/>
              <w:bidi w:val="0"/>
              <w:spacing w:before="120" w:after="120"/>
              <w:ind w:left="220" w:right="120" w:hanging="220"/>
              <w:jc w:val="left"/>
              <w:rPr>
                <w:caps w:val="false"/>
                <w:smallCaps w:val="false"/>
              </w:rPr>
            </w:pPr>
            <w:r>
              <w:rPr>
                <w:caps w:val="false"/>
                <w:smallCaps w:val="false"/>
              </w:rPr>
              <w:t>●  </w:t>
            </w:r>
            <w:r>
              <w:rPr>
                <w:rFonts w:ascii="Arial;Helvetica;Sans-Serif" w:hAnsi="Arial;Helvetica;Sans-Serif"/>
                <w:b w:val="false"/>
                <w:i w:val="false"/>
                <w:caps w:val="false"/>
                <w:smallCaps w:val="false"/>
                <w:sz w:val="20"/>
              </w:rPr>
              <w:t>Receives briefings from outside advisors and counsel on strategic, financial, legal and compliance, and other matters</w:t>
            </w:r>
          </w:p>
        </w:tc>
        <w:tc>
          <w:tcPr>
            <w:tcW w:w="60" w:type="dxa"/>
            <w:tcBorders/>
            <w:shd w:fill="EDEDEE" w:val="clear"/>
            <w:vAlign w:val="center"/>
          </w:tcPr>
          <w:p>
            <w:pPr>
              <w:pStyle w:val="TableContents"/>
              <w:bidi w:val="0"/>
              <w:spacing w:before="0" w:after="283"/>
              <w:jc w:val="left"/>
              <w:rPr>
                <w:caps w:val="false"/>
                <w:smallCaps w:val="false"/>
              </w:rPr>
            </w:pPr>
            <w:r>
              <w:rPr>
                <w:caps w:val="false"/>
                <w:smallCaps w:val="false"/>
              </w:rPr>
              <w:t> </w:t>
            </w:r>
          </w:p>
        </w:tc>
        <w:tc>
          <w:tcPr>
            <w:tcW w:w="4409" w:type="dxa"/>
            <w:tcBorders/>
            <w:shd w:fill="EDEDEE" w:val="clear"/>
            <w:vAlign w:val="center"/>
          </w:tcPr>
          <w:p>
            <w:pPr>
              <w:pStyle w:val="TableContents"/>
              <w:bidi w:val="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In 2025, our Board worked closely with management to provide effective oversight of key priorities, including:</w:t>
            </w:r>
          </w:p>
          <w:p>
            <w:pPr>
              <w:pStyle w:val="TableContents"/>
              <w:bidi w:val="0"/>
              <w:spacing w:before="120" w:after="120"/>
              <w:ind w:left="220" w:right="120" w:hanging="220"/>
              <w:jc w:val="left"/>
              <w:rPr>
                <w:caps w:val="false"/>
                <w:smallCaps w:val="false"/>
              </w:rPr>
            </w:pPr>
            <w:r>
              <w:rPr>
                <w:caps w:val="false"/>
                <w:smallCaps w:val="false"/>
              </w:rPr>
              <w:t>●  </w:t>
            </w:r>
            <w:r>
              <w:rPr>
                <w:rFonts w:ascii="Arial;Helvetica;Sans-Serif" w:hAnsi="Arial;Helvetica;Sans-Serif"/>
                <w:b w:val="false"/>
                <w:i w:val="false"/>
                <w:caps w:val="false"/>
                <w:smallCaps w:val="false"/>
                <w:sz w:val="20"/>
              </w:rPr>
              <w:t>Our continued focus on our commitments to customers, returning value to shareowners and leveraging the breadth and scale of our business</w:t>
            </w:r>
          </w:p>
          <w:p>
            <w:pPr>
              <w:pStyle w:val="TableContents"/>
              <w:bidi w:val="0"/>
              <w:spacing w:before="120" w:after="120"/>
              <w:ind w:left="220" w:right="120" w:hanging="220"/>
              <w:jc w:val="left"/>
              <w:rPr>
                <w:caps w:val="false"/>
                <w:smallCaps w:val="false"/>
              </w:rPr>
            </w:pPr>
            <w:r>
              <w:rPr>
                <w:caps w:val="false"/>
                <w:smallCaps w:val="false"/>
              </w:rPr>
              <w:t>●  </w:t>
            </w:r>
            <w:r>
              <w:rPr>
                <w:rFonts w:ascii="Arial;Helvetica;Sans-Serif" w:hAnsi="Arial;Helvetica;Sans-Serif"/>
                <w:b w:val="false"/>
                <w:i w:val="false"/>
                <w:caps w:val="false"/>
                <w:smallCaps w:val="false"/>
                <w:sz w:val="20"/>
              </w:rPr>
              <w:t>Risk management efforts, including strengthening our supply chain, executing our production ramp and continuing the expansion of our GTF aftermarket operations, and expanding production capacity for critical munitions</w:t>
            </w:r>
          </w:p>
          <w:p>
            <w:pPr>
              <w:pStyle w:val="TableContents"/>
              <w:bidi w:val="0"/>
              <w:spacing w:before="120" w:after="120"/>
              <w:ind w:left="220" w:right="120" w:hanging="220"/>
              <w:jc w:val="left"/>
              <w:rPr>
                <w:caps w:val="false"/>
                <w:smallCaps w:val="false"/>
              </w:rPr>
            </w:pPr>
            <w:r>
              <w:rPr>
                <w:caps w:val="false"/>
                <w:smallCaps w:val="false"/>
              </w:rPr>
              <w:t>●  </w:t>
            </w:r>
            <w:r>
              <w:rPr>
                <w:rFonts w:ascii="Arial;Helvetica;Sans-Serif" w:hAnsi="Arial;Helvetica;Sans-Serif"/>
                <w:b w:val="false"/>
                <w:i w:val="false"/>
                <w:caps w:val="false"/>
                <w:smallCaps w:val="false"/>
                <w:sz w:val="20"/>
              </w:rPr>
              <w:t>Our strategic investments in technology and innovation to mature existing capabilities and introduce new capabilities for our customers, including the recent certification of our GTF Advantage engine</w:t>
            </w:r>
          </w:p>
          <w:p>
            <w:pPr>
              <w:pStyle w:val="TableContents"/>
              <w:bidi w:val="0"/>
              <w:spacing w:before="120" w:after="120"/>
              <w:ind w:left="220" w:right="120" w:hanging="220"/>
              <w:jc w:val="left"/>
              <w:rPr>
                <w:caps w:val="false"/>
                <w:smallCaps w:val="false"/>
              </w:rPr>
            </w:pPr>
            <w:r>
              <w:rPr>
                <w:caps w:val="false"/>
                <w:smallCaps w:val="false"/>
              </w:rPr>
              <w:t>●  </w:t>
            </w:r>
            <w:r>
              <w:rPr>
                <w:rFonts w:ascii="Arial;Helvetica;Sans-Serif" w:hAnsi="Arial;Helvetica;Sans-Serif"/>
                <w:b w:val="false"/>
                <w:i w:val="false"/>
                <w:caps w:val="false"/>
                <w:smallCaps w:val="false"/>
                <w:sz w:val="20"/>
              </w:rPr>
              <w:t>Ongoing attention to our CORE operating system, which drives continuous improvement in our operations</w:t>
            </w:r>
          </w:p>
          <w:p>
            <w:pPr>
              <w:pStyle w:val="TableContents"/>
              <w:bidi w:val="0"/>
              <w:spacing w:before="120" w:after="120"/>
              <w:ind w:left="220" w:right="120" w:hanging="220"/>
              <w:jc w:val="left"/>
              <w:rPr>
                <w:caps w:val="false"/>
                <w:smallCaps w:val="false"/>
              </w:rPr>
            </w:pPr>
            <w:r>
              <w:rPr>
                <w:caps w:val="false"/>
                <w:smallCaps w:val="false"/>
              </w:rPr>
              <w:t>●  </w:t>
            </w:r>
            <w:r>
              <w:rPr>
                <w:rFonts w:ascii="Arial;Helvetica;Sans-Serif" w:hAnsi="Arial;Helvetica;Sans-Serif"/>
                <w:b w:val="false"/>
                <w:i w:val="false"/>
                <w:caps w:val="false"/>
                <w:smallCaps w:val="false"/>
                <w:sz w:val="20"/>
              </w:rPr>
              <w:t>Enhancing our enterprise systems, including through the deployment of AI use cases to improve efficiency and productivity</w:t>
            </w:r>
          </w:p>
          <w:p>
            <w:pPr>
              <w:pStyle w:val="TableContents"/>
              <w:bidi w:val="0"/>
              <w:spacing w:before="120" w:after="120"/>
              <w:ind w:left="220" w:right="120" w:hanging="220"/>
              <w:jc w:val="left"/>
              <w:rPr>
                <w:caps w:val="false"/>
                <w:smallCaps w:val="false"/>
              </w:rPr>
            </w:pPr>
            <w:r>
              <w:rPr>
                <w:caps w:val="false"/>
                <w:smallCaps w:val="false"/>
              </w:rPr>
              <w:t>●  </w:t>
            </w:r>
            <w:r>
              <w:rPr>
                <w:rFonts w:ascii="Arial;Helvetica;Sans-Serif" w:hAnsi="Arial;Helvetica;Sans-Serif"/>
                <w:b w:val="false"/>
                <w:i w:val="false"/>
                <w:caps w:val="false"/>
                <w:smallCaps w:val="false"/>
                <w:sz w:val="20"/>
              </w:rPr>
              <w:t>Our response to evolving geopolitical issues and other external conditions, including tariffs and counter-tariffs and other governmental measures</w:t>
            </w:r>
          </w:p>
          <w:p>
            <w:pPr>
              <w:pStyle w:val="TableContents"/>
              <w:bidi w:val="0"/>
              <w:spacing w:before="120" w:after="120"/>
              <w:ind w:left="220" w:right="120" w:hanging="220"/>
              <w:jc w:val="left"/>
              <w:rPr>
                <w:caps w:val="false"/>
                <w:smallCaps w:val="false"/>
              </w:rPr>
            </w:pPr>
            <w:r>
              <w:rPr>
                <w:caps w:val="false"/>
                <w:smallCaps w:val="false"/>
              </w:rPr>
              <w:t>●  </w:t>
            </w:r>
            <w:r>
              <w:rPr>
                <w:rFonts w:ascii="Arial;Helvetica;Sans-Serif" w:hAnsi="Arial;Helvetica;Sans-Serif"/>
                <w:b w:val="false"/>
                <w:i w:val="false"/>
                <w:caps w:val="false"/>
                <w:smallCaps w:val="false"/>
                <w:sz w:val="20"/>
              </w:rPr>
              <w:t>Our talent development strategies, including senior management succession planning</w:t>
            </w:r>
          </w:p>
        </w:tc>
      </w:tr>
      <w:tr>
        <w:trPr/>
        <w:tc>
          <w:tcPr>
            <w:tcW w:w="5736" w:type="dxa"/>
            <w:tcBorders/>
            <w:shd w:fill="EDEDEE"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EDEDEE" w:val="clear"/>
            <w:vAlign w:val="center"/>
          </w:tcPr>
          <w:p>
            <w:pPr>
              <w:pStyle w:val="TableContents"/>
              <w:bidi w:val="0"/>
              <w:spacing w:before="0" w:after="283"/>
              <w:jc w:val="left"/>
              <w:rPr>
                <w:caps w:val="false"/>
                <w:smallCaps w:val="false"/>
              </w:rPr>
            </w:pPr>
            <w:r>
              <w:rPr>
                <w:caps w:val="false"/>
                <w:smallCaps w:val="false"/>
              </w:rPr>
              <w:t> </w:t>
            </w:r>
          </w:p>
        </w:tc>
        <w:tc>
          <w:tcPr>
            <w:tcW w:w="4409" w:type="dxa"/>
            <w:tcBorders/>
            <w:shd w:fill="EDEDEE"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jc w:val="left"/>
        <w:rPr>
          <w:caps w:val="false"/>
          <w:smallCaps w:val="false"/>
        </w:rPr>
      </w:pPr>
      <w:r>
        <w:rPr>
          <w:caps w:val="false"/>
          <w:smallCaps w:val="false"/>
        </w:rPr>
        <w:t> </w:t>
      </w:r>
    </w:p>
    <w:p>
      <w:pPr>
        <w:pStyle w:val="TextBody"/>
        <w:bidi w:val="0"/>
        <w:jc w:val="right"/>
        <w:rPr/>
      </w:pPr>
      <w:r>
        <w:rPr>
          <w:rFonts w:ascii="Arial;Helvetica;Sans-Serif" w:hAnsi="Arial;Helvetica;Sans-Serif"/>
          <w:b/>
          <w:i w:val="false"/>
          <w:caps w:val="false"/>
          <w:smallCaps w:val="false"/>
          <w:sz w:val="15"/>
        </w:rPr>
        <w:t xml:space="preserve">RTX </w:t>
      </w:r>
      <w:r>
        <w:rPr>
          <w:rFonts w:ascii="Arial;Helvetica;Sans-Serif" w:hAnsi="Arial;Helvetica;Sans-Serif"/>
          <w:b w:val="false"/>
          <w:i w:val="false"/>
          <w:caps w:val="false"/>
          <w:smallCaps w:val="false"/>
          <w:sz w:val="15"/>
        </w:rPr>
        <w:t>2026 PROXY STATEMENT    </w:t>
      </w:r>
      <w:r>
        <w:rPr>
          <w:rFonts w:ascii="Arial;Helvetica;Sans-Serif" w:hAnsi="Arial;Helvetica;Sans-Serif"/>
          <w:b/>
          <w:i w:val="false"/>
          <w:caps w:val="false"/>
          <w:smallCaps w:val="false"/>
          <w:sz w:val="15"/>
        </w:rPr>
        <w:t>27</w:t>
      </w:r>
    </w:p>
    <w:p>
      <w:pPr>
        <w:pStyle w:val="HorizontalLine"/>
        <w:pBdr>
          <w:bottom w:val="double" w:sz="2" w:space="0" w:color="808080"/>
        </w:pBdr>
        <w:bidi w:val="0"/>
        <w:spacing w:before="0" w:after="283"/>
        <w:jc w:val="left"/>
        <w:rPr/>
      </w:pPr>
      <w:r>
        <w:rPr/>
      </w:r>
    </w:p>
    <w:p>
      <w:pPr>
        <w:pStyle w:val="TextBody"/>
        <w:bidi w:val="0"/>
        <w:spacing w:before="200" w:after="200"/>
        <w:jc w:val="left"/>
        <w:rPr/>
      </w:pPr>
      <w:hyperlink w:anchor="toc">
        <w:r>
          <w:rPr>
            <w:rStyle w:val="InternetLink"/>
            <w:rFonts w:ascii="Arial;Helvetica;Sans-Serif" w:hAnsi="Arial;Helvetica;Sans-Serif"/>
            <w:b/>
            <w:i w:val="false"/>
            <w:caps w:val="false"/>
            <w:smallCaps w:val="false"/>
            <w:sz w:val="16"/>
          </w:rPr>
          <w:t>Table of Contents</w:t>
        </w:r>
      </w:hyperlink>
    </w:p>
    <w:p>
      <w:pPr>
        <w:pStyle w:val="TextBody"/>
        <w:bidi w:val="0"/>
        <w:jc w:val="left"/>
        <w:rPr>
          <w:rFonts w:ascii="Arial;Helvetica;Sans-Serif" w:hAnsi="Arial;Helvetica;Sans-Serif"/>
          <w:b/>
          <w:i w:val="false"/>
          <w:caps w:val="false"/>
          <w:smallCaps w:val="false"/>
          <w:color w:val="C12E33"/>
          <w:sz w:val="15"/>
        </w:rPr>
      </w:pPr>
      <w:r>
        <w:rPr>
          <w:rFonts w:ascii="Arial;Helvetica;Sans-Serif" w:hAnsi="Arial;Helvetica;Sans-Serif"/>
          <w:b/>
          <w:i w:val="false"/>
          <w:caps w:val="false"/>
          <w:smallCaps w:val="false"/>
          <w:color w:val="C12E33"/>
          <w:sz w:val="15"/>
        </w:rPr>
        <w:t>CORPORATE GOVERNANCE</w:t>
      </w:r>
    </w:p>
    <w:p>
      <w:pPr>
        <w:pStyle w:val="TextBody"/>
        <w:bidi w:val="0"/>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THE BOARD’S ROLE</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RISK MANAGEMENT OVERSIGHT</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chart below shows the current allocation of general risk oversight functions between management and the Board.</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859"/>
        <w:gridCol w:w="60"/>
        <w:gridCol w:w="5286"/>
      </w:tblGrid>
      <w:tr>
        <w:trPr/>
        <w:tc>
          <w:tcPr>
            <w:tcW w:w="4859" w:type="dxa"/>
            <w:tcBorders/>
            <w:vAlign w:val="center"/>
          </w:tcPr>
          <w:p>
            <w:pPr>
              <w:pStyle w:val="TableContents"/>
              <w:bidi w:val="0"/>
              <w:jc w:val="left"/>
              <w:rPr>
                <w:rFonts w:ascii="Arial;Helvetica;Sans-Serif" w:hAnsi="Arial;Helvetica;Sans-Serif"/>
                <w:b/>
                <w:i w:val="false"/>
                <w:caps w:val="false"/>
                <w:smallCaps w:val="false"/>
                <w:sz w:val="24"/>
                <w:bdr w:val="single" w:sz="2" w:space="1" w:color="C12E33"/>
              </w:rPr>
            </w:pPr>
            <w:r>
              <w:rPr>
                <w:rFonts w:ascii="Arial;Helvetica;Sans-Serif" w:hAnsi="Arial;Helvetica;Sans-Serif"/>
                <w:b/>
                <w:i w:val="false"/>
                <w:caps w:val="false"/>
                <w:smallCaps w:val="false"/>
                <w:sz w:val="24"/>
                <w:bdr w:val="single" w:sz="2" w:space="1" w:color="C12E33"/>
              </w:rPr>
              <w:t>Management</w:t>
            </w:r>
          </w:p>
          <w:p>
            <w:pPr>
              <w:pStyle w:val="TableContents"/>
              <w:bidi w:val="0"/>
              <w:jc w:val="left"/>
              <w:rPr>
                <w:caps w:val="false"/>
                <w:smallCaps w:val="false"/>
              </w:rPr>
            </w:pPr>
            <w:r>
              <w:rPr>
                <w:caps w:val="false"/>
                <w:smallCaps w:val="false"/>
              </w:rPr>
              <w:t> </w:t>
            </w:r>
          </w:p>
          <w:p>
            <w:pPr>
              <w:pStyle w:val="TableContents"/>
              <w:bidi w:val="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Responsible for identifying, assessing, prioritizing and managing the various risks that the Company faces</w:t>
            </w:r>
          </w:p>
          <w:p>
            <w:pPr>
              <w:pStyle w:val="TableContents"/>
              <w:bidi w:val="0"/>
              <w:ind w:left="220" w:right="0" w:hanging="220"/>
              <w:jc w:val="left"/>
              <w:rPr>
                <w:caps w:val="false"/>
                <w:smallCaps w:val="false"/>
              </w:rPr>
            </w:pPr>
            <w:r>
              <w:rPr>
                <w:caps w:val="false"/>
                <w:smallCaps w:val="false"/>
              </w:rPr>
              <w:t> </w:t>
            </w:r>
          </w:p>
          <w:p>
            <w:pPr>
              <w:pStyle w:val="TableContents"/>
              <w:bidi w:val="0"/>
              <w:ind w:left="220" w:right="0" w:hanging="220"/>
              <w:jc w:val="left"/>
              <w:rPr>
                <w:caps w:val="false"/>
                <w:smallCaps w:val="false"/>
              </w:rPr>
            </w:pPr>
            <w:r>
              <w:rPr>
                <w:caps w:val="false"/>
                <w:smallCaps w:val="false"/>
              </w:rPr>
              <w:t>●  </w:t>
            </w:r>
            <w:r>
              <w:rPr>
                <w:rFonts w:ascii="Arial;Helvetica;Sans-Serif" w:hAnsi="Arial;Helvetica;Sans-Serif"/>
                <w:b w:val="false"/>
                <w:i w:val="false"/>
                <w:caps w:val="false"/>
                <w:smallCaps w:val="false"/>
                <w:sz w:val="20"/>
              </w:rPr>
              <w:t>Employs a comprehensive enterprise risk management (“ERM”) program</w:t>
            </w:r>
          </w:p>
          <w:p>
            <w:pPr>
              <w:pStyle w:val="TableContents"/>
              <w:bidi w:val="0"/>
              <w:spacing w:before="120" w:after="120"/>
              <w:ind w:left="220" w:right="120" w:hanging="220"/>
              <w:jc w:val="left"/>
              <w:rPr>
                <w:caps w:val="false"/>
                <w:smallCaps w:val="false"/>
              </w:rPr>
            </w:pPr>
            <w:r>
              <w:rPr>
                <w:caps w:val="false"/>
                <w:smallCaps w:val="false"/>
              </w:rPr>
              <w:t>●  </w:t>
            </w:r>
            <w:r>
              <w:rPr>
                <w:rFonts w:ascii="Arial;Helvetica;Sans-Serif" w:hAnsi="Arial;Helvetica;Sans-Serif"/>
                <w:b w:val="false"/>
                <w:i w:val="false"/>
                <w:caps w:val="false"/>
                <w:smallCaps w:val="false"/>
                <w:sz w:val="20"/>
              </w:rPr>
              <w:t>Maintains robust internal processes and an effective internal control environment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286" w:type="dxa"/>
            <w:tcBorders/>
            <w:vAlign w:val="center"/>
          </w:tcPr>
          <w:p>
            <w:pPr>
              <w:pStyle w:val="TableContents"/>
              <w:bidi w:val="0"/>
              <w:jc w:val="left"/>
              <w:rPr>
                <w:rFonts w:ascii="Arial;Helvetica;Sans-Serif" w:hAnsi="Arial;Helvetica;Sans-Serif"/>
                <w:b/>
                <w:i w:val="false"/>
                <w:caps w:val="false"/>
                <w:smallCaps w:val="false"/>
                <w:sz w:val="24"/>
                <w:bdr w:val="single" w:sz="2" w:space="1" w:color="C12E33"/>
              </w:rPr>
            </w:pPr>
            <w:r>
              <w:rPr>
                <w:rFonts w:ascii="Arial;Helvetica;Sans-Serif" w:hAnsi="Arial;Helvetica;Sans-Serif"/>
                <w:b/>
                <w:i w:val="false"/>
                <w:caps w:val="false"/>
                <w:smallCaps w:val="false"/>
                <w:sz w:val="24"/>
                <w:bdr w:val="single" w:sz="2" w:space="1" w:color="C12E33"/>
              </w:rPr>
              <w:t>Board of Directors</w:t>
            </w:r>
          </w:p>
          <w:p>
            <w:pPr>
              <w:pStyle w:val="TableContents"/>
              <w:bidi w:val="0"/>
              <w:jc w:val="left"/>
              <w:rPr>
                <w:caps w:val="false"/>
                <w:smallCaps w:val="false"/>
              </w:rPr>
            </w:pPr>
            <w:r>
              <w:rPr>
                <w:caps w:val="false"/>
                <w:smallCaps w:val="false"/>
              </w:rPr>
              <w:t> </w:t>
            </w:r>
          </w:p>
          <w:p>
            <w:pPr>
              <w:pStyle w:val="TableContents"/>
              <w:bidi w:val="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Responsible for Board and Committee risk oversight governance, including allocation of risk oversight responsibilities</w:t>
            </w:r>
          </w:p>
          <w:p>
            <w:pPr>
              <w:pStyle w:val="TableContents"/>
              <w:bidi w:val="0"/>
              <w:jc w:val="left"/>
              <w:rPr>
                <w:caps w:val="false"/>
                <w:smallCaps w:val="false"/>
              </w:rPr>
            </w:pPr>
            <w:r>
              <w:rPr>
                <w:caps w:val="false"/>
                <w:smallCaps w:val="false"/>
              </w:rPr>
              <w:t> </w:t>
            </w:r>
          </w:p>
          <w:p>
            <w:pPr>
              <w:pStyle w:val="TableContents"/>
              <w:bidi w:val="0"/>
              <w:ind w:left="220" w:right="0" w:hanging="220"/>
              <w:jc w:val="left"/>
              <w:rPr>
                <w:caps w:val="false"/>
                <w:smallCaps w:val="false"/>
              </w:rPr>
            </w:pPr>
            <w:r>
              <w:rPr>
                <w:caps w:val="false"/>
                <w:smallCaps w:val="false"/>
              </w:rPr>
              <w:t>●  </w:t>
            </w:r>
            <w:r>
              <w:rPr>
                <w:rFonts w:ascii="Arial;Helvetica;Sans-Serif" w:hAnsi="Arial;Helvetica;Sans-Serif"/>
                <w:b w:val="false"/>
                <w:i w:val="false"/>
                <w:caps w:val="false"/>
                <w:smallCaps w:val="false"/>
                <w:sz w:val="20"/>
              </w:rPr>
              <w:t>Audit Committee oversees management’s ERM program</w:t>
            </w:r>
          </w:p>
          <w:p>
            <w:pPr>
              <w:pStyle w:val="TableContents"/>
              <w:bidi w:val="0"/>
              <w:spacing w:before="120" w:after="120"/>
              <w:ind w:left="220" w:right="120" w:hanging="220"/>
              <w:jc w:val="left"/>
              <w:rPr>
                <w:caps w:val="false"/>
                <w:smallCaps w:val="false"/>
              </w:rPr>
            </w:pPr>
            <w:r>
              <w:rPr>
                <w:caps w:val="false"/>
                <w:smallCaps w:val="false"/>
              </w:rPr>
              <w:t>●  </w:t>
            </w:r>
            <w:r>
              <w:rPr>
                <w:rFonts w:ascii="Arial;Helvetica;Sans-Serif" w:hAnsi="Arial;Helvetica;Sans-Serif"/>
                <w:b w:val="false"/>
                <w:i w:val="false"/>
                <w:caps w:val="false"/>
                <w:smallCaps w:val="false"/>
                <w:sz w:val="20"/>
              </w:rPr>
              <w:t>Board has allocated specific responsibilities to itself and its Committees for overseeing particular risks, as shown below</w:t>
            </w:r>
          </w:p>
        </w:tc>
      </w:tr>
    </w:tbl>
    <w:p>
      <w:pPr>
        <w:pStyle w:val="TextBody"/>
        <w:bidi w:val="0"/>
        <w:ind w:left="220" w:right="0" w:hanging="2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619"/>
        <w:gridCol w:w="60"/>
        <w:gridCol w:w="5103"/>
        <w:gridCol w:w="60"/>
        <w:gridCol w:w="1325"/>
      </w:tblGrid>
      <w:tr>
        <w:trPr/>
        <w:tc>
          <w:tcPr>
            <w:tcW w:w="38" w:type="dxa"/>
            <w:vMerge w:val="restart"/>
            <w:tcBorders/>
            <w:vAlign w:val="center"/>
          </w:tcPr>
          <w:p>
            <w:pPr>
              <w:pStyle w:val="TableContents"/>
              <w:bidi w:val="0"/>
              <w:spacing w:before="0" w:after="283"/>
              <w:jc w:val="left"/>
              <w:rPr>
                <w:sz w:val="4"/>
                <w:szCs w:val="4"/>
              </w:rPr>
            </w:pPr>
            <w:r>
              <w:rPr>
                <w:sz w:val="4"/>
                <w:szCs w:val="4"/>
              </w:rPr>
            </w:r>
          </w:p>
        </w:tc>
        <w:tc>
          <w:tcPr>
            <w:tcW w:w="361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103" w:type="dxa"/>
            <w:tcBorders/>
            <w:vAlign w:val="center"/>
          </w:tcPr>
          <w:p>
            <w:pPr>
              <w:pStyle w:val="TableContents"/>
              <w:bidi w:val="0"/>
              <w:spacing w:before="0" w:after="283"/>
              <w:jc w:val="center"/>
              <w:rPr/>
            </w:pPr>
            <w:r>
              <w:rPr>
                <w:rFonts w:ascii="Arial;Helvetica;Sans-Serif" w:hAnsi="Arial;Helvetica;Sans-Serif"/>
                <w:b/>
                <w:i w:val="false"/>
                <w:caps w:val="false"/>
                <w:smallCaps w:val="false"/>
                <w:sz w:val="15"/>
              </w:rPr>
              <w:t>Full Board</w:t>
            </w:r>
            <w:r>
              <w:rPr>
                <w:caps w:val="false"/>
                <w:smallCaps w:val="false"/>
              </w:rPr>
              <w:t> </w:t>
            </w:r>
          </w:p>
        </w:tc>
        <w:tc>
          <w:tcPr>
            <w:tcW w:w="6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8" w:type="dxa"/>
            <w:vMerge w:val="continue"/>
            <w:tcBorders/>
            <w:vAlign w:val="center"/>
          </w:tcPr>
          <w:p>
            <w:pPr>
              <w:pStyle w:val="Normal"/>
              <w:bidi w:val="0"/>
              <w:jc w:val="left"/>
              <w:rPr/>
            </w:pPr>
            <w:r>
              <w:rPr/>
            </w:r>
          </w:p>
        </w:tc>
        <w:tc>
          <w:tcPr>
            <w:tcW w:w="3619" w:type="dxa"/>
            <w:tcBorders/>
            <w:vAlign w:val="center"/>
          </w:tcPr>
          <w:p>
            <w:pPr>
              <w:pStyle w:val="TableContents"/>
              <w:bidi w:val="0"/>
              <w:spacing w:before="100" w:after="40"/>
              <w:jc w:val="left"/>
              <w:rPr>
                <w:caps w:val="false"/>
                <w:smallCaps w:val="false"/>
              </w:rPr>
            </w:pPr>
            <w:r>
              <w:rPr>
                <w:caps w:val="false"/>
                <w:smallCaps w:val="false"/>
              </w:rPr>
              <w:t>●</w:t>
            </w:r>
          </w:p>
          <w:p>
            <w:pPr>
              <w:pStyle w:val="TableContents"/>
              <w:bidi w:val="0"/>
              <w:spacing w:before="0" w:after="0"/>
              <w:ind w:left="240" w:right="0" w:hanging="0"/>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Major strategic risks, such as geopolitical and other external conditions</w:t>
            </w:r>
          </w:p>
        </w:tc>
        <w:tc>
          <w:tcPr>
            <w:tcW w:w="60" w:type="dxa"/>
            <w:tcBorders/>
            <w:vAlign w:val="center"/>
          </w:tcPr>
          <w:p>
            <w:pPr>
              <w:pStyle w:val="TableContents"/>
              <w:bidi w:val="0"/>
              <w:spacing w:before="0" w:after="283"/>
              <w:jc w:val="left"/>
              <w:rPr/>
            </w:pPr>
            <w:r>
              <w:rPr/>
              <w:t> </w:t>
            </w:r>
          </w:p>
        </w:tc>
        <w:tc>
          <w:tcPr>
            <w:tcW w:w="5103" w:type="dxa"/>
            <w:tcBorders/>
            <w:vAlign w:val="center"/>
          </w:tcPr>
          <w:p>
            <w:pPr>
              <w:pStyle w:val="TableContents"/>
              <w:bidi w:val="0"/>
              <w:spacing w:before="100" w:after="40"/>
              <w:jc w:val="left"/>
              <w:rPr>
                <w:caps w:val="false"/>
                <w:smallCaps w:val="false"/>
              </w:rPr>
            </w:pPr>
            <w:r>
              <w:rPr>
                <w:caps w:val="false"/>
                <w:smallCaps w:val="false"/>
              </w:rPr>
              <w:t>●</w:t>
            </w:r>
          </w:p>
          <w:p>
            <w:pPr>
              <w:pStyle w:val="TableContents"/>
              <w:bidi w:val="0"/>
              <w:spacing w:before="0" w:after="0"/>
              <w:ind w:left="240" w:right="0" w:hanging="0"/>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Enterprise cybersecurity (e.g., IT systems, factory, supply chain and hosted services) and compliance</w:t>
            </w:r>
          </w:p>
        </w:tc>
        <w:tc>
          <w:tcPr>
            <w:tcW w:w="6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40" w:after="40"/>
              <w:jc w:val="left"/>
              <w:rPr>
                <w:caps w:val="false"/>
                <w:smallCaps w:val="false"/>
              </w:rPr>
            </w:pPr>
            <w:r>
              <w:rPr>
                <w:caps w:val="false"/>
                <w:smallCaps w:val="false"/>
              </w:rPr>
              <w:t>●</w:t>
            </w:r>
          </w:p>
          <w:p>
            <w:pPr>
              <w:pStyle w:val="TableContents"/>
              <w:bidi w:val="0"/>
              <w:spacing w:before="0" w:after="0"/>
              <w:ind w:left="240" w:right="0" w:hanging="0"/>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Succession planning</w:t>
            </w:r>
          </w:p>
          <w:p>
            <w:pPr>
              <w:pStyle w:val="TableContents"/>
              <w:bidi w:val="0"/>
              <w:spacing w:before="100" w:after="40"/>
              <w:jc w:val="left"/>
              <w:rPr>
                <w:caps w:val="false"/>
                <w:smallCaps w:val="false"/>
              </w:rPr>
            </w:pPr>
            <w:r>
              <w:rPr>
                <w:caps w:val="false"/>
                <w:smallCaps w:val="false"/>
              </w:rPr>
              <w:t>●</w:t>
            </w:r>
          </w:p>
          <w:p>
            <w:pPr>
              <w:pStyle w:val="TableContents"/>
              <w:bidi w:val="0"/>
              <w:spacing w:before="0" w:after="0"/>
              <w:ind w:left="240" w:right="0" w:hanging="0"/>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Significant litigation</w:t>
            </w:r>
          </w:p>
          <w:p>
            <w:pPr>
              <w:pStyle w:val="TableContents"/>
              <w:bidi w:val="0"/>
              <w:spacing w:before="100" w:after="40"/>
              <w:jc w:val="left"/>
              <w:rPr>
                <w:caps w:val="false"/>
                <w:smallCaps w:val="false"/>
              </w:rPr>
            </w:pPr>
            <w:r>
              <w:rPr>
                <w:caps w:val="false"/>
                <w:smallCaps w:val="false"/>
              </w:rPr>
              <w:t>●</w:t>
            </w:r>
          </w:p>
          <w:p>
            <w:pPr>
              <w:pStyle w:val="TableContents"/>
              <w:bidi w:val="0"/>
              <w:spacing w:before="0" w:after="0"/>
              <w:ind w:left="240" w:right="0" w:hanging="0"/>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Government relations</w:t>
            </w:r>
          </w:p>
        </w:tc>
      </w:tr>
    </w:tbl>
    <w:tbl>
      <w:tblPr>
        <w:tblW w:w="630" w:type="dxa"/>
        <w:jc w:val="left"/>
        <w:tblInd w:w="0" w:type="dxa"/>
        <w:tblLayout w:type="fixed"/>
        <w:tblCellMar>
          <w:top w:w="0" w:type="dxa"/>
          <w:left w:w="0" w:type="dxa"/>
          <w:bottom w:w="28" w:type="dxa"/>
          <w:right w:w="0" w:type="dxa"/>
        </w:tblCellMar>
      </w:tblPr>
      <w:tblGrid>
        <w:gridCol w:w="75"/>
        <w:gridCol w:w="60"/>
        <w:gridCol w:w="60"/>
        <w:gridCol w:w="60"/>
        <w:gridCol w:w="60"/>
        <w:gridCol w:w="60"/>
        <w:gridCol w:w="60"/>
        <w:gridCol w:w="60"/>
        <w:gridCol w:w="60"/>
        <w:gridCol w:w="75"/>
      </w:tblGrid>
      <w:tr>
        <w:trPr/>
        <w:tc>
          <w:tcPr>
            <w:tcW w:w="75" w:type="dxa"/>
            <w:tcBorders>
              <w:bottom w:val="single" w:sz="8" w:space="0" w:color="C12E33"/>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C12E33"/>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C12E33"/>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C12E33"/>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C12E33"/>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C12E33"/>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C12E33"/>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C12E33"/>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C12E33"/>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bottom w:val="single" w:sz="8" w:space="0" w:color="C12E33"/>
            </w:tcBorders>
            <w:vAlign w:val="center"/>
          </w:tcPr>
          <w:p>
            <w:pPr>
              <w:pStyle w:val="TableContents"/>
              <w:bidi w:val="0"/>
              <w:spacing w:before="0" w:after="283"/>
              <w:jc w:val="left"/>
              <w:rPr>
                <w:caps w:val="false"/>
                <w:smallCaps w:val="false"/>
              </w:rPr>
            </w:pPr>
            <w:r>
              <w:rPr>
                <w:caps w:val="false"/>
                <w:smallCaps w:val="false"/>
              </w:rPr>
              <w:t> </w:t>
            </w:r>
          </w:p>
        </w:tc>
      </w:tr>
    </w:tbl>
    <w:tbl>
      <w:tblPr>
        <w:tblW w:w="10205" w:type="dxa"/>
        <w:jc w:val="left"/>
        <w:tblInd w:w="0" w:type="dxa"/>
        <w:tblLayout w:type="fixed"/>
        <w:tblCellMar>
          <w:top w:w="0" w:type="dxa"/>
          <w:left w:w="0" w:type="dxa"/>
          <w:bottom w:w="0" w:type="dxa"/>
          <w:right w:w="0" w:type="dxa"/>
        </w:tblCellMar>
      </w:tblPr>
      <w:tblGrid>
        <w:gridCol w:w="1258"/>
        <w:gridCol w:w="1009"/>
        <w:gridCol w:w="840"/>
        <w:gridCol w:w="843"/>
        <w:gridCol w:w="706"/>
        <w:gridCol w:w="710"/>
        <w:gridCol w:w="1485"/>
        <w:gridCol w:w="1489"/>
        <w:gridCol w:w="826"/>
        <w:gridCol w:w="1039"/>
      </w:tblGrid>
      <w:tr>
        <w:trPr/>
        <w:tc>
          <w:tcPr>
            <w:tcW w:w="1258" w:type="dxa"/>
            <w:tcBorders/>
            <w:vAlign w:val="center"/>
          </w:tcPr>
          <w:p>
            <w:pPr>
              <w:pStyle w:val="TableContents"/>
              <w:bidi w:val="0"/>
              <w:spacing w:before="0" w:after="283"/>
              <w:jc w:val="left"/>
              <w:rPr>
                <w:caps w:val="false"/>
                <w:smallCaps w:val="false"/>
              </w:rPr>
            </w:pPr>
            <w:r>
              <w:rPr>
                <w:caps w:val="false"/>
                <w:smallCaps w:val="false"/>
              </w:rPr>
              <w:t> </w:t>
            </w:r>
          </w:p>
        </w:tc>
        <w:tc>
          <w:tcPr>
            <w:tcW w:w="1009" w:type="dxa"/>
            <w:tcBorders>
              <w:bottom w:val="single" w:sz="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0" w:type="dxa"/>
            <w:tcBorders>
              <w:bottom w:val="single" w:sz="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3" w:type="dxa"/>
            <w:tcBorders>
              <w:bottom w:val="single" w:sz="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06" w:type="dxa"/>
            <w:tcBorders>
              <w:bottom w:val="single" w:sz="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10" w:type="dxa"/>
            <w:tcBorders>
              <w:left w:val="single" w:sz="2" w:space="0" w:color="000000"/>
              <w:bottom w:val="single" w:sz="2" w:space="0" w:color="000000"/>
            </w:tcBorders>
            <w:tcMar>
              <w:left w:w="28"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1485" w:type="dxa"/>
            <w:tcBorders>
              <w:bottom w:val="single" w:sz="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89" w:type="dxa"/>
            <w:tcBorders>
              <w:bottom w:val="single" w:sz="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26" w:type="dxa"/>
            <w:tcBorders>
              <w:bottom w:val="single" w:sz="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3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258" w:type="dxa"/>
            <w:tcBorders/>
            <w:vAlign w:val="center"/>
          </w:tcPr>
          <w:p>
            <w:pPr>
              <w:pStyle w:val="TableContents"/>
              <w:bidi w:val="0"/>
              <w:spacing w:before="0" w:after="283"/>
              <w:jc w:val="left"/>
              <w:rPr>
                <w:caps w:val="false"/>
                <w:smallCaps w:val="false"/>
              </w:rPr>
            </w:pPr>
            <w:r>
              <w:rPr>
                <w:caps w:val="false"/>
                <w:smallCaps w:val="false"/>
              </w:rPr>
              <w:t> </w:t>
            </w:r>
          </w:p>
        </w:tc>
        <w:tc>
          <w:tcPr>
            <w:tcW w:w="1009" w:type="dxa"/>
            <w:tcBorders>
              <w:left w:val="single" w:sz="2" w:space="0" w:color="000000"/>
            </w:tcBorders>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840" w:type="dxa"/>
            <w:tcBorders/>
            <w:vAlign w:val="center"/>
          </w:tcPr>
          <w:p>
            <w:pPr>
              <w:pStyle w:val="TableContents"/>
              <w:bidi w:val="0"/>
              <w:spacing w:before="0" w:after="283"/>
              <w:jc w:val="left"/>
              <w:rPr>
                <w:caps w:val="false"/>
                <w:smallCaps w:val="false"/>
              </w:rPr>
            </w:pPr>
            <w:r>
              <w:rPr>
                <w:caps w:val="false"/>
                <w:smallCaps w:val="false"/>
              </w:rPr>
              <w:t> </w:t>
            </w:r>
          </w:p>
        </w:tc>
        <w:tc>
          <w:tcPr>
            <w:tcW w:w="843" w:type="dxa"/>
            <w:tcBorders>
              <w:left w:val="single" w:sz="2" w:space="0" w:color="000000"/>
            </w:tcBorders>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706" w:type="dxa"/>
            <w:tcBorders/>
            <w:vAlign w:val="center"/>
          </w:tcPr>
          <w:p>
            <w:pPr>
              <w:pStyle w:val="TableContents"/>
              <w:bidi w:val="0"/>
              <w:spacing w:before="0" w:after="283"/>
              <w:jc w:val="left"/>
              <w:rPr>
                <w:caps w:val="false"/>
                <w:smallCaps w:val="false"/>
              </w:rPr>
            </w:pPr>
            <w:r>
              <w:rPr>
                <w:caps w:val="false"/>
                <w:smallCaps w:val="false"/>
              </w:rPr>
              <w:t> </w:t>
            </w:r>
          </w:p>
        </w:tc>
        <w:tc>
          <w:tcPr>
            <w:tcW w:w="710" w:type="dxa"/>
            <w:tcBorders>
              <w:left w:val="single" w:sz="2" w:space="0" w:color="000000"/>
            </w:tcBorders>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1485" w:type="dxa"/>
            <w:tcBorders/>
            <w:vAlign w:val="center"/>
          </w:tcPr>
          <w:p>
            <w:pPr>
              <w:pStyle w:val="TableContents"/>
              <w:bidi w:val="0"/>
              <w:spacing w:before="0" w:after="283"/>
              <w:jc w:val="left"/>
              <w:rPr>
                <w:caps w:val="false"/>
                <w:smallCaps w:val="false"/>
              </w:rPr>
            </w:pPr>
            <w:r>
              <w:rPr>
                <w:caps w:val="false"/>
                <w:smallCaps w:val="false"/>
              </w:rPr>
              <w:t> </w:t>
            </w:r>
          </w:p>
        </w:tc>
        <w:tc>
          <w:tcPr>
            <w:tcW w:w="1489" w:type="dxa"/>
            <w:tcBorders>
              <w:left w:val="single" w:sz="2" w:space="0" w:color="000000"/>
            </w:tcBorders>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826" w:type="dxa"/>
            <w:tcBorders/>
            <w:vAlign w:val="center"/>
          </w:tcPr>
          <w:p>
            <w:pPr>
              <w:pStyle w:val="TableContents"/>
              <w:bidi w:val="0"/>
              <w:spacing w:before="0" w:after="283"/>
              <w:jc w:val="left"/>
              <w:rPr>
                <w:caps w:val="false"/>
                <w:smallCaps w:val="false"/>
              </w:rPr>
            </w:pPr>
            <w:r>
              <w:rPr>
                <w:caps w:val="false"/>
                <w:smallCaps w:val="false"/>
              </w:rPr>
              <w:t> </w:t>
            </w:r>
          </w:p>
        </w:tc>
        <w:tc>
          <w:tcPr>
            <w:tcW w:w="1039" w:type="dxa"/>
            <w:tcBorders>
              <w:left w:val="single" w:sz="2" w:space="0" w:color="000000"/>
            </w:tcBorders>
            <w:tcMar>
              <w:left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2267" w:type="dxa"/>
            <w:gridSpan w:val="2"/>
            <w:tcBorders>
              <w:bottom w:val="single" w:sz="8" w:space="0" w:color="C12E33"/>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683" w:type="dxa"/>
            <w:gridSpan w:val="2"/>
            <w:tcBorders>
              <w:left w:val="single" w:sz="18" w:space="0" w:color="FFFFFF"/>
              <w:bottom w:val="single" w:sz="8" w:space="0" w:color="C12E33"/>
            </w:tcBorders>
            <w:tcMar>
              <w:left w:w="8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1416" w:type="dxa"/>
            <w:gridSpan w:val="2"/>
            <w:tcBorders>
              <w:left w:val="single" w:sz="18" w:space="0" w:color="FFFFFF"/>
              <w:bottom w:val="single" w:sz="8" w:space="0" w:color="C12E33"/>
            </w:tcBorders>
            <w:tcMar>
              <w:left w:w="8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2974" w:type="dxa"/>
            <w:gridSpan w:val="2"/>
            <w:tcBorders>
              <w:left w:val="single" w:sz="18" w:space="0" w:color="FFFFFF"/>
              <w:bottom w:val="single" w:sz="8" w:space="0" w:color="C12E33"/>
            </w:tcBorders>
            <w:tcMar>
              <w:left w:w="8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1865" w:type="dxa"/>
            <w:gridSpan w:val="2"/>
            <w:tcBorders>
              <w:left w:val="single" w:sz="18" w:space="0" w:color="FFFFFF"/>
              <w:bottom w:val="single" w:sz="8" w:space="0" w:color="C12E33"/>
            </w:tcBorders>
            <w:tcMar>
              <w:left w:w="80" w:type="dxa"/>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2267"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1683"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1416"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2974"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186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2267" w:type="dxa"/>
            <w:gridSpan w:val="2"/>
            <w:tcBorders>
              <w:left w:val="single" w:sz="2" w:space="0" w:color="000000"/>
            </w:tcBorders>
            <w:tcMar>
              <w:left w:w="80" w:type="dxa"/>
            </w:tcMar>
            <w:vAlign w:val="center"/>
          </w:tcPr>
          <w:p>
            <w:pPr>
              <w:pStyle w:val="TableContents"/>
              <w:bidi w:val="0"/>
              <w:spacing w:before="0" w:after="283"/>
              <w:jc w:val="left"/>
              <w:rPr/>
            </w:pPr>
            <w:r>
              <w:rPr/>
              <w:drawing>
                <wp:inline distT="0" distB="0" distL="0" distR="0">
                  <wp:extent cx="447675" cy="1781175"/>
                  <wp:effectExtent l="0" t="0" r="0" b="0"/>
                  <wp:docPr id="274" name="Image1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 name="Image184" descr=""/>
                          <pic:cNvPicPr>
                            <a:picLocks noChangeAspect="1" noChangeArrowheads="1"/>
                          </pic:cNvPicPr>
                        </pic:nvPicPr>
                        <pic:blipFill>
                          <a:blip r:embed="rId229"/>
                          <a:stretch>
                            <a:fillRect/>
                          </a:stretch>
                        </pic:blipFill>
                        <pic:spPr bwMode="auto">
                          <a:xfrm>
                            <a:off x="0" y="0"/>
                            <a:ext cx="447675" cy="1781175"/>
                          </a:xfrm>
                          <a:prstGeom prst="rect">
                            <a:avLst/>
                          </a:prstGeom>
                        </pic:spPr>
                      </pic:pic>
                    </a:graphicData>
                  </a:graphic>
                </wp:inline>
              </w:drawing>
            </w:r>
          </w:p>
        </w:tc>
        <w:tc>
          <w:tcPr>
            <w:tcW w:w="1683" w:type="dxa"/>
            <w:gridSpan w:val="2"/>
            <w:tcBorders>
              <w:left w:val="single" w:sz="2" w:space="0" w:color="000000"/>
            </w:tcBorders>
            <w:tcMar>
              <w:left w:w="80" w:type="dxa"/>
            </w:tcMar>
            <w:vAlign w:val="center"/>
          </w:tcPr>
          <w:p>
            <w:pPr>
              <w:pStyle w:val="TableContents"/>
              <w:bidi w:val="0"/>
              <w:spacing w:before="0" w:after="283"/>
              <w:jc w:val="left"/>
              <w:rPr/>
            </w:pPr>
            <w:r>
              <w:rPr/>
              <w:drawing>
                <wp:inline distT="0" distB="0" distL="0" distR="0">
                  <wp:extent cx="447675" cy="1847850"/>
                  <wp:effectExtent l="0" t="0" r="0" b="0"/>
                  <wp:docPr id="275" name="Image1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 name="Image185" descr=""/>
                          <pic:cNvPicPr>
                            <a:picLocks noChangeAspect="1" noChangeArrowheads="1"/>
                          </pic:cNvPicPr>
                        </pic:nvPicPr>
                        <pic:blipFill>
                          <a:blip r:embed="rId230"/>
                          <a:stretch>
                            <a:fillRect/>
                          </a:stretch>
                        </pic:blipFill>
                        <pic:spPr bwMode="auto">
                          <a:xfrm>
                            <a:off x="0" y="0"/>
                            <a:ext cx="447675" cy="1847850"/>
                          </a:xfrm>
                          <a:prstGeom prst="rect">
                            <a:avLst/>
                          </a:prstGeom>
                        </pic:spPr>
                      </pic:pic>
                    </a:graphicData>
                  </a:graphic>
                </wp:inline>
              </w:drawing>
            </w:r>
          </w:p>
        </w:tc>
        <w:tc>
          <w:tcPr>
            <w:tcW w:w="1416" w:type="dxa"/>
            <w:gridSpan w:val="2"/>
            <w:tcBorders>
              <w:left w:val="single" w:sz="2" w:space="0" w:color="000000"/>
            </w:tcBorders>
            <w:tcMar>
              <w:left w:w="80" w:type="dxa"/>
            </w:tcMar>
            <w:vAlign w:val="center"/>
          </w:tcPr>
          <w:p>
            <w:pPr>
              <w:pStyle w:val="TableContents"/>
              <w:bidi w:val="0"/>
              <w:spacing w:before="0" w:after="283"/>
              <w:jc w:val="left"/>
              <w:rPr/>
            </w:pPr>
            <w:r>
              <w:rPr/>
              <w:drawing>
                <wp:inline distT="0" distB="0" distL="0" distR="0">
                  <wp:extent cx="447675" cy="1800225"/>
                  <wp:effectExtent l="0" t="0" r="0" b="0"/>
                  <wp:docPr id="276" name="Image1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 name="Image186" descr=""/>
                          <pic:cNvPicPr>
                            <a:picLocks noChangeAspect="1" noChangeArrowheads="1"/>
                          </pic:cNvPicPr>
                        </pic:nvPicPr>
                        <pic:blipFill>
                          <a:blip r:embed="rId231"/>
                          <a:stretch>
                            <a:fillRect/>
                          </a:stretch>
                        </pic:blipFill>
                        <pic:spPr bwMode="auto">
                          <a:xfrm>
                            <a:off x="0" y="0"/>
                            <a:ext cx="447675" cy="1800225"/>
                          </a:xfrm>
                          <a:prstGeom prst="rect">
                            <a:avLst/>
                          </a:prstGeom>
                        </pic:spPr>
                      </pic:pic>
                    </a:graphicData>
                  </a:graphic>
                </wp:inline>
              </w:drawing>
            </w:r>
          </w:p>
        </w:tc>
        <w:tc>
          <w:tcPr>
            <w:tcW w:w="2974" w:type="dxa"/>
            <w:gridSpan w:val="2"/>
            <w:tcBorders>
              <w:left w:val="single" w:sz="2" w:space="0" w:color="000000"/>
            </w:tcBorders>
            <w:tcMar>
              <w:left w:w="80" w:type="dxa"/>
            </w:tcMar>
            <w:vAlign w:val="center"/>
          </w:tcPr>
          <w:p>
            <w:pPr>
              <w:pStyle w:val="TableContents"/>
              <w:bidi w:val="0"/>
              <w:spacing w:before="0" w:after="283"/>
              <w:jc w:val="left"/>
              <w:rPr/>
            </w:pPr>
            <w:r>
              <w:rPr/>
              <w:drawing>
                <wp:inline distT="0" distB="0" distL="0" distR="0">
                  <wp:extent cx="447675" cy="1819275"/>
                  <wp:effectExtent l="0" t="0" r="0" b="0"/>
                  <wp:docPr id="277" name="Image1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 name="Image187" descr=""/>
                          <pic:cNvPicPr>
                            <a:picLocks noChangeAspect="1" noChangeArrowheads="1"/>
                          </pic:cNvPicPr>
                        </pic:nvPicPr>
                        <pic:blipFill>
                          <a:blip r:embed="rId232"/>
                          <a:stretch>
                            <a:fillRect/>
                          </a:stretch>
                        </pic:blipFill>
                        <pic:spPr bwMode="auto">
                          <a:xfrm>
                            <a:off x="0" y="0"/>
                            <a:ext cx="447675" cy="1819275"/>
                          </a:xfrm>
                          <a:prstGeom prst="rect">
                            <a:avLst/>
                          </a:prstGeom>
                        </pic:spPr>
                      </pic:pic>
                    </a:graphicData>
                  </a:graphic>
                </wp:inline>
              </w:drawing>
            </w:r>
          </w:p>
        </w:tc>
        <w:tc>
          <w:tcPr>
            <w:tcW w:w="1865" w:type="dxa"/>
            <w:gridSpan w:val="2"/>
            <w:tcBorders>
              <w:left w:val="single" w:sz="2" w:space="0" w:color="000000"/>
              <w:right w:val="single" w:sz="2" w:space="0" w:color="000000"/>
            </w:tcBorders>
            <w:tcMar>
              <w:left w:w="80" w:type="dxa"/>
              <w:right w:w="80" w:type="dxa"/>
            </w:tcMar>
            <w:vAlign w:val="center"/>
          </w:tcPr>
          <w:p>
            <w:pPr>
              <w:pStyle w:val="TableContents"/>
              <w:bidi w:val="0"/>
              <w:spacing w:before="0" w:after="283"/>
              <w:jc w:val="left"/>
              <w:rPr/>
            </w:pPr>
            <w:r>
              <w:rPr/>
              <w:drawing>
                <wp:inline distT="0" distB="0" distL="0" distR="0">
                  <wp:extent cx="447675" cy="1657350"/>
                  <wp:effectExtent l="0" t="0" r="0" b="0"/>
                  <wp:docPr id="278" name="Image1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 name="Image188" descr=""/>
                          <pic:cNvPicPr>
                            <a:picLocks noChangeAspect="1" noChangeArrowheads="1"/>
                          </pic:cNvPicPr>
                        </pic:nvPicPr>
                        <pic:blipFill>
                          <a:blip r:embed="rId233"/>
                          <a:stretch>
                            <a:fillRect/>
                          </a:stretch>
                        </pic:blipFill>
                        <pic:spPr bwMode="auto">
                          <a:xfrm>
                            <a:off x="0" y="0"/>
                            <a:ext cx="447675" cy="1657350"/>
                          </a:xfrm>
                          <a:prstGeom prst="rect">
                            <a:avLst/>
                          </a:prstGeom>
                        </pic:spPr>
                      </pic:pic>
                    </a:graphicData>
                  </a:graphic>
                </wp:inline>
              </w:drawing>
            </w:r>
          </w:p>
        </w:tc>
      </w:tr>
      <w:tr>
        <w:trPr/>
        <w:tc>
          <w:tcPr>
            <w:tcW w:w="2267" w:type="dxa"/>
            <w:gridSpan w:val="2"/>
            <w:tcBorders>
              <w:left w:val="single" w:sz="2" w:space="0" w:color="000000"/>
            </w:tcBorders>
            <w:tcMar>
              <w:left w:w="80" w:type="dxa"/>
            </w:tcMar>
            <w:vAlign w:val="center"/>
          </w:tcPr>
          <w:p>
            <w:pPr>
              <w:pStyle w:val="TableContents"/>
              <w:bidi w:val="0"/>
              <w:spacing w:before="0" w:after="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Audit Committee</w:t>
            </w:r>
          </w:p>
          <w:p>
            <w:pPr>
              <w:pStyle w:val="TableContents"/>
              <w:bidi w:val="0"/>
              <w:spacing w:before="100" w:after="40"/>
              <w:jc w:val="left"/>
              <w:rPr>
                <w:caps w:val="false"/>
                <w:smallCaps w:val="false"/>
              </w:rPr>
            </w:pPr>
            <w:r>
              <w:rPr>
                <w:caps w:val="false"/>
                <w:smallCaps w:val="false"/>
              </w:rPr>
              <w:t>●</w:t>
            </w:r>
          </w:p>
          <w:p>
            <w:pPr>
              <w:pStyle w:val="TableContents"/>
              <w:bidi w:val="0"/>
              <w:spacing w:before="0" w:after="0"/>
              <w:ind w:left="240" w:right="0" w:hanging="0"/>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Financial reporting</w:t>
            </w:r>
          </w:p>
          <w:p>
            <w:pPr>
              <w:pStyle w:val="TableContents"/>
              <w:bidi w:val="0"/>
              <w:spacing w:before="100" w:after="40"/>
              <w:jc w:val="left"/>
              <w:rPr>
                <w:caps w:val="false"/>
                <w:smallCaps w:val="false"/>
              </w:rPr>
            </w:pPr>
            <w:r>
              <w:rPr>
                <w:caps w:val="false"/>
                <w:smallCaps w:val="false"/>
              </w:rPr>
              <w:t>●</w:t>
            </w:r>
          </w:p>
          <w:p>
            <w:pPr>
              <w:pStyle w:val="TableContents"/>
              <w:bidi w:val="0"/>
              <w:spacing w:before="0" w:after="0"/>
              <w:ind w:left="240" w:right="0" w:hanging="0"/>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Internal controls</w:t>
            </w:r>
          </w:p>
          <w:p>
            <w:pPr>
              <w:pStyle w:val="TableContents"/>
              <w:bidi w:val="0"/>
              <w:spacing w:before="100" w:after="40"/>
              <w:jc w:val="left"/>
              <w:rPr>
                <w:caps w:val="false"/>
                <w:smallCaps w:val="false"/>
              </w:rPr>
            </w:pPr>
            <w:r>
              <w:rPr>
                <w:caps w:val="false"/>
                <w:smallCaps w:val="false"/>
              </w:rPr>
              <w:t>●</w:t>
            </w:r>
          </w:p>
          <w:p>
            <w:pPr>
              <w:pStyle w:val="TableContents"/>
              <w:bidi w:val="0"/>
              <w:spacing w:before="0" w:after="0"/>
              <w:ind w:left="240" w:right="0" w:hanging="0"/>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Auditing matters</w:t>
            </w:r>
          </w:p>
          <w:p>
            <w:pPr>
              <w:pStyle w:val="TableContents"/>
              <w:bidi w:val="0"/>
              <w:spacing w:before="100" w:after="40"/>
              <w:jc w:val="left"/>
              <w:rPr>
                <w:caps w:val="false"/>
                <w:smallCaps w:val="false"/>
              </w:rPr>
            </w:pPr>
            <w:r>
              <w:rPr>
                <w:caps w:val="false"/>
                <w:smallCaps w:val="false"/>
              </w:rPr>
              <w:t>●</w:t>
            </w:r>
          </w:p>
          <w:p>
            <w:pPr>
              <w:pStyle w:val="TableContents"/>
              <w:bidi w:val="0"/>
              <w:spacing w:before="0" w:after="0"/>
              <w:ind w:left="240" w:right="0" w:hanging="0"/>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Taxes</w:t>
            </w:r>
          </w:p>
          <w:p>
            <w:pPr>
              <w:pStyle w:val="TableContents"/>
              <w:bidi w:val="0"/>
              <w:spacing w:before="100" w:after="40"/>
              <w:jc w:val="left"/>
              <w:rPr>
                <w:caps w:val="false"/>
                <w:smallCaps w:val="false"/>
              </w:rPr>
            </w:pPr>
            <w:r>
              <w:rPr>
                <w:caps w:val="false"/>
                <w:smallCaps w:val="false"/>
              </w:rPr>
              <w:t>●</w:t>
            </w:r>
          </w:p>
          <w:p>
            <w:pPr>
              <w:pStyle w:val="TableContents"/>
              <w:bidi w:val="0"/>
              <w:spacing w:before="0" w:after="0"/>
              <w:ind w:left="240" w:right="0" w:hanging="0"/>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Legal, ethical and regulatory compliance programs</w:t>
            </w:r>
          </w:p>
        </w:tc>
        <w:tc>
          <w:tcPr>
            <w:tcW w:w="1683" w:type="dxa"/>
            <w:gridSpan w:val="2"/>
            <w:tcBorders>
              <w:left w:val="single" w:sz="2" w:space="0" w:color="000000"/>
            </w:tcBorders>
            <w:tcMar>
              <w:left w:w="80" w:type="dxa"/>
            </w:tcMar>
            <w:vAlign w:val="center"/>
          </w:tcPr>
          <w:p>
            <w:pPr>
              <w:pStyle w:val="TableContents"/>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Governance</w:t>
            </w:r>
            <w:r>
              <w:rPr>
                <w:rFonts w:ascii="Arial;Helvetica;Sans-Serif" w:hAnsi="Arial;Helvetica;Sans-Serif"/>
                <w:b w:val="false"/>
                <w:i w:val="false"/>
                <w:caps w:val="false"/>
                <w:smallCaps w:val="false"/>
                <w:sz w:val="20"/>
              </w:rPr>
              <w:t xml:space="preserve"> </w:t>
            </w:r>
            <w:r>
              <w:rPr>
                <w:rFonts w:ascii="Arial;Helvetica;Sans-Serif" w:hAnsi="Arial;Helvetica;Sans-Serif"/>
                <w:b/>
                <w:i w:val="false"/>
                <w:caps w:val="false"/>
                <w:smallCaps w:val="false"/>
                <w:sz w:val="20"/>
              </w:rPr>
              <w:t xml:space="preserve">Committee </w:t>
            </w:r>
          </w:p>
          <w:p>
            <w:pPr>
              <w:pStyle w:val="TableContents"/>
              <w:bidi w:val="0"/>
              <w:spacing w:before="100" w:after="40"/>
              <w:jc w:val="left"/>
              <w:rPr>
                <w:caps w:val="false"/>
                <w:smallCaps w:val="false"/>
              </w:rPr>
            </w:pPr>
            <w:r>
              <w:rPr>
                <w:caps w:val="false"/>
                <w:smallCaps w:val="false"/>
              </w:rPr>
              <w:t>●</w:t>
            </w:r>
          </w:p>
          <w:p>
            <w:pPr>
              <w:pStyle w:val="TableContents"/>
              <w:bidi w:val="0"/>
              <w:spacing w:before="0" w:after="0"/>
              <w:ind w:left="240" w:right="0" w:hanging="0"/>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Corporate governance</w:t>
            </w:r>
          </w:p>
          <w:p>
            <w:pPr>
              <w:pStyle w:val="TableContents"/>
              <w:bidi w:val="0"/>
              <w:spacing w:before="100" w:after="40"/>
              <w:jc w:val="left"/>
              <w:rPr>
                <w:caps w:val="false"/>
                <w:smallCaps w:val="false"/>
              </w:rPr>
            </w:pPr>
            <w:r>
              <w:rPr>
                <w:caps w:val="false"/>
                <w:smallCaps w:val="false"/>
              </w:rPr>
              <w:t>●</w:t>
            </w:r>
          </w:p>
          <w:p>
            <w:pPr>
              <w:pStyle w:val="TableContents"/>
              <w:bidi w:val="0"/>
              <w:spacing w:before="0" w:after="0"/>
              <w:ind w:left="240" w:right="0" w:hanging="0"/>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Conflicts of interest</w:t>
            </w:r>
          </w:p>
          <w:p>
            <w:pPr>
              <w:pStyle w:val="TableContents"/>
              <w:bidi w:val="0"/>
              <w:spacing w:before="100" w:after="40"/>
              <w:jc w:val="left"/>
              <w:rPr>
                <w:caps w:val="false"/>
                <w:smallCaps w:val="false"/>
              </w:rPr>
            </w:pPr>
            <w:r>
              <w:rPr>
                <w:caps w:val="false"/>
                <w:smallCaps w:val="false"/>
              </w:rPr>
              <w:t>●</w:t>
            </w:r>
          </w:p>
          <w:p>
            <w:pPr>
              <w:pStyle w:val="TableContents"/>
              <w:bidi w:val="0"/>
              <w:spacing w:before="0" w:after="0"/>
              <w:ind w:left="240" w:right="0" w:hanging="0"/>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Director independence</w:t>
            </w:r>
          </w:p>
          <w:p>
            <w:pPr>
              <w:pStyle w:val="TableContents"/>
              <w:bidi w:val="0"/>
              <w:spacing w:before="100" w:after="40"/>
              <w:jc w:val="left"/>
              <w:rPr>
                <w:caps w:val="false"/>
                <w:smallCaps w:val="false"/>
              </w:rPr>
            </w:pPr>
            <w:r>
              <w:rPr>
                <w:caps w:val="false"/>
                <w:smallCaps w:val="false"/>
              </w:rPr>
              <w:t>●</w:t>
            </w:r>
          </w:p>
          <w:p>
            <w:pPr>
              <w:pStyle w:val="TableContents"/>
              <w:bidi w:val="0"/>
              <w:spacing w:before="0" w:after="0"/>
              <w:ind w:left="240" w:right="0" w:hanging="0"/>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Product quality</w:t>
            </w:r>
          </w:p>
          <w:p>
            <w:pPr>
              <w:pStyle w:val="TableContents"/>
              <w:bidi w:val="0"/>
              <w:spacing w:before="100" w:after="40"/>
              <w:jc w:val="left"/>
              <w:rPr>
                <w:caps w:val="false"/>
                <w:smallCaps w:val="false"/>
              </w:rPr>
            </w:pPr>
            <w:r>
              <w:rPr>
                <w:caps w:val="false"/>
                <w:smallCaps w:val="false"/>
              </w:rPr>
              <w:t>●</w:t>
            </w:r>
          </w:p>
          <w:p>
            <w:pPr>
              <w:pStyle w:val="TableContents"/>
              <w:bidi w:val="0"/>
              <w:spacing w:before="0" w:after="0"/>
              <w:ind w:left="240" w:right="0" w:hanging="0"/>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Product safety</w:t>
            </w:r>
          </w:p>
          <w:p>
            <w:pPr>
              <w:pStyle w:val="TableContents"/>
              <w:bidi w:val="0"/>
              <w:spacing w:before="100" w:after="40"/>
              <w:jc w:val="left"/>
              <w:rPr>
                <w:caps w:val="false"/>
                <w:smallCaps w:val="false"/>
              </w:rPr>
            </w:pPr>
            <w:r>
              <w:rPr>
                <w:caps w:val="false"/>
                <w:smallCaps w:val="false"/>
              </w:rPr>
              <w:t>●</w:t>
            </w:r>
          </w:p>
          <w:p>
            <w:pPr>
              <w:pStyle w:val="TableContents"/>
              <w:bidi w:val="0"/>
              <w:spacing w:before="0" w:after="0"/>
              <w:ind w:left="240" w:right="0" w:hanging="0"/>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Sustainability</w:t>
            </w:r>
          </w:p>
          <w:p>
            <w:pPr>
              <w:pStyle w:val="TableContents"/>
              <w:bidi w:val="0"/>
              <w:spacing w:before="100" w:after="40"/>
              <w:jc w:val="left"/>
              <w:rPr>
                <w:caps w:val="false"/>
                <w:smallCaps w:val="false"/>
              </w:rPr>
            </w:pPr>
            <w:r>
              <w:rPr>
                <w:caps w:val="false"/>
                <w:smallCaps w:val="false"/>
              </w:rPr>
              <w:t>●</w:t>
            </w:r>
          </w:p>
          <w:p>
            <w:pPr>
              <w:pStyle w:val="TableContents"/>
              <w:bidi w:val="0"/>
              <w:spacing w:before="0" w:after="0"/>
              <w:ind w:left="240" w:right="0" w:hanging="0"/>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Workplace safety</w:t>
            </w:r>
          </w:p>
          <w:p>
            <w:pPr>
              <w:pStyle w:val="TableContents"/>
              <w:bidi w:val="0"/>
              <w:spacing w:before="100" w:after="40"/>
              <w:jc w:val="left"/>
              <w:rPr>
                <w:caps w:val="false"/>
                <w:smallCaps w:val="false"/>
              </w:rPr>
            </w:pPr>
            <w:r>
              <w:rPr>
                <w:caps w:val="false"/>
                <w:smallCaps w:val="false"/>
              </w:rPr>
              <w:t>●</w:t>
            </w:r>
          </w:p>
          <w:p>
            <w:pPr>
              <w:pStyle w:val="TableContents"/>
              <w:bidi w:val="0"/>
              <w:spacing w:before="0" w:after="0"/>
              <w:ind w:left="240" w:right="0" w:hanging="0"/>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Human rights</w:t>
            </w:r>
          </w:p>
          <w:p>
            <w:pPr>
              <w:pStyle w:val="TableContents"/>
              <w:bidi w:val="0"/>
              <w:spacing w:before="100" w:after="40"/>
              <w:jc w:val="left"/>
              <w:rPr>
                <w:caps w:val="false"/>
                <w:smallCaps w:val="false"/>
              </w:rPr>
            </w:pPr>
            <w:r>
              <w:rPr>
                <w:caps w:val="false"/>
                <w:smallCaps w:val="false"/>
              </w:rPr>
              <w:t>●</w:t>
            </w:r>
          </w:p>
          <w:p>
            <w:pPr>
              <w:pStyle w:val="TableContents"/>
              <w:bidi w:val="0"/>
              <w:spacing w:before="0" w:after="0"/>
              <w:ind w:left="240" w:right="0" w:hanging="0"/>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Public policy issues</w:t>
            </w:r>
          </w:p>
          <w:p>
            <w:pPr>
              <w:pStyle w:val="TableContents"/>
              <w:bidi w:val="0"/>
              <w:spacing w:before="100" w:after="40"/>
              <w:jc w:val="left"/>
              <w:rPr>
                <w:caps w:val="false"/>
                <w:smallCaps w:val="false"/>
              </w:rPr>
            </w:pPr>
            <w:r>
              <w:rPr>
                <w:caps w:val="false"/>
                <w:smallCaps w:val="false"/>
              </w:rPr>
              <w:t>●</w:t>
            </w:r>
          </w:p>
          <w:p>
            <w:pPr>
              <w:pStyle w:val="TableContents"/>
              <w:bidi w:val="0"/>
              <w:spacing w:before="0" w:after="0"/>
              <w:ind w:left="240" w:right="0" w:hanging="0"/>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AI</w:t>
            </w:r>
          </w:p>
        </w:tc>
        <w:tc>
          <w:tcPr>
            <w:tcW w:w="1416" w:type="dxa"/>
            <w:gridSpan w:val="2"/>
            <w:tcBorders>
              <w:left w:val="single" w:sz="2" w:space="0" w:color="000000"/>
            </w:tcBorders>
            <w:tcMar>
              <w:left w:w="80" w:type="dxa"/>
            </w:tcMar>
            <w:vAlign w:val="center"/>
          </w:tcPr>
          <w:p>
            <w:pPr>
              <w:pStyle w:val="TableContents"/>
              <w:bidi w:val="0"/>
              <w:spacing w:before="0" w:after="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Finance Committee</w:t>
            </w:r>
          </w:p>
          <w:p>
            <w:pPr>
              <w:pStyle w:val="TableContents"/>
              <w:bidi w:val="0"/>
              <w:spacing w:before="100" w:after="40"/>
              <w:jc w:val="left"/>
              <w:rPr>
                <w:caps w:val="false"/>
                <w:smallCaps w:val="false"/>
              </w:rPr>
            </w:pPr>
            <w:r>
              <w:rPr>
                <w:caps w:val="false"/>
                <w:smallCaps w:val="false"/>
              </w:rPr>
              <w:t>●</w:t>
            </w:r>
          </w:p>
          <w:p>
            <w:pPr>
              <w:pStyle w:val="TableContents"/>
              <w:bidi w:val="0"/>
              <w:spacing w:before="0" w:after="0"/>
              <w:ind w:left="240" w:right="0" w:hanging="0"/>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Capital structure</w:t>
            </w:r>
          </w:p>
          <w:p>
            <w:pPr>
              <w:pStyle w:val="TableContents"/>
              <w:bidi w:val="0"/>
              <w:spacing w:before="100" w:after="40"/>
              <w:jc w:val="left"/>
              <w:rPr>
                <w:caps w:val="false"/>
                <w:smallCaps w:val="false"/>
              </w:rPr>
            </w:pPr>
            <w:r>
              <w:rPr>
                <w:caps w:val="false"/>
                <w:smallCaps w:val="false"/>
              </w:rPr>
              <w:t>●</w:t>
            </w:r>
          </w:p>
          <w:p>
            <w:pPr>
              <w:pStyle w:val="TableContents"/>
              <w:bidi w:val="0"/>
              <w:spacing w:before="0" w:after="0"/>
              <w:ind w:left="240" w:right="0" w:hanging="0"/>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Financing</w:t>
            </w:r>
          </w:p>
          <w:p>
            <w:pPr>
              <w:pStyle w:val="TableContents"/>
              <w:bidi w:val="0"/>
              <w:spacing w:before="100" w:after="40"/>
              <w:jc w:val="left"/>
              <w:rPr>
                <w:caps w:val="false"/>
                <w:smallCaps w:val="false"/>
              </w:rPr>
            </w:pPr>
            <w:r>
              <w:rPr>
                <w:caps w:val="false"/>
                <w:smallCaps w:val="false"/>
              </w:rPr>
              <w:t>●</w:t>
            </w:r>
          </w:p>
          <w:p>
            <w:pPr>
              <w:pStyle w:val="TableContents"/>
              <w:bidi w:val="0"/>
              <w:spacing w:before="0" w:after="0"/>
              <w:ind w:left="240" w:right="0" w:hanging="0"/>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Pensions</w:t>
            </w:r>
          </w:p>
          <w:p>
            <w:pPr>
              <w:pStyle w:val="TableContents"/>
              <w:bidi w:val="0"/>
              <w:spacing w:before="100" w:after="40"/>
              <w:jc w:val="left"/>
              <w:rPr>
                <w:caps w:val="false"/>
                <w:smallCaps w:val="false"/>
              </w:rPr>
            </w:pPr>
            <w:r>
              <w:rPr>
                <w:caps w:val="false"/>
                <w:smallCaps w:val="false"/>
              </w:rPr>
              <w:t>●</w:t>
            </w:r>
          </w:p>
          <w:p>
            <w:pPr>
              <w:pStyle w:val="TableContents"/>
              <w:bidi w:val="0"/>
              <w:spacing w:before="0" w:after="0"/>
              <w:ind w:left="240" w:right="0" w:hanging="0"/>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Capital transactions</w:t>
            </w:r>
          </w:p>
          <w:p>
            <w:pPr>
              <w:pStyle w:val="TableContents"/>
              <w:bidi w:val="0"/>
              <w:spacing w:before="100" w:after="40"/>
              <w:jc w:val="left"/>
              <w:rPr>
                <w:caps w:val="false"/>
                <w:smallCaps w:val="false"/>
              </w:rPr>
            </w:pPr>
            <w:r>
              <w:rPr>
                <w:caps w:val="false"/>
                <w:smallCaps w:val="false"/>
              </w:rPr>
              <w:t>●</w:t>
            </w:r>
          </w:p>
          <w:p>
            <w:pPr>
              <w:pStyle w:val="TableContents"/>
              <w:bidi w:val="0"/>
              <w:spacing w:before="0" w:after="0"/>
              <w:ind w:left="240" w:right="0" w:hanging="0"/>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Foreign exchange</w:t>
            </w:r>
          </w:p>
          <w:p>
            <w:pPr>
              <w:pStyle w:val="TableContents"/>
              <w:bidi w:val="0"/>
              <w:spacing w:before="100" w:after="40"/>
              <w:jc w:val="left"/>
              <w:rPr>
                <w:caps w:val="false"/>
                <w:smallCaps w:val="false"/>
              </w:rPr>
            </w:pPr>
            <w:r>
              <w:rPr>
                <w:caps w:val="false"/>
                <w:smallCaps w:val="false"/>
              </w:rPr>
              <w:t>●</w:t>
            </w:r>
          </w:p>
          <w:p>
            <w:pPr>
              <w:pStyle w:val="TableContents"/>
              <w:bidi w:val="0"/>
              <w:spacing w:before="0" w:after="0"/>
              <w:ind w:left="240" w:right="0" w:hanging="0"/>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Interest rates</w:t>
            </w:r>
          </w:p>
          <w:p>
            <w:pPr>
              <w:pStyle w:val="TableContents"/>
              <w:bidi w:val="0"/>
              <w:spacing w:before="100" w:after="40"/>
              <w:jc w:val="left"/>
              <w:rPr>
                <w:caps w:val="false"/>
                <w:smallCaps w:val="false"/>
              </w:rPr>
            </w:pPr>
            <w:r>
              <w:rPr>
                <w:caps w:val="false"/>
                <w:smallCaps w:val="false"/>
              </w:rPr>
              <w:t>●</w:t>
            </w:r>
          </w:p>
          <w:p>
            <w:pPr>
              <w:pStyle w:val="TableContents"/>
              <w:bidi w:val="0"/>
              <w:spacing w:before="0" w:after="0"/>
              <w:ind w:left="240" w:right="0" w:hanging="0"/>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Corporate transactions</w:t>
            </w:r>
          </w:p>
        </w:tc>
        <w:tc>
          <w:tcPr>
            <w:tcW w:w="2974" w:type="dxa"/>
            <w:gridSpan w:val="2"/>
            <w:tcBorders>
              <w:left w:val="single" w:sz="2" w:space="0" w:color="000000"/>
            </w:tcBorders>
            <w:tcMar>
              <w:left w:w="80" w:type="dxa"/>
            </w:tcMar>
            <w:vAlign w:val="center"/>
          </w:tcPr>
          <w:p>
            <w:pPr>
              <w:pStyle w:val="TableContents"/>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Human Capital &amp;</w:t>
            </w:r>
            <w:r>
              <w:rPr>
                <w:rFonts w:ascii="Arial;Helvetica;Sans-Serif" w:hAnsi="Arial;Helvetica;Sans-Serif"/>
                <w:b w:val="false"/>
                <w:i w:val="false"/>
                <w:caps w:val="false"/>
                <w:smallCaps w:val="false"/>
                <w:sz w:val="20"/>
              </w:rPr>
              <w:t xml:space="preserve"> </w:t>
            </w:r>
            <w:r>
              <w:rPr>
                <w:rFonts w:ascii="Arial;Helvetica;Sans-Serif" w:hAnsi="Arial;Helvetica;Sans-Serif"/>
                <w:b/>
                <w:i w:val="false"/>
                <w:caps w:val="false"/>
                <w:smallCaps w:val="false"/>
                <w:sz w:val="20"/>
              </w:rPr>
              <w:t>Compensation</w:t>
            </w:r>
            <w:r>
              <w:rPr>
                <w:rFonts w:ascii="Arial;Helvetica;Sans-Serif" w:hAnsi="Arial;Helvetica;Sans-Serif"/>
                <w:b w:val="false"/>
                <w:i w:val="false"/>
                <w:caps w:val="false"/>
                <w:smallCaps w:val="false"/>
                <w:sz w:val="20"/>
              </w:rPr>
              <w:t xml:space="preserve"> </w:t>
            </w:r>
            <w:r>
              <w:rPr>
                <w:rFonts w:ascii="Arial;Helvetica;Sans-Serif" w:hAnsi="Arial;Helvetica;Sans-Serif"/>
                <w:b/>
                <w:i w:val="false"/>
                <w:caps w:val="false"/>
                <w:smallCaps w:val="false"/>
                <w:sz w:val="20"/>
              </w:rPr>
              <w:t>Committee</w:t>
            </w:r>
          </w:p>
          <w:p>
            <w:pPr>
              <w:pStyle w:val="TableContents"/>
              <w:bidi w:val="0"/>
              <w:spacing w:before="100" w:after="40"/>
              <w:jc w:val="left"/>
              <w:rPr>
                <w:caps w:val="false"/>
                <w:smallCaps w:val="false"/>
              </w:rPr>
            </w:pPr>
            <w:r>
              <w:rPr>
                <w:caps w:val="false"/>
                <w:smallCaps w:val="false"/>
              </w:rPr>
              <w:t>●</w:t>
            </w:r>
          </w:p>
          <w:p>
            <w:pPr>
              <w:pStyle w:val="TableContents"/>
              <w:bidi w:val="0"/>
              <w:spacing w:before="0" w:after="0"/>
              <w:ind w:left="240" w:right="0" w:hanging="0"/>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Executive compensation and benefits policies, practices and plans</w:t>
            </w:r>
          </w:p>
          <w:p>
            <w:pPr>
              <w:pStyle w:val="TableContents"/>
              <w:bidi w:val="0"/>
              <w:spacing w:before="100" w:after="40"/>
              <w:jc w:val="left"/>
              <w:rPr>
                <w:caps w:val="false"/>
                <w:smallCaps w:val="false"/>
              </w:rPr>
            </w:pPr>
            <w:r>
              <w:rPr>
                <w:caps w:val="false"/>
                <w:smallCaps w:val="false"/>
              </w:rPr>
              <w:t>●</w:t>
            </w:r>
          </w:p>
          <w:p>
            <w:pPr>
              <w:pStyle w:val="TableContents"/>
              <w:bidi w:val="0"/>
              <w:spacing w:before="0" w:after="0"/>
              <w:ind w:left="240" w:right="0" w:hanging="0"/>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Incentive plan performance metrics and goals</w:t>
            </w:r>
          </w:p>
          <w:p>
            <w:pPr>
              <w:pStyle w:val="TableContents"/>
              <w:bidi w:val="0"/>
              <w:spacing w:before="100" w:after="40"/>
              <w:jc w:val="left"/>
              <w:rPr>
                <w:caps w:val="false"/>
                <w:smallCaps w:val="false"/>
              </w:rPr>
            </w:pPr>
            <w:r>
              <w:rPr>
                <w:caps w:val="false"/>
                <w:smallCaps w:val="false"/>
              </w:rPr>
              <w:t>●</w:t>
            </w:r>
          </w:p>
          <w:p>
            <w:pPr>
              <w:pStyle w:val="TableContents"/>
              <w:bidi w:val="0"/>
              <w:spacing w:before="0" w:after="0"/>
              <w:ind w:left="240" w:right="0" w:hanging="0"/>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Compensation for senior leaders</w:t>
            </w:r>
          </w:p>
          <w:p>
            <w:pPr>
              <w:pStyle w:val="TableContents"/>
              <w:bidi w:val="0"/>
              <w:spacing w:before="100" w:after="40"/>
              <w:jc w:val="left"/>
              <w:rPr>
                <w:caps w:val="false"/>
                <w:smallCaps w:val="false"/>
              </w:rPr>
            </w:pPr>
            <w:r>
              <w:rPr>
                <w:caps w:val="false"/>
                <w:smallCaps w:val="false"/>
              </w:rPr>
              <w:t>●</w:t>
            </w:r>
          </w:p>
          <w:p>
            <w:pPr>
              <w:pStyle w:val="TableContents"/>
              <w:bidi w:val="0"/>
              <w:spacing w:before="0" w:after="0"/>
              <w:ind w:left="240" w:right="0" w:hanging="0"/>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Compensation plan design</w:t>
            </w:r>
          </w:p>
          <w:p>
            <w:pPr>
              <w:pStyle w:val="TableContents"/>
              <w:bidi w:val="0"/>
              <w:spacing w:before="100" w:after="40"/>
              <w:jc w:val="left"/>
              <w:rPr>
                <w:caps w:val="false"/>
                <w:smallCaps w:val="false"/>
              </w:rPr>
            </w:pPr>
            <w:r>
              <w:rPr>
                <w:caps w:val="false"/>
                <w:smallCaps w:val="false"/>
              </w:rPr>
              <w:t>●</w:t>
            </w:r>
          </w:p>
          <w:p>
            <w:pPr>
              <w:pStyle w:val="TableContents"/>
              <w:bidi w:val="0"/>
              <w:spacing w:before="0" w:after="0"/>
              <w:ind w:left="240" w:right="0" w:hanging="0"/>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Executive retention</w:t>
            </w:r>
          </w:p>
          <w:p>
            <w:pPr>
              <w:pStyle w:val="TableContents"/>
              <w:bidi w:val="0"/>
              <w:spacing w:before="100" w:after="40"/>
              <w:jc w:val="left"/>
              <w:rPr>
                <w:caps w:val="false"/>
                <w:smallCaps w:val="false"/>
              </w:rPr>
            </w:pPr>
            <w:r>
              <w:rPr>
                <w:caps w:val="false"/>
                <w:smallCaps w:val="false"/>
              </w:rPr>
              <w:t>●</w:t>
            </w:r>
          </w:p>
          <w:p>
            <w:pPr>
              <w:pStyle w:val="TableContents"/>
              <w:bidi w:val="0"/>
              <w:spacing w:before="0" w:after="0"/>
              <w:ind w:left="240" w:right="0" w:hanging="0"/>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Human capital management initiatives</w:t>
            </w:r>
          </w:p>
        </w:tc>
        <w:tc>
          <w:tcPr>
            <w:tcW w:w="1865" w:type="dxa"/>
            <w:gridSpan w:val="2"/>
            <w:tcBorders>
              <w:left w:val="single" w:sz="2" w:space="0" w:color="000000"/>
              <w:right w:val="single" w:sz="2" w:space="0" w:color="000000"/>
            </w:tcBorders>
            <w:tcMar>
              <w:left w:w="80" w:type="dxa"/>
              <w:right w:w="80" w:type="dxa"/>
            </w:tcMar>
            <w:vAlign w:val="center"/>
          </w:tcPr>
          <w:p>
            <w:pPr>
              <w:pStyle w:val="TableContents"/>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Special Activities</w:t>
            </w:r>
            <w:r>
              <w:rPr>
                <w:rFonts w:ascii="Arial;Helvetica;Sans-Serif" w:hAnsi="Arial;Helvetica;Sans-Serif"/>
                <w:b w:val="false"/>
                <w:i w:val="false"/>
                <w:caps w:val="false"/>
                <w:smallCaps w:val="false"/>
                <w:sz w:val="20"/>
              </w:rPr>
              <w:t xml:space="preserve"> </w:t>
            </w:r>
            <w:r>
              <w:rPr>
                <w:rFonts w:ascii="Arial;Helvetica;Sans-Serif" w:hAnsi="Arial;Helvetica;Sans-Serif"/>
                <w:b/>
                <w:i w:val="false"/>
                <w:caps w:val="false"/>
                <w:smallCaps w:val="false"/>
                <w:sz w:val="20"/>
              </w:rPr>
              <w:t>Committee</w:t>
            </w:r>
          </w:p>
          <w:p>
            <w:pPr>
              <w:pStyle w:val="TableContents"/>
              <w:bidi w:val="0"/>
              <w:spacing w:before="100" w:after="40"/>
              <w:jc w:val="left"/>
              <w:rPr>
                <w:caps w:val="false"/>
                <w:smallCaps w:val="false"/>
              </w:rPr>
            </w:pPr>
            <w:r>
              <w:rPr>
                <w:caps w:val="false"/>
                <w:smallCaps w:val="false"/>
              </w:rPr>
              <w:t>●</w:t>
            </w:r>
          </w:p>
          <w:p>
            <w:pPr>
              <w:pStyle w:val="TableContents"/>
              <w:bidi w:val="0"/>
              <w:spacing w:before="0" w:after="0"/>
              <w:ind w:left="240" w:right="0" w:hanging="0"/>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Classified business</w:t>
            </w:r>
          </w:p>
          <w:p>
            <w:pPr>
              <w:pStyle w:val="TableContents"/>
              <w:bidi w:val="0"/>
              <w:spacing w:before="100" w:after="40"/>
              <w:jc w:val="left"/>
              <w:rPr>
                <w:caps w:val="false"/>
                <w:smallCaps w:val="false"/>
              </w:rPr>
            </w:pPr>
            <w:r>
              <w:rPr>
                <w:caps w:val="false"/>
                <w:smallCaps w:val="false"/>
              </w:rPr>
              <w:t>●</w:t>
            </w:r>
          </w:p>
          <w:p>
            <w:pPr>
              <w:pStyle w:val="TableContents"/>
              <w:bidi w:val="0"/>
              <w:spacing w:before="0" w:after="0"/>
              <w:ind w:left="240" w:right="0" w:hanging="0"/>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Technology and innovation</w:t>
            </w:r>
          </w:p>
          <w:p>
            <w:pPr>
              <w:pStyle w:val="TableContents"/>
              <w:bidi w:val="0"/>
              <w:spacing w:before="100" w:after="40"/>
              <w:jc w:val="left"/>
              <w:rPr>
                <w:caps w:val="false"/>
                <w:smallCaps w:val="false"/>
              </w:rPr>
            </w:pPr>
            <w:r>
              <w:rPr>
                <w:caps w:val="false"/>
                <w:smallCaps w:val="false"/>
              </w:rPr>
              <w:t>●</w:t>
            </w:r>
          </w:p>
          <w:p>
            <w:pPr>
              <w:pStyle w:val="TableContents"/>
              <w:bidi w:val="0"/>
              <w:spacing w:before="0" w:after="0"/>
              <w:ind w:left="240" w:right="0" w:hanging="0"/>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Product cybersecurity</w:t>
            </w:r>
          </w:p>
        </w:tc>
      </w:tr>
    </w:tbl>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Board’s risk oversight governance framework is designed to enable it to understand critical near-, medium- and long-term risks in the Company’s business and strategy, allocate responsibilities for risk oversight among the full Board and the Committees, evaluate the Company’s risk management processes and whether they are functioning adequately, and engage in regular communications with management regarding risk trends, developments, mitigation, major issues and responsive actions. For the sake of efficiency, the full Board retains primary oversight responsibility over certain risks that cut across the subject area expertise of multiple Committees, such as significant litigation and geopolitical conditions. </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Although each Committee has primary responsibility for the particular risks assigned to it, the complexity of our business precludes a rigid approach to Board and Committee oversight. For example, a risk related to AI may have implications for legal, ethical and regulatory compliance, in which case risk management would be overseen by both the Audit Committee and the Governance Committee. Among the Board’s approaches to addressing this complexity is broadening attendance at Committee meetings. Directors are encouraged, and are regularly invited by the Committee Chairs, to attend meetings of Committees of which they are not members. This gives our directors a stronger and more nuanced understanding of the risks impacting the Company and how each Committee reviews those risks. </w:t>
      </w:r>
    </w:p>
    <w:p>
      <w:pPr>
        <w:pStyle w:val="TextBody"/>
        <w:bidi w:val="0"/>
        <w:jc w:val="left"/>
        <w:rPr>
          <w:caps w:val="false"/>
          <w:smallCaps w:val="false"/>
        </w:rPr>
      </w:pPr>
      <w:r>
        <w:rPr>
          <w:caps w:val="false"/>
          <w:smallCaps w:val="false"/>
        </w:rPr>
        <w:t> </w:t>
      </w:r>
    </w:p>
    <w:p>
      <w:pPr>
        <w:pStyle w:val="TextBody"/>
        <w:bidi w:val="0"/>
        <w:jc w:val="left"/>
        <w:rPr/>
      </w:pPr>
      <w:r>
        <w:rPr>
          <w:rFonts w:ascii="Arial;Helvetica;Sans-Serif" w:hAnsi="Arial;Helvetica;Sans-Serif"/>
          <w:b/>
          <w:i w:val="false"/>
          <w:caps w:val="false"/>
          <w:smallCaps w:val="false"/>
          <w:color w:val="000000"/>
          <w:sz w:val="15"/>
        </w:rPr>
        <w:t>28</w:t>
      </w:r>
      <w:r>
        <w:rPr>
          <w:rFonts w:ascii="Arial;Helvetica;Sans-Serif" w:hAnsi="Arial;Helvetica;Sans-Serif"/>
          <w:b w:val="false"/>
          <w:i w:val="false"/>
          <w:caps w:val="false"/>
          <w:smallCaps w:val="false"/>
          <w:color w:val="000000"/>
          <w:sz w:val="15"/>
        </w:rPr>
        <w:t>    </w:t>
      </w:r>
      <w:r>
        <w:rPr>
          <w:rFonts w:ascii="Arial;Helvetica;Sans-Serif" w:hAnsi="Arial;Helvetica;Sans-Serif"/>
          <w:b/>
          <w:i w:val="false"/>
          <w:caps w:val="false"/>
          <w:smallCaps w:val="false"/>
          <w:sz w:val="15"/>
        </w:rPr>
        <w:t xml:space="preserve">RTX </w:t>
      </w:r>
      <w:r>
        <w:rPr>
          <w:rFonts w:ascii="Arial;Helvetica;Sans-Serif" w:hAnsi="Arial;Helvetica;Sans-Serif"/>
          <w:b w:val="false"/>
          <w:i w:val="false"/>
          <w:caps w:val="false"/>
          <w:smallCaps w:val="false"/>
          <w:sz w:val="15"/>
        </w:rPr>
        <w:t>2026 PROXY STATEMENT</w:t>
      </w:r>
    </w:p>
    <w:p>
      <w:pPr>
        <w:pStyle w:val="HorizontalLine"/>
        <w:pBdr>
          <w:bottom w:val="double" w:sz="2" w:space="0" w:color="808080"/>
        </w:pBdr>
        <w:bidi w:val="0"/>
        <w:spacing w:before="0" w:after="283"/>
        <w:jc w:val="left"/>
        <w:rPr/>
      </w:pPr>
      <w:r>
        <w:rPr/>
      </w:r>
    </w:p>
    <w:p>
      <w:pPr>
        <w:pStyle w:val="TextBody"/>
        <w:bidi w:val="0"/>
        <w:spacing w:before="200" w:after="200"/>
        <w:jc w:val="left"/>
        <w:rPr/>
      </w:pPr>
      <w:hyperlink w:anchor="toc">
        <w:r>
          <w:rPr>
            <w:rStyle w:val="InternetLink"/>
            <w:rFonts w:ascii="Arial;Helvetica;Sans-Serif" w:hAnsi="Arial;Helvetica;Sans-Serif"/>
            <w:b/>
            <w:i w:val="false"/>
            <w:caps w:val="false"/>
            <w:smallCaps w:val="false"/>
            <w:sz w:val="16"/>
          </w:rPr>
          <w:t>Table of Contents</w:t>
        </w:r>
      </w:hyperlink>
    </w:p>
    <w:p>
      <w:pPr>
        <w:pStyle w:val="TextBody"/>
        <w:bidi w:val="0"/>
        <w:jc w:val="right"/>
        <w:rPr>
          <w:rFonts w:ascii="Arial;Helvetica;Sans-Serif" w:hAnsi="Arial;Helvetica;Sans-Serif"/>
          <w:b/>
          <w:i w:val="false"/>
          <w:caps w:val="false"/>
          <w:smallCaps w:val="false"/>
          <w:color w:val="C12E33"/>
          <w:sz w:val="15"/>
        </w:rPr>
      </w:pPr>
      <w:r>
        <w:rPr>
          <w:rFonts w:ascii="Arial;Helvetica;Sans-Serif" w:hAnsi="Arial;Helvetica;Sans-Serif"/>
          <w:b/>
          <w:i w:val="false"/>
          <w:caps w:val="false"/>
          <w:smallCaps w:val="false"/>
          <w:color w:val="C12E33"/>
          <w:sz w:val="15"/>
        </w:rPr>
        <w:t>CORPORATE GOVERNANCE</w:t>
      </w:r>
    </w:p>
    <w:p>
      <w:pPr>
        <w:pStyle w:val="TextBody"/>
        <w:bidi w:val="0"/>
        <w:jc w:val="righ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THE BOARD’S ROLE</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Company maintains robust internal processes and an effective internal control environment that facilitate the identification and management of risks and regular communication with the Board. A core element is the Company’s ERM program, which conforms to the Enterprise Risk Management—Integrated Framework established by the Committee of Sponsoring Organizations of the Treadway Commission and is designed to identify and evaluate the full range of significant risks to RTX, including legal, compliance, financial, operational, strategic and reputational risks. Our Finance function, in close collaboration with our Legal, Contracts &amp; Compliance function, leads the ERM program, with an annual cycle for structured reviews, discussions and mitigation planning. Risks are identified and evaluated through both a “bottom-up” and a “top-down” process involving senior management and all of the functions and business units. Through this process, senior management considers trends and developments, as well as the effectiveness of the Company’s mitigation plans. Our risk management processes are informed by the results of our ERM program, including those relating to our Internal Audit plans, ethics and compliance programs, financial reporting and SEC disclosures.</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Chief Financial Officer and the General Counsel brief the Board at least biannually on the most significant risks under our ERM program and the associated mitigation plans. They also annually brief the Audit Committee on the ERM review process. In connection with these ERM reports and briefings, the Board reviews its allocation of risk oversight responsibilities among itself and the Committees.</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 addition to these ERM briefings, management regularly reviews significant risks, including trends and developments, with the Board and its Committees, providing updates on long-term risks during annual long-range planning, strategic reviews and through regular reviews of annual operating plans, as well as providing a near- and medium-term focus on financial performance, market environment updates and presentations on specific associated risk areas. Between Board and Committee meetings, directors receive updates regarding developments in the Company’s business as well as emerging risks. In addition, the Independent Lead Director regularly communicates with the CEO and other directors about emerging risks and issues and the coverage of appropriate risk topics in Board meeting agendas. </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Cybersecurity Risk Oversight</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have a robust program for identifying, assessing and managing cybersecurity risks. These risks include those relating to our internal systems, our products, services and programs for customers, and our supply chain. The full Board has primary oversight responsibility for “enterprise” cybersecurity risks, such as those relating to our information and operational technology systems and our suppliers and partners for those systems, and it receives regular briefings on these risks in addition to briefings on enterprise cybersecurity incidents and key Company defenses and mitigation strategies. Our Special Activities Committee has primary oversight responsibility for cybersecurity risks that relate to our products and services, is regularly briefed by management on such risks (including updates on product and service cybersecurity incidents, defenses and mitigation strategies), and supports the Board in oversight of classified business cybersecurity, such as with respect to Company internal information and operational technology systems. The Audit Committee also considers cybersecurity and data privacy risks in connection with its financial and compliance risk oversight role.</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Product Safety Risk Oversight</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Management fosters a strong safety culture and maintains robust safety programs across our businesses. Product safety is covered by our ERM program, and the Governance Committee has oversight responsibility for product safety risks (with the Special Activities Committee assisting on classified product safety). The Governance Committee annually reviews our corporate product safety program, receives an update at each meeting regarding product safety matters (including incident metrics and managed safety issues) and regularly receives a briefing from each business unit on its product safety management system, including how the system applies in practice, as well as the business unit’s product safety culture. Our product safety program also provides for immediate reporting to the Governance Committee in the event of certain significant product safety incidents.</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Product Quality Risk Oversight</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RTX is committed to providing our customers with products and services that meet or exceed our quality representations and requirements. The Governance Committee meets regularly to consider the operation of our quality management systems on both a Company-wide and business unit-level basis, to consider our product quality culture, and to review the role that our quality management systems play in our core functions, including supply chain and engineering. Our product quality program includes a Company-wide Quality Council and a layered quality management audit structure to reduce enterprise risk.</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Artificial Intelligence Risk Oversight</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Governance Committee is responsible for overseeing the Company’s AI strategy. The Committee’s role includes review of RTX’s Responsible AI Corporate Policy, which articulates RTX’s AI ethical use principles, governance, training and incident response. Through this policy, RTX has established an AI risk management framework based on well-recognized AI governance processes to ensure our AI use complies with applicable law, our AI ethical principles and our Code of Conduct, and meets key stakeholder expectations. Our AI risk management framework identifies responsible leaders to implement its requirements for AI governance, establish incident response procedures, and deploy training, tools and communications to support RTX employees’ safe and ethical use of AI in our business and operations. The Board and the Committee are regularly briefed regarding the implementation of RTX’s AI strategy, approach to risk management and use of AI tools to accelerate our product development.</w:t>
      </w:r>
    </w:p>
    <w:p>
      <w:pPr>
        <w:pStyle w:val="TextBody"/>
        <w:bidi w:val="0"/>
        <w:jc w:val="left"/>
        <w:rPr>
          <w:caps w:val="false"/>
          <w:smallCaps w:val="false"/>
        </w:rPr>
      </w:pPr>
      <w:r>
        <w:rPr>
          <w:caps w:val="false"/>
          <w:smallCaps w:val="false"/>
        </w:rPr>
        <w:t> </w:t>
      </w:r>
    </w:p>
    <w:p>
      <w:pPr>
        <w:pStyle w:val="TextBody"/>
        <w:bidi w:val="0"/>
        <w:jc w:val="right"/>
        <w:rPr/>
      </w:pPr>
      <w:r>
        <w:rPr>
          <w:rFonts w:ascii="Arial;Helvetica;Sans-Serif" w:hAnsi="Arial;Helvetica;Sans-Serif"/>
          <w:b/>
          <w:i w:val="false"/>
          <w:caps w:val="false"/>
          <w:smallCaps w:val="false"/>
          <w:sz w:val="15"/>
        </w:rPr>
        <w:t xml:space="preserve">RTX </w:t>
      </w:r>
      <w:r>
        <w:rPr>
          <w:rFonts w:ascii="Arial;Helvetica;Sans-Serif" w:hAnsi="Arial;Helvetica;Sans-Serif"/>
          <w:b w:val="false"/>
          <w:i w:val="false"/>
          <w:caps w:val="false"/>
          <w:smallCaps w:val="false"/>
          <w:sz w:val="15"/>
        </w:rPr>
        <w:t>2026 PROXY STATEMENT    </w:t>
      </w:r>
      <w:r>
        <w:rPr>
          <w:rFonts w:ascii="Arial;Helvetica;Sans-Serif" w:hAnsi="Arial;Helvetica;Sans-Serif"/>
          <w:b/>
          <w:i w:val="false"/>
          <w:caps w:val="false"/>
          <w:smallCaps w:val="false"/>
          <w:sz w:val="15"/>
        </w:rPr>
        <w:t>29</w:t>
      </w:r>
    </w:p>
    <w:p>
      <w:pPr>
        <w:pStyle w:val="HorizontalLine"/>
        <w:pBdr>
          <w:bottom w:val="double" w:sz="2" w:space="0" w:color="808080"/>
        </w:pBdr>
        <w:bidi w:val="0"/>
        <w:spacing w:before="0" w:after="283"/>
        <w:jc w:val="left"/>
        <w:rPr/>
      </w:pPr>
      <w:r>
        <w:rPr/>
      </w:r>
    </w:p>
    <w:p>
      <w:pPr>
        <w:pStyle w:val="TextBody"/>
        <w:bidi w:val="0"/>
        <w:spacing w:before="200" w:after="200"/>
        <w:jc w:val="left"/>
        <w:rPr/>
      </w:pPr>
      <w:hyperlink w:anchor="toc">
        <w:r>
          <w:rPr>
            <w:rStyle w:val="InternetLink"/>
            <w:rFonts w:ascii="Arial;Helvetica;Sans-Serif" w:hAnsi="Arial;Helvetica;Sans-Serif"/>
            <w:b/>
            <w:i w:val="false"/>
            <w:caps w:val="false"/>
            <w:smallCaps w:val="false"/>
            <w:sz w:val="16"/>
          </w:rPr>
          <w:t>Table of Contents</w:t>
        </w:r>
      </w:hyperlink>
    </w:p>
    <w:p>
      <w:pPr>
        <w:pStyle w:val="TextBody"/>
        <w:bidi w:val="0"/>
        <w:jc w:val="left"/>
        <w:rPr>
          <w:rFonts w:ascii="Arial;Helvetica;Sans-Serif" w:hAnsi="Arial;Helvetica;Sans-Serif"/>
          <w:b/>
          <w:i w:val="false"/>
          <w:caps w:val="false"/>
          <w:smallCaps w:val="false"/>
          <w:color w:val="C12E33"/>
          <w:sz w:val="15"/>
        </w:rPr>
      </w:pPr>
      <w:r>
        <w:rPr>
          <w:rFonts w:ascii="Arial;Helvetica;Sans-Serif" w:hAnsi="Arial;Helvetica;Sans-Serif"/>
          <w:b/>
          <w:i w:val="false"/>
          <w:caps w:val="false"/>
          <w:smallCaps w:val="false"/>
          <w:color w:val="C12E33"/>
          <w:sz w:val="15"/>
        </w:rPr>
        <w:t>CORPORATE GOVERNANCE</w:t>
      </w:r>
    </w:p>
    <w:p>
      <w:pPr>
        <w:pStyle w:val="TextBody"/>
        <w:bidi w:val="0"/>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THE BOARD’S ROLE</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Compensation Risk Oversight</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Human Capital &amp; Compensation Committee (the “HCC Committee”) believes that executive compensation payouts must:</w:t>
      </w:r>
    </w:p>
    <w:p>
      <w:pPr>
        <w:pStyle w:val="TextBody"/>
        <w:bidi w:val="0"/>
        <w:jc w:val="left"/>
        <w:rPr>
          <w:caps w:val="false"/>
          <w:smallCaps w:val="false"/>
        </w:rPr>
      </w:pPr>
      <w:r>
        <w:rPr>
          <w:caps w:val="false"/>
          <w:smallCaps w:val="false"/>
        </w:rPr>
        <w:t> </w:t>
      </w:r>
    </w:p>
    <w:tbl>
      <w:tblPr>
        <w:tblW w:w="10120" w:type="dxa"/>
        <w:jc w:val="left"/>
        <w:tblInd w:w="0" w:type="dxa"/>
        <w:tblLayout w:type="fixed"/>
        <w:tblCellMar>
          <w:top w:w="0" w:type="dxa"/>
          <w:left w:w="0" w:type="dxa"/>
          <w:bottom w:w="0" w:type="dxa"/>
          <w:right w:w="0" w:type="dxa"/>
        </w:tblCellMar>
      </w:tblPr>
      <w:tblGrid>
        <w:gridCol w:w="185"/>
        <w:gridCol w:w="9935"/>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993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Align with the Company’s financial performance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993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Be earned in a manner consistent with RTX’s Code of Conduct and other compliance policies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993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Promote long-term, sustainable value for shareowners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993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Provide fair and equitable pay to employees of comparable experience and performance who perform similar work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993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Strike a balance between appropriate levels of financial opportunity and risk</w:t>
            </w:r>
          </w:p>
        </w:tc>
      </w:tr>
    </w:tbl>
    <w:p>
      <w:pPr>
        <w:pStyle w:val="TextBody"/>
        <w:bidi w:val="0"/>
        <w:ind w:left="220" w:right="0" w:hanging="220"/>
        <w:jc w:val="left"/>
        <w:rPr>
          <w:caps w:val="false"/>
          <w:smallCaps w:val="false"/>
        </w:rPr>
      </w:pPr>
      <w:r>
        <w:rPr>
          <w:caps w:val="false"/>
          <w:smallCaps w:val="false"/>
        </w:rPr>
        <w:t> </w:t>
      </w:r>
    </w:p>
    <w:p>
      <w:pPr>
        <w:pStyle w:val="TextBody"/>
        <w:bidi w:val="0"/>
        <w:ind w:left="220" w:right="0" w:hanging="22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HCC Committee identifies, monitors and mitigates compensation risk in the following ways:</w:t>
      </w:r>
    </w:p>
    <w:p>
      <w:pPr>
        <w:pStyle w:val="TextBody"/>
        <w:bidi w:val="0"/>
        <w:ind w:left="220" w:right="0" w:hanging="220"/>
        <w:jc w:val="left"/>
        <w:rPr>
          <w:caps w:val="false"/>
          <w:smallCaps w:val="false"/>
        </w:rPr>
      </w:pPr>
      <w:r>
        <w:rPr>
          <w:caps w:val="false"/>
          <w:smallCaps w:val="false"/>
        </w:rPr>
        <w:t> </w:t>
      </w:r>
    </w:p>
    <w:tbl>
      <w:tblPr>
        <w:tblW w:w="10205" w:type="dxa"/>
        <w:jc w:val="left"/>
        <w:tblInd w:w="0" w:type="dxa"/>
        <w:tblLayout w:type="fixed"/>
        <w:tblCellMar>
          <w:top w:w="40" w:type="dxa"/>
          <w:left w:w="0" w:type="dxa"/>
          <w:bottom w:w="28" w:type="dxa"/>
          <w:right w:w="0" w:type="dxa"/>
        </w:tblCellMar>
      </w:tblPr>
      <w:tblGrid>
        <w:gridCol w:w="1723"/>
        <w:gridCol w:w="60"/>
        <w:gridCol w:w="8422"/>
      </w:tblGrid>
      <w:tr>
        <w:trPr/>
        <w:tc>
          <w:tcPr>
            <w:tcW w:w="1723" w:type="dxa"/>
            <w:tcBorders>
              <w:top w:val="single" w:sz="12" w:space="0" w:color="C12E33"/>
              <w:bottom w:val="single" w:sz="8" w:space="0" w:color="000000"/>
            </w:tcBorders>
            <w:vAlign w:val="center"/>
          </w:tcPr>
          <w:p>
            <w:pPr>
              <w:pStyle w:val="TableContents"/>
              <w:bidi w:val="0"/>
              <w:spacing w:before="0" w:after="283"/>
              <w:jc w:val="left"/>
              <w:rPr/>
            </w:pPr>
            <w:r>
              <w:rPr>
                <w:rFonts w:ascii="Arial;Helvetica;Sans-Serif" w:hAnsi="Arial;Helvetica;Sans-Serif"/>
                <w:b/>
                <w:i w:val="false"/>
                <w:caps w:val="false"/>
                <w:smallCaps w:val="false"/>
                <w:sz w:val="20"/>
              </w:rPr>
              <w:t>Sound Incentive</w:t>
            </w:r>
            <w:r>
              <w:rPr/>
              <w:t xml:space="preserve"> </w:t>
            </w:r>
            <w:r>
              <w:rPr>
                <w:rFonts w:ascii="Arial;Helvetica;Sans-Serif" w:hAnsi="Arial;Helvetica;Sans-Serif"/>
                <w:b/>
                <w:sz w:val="20"/>
              </w:rPr>
              <w:t>Plan Design</w:t>
            </w:r>
          </w:p>
        </w:tc>
        <w:tc>
          <w:tcPr>
            <w:tcW w:w="60" w:type="dxa"/>
            <w:tcBorders>
              <w:top w:val="single" w:sz="12" w:space="0" w:color="C12E33"/>
              <w:bottom w:val="single" w:sz="8" w:space="0" w:color="000000"/>
            </w:tcBorders>
            <w:vAlign w:val="center"/>
          </w:tcPr>
          <w:p>
            <w:pPr>
              <w:pStyle w:val="TableContents"/>
              <w:bidi w:val="0"/>
              <w:spacing w:before="0" w:after="283"/>
              <w:jc w:val="left"/>
              <w:rPr/>
            </w:pPr>
            <w:r>
              <w:rPr/>
              <w:t> </w:t>
            </w:r>
          </w:p>
        </w:tc>
        <w:tc>
          <w:tcPr>
            <w:tcW w:w="8422" w:type="dxa"/>
            <w:tcBorders>
              <w:top w:val="single" w:sz="12" w:space="0" w:color="C12E33"/>
              <w:bottom w:val="single" w:sz="8" w:space="0" w:color="000000"/>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Our annual and long-term incentive plans use complementary performance metrics that are essential indicators of RTX’s financial health. The HCC Committee establishes financial performance goals that are challenging, yet realistic, and maintains the ability to use its discretion to adjust payouts under our annual incentive plan (“AIP”) to the extent it believes the calculated results do not accurately reflect the overall quality of performance for the year. Discretionary adjustments can be made to address various circumstances, including our ability to meet customer commitments, such as those contemplated by the January 7, 2026, Executive Order (</w:t>
            </w:r>
            <w:r>
              <w:rPr>
                <w:rFonts w:ascii="Arial;Helvetica;Sans-Serif" w:hAnsi="Arial;Helvetica;Sans-Serif"/>
                <w:i/>
                <w:sz w:val="20"/>
              </w:rPr>
              <w:t>Prioritizing the Warfighter in Defense Contracting</w:t>
            </w:r>
            <w:r>
              <w:rPr>
                <w:rFonts w:ascii="Arial;Helvetica;Sans-Serif" w:hAnsi="Arial;Helvetica;Sans-Serif"/>
                <w:sz w:val="20"/>
              </w:rPr>
              <w:t>). Further, payouts for both AIP and PSUs are capped at 200% of target.</w:t>
            </w:r>
          </w:p>
        </w:tc>
      </w:tr>
      <w:tr>
        <w:trPr/>
        <w:tc>
          <w:tcPr>
            <w:tcW w:w="1723" w:type="dxa"/>
            <w:tcBorders>
              <w:bottom w:val="single" w:sz="8" w:space="0" w:color="000000"/>
            </w:tcBorders>
            <w:tcMar>
              <w:top w:w="0" w:type="dxa"/>
            </w:tcMar>
            <w:vAlign w:val="center"/>
          </w:tcPr>
          <w:p>
            <w:pPr>
              <w:pStyle w:val="TableContents"/>
              <w:bidi w:val="0"/>
              <w:spacing w:before="0" w:after="283"/>
              <w:jc w:val="left"/>
              <w:rPr/>
            </w:pPr>
            <w:r>
              <w:rPr>
                <w:rFonts w:ascii="Arial;Helvetica;Sans-Serif" w:hAnsi="Arial;Helvetica;Sans-Serif"/>
                <w:b/>
                <w:i w:val="false"/>
                <w:caps w:val="false"/>
                <w:smallCaps w:val="false"/>
                <w:sz w:val="20"/>
              </w:rPr>
              <w:t>Emphasis on</w:t>
            </w:r>
            <w:r>
              <w:rPr/>
              <w:t xml:space="preserve"> </w:t>
            </w:r>
            <w:r>
              <w:rPr>
                <w:rFonts w:ascii="Arial;Helvetica;Sans-Serif" w:hAnsi="Arial;Helvetica;Sans-Serif"/>
                <w:b/>
                <w:sz w:val="20"/>
              </w:rPr>
              <w:t>Long-term</w:t>
            </w:r>
            <w:r>
              <w:rPr>
                <w:sz w:val="20"/>
              </w:rPr>
              <w:t xml:space="preserve"> </w:t>
            </w:r>
            <w:r>
              <w:rPr>
                <w:rFonts w:ascii="Arial;Helvetica;Sans-Serif" w:hAnsi="Arial;Helvetica;Sans-Serif"/>
                <w:b/>
                <w:sz w:val="20"/>
              </w:rPr>
              <w:t>Performance</w:t>
            </w:r>
          </w:p>
        </w:tc>
        <w:tc>
          <w:tcPr>
            <w:tcW w:w="60" w:type="dxa"/>
            <w:tcBorders>
              <w:bottom w:val="single" w:sz="8" w:space="0" w:color="000000"/>
            </w:tcBorders>
            <w:tcMar>
              <w:top w:w="0" w:type="dxa"/>
            </w:tcMar>
            <w:vAlign w:val="center"/>
          </w:tcPr>
          <w:p>
            <w:pPr>
              <w:pStyle w:val="TableContents"/>
              <w:bidi w:val="0"/>
              <w:spacing w:before="0" w:after="283"/>
              <w:jc w:val="left"/>
              <w:rPr/>
            </w:pPr>
            <w:r>
              <w:rPr/>
              <w:t> </w:t>
            </w:r>
          </w:p>
        </w:tc>
        <w:tc>
          <w:tcPr>
            <w:tcW w:w="8422" w:type="dxa"/>
            <w:tcBorders>
              <w:bottom w:val="single" w:sz="8" w:space="0" w:color="000000"/>
            </w:tcBorders>
            <w:tcMar>
              <w:top w:w="0" w:type="dxa"/>
            </w:tcMar>
            <w:vAlign w:val="center"/>
          </w:tcPr>
          <w:p>
            <w:pPr>
              <w:pStyle w:val="TableContents"/>
              <w:bidi w:val="0"/>
              <w:spacing w:before="0" w:after="283"/>
              <w:jc w:val="left"/>
              <w:rPr/>
            </w:pPr>
            <w:r>
              <w:rPr>
                <w:rFonts w:ascii="Arial;Helvetica;Sans-Serif" w:hAnsi="Arial;Helvetica;Sans-Serif"/>
                <w:b w:val="false"/>
                <w:i w:val="false"/>
                <w:caps w:val="false"/>
                <w:smallCaps w:val="false"/>
                <w:sz w:val="20"/>
              </w:rPr>
              <w:t>Long-term incentives (“LTI”) are the cornerstone of RTX’s executive compensation program. Our LTI program</w:t>
            </w:r>
            <w:r>
              <w:rPr/>
              <w:t xml:space="preserve"> </w:t>
            </w:r>
            <w:r>
              <w:rPr>
                <w:rFonts w:ascii="Arial;Helvetica;Sans-Serif" w:hAnsi="Arial;Helvetica;Sans-Serif"/>
                <w:sz w:val="20"/>
              </w:rPr>
              <w:t>incorporates long-term financial performance metrics that are designed to align executive interests with</w:t>
            </w:r>
            <w:r>
              <w:rPr>
                <w:sz w:val="20"/>
              </w:rPr>
              <w:t xml:space="preserve"> </w:t>
            </w:r>
            <w:r>
              <w:rPr>
                <w:rFonts w:ascii="Arial;Helvetica;Sans-Serif" w:hAnsi="Arial;Helvetica;Sans-Serif"/>
                <w:sz w:val="20"/>
              </w:rPr>
              <w:t>shareowner interests.</w:t>
            </w:r>
          </w:p>
        </w:tc>
      </w:tr>
      <w:tr>
        <w:trPr/>
        <w:tc>
          <w:tcPr>
            <w:tcW w:w="1723" w:type="dxa"/>
            <w:tcBorders>
              <w:bottom w:val="single" w:sz="8" w:space="0" w:color="000000"/>
            </w:tcBorders>
            <w:tcMar>
              <w:top w:w="0" w:type="dxa"/>
            </w:tcMar>
            <w:vAlign w:val="center"/>
          </w:tcPr>
          <w:p>
            <w:pPr>
              <w:pStyle w:val="TableContents"/>
              <w:bidi w:val="0"/>
              <w:spacing w:before="0" w:after="283"/>
              <w:jc w:val="left"/>
              <w:rPr/>
            </w:pPr>
            <w:r>
              <w:rPr>
                <w:rFonts w:ascii="Arial;Helvetica;Sans-Serif" w:hAnsi="Arial;Helvetica;Sans-Serif"/>
                <w:b/>
                <w:i w:val="false"/>
                <w:caps w:val="false"/>
                <w:smallCaps w:val="false"/>
                <w:sz w:val="20"/>
              </w:rPr>
              <w:t>Rigorous Share</w:t>
            </w:r>
            <w:r>
              <w:rPr/>
              <w:t xml:space="preserve"> </w:t>
            </w:r>
            <w:r>
              <w:rPr>
                <w:rFonts w:ascii="Arial;Helvetica;Sans-Serif" w:hAnsi="Arial;Helvetica;Sans-Serif"/>
                <w:b/>
                <w:sz w:val="20"/>
              </w:rPr>
              <w:t>Ownership</w:t>
            </w:r>
            <w:r>
              <w:rPr>
                <w:sz w:val="20"/>
              </w:rPr>
              <w:t xml:space="preserve"> </w:t>
            </w:r>
            <w:r>
              <w:rPr>
                <w:rFonts w:ascii="Arial;Helvetica;Sans-Serif" w:hAnsi="Arial;Helvetica;Sans-Serif"/>
                <w:b/>
                <w:sz w:val="20"/>
              </w:rPr>
              <w:t>Requirements</w:t>
            </w:r>
          </w:p>
        </w:tc>
        <w:tc>
          <w:tcPr>
            <w:tcW w:w="60" w:type="dxa"/>
            <w:tcBorders>
              <w:bottom w:val="single" w:sz="8" w:space="0" w:color="000000"/>
            </w:tcBorders>
            <w:tcMar>
              <w:top w:w="0" w:type="dxa"/>
            </w:tcMar>
            <w:vAlign w:val="center"/>
          </w:tcPr>
          <w:p>
            <w:pPr>
              <w:pStyle w:val="TableContents"/>
              <w:bidi w:val="0"/>
              <w:spacing w:before="0" w:after="283"/>
              <w:jc w:val="left"/>
              <w:rPr/>
            </w:pPr>
            <w:r>
              <w:rPr/>
              <w:t> </w:t>
            </w:r>
          </w:p>
        </w:tc>
        <w:tc>
          <w:tcPr>
            <w:tcW w:w="8422" w:type="dxa"/>
            <w:tcBorders>
              <w:bottom w:val="single" w:sz="8" w:space="0" w:color="000000"/>
            </w:tcBorders>
            <w:tcMar>
              <w:top w:w="0" w:type="dxa"/>
            </w:tcMar>
            <w:vAlign w:val="center"/>
          </w:tcPr>
          <w:p>
            <w:pPr>
              <w:pStyle w:val="TableContents"/>
              <w:bidi w:val="0"/>
              <w:spacing w:before="0" w:after="283"/>
              <w:jc w:val="left"/>
              <w:rPr/>
            </w:pPr>
            <w:r>
              <w:rPr>
                <w:rFonts w:ascii="Arial;Helvetica;Sans-Serif" w:hAnsi="Arial;Helvetica;Sans-Serif"/>
                <w:b w:val="false"/>
                <w:i w:val="false"/>
                <w:caps w:val="false"/>
                <w:smallCaps w:val="false"/>
                <w:sz w:val="20"/>
              </w:rPr>
              <w:t>RTX maintains significant share ownership requirements for our senior executives and directors, which are</w:t>
            </w:r>
            <w:r>
              <w:rPr/>
              <w:t xml:space="preserve"> </w:t>
            </w:r>
            <w:r>
              <w:rPr>
                <w:rFonts w:ascii="Arial;Helvetica;Sans-Serif" w:hAnsi="Arial;Helvetica;Sans-Serif"/>
                <w:sz w:val="20"/>
              </w:rPr>
              <w:t>intended to reduce risk by aligning their economic interests with those of our shareowners. A significant</w:t>
            </w:r>
            <w:r>
              <w:rPr>
                <w:sz w:val="20"/>
              </w:rPr>
              <w:t xml:space="preserve"> </w:t>
            </w:r>
            <w:r>
              <w:rPr>
                <w:rFonts w:ascii="Arial;Helvetica;Sans-Serif" w:hAnsi="Arial;Helvetica;Sans-Serif"/>
                <w:sz w:val="20"/>
              </w:rPr>
              <w:t>stake in future performance discourages the pursuit of short-term opportunities that can create excessive risk.</w:t>
            </w:r>
            <w:r>
              <w:rPr>
                <w:sz w:val="20"/>
              </w:rPr>
              <w:t xml:space="preserve"> </w:t>
            </w:r>
            <w:r>
              <w:rPr>
                <w:rFonts w:ascii="Arial;Helvetica;Sans-Serif" w:hAnsi="Arial;Helvetica;Sans-Serif"/>
                <w:sz w:val="20"/>
              </w:rPr>
              <w:t>See pages 35-36 for more information.</w:t>
            </w:r>
          </w:p>
        </w:tc>
      </w:tr>
      <w:tr>
        <w:trPr/>
        <w:tc>
          <w:tcPr>
            <w:tcW w:w="1723" w:type="dxa"/>
            <w:tcBorders>
              <w:bottom w:val="single" w:sz="8" w:space="0" w:color="000000"/>
            </w:tcBorders>
            <w:tcMar>
              <w:top w:w="0" w:type="dxa"/>
            </w:tcMar>
            <w:vAlign w:val="center"/>
          </w:tcPr>
          <w:p>
            <w:pPr>
              <w:pStyle w:val="TableContents"/>
              <w:bidi w:val="0"/>
              <w:spacing w:before="0" w:after="283"/>
              <w:ind w:left="0" w:right="0" w:firstLine="48"/>
              <w:jc w:val="left"/>
              <w:rPr/>
            </w:pPr>
            <w:r>
              <w:rPr>
                <w:rFonts w:ascii="Arial;Helvetica;Sans-Serif" w:hAnsi="Arial;Helvetica;Sans-Serif"/>
                <w:b/>
                <w:i w:val="false"/>
                <w:caps w:val="false"/>
                <w:smallCaps w:val="false"/>
                <w:sz w:val="20"/>
              </w:rPr>
              <w:t>Prohibition on Short</w:t>
            </w:r>
            <w:r>
              <w:rPr/>
              <w:t xml:space="preserve"> </w:t>
            </w:r>
            <w:r>
              <w:rPr>
                <w:rFonts w:ascii="Arial;Helvetica;Sans-Serif" w:hAnsi="Arial;Helvetica;Sans-Serif"/>
                <w:b/>
                <w:sz w:val="20"/>
              </w:rPr>
              <w:t>Sales, Pledging and</w:t>
            </w:r>
            <w:r>
              <w:rPr>
                <w:sz w:val="20"/>
              </w:rPr>
              <w:t xml:space="preserve"> </w:t>
            </w:r>
            <w:r>
              <w:rPr>
                <w:rFonts w:ascii="Arial;Helvetica;Sans-Serif" w:hAnsi="Arial;Helvetica;Sans-Serif"/>
                <w:b/>
                <w:sz w:val="20"/>
              </w:rPr>
              <w:t>Hedging of RTX</w:t>
            </w:r>
            <w:r>
              <w:rPr>
                <w:sz w:val="20"/>
              </w:rPr>
              <w:t xml:space="preserve"> </w:t>
            </w:r>
            <w:r>
              <w:rPr>
                <w:rFonts w:ascii="Arial;Helvetica;Sans-Serif" w:hAnsi="Arial;Helvetica;Sans-Serif"/>
                <w:b/>
                <w:sz w:val="20"/>
              </w:rPr>
              <w:t>Securities</w:t>
            </w:r>
          </w:p>
        </w:tc>
        <w:tc>
          <w:tcPr>
            <w:tcW w:w="60" w:type="dxa"/>
            <w:tcBorders>
              <w:bottom w:val="single" w:sz="8" w:space="0" w:color="000000"/>
            </w:tcBorders>
            <w:tcMar>
              <w:top w:w="0" w:type="dxa"/>
            </w:tcMar>
            <w:vAlign w:val="center"/>
          </w:tcPr>
          <w:p>
            <w:pPr>
              <w:pStyle w:val="TableContents"/>
              <w:bidi w:val="0"/>
              <w:spacing w:before="0" w:after="283"/>
              <w:jc w:val="left"/>
              <w:rPr/>
            </w:pPr>
            <w:r>
              <w:rPr/>
              <w:t> </w:t>
            </w:r>
          </w:p>
        </w:tc>
        <w:tc>
          <w:tcPr>
            <w:tcW w:w="8422" w:type="dxa"/>
            <w:tcBorders>
              <w:bottom w:val="single" w:sz="8" w:space="0" w:color="000000"/>
            </w:tcBorders>
            <w:tcMar>
              <w:top w:w="0" w:type="dxa"/>
            </w:tcMar>
            <w:vAlign w:val="center"/>
          </w:tcPr>
          <w:p>
            <w:pPr>
              <w:pStyle w:val="TableContents"/>
              <w:bidi w:val="0"/>
              <w:spacing w:before="0" w:after="283"/>
              <w:jc w:val="left"/>
              <w:rPr/>
            </w:pPr>
            <w:r>
              <w:rPr>
                <w:rFonts w:ascii="Arial;Helvetica;Sans-Serif" w:hAnsi="Arial;Helvetica;Sans-Serif"/>
                <w:b w:val="false"/>
                <w:i w:val="false"/>
                <w:caps w:val="false"/>
                <w:smallCaps w:val="false"/>
                <w:sz w:val="20"/>
              </w:rPr>
              <w:t>RTX prohibits directors, officers and employees from entering into transactions involving short sales of our</w:t>
            </w:r>
            <w:r>
              <w:rPr/>
              <w:t xml:space="preserve"> </w:t>
            </w:r>
            <w:r>
              <w:rPr>
                <w:rFonts w:ascii="Arial;Helvetica;Sans-Serif" w:hAnsi="Arial;Helvetica;Sans-Serif"/>
                <w:sz w:val="20"/>
              </w:rPr>
              <w:t>securities. Directors and executive officers are also prohibited from pledging or assigning RTX stock, stock</w:t>
            </w:r>
            <w:r>
              <w:rPr>
                <w:sz w:val="20"/>
              </w:rPr>
              <w:t xml:space="preserve"> </w:t>
            </w:r>
            <w:r>
              <w:rPr>
                <w:rFonts w:ascii="Arial;Helvetica;Sans-Serif" w:hAnsi="Arial;Helvetica;Sans-Serif"/>
                <w:sz w:val="20"/>
              </w:rPr>
              <w:t>options or other equity interests as collateral for a loan. Transactions in put options, call options or other</w:t>
            </w:r>
            <w:r>
              <w:rPr>
                <w:sz w:val="20"/>
              </w:rPr>
              <w:t xml:space="preserve"> </w:t>
            </w:r>
            <w:r>
              <w:rPr>
                <w:rFonts w:ascii="Arial;Helvetica;Sans-Serif" w:hAnsi="Arial;Helvetica;Sans-Serif"/>
                <w:sz w:val="20"/>
              </w:rPr>
              <w:t>derivative securities that have the effect of hedging the value of RTX securities also are prohibited, whether</w:t>
            </w:r>
            <w:r>
              <w:rPr>
                <w:sz w:val="20"/>
              </w:rPr>
              <w:t xml:space="preserve"> </w:t>
            </w:r>
            <w:r>
              <w:rPr>
                <w:rFonts w:ascii="Arial;Helvetica;Sans-Serif" w:hAnsi="Arial;Helvetica;Sans-Serif"/>
                <w:sz w:val="20"/>
              </w:rPr>
              <w:t>or not those securities were granted to or held, directly or indirectly, by a director, officer or employee.</w:t>
            </w:r>
          </w:p>
        </w:tc>
      </w:tr>
      <w:tr>
        <w:trPr/>
        <w:tc>
          <w:tcPr>
            <w:tcW w:w="1723" w:type="dxa"/>
            <w:tcBorders>
              <w:bottom w:val="single" w:sz="8" w:space="0" w:color="000000"/>
            </w:tcBorders>
            <w:tcMar>
              <w:top w:w="0" w:type="dxa"/>
            </w:tcMar>
            <w:vAlign w:val="center"/>
          </w:tcPr>
          <w:p>
            <w:pPr>
              <w:pStyle w:val="TableContents"/>
              <w:bidi w:val="0"/>
              <w:spacing w:before="0" w:after="283"/>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Clawback Policy</w:t>
            </w:r>
          </w:p>
        </w:tc>
        <w:tc>
          <w:tcPr>
            <w:tcW w:w="60" w:type="dxa"/>
            <w:tcBorders>
              <w:bottom w:val="single" w:sz="8" w:space="0" w:color="000000"/>
            </w:tcBorders>
            <w:tcMar>
              <w:top w:w="0" w:type="dxa"/>
            </w:tcMar>
            <w:vAlign w:val="center"/>
          </w:tcPr>
          <w:p>
            <w:pPr>
              <w:pStyle w:val="TableContents"/>
              <w:bidi w:val="0"/>
              <w:spacing w:before="0" w:after="283"/>
              <w:jc w:val="left"/>
              <w:rPr/>
            </w:pPr>
            <w:r>
              <w:rPr/>
              <w:t> </w:t>
            </w:r>
          </w:p>
        </w:tc>
        <w:tc>
          <w:tcPr>
            <w:tcW w:w="8422" w:type="dxa"/>
            <w:tcBorders>
              <w:bottom w:val="single" w:sz="8" w:space="0" w:color="000000"/>
            </w:tcBorders>
            <w:tcMar>
              <w:top w:w="0" w:type="dxa"/>
            </w:tcMar>
            <w:vAlign w:val="center"/>
          </w:tcPr>
          <w:p>
            <w:pPr>
              <w:pStyle w:val="TableContents"/>
              <w:bidi w:val="0"/>
              <w:spacing w:before="0" w:after="283"/>
              <w:jc w:val="left"/>
              <w:rPr/>
            </w:pPr>
            <w:r>
              <w:rPr>
                <w:rFonts w:ascii="Arial;Helvetica;Sans-Serif" w:hAnsi="Arial;Helvetica;Sans-Serif"/>
                <w:b w:val="false"/>
                <w:i w:val="false"/>
                <w:caps w:val="false"/>
                <w:smallCaps w:val="false"/>
                <w:sz w:val="20"/>
              </w:rPr>
              <w:t>The RTX Corporation Clawback Policy is our comprehensive policy on recoupment of compensation that covers</w:t>
            </w:r>
            <w:r>
              <w:rPr/>
              <w:t xml:space="preserve"> </w:t>
            </w:r>
            <w:r>
              <w:rPr>
                <w:rFonts w:ascii="Arial;Helvetica;Sans-Serif" w:hAnsi="Arial;Helvetica;Sans-Serif"/>
                <w:sz w:val="20"/>
              </w:rPr>
              <w:t>all RTX employees, including NEOs and executive officers. This policy allows RTX to recoup annual and LTI</w:t>
            </w:r>
            <w:r>
              <w:rPr>
                <w:sz w:val="20"/>
              </w:rPr>
              <w:t xml:space="preserve"> </w:t>
            </w:r>
            <w:r>
              <w:rPr>
                <w:rFonts w:ascii="Arial;Helvetica;Sans-Serif" w:hAnsi="Arial;Helvetica;Sans-Serif"/>
                <w:sz w:val="20"/>
              </w:rPr>
              <w:t>compensation in a number of circumstances, including financial restatements, compensation earned as a result</w:t>
            </w:r>
            <w:r>
              <w:rPr>
                <w:sz w:val="20"/>
              </w:rPr>
              <w:t xml:space="preserve"> </w:t>
            </w:r>
            <w:r>
              <w:rPr>
                <w:rFonts w:ascii="Arial;Helvetica;Sans-Serif" w:hAnsi="Arial;Helvetica;Sans-Serif"/>
                <w:sz w:val="20"/>
              </w:rPr>
              <w:t>of financial miscalculations, violations of RTX’s Code of Conduct and violations of post-employment restrictive</w:t>
            </w:r>
            <w:r>
              <w:rPr>
                <w:sz w:val="20"/>
              </w:rPr>
              <w:t xml:space="preserve"> </w:t>
            </w:r>
            <w:r>
              <w:rPr>
                <w:rFonts w:ascii="Arial;Helvetica;Sans-Serif" w:hAnsi="Arial;Helvetica;Sans-Serif"/>
                <w:sz w:val="20"/>
              </w:rPr>
              <w:t>covenants. Further, the RTX Corporation Executive Officer Clawback Policy, which complies with SEC regulations</w:t>
            </w:r>
            <w:r>
              <w:rPr>
                <w:sz w:val="20"/>
              </w:rPr>
              <w:t xml:space="preserve"> </w:t>
            </w:r>
            <w:r>
              <w:rPr>
                <w:rFonts w:ascii="Arial;Helvetica;Sans-Serif" w:hAnsi="Arial;Helvetica;Sans-Serif"/>
                <w:sz w:val="20"/>
              </w:rPr>
              <w:t>and NYSE listing standards, supplements, but does not replace, the RTX Corporation Clawback Policy. Under this</w:t>
            </w:r>
            <w:r>
              <w:rPr>
                <w:sz w:val="20"/>
              </w:rPr>
              <w:t xml:space="preserve"> </w:t>
            </w:r>
            <w:r>
              <w:rPr>
                <w:rFonts w:ascii="Arial;Helvetica;Sans-Serif" w:hAnsi="Arial;Helvetica;Sans-Serif"/>
                <w:sz w:val="20"/>
              </w:rPr>
              <w:t>policy, the Company can recoup covered incentive-based compensation from executive officers (as defined by the</w:t>
            </w:r>
            <w:r>
              <w:rPr>
                <w:sz w:val="20"/>
              </w:rPr>
              <w:t xml:space="preserve"> </w:t>
            </w:r>
            <w:r>
              <w:rPr>
                <w:rFonts w:ascii="Arial;Helvetica;Sans-Serif" w:hAnsi="Arial;Helvetica;Sans-Serif"/>
                <w:sz w:val="20"/>
              </w:rPr>
              <w:t>SEC) upon the occurrence of any restatement made to correct an error in previously issued financial statements</w:t>
            </w:r>
            <w:r>
              <w:rPr>
                <w:sz w:val="20"/>
              </w:rPr>
              <w:t xml:space="preserve"> </w:t>
            </w:r>
            <w:r>
              <w:rPr>
                <w:rFonts w:ascii="Arial;Helvetica;Sans-Serif" w:hAnsi="Arial;Helvetica;Sans-Serif"/>
                <w:sz w:val="20"/>
              </w:rPr>
              <w:t>due to material noncompliance with any financial reporting requirement under the securities laws. See page 61</w:t>
            </w:r>
            <w:r>
              <w:rPr>
                <w:sz w:val="20"/>
              </w:rPr>
              <w:t xml:space="preserve"> </w:t>
            </w:r>
            <w:r>
              <w:rPr>
                <w:rFonts w:ascii="Arial;Helvetica;Sans-Serif" w:hAnsi="Arial;Helvetica;Sans-Serif"/>
                <w:sz w:val="20"/>
              </w:rPr>
              <w:t>for more information.</w:t>
            </w:r>
          </w:p>
        </w:tc>
      </w:tr>
      <w:tr>
        <w:trPr/>
        <w:tc>
          <w:tcPr>
            <w:tcW w:w="1723" w:type="dxa"/>
            <w:tcBorders>
              <w:bottom w:val="single" w:sz="12" w:space="0" w:color="636466"/>
            </w:tcBorders>
            <w:tcMar>
              <w:top w:w="0" w:type="dxa"/>
            </w:tcMar>
            <w:vAlign w:val="center"/>
          </w:tcPr>
          <w:p>
            <w:pPr>
              <w:pStyle w:val="TableContents"/>
              <w:bidi w:val="0"/>
              <w:spacing w:before="0" w:after="283"/>
              <w:jc w:val="left"/>
              <w:rPr/>
            </w:pPr>
            <w:r>
              <w:rPr>
                <w:rFonts w:ascii="Arial;Helvetica;Sans-Serif" w:hAnsi="Arial;Helvetica;Sans-Serif"/>
                <w:b/>
                <w:i w:val="false"/>
                <w:caps w:val="false"/>
                <w:smallCaps w:val="false"/>
                <w:sz w:val="20"/>
              </w:rPr>
              <w:t>Restrictive</w:t>
            </w:r>
            <w:r>
              <w:rPr/>
              <w:t xml:space="preserve"> </w:t>
            </w:r>
            <w:r>
              <w:rPr>
                <w:rFonts w:ascii="Arial;Helvetica;Sans-Serif" w:hAnsi="Arial;Helvetica;Sans-Serif"/>
                <w:b/>
                <w:sz w:val="20"/>
              </w:rPr>
              <w:t>Covenants</w:t>
            </w:r>
          </w:p>
        </w:tc>
        <w:tc>
          <w:tcPr>
            <w:tcW w:w="60" w:type="dxa"/>
            <w:tcBorders>
              <w:bottom w:val="single" w:sz="12" w:space="0" w:color="636466"/>
            </w:tcBorders>
            <w:tcMar>
              <w:top w:w="0" w:type="dxa"/>
            </w:tcMar>
            <w:vAlign w:val="center"/>
          </w:tcPr>
          <w:p>
            <w:pPr>
              <w:pStyle w:val="TableContents"/>
              <w:bidi w:val="0"/>
              <w:spacing w:before="0" w:after="283"/>
              <w:jc w:val="left"/>
              <w:rPr/>
            </w:pPr>
            <w:r>
              <w:rPr/>
              <w:t> </w:t>
            </w:r>
          </w:p>
        </w:tc>
        <w:tc>
          <w:tcPr>
            <w:tcW w:w="8422" w:type="dxa"/>
            <w:tcBorders>
              <w:bottom w:val="single" w:sz="12" w:space="0" w:color="636466"/>
            </w:tcBorders>
            <w:tcMar>
              <w:top w:w="0" w:type="dxa"/>
            </w:tcMar>
            <w:vAlign w:val="center"/>
          </w:tcPr>
          <w:p>
            <w:pPr>
              <w:pStyle w:val="TableContents"/>
              <w:bidi w:val="0"/>
              <w:spacing w:before="0" w:after="283"/>
              <w:jc w:val="left"/>
              <w:rPr/>
            </w:pPr>
            <w:r>
              <w:rPr>
                <w:rFonts w:ascii="Arial;Helvetica;Sans-Serif" w:hAnsi="Arial;Helvetica;Sans-Serif"/>
                <w:b w:val="false"/>
                <w:i w:val="false"/>
                <w:caps w:val="false"/>
                <w:smallCaps w:val="false"/>
                <w:sz w:val="20"/>
              </w:rPr>
              <w:t>Members of the Company’s Executive Leadership Group (“ELG”), which includes each of our current NEOs,</w:t>
            </w:r>
            <w:r>
              <w:rPr/>
              <w:t xml:space="preserve"> </w:t>
            </w:r>
            <w:r>
              <w:rPr>
                <w:rFonts w:ascii="Arial;Helvetica;Sans-Serif" w:hAnsi="Arial;Helvetica;Sans-Serif"/>
                <w:sz w:val="20"/>
              </w:rPr>
              <w:t>may not engage in post-employment activities detrimental to RTX, such as disclosing proprietary information,</w:t>
            </w:r>
            <w:r>
              <w:rPr>
                <w:sz w:val="20"/>
              </w:rPr>
              <w:t xml:space="preserve"> </w:t>
            </w:r>
            <w:r>
              <w:rPr>
                <w:rFonts w:ascii="Arial;Helvetica;Sans-Serif" w:hAnsi="Arial;Helvetica;Sans-Serif"/>
                <w:sz w:val="20"/>
              </w:rPr>
              <w:t>soliciting RTX employees or engaging in competitive activities. See page 60 for more details.</w:t>
            </w:r>
          </w:p>
        </w:tc>
      </w:tr>
    </w:tbl>
    <w:p>
      <w:pPr>
        <w:pStyle w:val="TextBody"/>
        <w:bidi w:val="0"/>
        <w:ind w:left="0" w:right="0" w:firstLine="72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 xml:space="preserve">Compensation Risk Assessment. </w:t>
      </w:r>
      <w:r>
        <w:rPr>
          <w:rFonts w:ascii="Arial;Helvetica;Sans-Serif" w:hAnsi="Arial;Helvetica;Sans-Serif"/>
          <w:b w:val="false"/>
          <w:i w:val="false"/>
          <w:caps w:val="false"/>
          <w:smallCaps w:val="false"/>
          <w:sz w:val="20"/>
        </w:rPr>
        <w:t>During 2025, the HCC Committee engaged FW Cook as its independent third-party consultant to perform a compensation risk assessment. As a result of this assessment, both FW Cook and the HCC Committee concluded that the Company’s incentive plans do not contain risky features that are likely to have a material and adverse impact on the Company. Further, FW Cook and the HCC Committee concluded that the Company’s compensation plans, programs and policies contain sufficient risk mitigation factors.</w:t>
      </w:r>
    </w:p>
    <w:p>
      <w:pPr>
        <w:pStyle w:val="TextBody"/>
        <w:bidi w:val="0"/>
        <w:jc w:val="left"/>
        <w:rPr>
          <w:caps w:val="false"/>
          <w:smallCaps w:val="false"/>
        </w:rPr>
      </w:pPr>
      <w:r>
        <w:rPr>
          <w:caps w:val="false"/>
          <w:smallCaps w:val="false"/>
        </w:rPr>
        <w:t> </w:t>
      </w:r>
    </w:p>
    <w:p>
      <w:pPr>
        <w:pStyle w:val="TextBody"/>
        <w:bidi w:val="0"/>
        <w:jc w:val="left"/>
        <w:rPr/>
      </w:pPr>
      <w:r>
        <w:rPr>
          <w:rFonts w:ascii="Arial;Helvetica;Sans-Serif" w:hAnsi="Arial;Helvetica;Sans-Serif"/>
          <w:b/>
          <w:i w:val="false"/>
          <w:caps w:val="false"/>
          <w:smallCaps w:val="false"/>
          <w:color w:val="000000"/>
          <w:sz w:val="15"/>
        </w:rPr>
        <w:t>30</w:t>
      </w:r>
      <w:r>
        <w:rPr>
          <w:rFonts w:ascii="Arial;Helvetica;Sans-Serif" w:hAnsi="Arial;Helvetica;Sans-Serif"/>
          <w:b w:val="false"/>
          <w:i w:val="false"/>
          <w:caps w:val="false"/>
          <w:smallCaps w:val="false"/>
          <w:color w:val="000000"/>
          <w:sz w:val="15"/>
        </w:rPr>
        <w:t>    </w:t>
      </w:r>
      <w:r>
        <w:rPr>
          <w:rFonts w:ascii="Arial;Helvetica;Sans-Serif" w:hAnsi="Arial;Helvetica;Sans-Serif"/>
          <w:b/>
          <w:i w:val="false"/>
          <w:caps w:val="false"/>
          <w:smallCaps w:val="false"/>
          <w:sz w:val="15"/>
        </w:rPr>
        <w:t xml:space="preserve">RTX </w:t>
      </w:r>
      <w:r>
        <w:rPr>
          <w:rFonts w:ascii="Arial;Helvetica;Sans-Serif" w:hAnsi="Arial;Helvetica;Sans-Serif"/>
          <w:b w:val="false"/>
          <w:i w:val="false"/>
          <w:caps w:val="false"/>
          <w:smallCaps w:val="false"/>
          <w:sz w:val="15"/>
        </w:rPr>
        <w:t>2026 PROXY STATEMENT</w:t>
      </w:r>
    </w:p>
    <w:p>
      <w:pPr>
        <w:pStyle w:val="HorizontalLine"/>
        <w:pBdr>
          <w:bottom w:val="double" w:sz="2" w:space="0" w:color="808080"/>
        </w:pBdr>
        <w:bidi w:val="0"/>
        <w:spacing w:before="0" w:after="283"/>
        <w:jc w:val="left"/>
        <w:rPr/>
      </w:pPr>
      <w:r>
        <w:rPr/>
      </w:r>
    </w:p>
    <w:p>
      <w:pPr>
        <w:pStyle w:val="TextBody"/>
        <w:bidi w:val="0"/>
        <w:spacing w:before="200" w:after="200"/>
        <w:jc w:val="left"/>
        <w:rPr/>
      </w:pPr>
      <w:hyperlink w:anchor="toc">
        <w:r>
          <w:rPr>
            <w:rStyle w:val="InternetLink"/>
            <w:rFonts w:ascii="Arial;Helvetica;Sans-Serif" w:hAnsi="Arial;Helvetica;Sans-Serif"/>
            <w:b/>
            <w:i w:val="false"/>
            <w:caps w:val="false"/>
            <w:smallCaps w:val="false"/>
            <w:sz w:val="16"/>
          </w:rPr>
          <w:t>Table of Contents</w:t>
        </w:r>
      </w:hyperlink>
    </w:p>
    <w:p>
      <w:pPr>
        <w:pStyle w:val="TextBody"/>
        <w:bidi w:val="0"/>
        <w:jc w:val="right"/>
        <w:rPr>
          <w:rFonts w:ascii="Arial;Helvetica;Sans-Serif" w:hAnsi="Arial;Helvetica;Sans-Serif"/>
          <w:b/>
          <w:i w:val="false"/>
          <w:caps w:val="false"/>
          <w:smallCaps w:val="false"/>
          <w:color w:val="C12E33"/>
          <w:sz w:val="15"/>
        </w:rPr>
      </w:pPr>
      <w:r>
        <w:rPr>
          <w:rFonts w:ascii="Arial;Helvetica;Sans-Serif" w:hAnsi="Arial;Helvetica;Sans-Serif"/>
          <w:b/>
          <w:i w:val="false"/>
          <w:caps w:val="false"/>
          <w:smallCaps w:val="false"/>
          <w:color w:val="C12E33"/>
          <w:sz w:val="15"/>
        </w:rPr>
        <w:t>CORPORATE GOVERNANCE</w:t>
      </w:r>
    </w:p>
    <w:p>
      <w:pPr>
        <w:pStyle w:val="TextBody"/>
        <w:bidi w:val="0"/>
        <w:jc w:val="righ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SHAREOWNER ENGAGEMENT</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SUCCESSION PLANNING OVERSIGHT</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Board has primary responsibility for CEO and senior management succession planning. The Board considers effective continuity of leadership to be critical to the Company’s success and supports senior management in carefully considering and planning for successful leadership transitions. Our Chairman &amp; CEO and the Executive Vice President &amp; Chief Human Resources Officer regularly meet with the Board to discuss the development of potential candidates for succession to senior leadership roles, including the CEO role. The Board’s input and feedback are reflected in annual updates to succession plans. Succession plans include readiness assessments, biographical information and career development plans.</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After several years of deliberate succession planning by the Board, Mr. Calio succeeded Mr. Hayes as CEO effective May 2, 2024, and as Chairman effective April 30, 2025. Mr. Reynolds continues to serve as the Board’s Independent Lead Director. The Board believes that this approach to leadership succession best serves the needs of the Company, as it emphasizes an orderly and stable transition supported by continuity in Board leadership. The Board plays an ongoing and continuous role in evaluating the Company’s leadership structure as part of its oversight of the succession planning process.</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GOVERNANCE AND RESPONSIBILITY OVERSIGHT</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commitment to innovation and collaboration drives our vision for a safer, more connected world, and underpins our approach to governance and responsibility, encompassing transformative technology, responsible business, and people and communities. RTX innovates new technologies to positively impact the world around us, including through the development of new products to advance global aviation and support armed forces operations. We operate our business with integrity and uphold the highest standards in ethical business practices, product safety and product quality. Through focused investments, volunteer commitments and strategic partnerships, we help meet the needs of our communities and build a better future together. And our high-performing teams prioritize safety to meet the needs of our customers and communities. As with risk management oversight, the Board has allocated responsibility for the various elements of our commitment to governance and responsibility to the Committees, while retaining full Board oversight of any matters that cut across the expertise of multiple Committees.</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i w:val="false"/>
          <w:caps w:val="false"/>
          <w:smallCaps w:val="false"/>
          <w:sz w:val="34"/>
        </w:rPr>
      </w:pPr>
      <w:r>
        <w:rPr>
          <w:rFonts w:ascii="Arial;Helvetica;Sans-Serif" w:hAnsi="Arial;Helvetica;Sans-Serif"/>
          <w:b/>
          <w:i w:val="false"/>
          <w:caps w:val="false"/>
          <w:smallCaps w:val="false"/>
          <w:sz w:val="34"/>
        </w:rPr>
        <w:t>Shareowner Engagement</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Board and RTX management believe in transparent and open communication with shareowners. Over the years, these engagements have improved our corporate governance practices, led to expanded shareowner rights, enhanced the Board’s composition and improved the design and disclosure of our executive compensation program.</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regularly communicate with our shareowners throughout the year, including through calls, one-on-one and small group meetings, and conferences. We engage with our shareowners each Spring after our Proxy Statement is filed in anticipation of our Annual Meeting. We also engage with our investors each Fall to better understand their approach to the issues addressed during our Annual Meeting and other stewardship topics that arose during the proxy season among the broader investment community. In addition, management, at times joined by some of our independent directors, routinely meets with shareowners to discuss a range of matters, including financial performance, capital allocation, end markets, business strategy, executive compensation and corporate governance practices. In 2025, management participated in ten major investor conferences, visited shareowners, hosted investors and analysts at a technology showcase in Paris, France, and invited shareowners to visit key facilities across the Company.</w:t>
      </w:r>
    </w:p>
    <w:p>
      <w:pPr>
        <w:pStyle w:val="TextBody"/>
        <w:bidi w:val="0"/>
        <w:jc w:val="left"/>
        <w:rPr>
          <w:caps w:val="false"/>
          <w:smallCaps w:val="false"/>
        </w:rPr>
      </w:pPr>
      <w:r>
        <w:rPr>
          <w:caps w:val="false"/>
          <w:smallCaps w:val="false"/>
        </w:rPr>
        <w:t> </w:t>
      </w:r>
    </w:p>
    <w:tbl>
      <w:tblPr>
        <w:tblW w:w="6680" w:type="dxa"/>
        <w:jc w:val="left"/>
        <w:tblInd w:w="0" w:type="dxa"/>
        <w:tblLayout w:type="fixed"/>
        <w:tblCellMar>
          <w:top w:w="0" w:type="dxa"/>
          <w:left w:w="0" w:type="dxa"/>
          <w:bottom w:w="0" w:type="dxa"/>
          <w:right w:w="0" w:type="dxa"/>
        </w:tblCellMar>
      </w:tblPr>
      <w:tblGrid>
        <w:gridCol w:w="6620"/>
        <w:gridCol w:w="60"/>
      </w:tblGrid>
      <w:tr>
        <w:trPr/>
        <w:tc>
          <w:tcPr>
            <w:tcW w:w="6620" w:type="dxa"/>
            <w:tcBorders/>
            <w:vAlign w:val="center"/>
          </w:tcPr>
          <w:p>
            <w:pPr>
              <w:pStyle w:val="TableContents"/>
              <w:bidi w:val="0"/>
              <w:spacing w:before="0" w:after="283"/>
              <w:jc w:val="right"/>
              <w:rPr/>
            </w:pPr>
            <w:r>
              <w:rPr/>
              <w:t>In 2025, we engaged with shareowners holding RTX Common Stock</w:t>
              <w:br/>
              <w:t>representing over 60% of our outstanding shares</w:t>
            </w:r>
          </w:p>
        </w:tc>
        <w:tc>
          <w:tcPr>
            <w:tcW w:w="60" w:type="dxa"/>
            <w:tcBorders>
              <w:right w:val="single" w:sz="2" w:space="0" w:color="C12E33"/>
            </w:tcBorders>
            <w:tcMar>
              <w:right w:w="28" w:type="dxa"/>
            </w:tcM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right"/>
        <w:rPr/>
      </w:pPr>
      <w:r>
        <w:rPr>
          <w:rFonts w:ascii="Arial;Helvetica;Sans-Serif" w:hAnsi="Arial;Helvetica;Sans-Serif"/>
          <w:b/>
          <w:i w:val="false"/>
          <w:caps w:val="false"/>
          <w:smallCaps w:val="false"/>
          <w:sz w:val="15"/>
        </w:rPr>
        <w:t xml:space="preserve">RTX </w:t>
      </w:r>
      <w:r>
        <w:rPr>
          <w:rFonts w:ascii="Arial;Helvetica;Sans-Serif" w:hAnsi="Arial;Helvetica;Sans-Serif"/>
          <w:b w:val="false"/>
          <w:i w:val="false"/>
          <w:caps w:val="false"/>
          <w:smallCaps w:val="false"/>
          <w:sz w:val="15"/>
        </w:rPr>
        <w:t>2026 PROXY STATEMENT    </w:t>
      </w:r>
      <w:r>
        <w:rPr>
          <w:rFonts w:ascii="Arial;Helvetica;Sans-Serif" w:hAnsi="Arial;Helvetica;Sans-Serif"/>
          <w:b/>
          <w:i w:val="false"/>
          <w:caps w:val="false"/>
          <w:smallCaps w:val="false"/>
          <w:sz w:val="15"/>
        </w:rPr>
        <w:t>31</w:t>
      </w:r>
    </w:p>
    <w:p>
      <w:pPr>
        <w:pStyle w:val="HorizontalLine"/>
        <w:pBdr>
          <w:bottom w:val="double" w:sz="2" w:space="0" w:color="808080"/>
        </w:pBdr>
        <w:bidi w:val="0"/>
        <w:spacing w:before="0" w:after="283"/>
        <w:jc w:val="left"/>
        <w:rPr/>
      </w:pPr>
      <w:r>
        <w:rPr/>
      </w:r>
    </w:p>
    <w:p>
      <w:pPr>
        <w:pStyle w:val="TextBody"/>
        <w:bidi w:val="0"/>
        <w:spacing w:before="200" w:after="200"/>
        <w:jc w:val="left"/>
        <w:rPr/>
      </w:pPr>
      <w:hyperlink w:anchor="toc">
        <w:r>
          <w:rPr>
            <w:rStyle w:val="InternetLink"/>
            <w:rFonts w:ascii="Arial;Helvetica;Sans-Serif" w:hAnsi="Arial;Helvetica;Sans-Serif"/>
            <w:b/>
            <w:i w:val="false"/>
            <w:caps w:val="false"/>
            <w:smallCaps w:val="false"/>
            <w:sz w:val="16"/>
          </w:rPr>
          <w:t>Table of Contents</w:t>
        </w:r>
      </w:hyperlink>
    </w:p>
    <w:p>
      <w:pPr>
        <w:pStyle w:val="TextBody"/>
        <w:bidi w:val="0"/>
        <w:jc w:val="left"/>
        <w:rPr>
          <w:rFonts w:ascii="Arial;Helvetica;Sans-Serif" w:hAnsi="Arial;Helvetica;Sans-Serif"/>
          <w:b/>
          <w:i w:val="false"/>
          <w:caps w:val="false"/>
          <w:smallCaps w:val="false"/>
          <w:color w:val="C12E33"/>
          <w:sz w:val="15"/>
        </w:rPr>
      </w:pPr>
      <w:r>
        <w:rPr>
          <w:rFonts w:ascii="Arial;Helvetica;Sans-Serif" w:hAnsi="Arial;Helvetica;Sans-Serif"/>
          <w:b/>
          <w:i w:val="false"/>
          <w:caps w:val="false"/>
          <w:smallCaps w:val="false"/>
          <w:color w:val="C12E33"/>
          <w:sz w:val="15"/>
        </w:rPr>
        <w:t>CORPORATE GOVERNANCE</w:t>
      </w:r>
    </w:p>
    <w:p>
      <w:pPr>
        <w:pStyle w:val="TextBody"/>
        <w:bidi w:val="0"/>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POLITICAL ACTIVITIES AND PUBLIC POLICY ENGAGEMENT</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i w:val="false"/>
          <w:caps w:val="false"/>
          <w:smallCaps w:val="false"/>
          <w:sz w:val="34"/>
        </w:rPr>
      </w:pPr>
      <w:r>
        <w:rPr>
          <w:rFonts w:ascii="Arial;Helvetica;Sans-Serif" w:hAnsi="Arial;Helvetica;Sans-Serif"/>
          <w:b/>
          <w:i w:val="false"/>
          <w:caps w:val="false"/>
          <w:smallCaps w:val="false"/>
          <w:sz w:val="34"/>
        </w:rPr>
        <w:t>Political Activities and Public Policy Engagement</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RTX actively participates in the political and public policy process at the federal, state and local levels on matters that are core to our business interests. We operate in highly regulated industries, and our government relations initiatives are intended to educate and inform officials and the public on a broad range of public policy matters that impact our businesses. These initiatives are based on the Company’s interests and needs—not based on the personal agendas of individual directors, officers or employees—and are conducted in accordance with our Code of Conduct and applicable laws and regulations.</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All political activities of RTX are managed at the highest levels of the Company. The Board of Directors, directly or through the Governance Committee, is responsible for overseeing the Company’s conduct of government relations activities, including its positions on significant public policy issues, advocacy efforts and political spending. The Governance Committee receives regular briefings from management on these matters to ensure that the Company’s political activities are well aligned with its strategy and values.</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Board also oversees the activities of the Employees of RTX Corporation Political Action Committee (“RTX PAC”). RTX PAC is voluntary, funded with employee contributions only, nonpartisan and supports candidates for federal and state office and the national political organizations of both major parties—giving employees, regardless of their political affiliations, a way to speak with a unified voice on issues important to RTX. RTX PAC is governed by a Steering Committee composed of members of RTX’s leadership team and considers several criteria before approving a contribution to a candidate, including a determination that the candidate demonstrates a commitment to RTX’s core values. RTX PAC does not give to candidates who are under Department of Justice investigation or who are under investigation for a significant violation of Congressional ethics rules. RTX PAC operates in accordance with all applicable laws and regulations, and its contributions are reflected in public filings with the Federal Election Commission.</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Executive Vice President for Global Government Relations leads RTX’s government relations and political activities initiatives, reports to the Governance Committee on the Company’s political and lobbying activities, including the activities of RTX PAC, and works closely with the Company’s Legal, Contracts &amp; Compliance function to ensure the Company’s political activities comply with all legal requirements, established Company policies and the highest ethical standards.</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RTX does not contribute Company funds to federal, state or local office candidates, Section 527 organizations, Super PACs, independent expenditures or other ‘grassroots’ communications to the general public related to the support or opposition of federal, state or local candidates, ballot measures or any other election-related matters.</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 the ordinary course of business, RTX participates in and pays dues to nonprofit trade associations that help us stay abreast of technical issues and emerging trends relevant to our business, and provide educational and workforce development opportunities. Some trade associations use a portion of their membership dues for nondeductible purposes, such as lobbying. RTX does not make payments to trade associations or other tax-exempt organizations that are designated for election-related purposes.</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are transparent with respect to the Company’s political activities and the activities of RTX PAC, and we fully comply with all applicable public disclosure requirements. In particular:</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pPr>
            <w:r>
              <w:rPr/>
              <w:t>We provide extensive information about our political activities on our website.</w:t>
            </w:r>
          </w:p>
        </w:tc>
      </w:tr>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pPr>
            <w:r>
              <w:rPr/>
              <w:t>With respect to federal lobbying, we file quarterly lobbying activity reports and semi-annual lobbying contributions reports with the Clerk of the U.S. House of Representatives and the Secretary of the U.S. Senate. These reports contain details of our lobbying efforts, political activity and related expenditures in accordance with the Lobbying Disclosure Act, and are publicly accessible via the House and Senate websites and RTX’s website.</w:t>
            </w:r>
          </w:p>
        </w:tc>
      </w:tr>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pPr>
            <w:r>
              <w:rPr/>
              <w:t>With respect to state and local lobbying, our activities at the state and local level are limited and generally involve issues related to economic development and business regulatory matters in states where we maintain a significant business presence. State and local lobbying activities are disclosed in compliance with applicable laws and regulations, and, for those jurisdictions that provide online availability, we disclose on our website where our filed reports can be obtained.</w:t>
            </w:r>
          </w:p>
        </w:tc>
      </w:tr>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pPr>
            <w:r>
              <w:rPr/>
              <w:t>We disclose, through public filings with the Federal Election Commission, the full list of candidates and committees to which RTX PAC has contributed, and we provide a link to these filings on our website.</w:t>
            </w:r>
          </w:p>
        </w:tc>
      </w:tr>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pPr>
            <w:r>
              <w:rPr/>
              <w:t>We disclose on our website a listing of the trade associations with disclosed lobbying expenses to which the Company paid $25,000 or more in membership dues or other contributions during the prior year, including the portion of such amounts, if any, that are nondeductible as a lobbying or political expenditure. In 2024, as shown in our current disclosure, no contributions to a single trade association with disclosed lobbying expenses exceeded $600,000.</w:t>
            </w:r>
          </w:p>
        </w:tc>
      </w:tr>
    </w:tbl>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Additional information regarding RTX’s public activities can be found on our website at </w:t>
      </w:r>
      <w:r>
        <w:rPr>
          <w:rFonts w:ascii="Arial;Helvetica;Sans-Serif" w:hAnsi="Arial;Helvetica;Sans-Serif"/>
          <w:b w:val="false"/>
          <w:i w:val="false"/>
          <w:caps w:val="false"/>
          <w:smallCaps w:val="false"/>
          <w:color w:val="C12E33"/>
          <w:sz w:val="20"/>
          <w:u w:val="single"/>
        </w:rPr>
        <w:t>www.rtx.com</w:t>
      </w:r>
      <w:r>
        <w:rPr>
          <w:rFonts w:ascii="Arial;Helvetica;Sans-Serif" w:hAnsi="Arial;Helvetica;Sans-Serif"/>
          <w:b w:val="false"/>
          <w:i w:val="false"/>
          <w:caps w:val="false"/>
          <w:smallCaps w:val="false"/>
          <w:sz w:val="20"/>
        </w:rPr>
        <w:t> under the heading “Who We Are/Corporate Governance/Public Activities.”</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15"/>
        </w:rPr>
      </w:pPr>
      <w:r>
        <w:rPr>
          <w:rFonts w:ascii="Arial;Helvetica;Sans-Serif" w:hAnsi="Arial;Helvetica;Sans-Serif"/>
          <w:b/>
          <w:i w:val="false"/>
          <w:caps w:val="false"/>
          <w:smallCaps w:val="false"/>
          <w:sz w:val="15"/>
        </w:rPr>
        <w:t>32    RTX</w:t>
      </w:r>
      <w:r>
        <w:rPr>
          <w:rFonts w:ascii="Arial;Helvetica;Sans-Serif" w:hAnsi="Arial;Helvetica;Sans-Serif"/>
          <w:b w:val="false"/>
          <w:i w:val="false"/>
          <w:caps w:val="false"/>
          <w:smallCaps w:val="false"/>
          <w:sz w:val="15"/>
        </w:rPr>
        <w:t xml:space="preserve"> 2026 PROXY STATEMENT</w:t>
      </w:r>
    </w:p>
    <w:p>
      <w:pPr>
        <w:pStyle w:val="HorizontalLine"/>
        <w:pBdr>
          <w:bottom w:val="double" w:sz="2" w:space="0" w:color="808080"/>
        </w:pBdr>
        <w:bidi w:val="0"/>
        <w:spacing w:before="0" w:after="283"/>
        <w:jc w:val="left"/>
        <w:rPr/>
      </w:pPr>
      <w:r>
        <w:rPr/>
      </w:r>
    </w:p>
    <w:p>
      <w:pPr>
        <w:pStyle w:val="TextBody"/>
        <w:bidi w:val="0"/>
        <w:spacing w:before="200" w:after="200"/>
        <w:jc w:val="left"/>
        <w:rPr/>
      </w:pPr>
      <w:hyperlink w:anchor="toc">
        <w:r>
          <w:rPr>
            <w:rStyle w:val="InternetLink"/>
            <w:rFonts w:ascii="Arial;Helvetica;Sans-Serif" w:hAnsi="Arial;Helvetica;Sans-Serif"/>
            <w:b/>
            <w:i w:val="false"/>
            <w:caps w:val="false"/>
            <w:smallCaps w:val="false"/>
            <w:sz w:val="16"/>
          </w:rPr>
          <w:t>Table of Contents</w:t>
        </w:r>
      </w:hyperlink>
    </w:p>
    <w:p>
      <w:pPr>
        <w:pStyle w:val="TextBody"/>
        <w:bidi w:val="0"/>
        <w:jc w:val="left"/>
        <w:rPr>
          <w:rFonts w:ascii="Arial;Helvetica;Sans-Serif" w:hAnsi="Arial;Helvetica;Sans-Serif"/>
          <w:b/>
          <w:i w:val="false"/>
          <w:caps w:val="false"/>
          <w:smallCaps w:val="false"/>
          <w:sz w:val="50"/>
        </w:rPr>
      </w:pPr>
      <w:bookmarkStart w:id="10" w:name="rtx014050a006"/>
      <w:bookmarkEnd w:id="10"/>
      <w:r>
        <w:rPr>
          <w:rFonts w:ascii="Arial;Helvetica;Sans-Serif" w:hAnsi="Arial;Helvetica;Sans-Serif"/>
          <w:b/>
          <w:i w:val="false"/>
          <w:caps w:val="false"/>
          <w:smallCaps w:val="false"/>
          <w:sz w:val="50"/>
        </w:rPr>
        <w:t>Compensation of Directors</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i w:val="false"/>
          <w:caps w:val="false"/>
          <w:smallCaps w:val="false"/>
          <w:sz w:val="34"/>
        </w:rPr>
      </w:pPr>
      <w:r>
        <w:rPr>
          <w:rFonts w:ascii="Arial;Helvetica;Sans-Serif" w:hAnsi="Arial;Helvetica;Sans-Serif"/>
          <w:b/>
          <w:i w:val="false"/>
          <w:caps w:val="false"/>
          <w:smallCaps w:val="false"/>
          <w:sz w:val="34"/>
        </w:rPr>
        <w:t>Pay Structure</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ANNUAL RETAINER</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Under the terms of the RTX Corporation Board of Directors Deferred Stock Unit Plan (“RTX Director DSU Plan”), annual retainers for non-employee directors are payable 40% in cash and 60% in deferred stock units (“DSUs”). Directors, however, may elect to receive 100% of the annual retainer in DSUs. The annual retainer paid to non-employee directors for the May 2025 to May 2026 Board cycle is dependent upon the role each director holds, as follows:</w:t>
      </w:r>
    </w:p>
    <w:p>
      <w:pPr>
        <w:pStyle w:val="TextBody"/>
        <w:bidi w:val="0"/>
        <w:jc w:val="left"/>
        <w:rPr>
          <w:caps w:val="false"/>
          <w:smallCaps w:val="false"/>
        </w:rPr>
      </w:pPr>
      <w:r>
        <w:rPr>
          <w:caps w:val="false"/>
          <w:smallCaps w:val="false"/>
        </w:rPr>
        <w:t> </w:t>
      </w:r>
    </w:p>
    <w:tbl>
      <w:tblPr>
        <w:tblW w:w="9050" w:type="dxa"/>
        <w:jc w:val="left"/>
        <w:tblInd w:w="0" w:type="dxa"/>
        <w:tblLayout w:type="fixed"/>
        <w:tblCellMar>
          <w:top w:w="0" w:type="dxa"/>
          <w:left w:w="0" w:type="dxa"/>
          <w:bottom w:w="40" w:type="dxa"/>
          <w:right w:w="0" w:type="dxa"/>
        </w:tblCellMar>
      </w:tblPr>
      <w:tblGrid>
        <w:gridCol w:w="5225"/>
        <w:gridCol w:w="300"/>
        <w:gridCol w:w="920"/>
        <w:gridCol w:w="360"/>
        <w:gridCol w:w="950"/>
        <w:gridCol w:w="360"/>
        <w:gridCol w:w="935"/>
      </w:tblGrid>
      <w:tr>
        <w:trPr/>
        <w:tc>
          <w:tcPr>
            <w:tcW w:w="5225" w:type="dxa"/>
            <w:tcBorders>
              <w:bottom w:val="single" w:sz="12" w:space="0" w:color="C12E33"/>
            </w:tcBorders>
            <w:vAlign w:val="center"/>
          </w:tcPr>
          <w:p>
            <w:pPr>
              <w:pStyle w:val="TableContents"/>
              <w:bidi w:val="0"/>
              <w:spacing w:before="0" w:after="283"/>
              <w:jc w:val="left"/>
              <w:rPr>
                <w:color w:val="636466"/>
                <w:sz w:val="15"/>
              </w:rPr>
            </w:pPr>
            <w:r>
              <w:rPr>
                <w:color w:val="636466"/>
                <w:sz w:val="15"/>
              </w:rPr>
              <w:t>Role</w:t>
            </w:r>
          </w:p>
        </w:tc>
        <w:tc>
          <w:tcPr>
            <w:tcW w:w="300" w:type="dxa"/>
            <w:tcBorders>
              <w:bottom w:val="single" w:sz="12" w:space="0" w:color="C12E33"/>
            </w:tcBorders>
            <w:vAlign w:val="center"/>
          </w:tcPr>
          <w:p>
            <w:pPr>
              <w:pStyle w:val="TableContents"/>
              <w:bidi w:val="0"/>
              <w:spacing w:before="0" w:after="283"/>
              <w:jc w:val="left"/>
              <w:rPr/>
            </w:pPr>
            <w:r>
              <w:rPr/>
              <w:t>     </w:t>
            </w:r>
          </w:p>
        </w:tc>
        <w:tc>
          <w:tcPr>
            <w:tcW w:w="920" w:type="dxa"/>
            <w:tcBorders>
              <w:bottom w:val="single" w:sz="12" w:space="0" w:color="C12E33"/>
            </w:tcBorders>
            <w:vAlign w:val="center"/>
          </w:tcPr>
          <w:p>
            <w:pPr>
              <w:pStyle w:val="TableContents"/>
              <w:bidi w:val="0"/>
              <w:spacing w:before="0" w:after="283"/>
              <w:jc w:val="right"/>
              <w:rPr>
                <w:color w:val="636466"/>
                <w:sz w:val="15"/>
              </w:rPr>
            </w:pPr>
            <w:r>
              <w:rPr>
                <w:color w:val="636466"/>
                <w:sz w:val="15"/>
              </w:rPr>
              <w:t>Cash ($)</w:t>
            </w:r>
          </w:p>
        </w:tc>
        <w:tc>
          <w:tcPr>
            <w:tcW w:w="360" w:type="dxa"/>
            <w:tcBorders>
              <w:bottom w:val="single" w:sz="12" w:space="0" w:color="C12E33"/>
            </w:tcBorders>
            <w:vAlign w:val="center"/>
          </w:tcPr>
          <w:p>
            <w:pPr>
              <w:pStyle w:val="TableContents"/>
              <w:bidi w:val="0"/>
              <w:spacing w:before="0" w:after="283"/>
              <w:jc w:val="left"/>
              <w:rPr/>
            </w:pPr>
            <w:r>
              <w:rPr/>
              <w:t>      </w:t>
            </w:r>
          </w:p>
        </w:tc>
        <w:tc>
          <w:tcPr>
            <w:tcW w:w="950" w:type="dxa"/>
            <w:tcBorders>
              <w:bottom w:val="single" w:sz="12" w:space="0" w:color="C12E33"/>
            </w:tcBorders>
            <w:vAlign w:val="center"/>
          </w:tcPr>
          <w:p>
            <w:pPr>
              <w:pStyle w:val="TableContents"/>
              <w:bidi w:val="0"/>
              <w:spacing w:before="0" w:after="283"/>
              <w:jc w:val="right"/>
              <w:rPr/>
            </w:pPr>
            <w:r>
              <w:rPr>
                <w:color w:val="636466"/>
                <w:sz w:val="15"/>
              </w:rPr>
              <w:t>Deferred</w:t>
            </w:r>
            <w:r>
              <w:rPr/>
              <w:t xml:space="preserve"> </w:t>
            </w:r>
            <w:r>
              <w:rPr>
                <w:sz w:val="15"/>
              </w:rPr>
              <w:br/>
            </w:r>
            <w:r>
              <w:rPr>
                <w:color w:val="636466"/>
                <w:sz w:val="15"/>
              </w:rPr>
              <w:t>Stock Units ($)</w:t>
            </w:r>
          </w:p>
        </w:tc>
        <w:tc>
          <w:tcPr>
            <w:tcW w:w="360" w:type="dxa"/>
            <w:tcBorders>
              <w:bottom w:val="single" w:sz="12" w:space="0" w:color="C12E33"/>
            </w:tcBorders>
            <w:vAlign w:val="center"/>
          </w:tcPr>
          <w:p>
            <w:pPr>
              <w:pStyle w:val="TableContents"/>
              <w:bidi w:val="0"/>
              <w:spacing w:before="0" w:after="283"/>
              <w:jc w:val="left"/>
              <w:rPr/>
            </w:pPr>
            <w:r>
              <w:rPr/>
              <w:t>      </w:t>
            </w:r>
          </w:p>
        </w:tc>
        <w:tc>
          <w:tcPr>
            <w:tcW w:w="935" w:type="dxa"/>
            <w:tcBorders>
              <w:bottom w:val="single" w:sz="12" w:space="0" w:color="C12E33"/>
            </w:tcBorders>
            <w:vAlign w:val="center"/>
          </w:tcPr>
          <w:p>
            <w:pPr>
              <w:pStyle w:val="TableContents"/>
              <w:bidi w:val="0"/>
              <w:spacing w:before="0" w:after="283"/>
              <w:jc w:val="right"/>
              <w:rPr/>
            </w:pPr>
            <w:r>
              <w:rPr>
                <w:color w:val="636466"/>
                <w:sz w:val="15"/>
              </w:rPr>
              <w:t xml:space="preserve">Total Annual </w:t>
            </w:r>
            <w:r>
              <w:rPr>
                <w:sz w:val="15"/>
              </w:rPr>
              <w:br/>
            </w:r>
            <w:r>
              <w:rPr>
                <w:color w:val="636466"/>
                <w:sz w:val="15"/>
              </w:rPr>
              <w:t>Retainer ($)</w:t>
            </w:r>
          </w:p>
        </w:tc>
      </w:tr>
      <w:tr>
        <w:trPr/>
        <w:tc>
          <w:tcPr>
            <w:tcW w:w="5225" w:type="dxa"/>
            <w:tcBorders>
              <w:bottom w:val="single" w:sz="2" w:space="0" w:color="000000"/>
            </w:tcBorders>
            <w:vAlign w:val="center"/>
          </w:tcPr>
          <w:p>
            <w:pPr>
              <w:pStyle w:val="TableContents"/>
              <w:bidi w:val="0"/>
              <w:spacing w:before="0" w:after="283"/>
              <w:jc w:val="left"/>
              <w:rPr/>
            </w:pPr>
            <w:r>
              <w:rPr>
                <w:b/>
              </w:rPr>
              <w:t>All Directors (base retainer)</w:t>
            </w:r>
            <w:r>
              <w:rPr/>
              <w:br/>
            </w:r>
            <w:r>
              <w:rPr>
                <w:b/>
              </w:rPr>
              <w:t>Additional Compensation for Services as:</w:t>
            </w:r>
          </w:p>
        </w:tc>
        <w:tc>
          <w:tcPr>
            <w:tcW w:w="300" w:type="dxa"/>
            <w:tcBorders>
              <w:bottom w:val="single" w:sz="2" w:space="0" w:color="000000"/>
            </w:tcBorders>
            <w:vAlign w:val="center"/>
          </w:tcPr>
          <w:p>
            <w:pPr>
              <w:pStyle w:val="TableContents"/>
              <w:bidi w:val="0"/>
              <w:spacing w:before="0" w:after="283"/>
              <w:jc w:val="left"/>
              <w:rPr/>
            </w:pPr>
            <w:r>
              <w:rPr/>
              <w:t> </w:t>
            </w:r>
          </w:p>
        </w:tc>
        <w:tc>
          <w:tcPr>
            <w:tcW w:w="920" w:type="dxa"/>
            <w:tcBorders>
              <w:bottom w:val="single" w:sz="2" w:space="0" w:color="000000"/>
            </w:tcBorders>
            <w:vAlign w:val="center"/>
          </w:tcPr>
          <w:p>
            <w:pPr>
              <w:pStyle w:val="TableContents"/>
              <w:bidi w:val="0"/>
              <w:spacing w:before="0" w:after="283"/>
              <w:jc w:val="right"/>
              <w:rPr/>
            </w:pPr>
            <w:r>
              <w:rPr/>
              <w:t>$138,000</w:t>
            </w:r>
          </w:p>
        </w:tc>
        <w:tc>
          <w:tcPr>
            <w:tcW w:w="360" w:type="dxa"/>
            <w:tcBorders>
              <w:bottom w:val="single" w:sz="2" w:space="0" w:color="000000"/>
            </w:tcBorders>
            <w:vAlign w:val="center"/>
          </w:tcPr>
          <w:p>
            <w:pPr>
              <w:pStyle w:val="TableContents"/>
              <w:bidi w:val="0"/>
              <w:spacing w:before="0" w:after="283"/>
              <w:jc w:val="right"/>
              <w:rPr/>
            </w:pPr>
            <w:r>
              <w:rPr/>
              <w:t> </w:t>
            </w:r>
          </w:p>
        </w:tc>
        <w:tc>
          <w:tcPr>
            <w:tcW w:w="950" w:type="dxa"/>
            <w:tcBorders>
              <w:bottom w:val="single" w:sz="2" w:space="0" w:color="000000"/>
            </w:tcBorders>
            <w:vAlign w:val="center"/>
          </w:tcPr>
          <w:p>
            <w:pPr>
              <w:pStyle w:val="TableContents"/>
              <w:bidi w:val="0"/>
              <w:spacing w:before="0" w:after="283"/>
              <w:jc w:val="right"/>
              <w:rPr/>
            </w:pPr>
            <w:r>
              <w:rPr/>
              <w:t>$207,000</w:t>
            </w:r>
          </w:p>
        </w:tc>
        <w:tc>
          <w:tcPr>
            <w:tcW w:w="360" w:type="dxa"/>
            <w:tcBorders>
              <w:bottom w:val="single" w:sz="2" w:space="0" w:color="000000"/>
            </w:tcBorders>
            <w:vAlign w:val="center"/>
          </w:tcPr>
          <w:p>
            <w:pPr>
              <w:pStyle w:val="TableContents"/>
              <w:bidi w:val="0"/>
              <w:spacing w:before="0" w:after="283"/>
              <w:jc w:val="right"/>
              <w:rPr/>
            </w:pPr>
            <w:r>
              <w:rPr/>
              <w:t> </w:t>
            </w:r>
          </w:p>
        </w:tc>
        <w:tc>
          <w:tcPr>
            <w:tcW w:w="935" w:type="dxa"/>
            <w:tcBorders>
              <w:bottom w:val="single" w:sz="2" w:space="0" w:color="000000"/>
            </w:tcBorders>
            <w:shd w:fill="EDEDEE" w:val="clear"/>
            <w:vAlign w:val="center"/>
          </w:tcPr>
          <w:p>
            <w:pPr>
              <w:pStyle w:val="TableContents"/>
              <w:bidi w:val="0"/>
              <w:spacing w:before="0" w:after="283"/>
              <w:jc w:val="right"/>
              <w:rPr>
                <w:b/>
              </w:rPr>
            </w:pPr>
            <w:r>
              <w:rPr>
                <w:b/>
              </w:rPr>
              <w:t>$345,000</w:t>
            </w:r>
          </w:p>
        </w:tc>
      </w:tr>
      <w:tr>
        <w:trPr/>
        <w:tc>
          <w:tcPr>
            <w:tcW w:w="5225" w:type="dxa"/>
            <w:tcBorders>
              <w:bottom w:val="single" w:sz="2" w:space="0" w:color="000000"/>
            </w:tcBorders>
            <w:vAlign w:val="center"/>
          </w:tcPr>
          <w:p>
            <w:pPr>
              <w:pStyle w:val="TableContents"/>
              <w:bidi w:val="0"/>
              <w:spacing w:before="0" w:after="283"/>
              <w:jc w:val="left"/>
              <w:rPr>
                <w:b/>
              </w:rPr>
            </w:pPr>
            <w:r>
              <w:rPr>
                <w:b/>
              </w:rPr>
              <w:t>Independent Lead Director</w:t>
            </w:r>
          </w:p>
        </w:tc>
        <w:tc>
          <w:tcPr>
            <w:tcW w:w="300" w:type="dxa"/>
            <w:tcBorders>
              <w:bottom w:val="single" w:sz="2" w:space="0" w:color="000000"/>
            </w:tcBorders>
            <w:vAlign w:val="center"/>
          </w:tcPr>
          <w:p>
            <w:pPr>
              <w:pStyle w:val="TableContents"/>
              <w:bidi w:val="0"/>
              <w:spacing w:before="0" w:after="283"/>
              <w:jc w:val="left"/>
              <w:rPr/>
            </w:pPr>
            <w:r>
              <w:rPr/>
              <w:t> </w:t>
            </w:r>
          </w:p>
        </w:tc>
        <w:tc>
          <w:tcPr>
            <w:tcW w:w="920" w:type="dxa"/>
            <w:tcBorders>
              <w:bottom w:val="single" w:sz="2" w:space="0" w:color="000000"/>
            </w:tcBorders>
            <w:vAlign w:val="center"/>
          </w:tcPr>
          <w:p>
            <w:pPr>
              <w:pStyle w:val="TableContents"/>
              <w:bidi w:val="0"/>
              <w:spacing w:before="0" w:after="283"/>
              <w:jc w:val="right"/>
              <w:rPr/>
            </w:pPr>
            <w:r>
              <w:rPr/>
              <w:t>$20,000</w:t>
            </w:r>
          </w:p>
        </w:tc>
        <w:tc>
          <w:tcPr>
            <w:tcW w:w="360" w:type="dxa"/>
            <w:tcBorders>
              <w:bottom w:val="single" w:sz="2" w:space="0" w:color="000000"/>
            </w:tcBorders>
            <w:vAlign w:val="center"/>
          </w:tcPr>
          <w:p>
            <w:pPr>
              <w:pStyle w:val="TableContents"/>
              <w:bidi w:val="0"/>
              <w:spacing w:before="0" w:after="283"/>
              <w:jc w:val="left"/>
              <w:rPr/>
            </w:pPr>
            <w:r>
              <w:rPr/>
              <w:t> </w:t>
            </w:r>
          </w:p>
        </w:tc>
        <w:tc>
          <w:tcPr>
            <w:tcW w:w="950" w:type="dxa"/>
            <w:tcBorders>
              <w:bottom w:val="single" w:sz="2" w:space="0" w:color="000000"/>
            </w:tcBorders>
            <w:vAlign w:val="center"/>
          </w:tcPr>
          <w:p>
            <w:pPr>
              <w:pStyle w:val="TableContents"/>
              <w:bidi w:val="0"/>
              <w:spacing w:before="0" w:after="283"/>
              <w:jc w:val="right"/>
              <w:rPr/>
            </w:pPr>
            <w:r>
              <w:rPr/>
              <w:t>$30,000</w:t>
            </w:r>
          </w:p>
        </w:tc>
        <w:tc>
          <w:tcPr>
            <w:tcW w:w="360" w:type="dxa"/>
            <w:tcBorders>
              <w:bottom w:val="single" w:sz="2" w:space="0" w:color="000000"/>
            </w:tcBorders>
            <w:vAlign w:val="center"/>
          </w:tcPr>
          <w:p>
            <w:pPr>
              <w:pStyle w:val="TableContents"/>
              <w:bidi w:val="0"/>
              <w:spacing w:before="0" w:after="283"/>
              <w:jc w:val="left"/>
              <w:rPr/>
            </w:pPr>
            <w:r>
              <w:rPr/>
              <w:t> </w:t>
            </w:r>
          </w:p>
        </w:tc>
        <w:tc>
          <w:tcPr>
            <w:tcW w:w="935" w:type="dxa"/>
            <w:tcBorders>
              <w:bottom w:val="single" w:sz="2" w:space="0" w:color="000000"/>
            </w:tcBorders>
            <w:shd w:fill="EDEDEE" w:val="clear"/>
            <w:vAlign w:val="center"/>
          </w:tcPr>
          <w:p>
            <w:pPr>
              <w:pStyle w:val="TableContents"/>
              <w:bidi w:val="0"/>
              <w:spacing w:before="0" w:after="283"/>
              <w:jc w:val="right"/>
              <w:rPr>
                <w:b/>
              </w:rPr>
            </w:pPr>
            <w:r>
              <w:rPr>
                <w:b/>
              </w:rPr>
              <w:t>$50,000</w:t>
            </w:r>
          </w:p>
        </w:tc>
      </w:tr>
      <w:tr>
        <w:trPr/>
        <w:tc>
          <w:tcPr>
            <w:tcW w:w="5225" w:type="dxa"/>
            <w:tcBorders>
              <w:bottom w:val="single" w:sz="2" w:space="0" w:color="000000"/>
            </w:tcBorders>
            <w:vAlign w:val="center"/>
          </w:tcPr>
          <w:p>
            <w:pPr>
              <w:pStyle w:val="TableContents"/>
              <w:bidi w:val="0"/>
              <w:spacing w:before="0" w:after="283"/>
              <w:jc w:val="left"/>
              <w:rPr>
                <w:b/>
              </w:rPr>
            </w:pPr>
            <w:r>
              <w:rPr>
                <w:b/>
              </w:rPr>
              <w:t>Audit Committee Chair</w:t>
            </w:r>
          </w:p>
        </w:tc>
        <w:tc>
          <w:tcPr>
            <w:tcW w:w="300" w:type="dxa"/>
            <w:tcBorders>
              <w:bottom w:val="single" w:sz="2" w:space="0" w:color="000000"/>
            </w:tcBorders>
            <w:vAlign w:val="center"/>
          </w:tcPr>
          <w:p>
            <w:pPr>
              <w:pStyle w:val="TableContents"/>
              <w:bidi w:val="0"/>
              <w:spacing w:before="0" w:after="283"/>
              <w:jc w:val="left"/>
              <w:rPr/>
            </w:pPr>
            <w:r>
              <w:rPr/>
              <w:t> </w:t>
            </w:r>
          </w:p>
        </w:tc>
        <w:tc>
          <w:tcPr>
            <w:tcW w:w="920" w:type="dxa"/>
            <w:tcBorders>
              <w:bottom w:val="single" w:sz="2" w:space="0" w:color="000000"/>
            </w:tcBorders>
            <w:vAlign w:val="center"/>
          </w:tcPr>
          <w:p>
            <w:pPr>
              <w:pStyle w:val="TableContents"/>
              <w:bidi w:val="0"/>
              <w:spacing w:before="0" w:after="283"/>
              <w:jc w:val="right"/>
              <w:rPr/>
            </w:pPr>
            <w:r>
              <w:rPr/>
              <w:t>$16,000</w:t>
            </w:r>
          </w:p>
        </w:tc>
        <w:tc>
          <w:tcPr>
            <w:tcW w:w="360" w:type="dxa"/>
            <w:tcBorders>
              <w:bottom w:val="single" w:sz="2" w:space="0" w:color="000000"/>
            </w:tcBorders>
            <w:vAlign w:val="center"/>
          </w:tcPr>
          <w:p>
            <w:pPr>
              <w:pStyle w:val="TableContents"/>
              <w:bidi w:val="0"/>
              <w:spacing w:before="0" w:after="283"/>
              <w:jc w:val="left"/>
              <w:rPr/>
            </w:pPr>
            <w:r>
              <w:rPr/>
              <w:t> </w:t>
            </w:r>
          </w:p>
        </w:tc>
        <w:tc>
          <w:tcPr>
            <w:tcW w:w="950" w:type="dxa"/>
            <w:tcBorders>
              <w:bottom w:val="single" w:sz="2" w:space="0" w:color="000000"/>
            </w:tcBorders>
            <w:vAlign w:val="center"/>
          </w:tcPr>
          <w:p>
            <w:pPr>
              <w:pStyle w:val="TableContents"/>
              <w:bidi w:val="0"/>
              <w:spacing w:before="0" w:after="283"/>
              <w:jc w:val="right"/>
              <w:rPr/>
            </w:pPr>
            <w:r>
              <w:rPr/>
              <w:t>$24,000</w:t>
            </w:r>
          </w:p>
        </w:tc>
        <w:tc>
          <w:tcPr>
            <w:tcW w:w="360" w:type="dxa"/>
            <w:tcBorders>
              <w:bottom w:val="single" w:sz="2" w:space="0" w:color="000000"/>
            </w:tcBorders>
            <w:vAlign w:val="center"/>
          </w:tcPr>
          <w:p>
            <w:pPr>
              <w:pStyle w:val="TableContents"/>
              <w:bidi w:val="0"/>
              <w:spacing w:before="0" w:after="283"/>
              <w:jc w:val="left"/>
              <w:rPr/>
            </w:pPr>
            <w:r>
              <w:rPr/>
              <w:t> </w:t>
            </w:r>
          </w:p>
        </w:tc>
        <w:tc>
          <w:tcPr>
            <w:tcW w:w="935" w:type="dxa"/>
            <w:tcBorders>
              <w:bottom w:val="single" w:sz="2" w:space="0" w:color="000000"/>
            </w:tcBorders>
            <w:shd w:fill="EDEDEE" w:val="clear"/>
            <w:vAlign w:val="center"/>
          </w:tcPr>
          <w:p>
            <w:pPr>
              <w:pStyle w:val="TableContents"/>
              <w:bidi w:val="0"/>
              <w:spacing w:before="0" w:after="283"/>
              <w:jc w:val="right"/>
              <w:rPr>
                <w:b/>
              </w:rPr>
            </w:pPr>
            <w:r>
              <w:rPr>
                <w:b/>
              </w:rPr>
              <w:t>$40,000</w:t>
            </w:r>
          </w:p>
        </w:tc>
      </w:tr>
      <w:tr>
        <w:trPr/>
        <w:tc>
          <w:tcPr>
            <w:tcW w:w="5225" w:type="dxa"/>
            <w:tcBorders>
              <w:bottom w:val="single" w:sz="2" w:space="0" w:color="000000"/>
            </w:tcBorders>
            <w:vAlign w:val="center"/>
          </w:tcPr>
          <w:p>
            <w:pPr>
              <w:pStyle w:val="TableContents"/>
              <w:bidi w:val="0"/>
              <w:spacing w:before="0" w:after="283"/>
              <w:jc w:val="left"/>
              <w:rPr>
                <w:b/>
              </w:rPr>
            </w:pPr>
            <w:r>
              <w:rPr>
                <w:b/>
              </w:rPr>
              <w:t>Human Capital &amp; Compensation Committee Chair</w:t>
            </w:r>
          </w:p>
        </w:tc>
        <w:tc>
          <w:tcPr>
            <w:tcW w:w="300" w:type="dxa"/>
            <w:tcBorders>
              <w:bottom w:val="single" w:sz="2" w:space="0" w:color="000000"/>
            </w:tcBorders>
            <w:vAlign w:val="center"/>
          </w:tcPr>
          <w:p>
            <w:pPr>
              <w:pStyle w:val="TableContents"/>
              <w:bidi w:val="0"/>
              <w:spacing w:before="0" w:after="283"/>
              <w:jc w:val="left"/>
              <w:rPr/>
            </w:pPr>
            <w:r>
              <w:rPr/>
              <w:t> </w:t>
            </w:r>
          </w:p>
        </w:tc>
        <w:tc>
          <w:tcPr>
            <w:tcW w:w="920" w:type="dxa"/>
            <w:tcBorders>
              <w:bottom w:val="single" w:sz="2" w:space="0" w:color="000000"/>
            </w:tcBorders>
            <w:vAlign w:val="center"/>
          </w:tcPr>
          <w:p>
            <w:pPr>
              <w:pStyle w:val="TableContents"/>
              <w:bidi w:val="0"/>
              <w:spacing w:before="0" w:after="283"/>
              <w:jc w:val="right"/>
              <w:rPr/>
            </w:pPr>
            <w:r>
              <w:rPr/>
              <w:t>$14,000</w:t>
            </w:r>
          </w:p>
        </w:tc>
        <w:tc>
          <w:tcPr>
            <w:tcW w:w="360" w:type="dxa"/>
            <w:tcBorders>
              <w:bottom w:val="single" w:sz="2" w:space="0" w:color="000000"/>
            </w:tcBorders>
            <w:vAlign w:val="center"/>
          </w:tcPr>
          <w:p>
            <w:pPr>
              <w:pStyle w:val="TableContents"/>
              <w:bidi w:val="0"/>
              <w:spacing w:before="0" w:after="283"/>
              <w:jc w:val="left"/>
              <w:rPr/>
            </w:pPr>
            <w:r>
              <w:rPr/>
              <w:t> </w:t>
            </w:r>
          </w:p>
        </w:tc>
        <w:tc>
          <w:tcPr>
            <w:tcW w:w="950" w:type="dxa"/>
            <w:tcBorders>
              <w:bottom w:val="single" w:sz="2" w:space="0" w:color="000000"/>
            </w:tcBorders>
            <w:vAlign w:val="center"/>
          </w:tcPr>
          <w:p>
            <w:pPr>
              <w:pStyle w:val="TableContents"/>
              <w:bidi w:val="0"/>
              <w:spacing w:before="0" w:after="283"/>
              <w:jc w:val="right"/>
              <w:rPr/>
            </w:pPr>
            <w:r>
              <w:rPr/>
              <w:t>$21,000</w:t>
            </w:r>
          </w:p>
        </w:tc>
        <w:tc>
          <w:tcPr>
            <w:tcW w:w="360" w:type="dxa"/>
            <w:tcBorders>
              <w:bottom w:val="single" w:sz="2" w:space="0" w:color="000000"/>
            </w:tcBorders>
            <w:vAlign w:val="center"/>
          </w:tcPr>
          <w:p>
            <w:pPr>
              <w:pStyle w:val="TableContents"/>
              <w:bidi w:val="0"/>
              <w:spacing w:before="0" w:after="283"/>
              <w:jc w:val="left"/>
              <w:rPr/>
            </w:pPr>
            <w:r>
              <w:rPr/>
              <w:t> </w:t>
            </w:r>
          </w:p>
        </w:tc>
        <w:tc>
          <w:tcPr>
            <w:tcW w:w="935" w:type="dxa"/>
            <w:tcBorders>
              <w:bottom w:val="single" w:sz="2" w:space="0" w:color="000000"/>
            </w:tcBorders>
            <w:shd w:fill="EDEDEE" w:val="clear"/>
            <w:vAlign w:val="center"/>
          </w:tcPr>
          <w:p>
            <w:pPr>
              <w:pStyle w:val="TableContents"/>
              <w:bidi w:val="0"/>
              <w:spacing w:before="0" w:after="283"/>
              <w:jc w:val="right"/>
              <w:rPr>
                <w:b/>
              </w:rPr>
            </w:pPr>
            <w:r>
              <w:rPr>
                <w:b/>
              </w:rPr>
              <w:t>$35,000</w:t>
            </w:r>
          </w:p>
        </w:tc>
      </w:tr>
      <w:tr>
        <w:trPr/>
        <w:tc>
          <w:tcPr>
            <w:tcW w:w="5225" w:type="dxa"/>
            <w:tcBorders>
              <w:bottom w:val="single" w:sz="2" w:space="0" w:color="000000"/>
            </w:tcBorders>
            <w:vAlign w:val="center"/>
          </w:tcPr>
          <w:p>
            <w:pPr>
              <w:pStyle w:val="TableContents"/>
              <w:bidi w:val="0"/>
              <w:spacing w:before="0" w:after="283"/>
              <w:jc w:val="left"/>
              <w:rPr>
                <w:b/>
              </w:rPr>
            </w:pPr>
            <w:r>
              <w:rPr>
                <w:b/>
              </w:rPr>
              <w:t>Finance Committee Chair</w:t>
            </w:r>
          </w:p>
        </w:tc>
        <w:tc>
          <w:tcPr>
            <w:tcW w:w="300" w:type="dxa"/>
            <w:tcBorders>
              <w:bottom w:val="single" w:sz="2" w:space="0" w:color="000000"/>
            </w:tcBorders>
            <w:vAlign w:val="center"/>
          </w:tcPr>
          <w:p>
            <w:pPr>
              <w:pStyle w:val="TableContents"/>
              <w:bidi w:val="0"/>
              <w:spacing w:before="0" w:after="283"/>
              <w:jc w:val="left"/>
              <w:rPr/>
            </w:pPr>
            <w:r>
              <w:rPr/>
              <w:t> </w:t>
            </w:r>
          </w:p>
        </w:tc>
        <w:tc>
          <w:tcPr>
            <w:tcW w:w="920" w:type="dxa"/>
            <w:tcBorders>
              <w:bottom w:val="single" w:sz="2" w:space="0" w:color="000000"/>
            </w:tcBorders>
            <w:vAlign w:val="center"/>
          </w:tcPr>
          <w:p>
            <w:pPr>
              <w:pStyle w:val="TableContents"/>
              <w:bidi w:val="0"/>
              <w:spacing w:before="0" w:after="283"/>
              <w:jc w:val="right"/>
              <w:rPr/>
            </w:pPr>
            <w:r>
              <w:rPr/>
              <w:t>$10,000</w:t>
            </w:r>
          </w:p>
        </w:tc>
        <w:tc>
          <w:tcPr>
            <w:tcW w:w="360" w:type="dxa"/>
            <w:tcBorders>
              <w:bottom w:val="single" w:sz="2" w:space="0" w:color="000000"/>
            </w:tcBorders>
            <w:vAlign w:val="center"/>
          </w:tcPr>
          <w:p>
            <w:pPr>
              <w:pStyle w:val="TableContents"/>
              <w:bidi w:val="0"/>
              <w:spacing w:before="0" w:after="283"/>
              <w:jc w:val="left"/>
              <w:rPr/>
            </w:pPr>
            <w:r>
              <w:rPr/>
              <w:t> </w:t>
            </w:r>
          </w:p>
        </w:tc>
        <w:tc>
          <w:tcPr>
            <w:tcW w:w="950" w:type="dxa"/>
            <w:tcBorders>
              <w:bottom w:val="single" w:sz="2" w:space="0" w:color="000000"/>
            </w:tcBorders>
            <w:vAlign w:val="center"/>
          </w:tcPr>
          <w:p>
            <w:pPr>
              <w:pStyle w:val="TableContents"/>
              <w:bidi w:val="0"/>
              <w:spacing w:before="0" w:after="283"/>
              <w:jc w:val="right"/>
              <w:rPr/>
            </w:pPr>
            <w:r>
              <w:rPr/>
              <w:t>$15,000</w:t>
            </w:r>
          </w:p>
        </w:tc>
        <w:tc>
          <w:tcPr>
            <w:tcW w:w="360" w:type="dxa"/>
            <w:tcBorders>
              <w:bottom w:val="single" w:sz="2" w:space="0" w:color="000000"/>
            </w:tcBorders>
            <w:vAlign w:val="center"/>
          </w:tcPr>
          <w:p>
            <w:pPr>
              <w:pStyle w:val="TableContents"/>
              <w:bidi w:val="0"/>
              <w:spacing w:before="0" w:after="283"/>
              <w:jc w:val="left"/>
              <w:rPr/>
            </w:pPr>
            <w:r>
              <w:rPr/>
              <w:t> </w:t>
            </w:r>
          </w:p>
        </w:tc>
        <w:tc>
          <w:tcPr>
            <w:tcW w:w="935" w:type="dxa"/>
            <w:tcBorders>
              <w:bottom w:val="single" w:sz="2" w:space="0" w:color="000000"/>
            </w:tcBorders>
            <w:shd w:fill="EDEDEE" w:val="clear"/>
            <w:vAlign w:val="center"/>
          </w:tcPr>
          <w:p>
            <w:pPr>
              <w:pStyle w:val="TableContents"/>
              <w:bidi w:val="0"/>
              <w:spacing w:before="0" w:after="283"/>
              <w:jc w:val="right"/>
              <w:rPr>
                <w:b/>
              </w:rPr>
            </w:pPr>
            <w:r>
              <w:rPr>
                <w:b/>
              </w:rPr>
              <w:t>$25,000</w:t>
            </w:r>
          </w:p>
        </w:tc>
      </w:tr>
      <w:tr>
        <w:trPr/>
        <w:tc>
          <w:tcPr>
            <w:tcW w:w="5225" w:type="dxa"/>
            <w:tcBorders>
              <w:bottom w:val="single" w:sz="2" w:space="0" w:color="000000"/>
            </w:tcBorders>
            <w:vAlign w:val="center"/>
          </w:tcPr>
          <w:p>
            <w:pPr>
              <w:pStyle w:val="TableContents"/>
              <w:bidi w:val="0"/>
              <w:spacing w:before="0" w:after="283"/>
              <w:jc w:val="left"/>
              <w:rPr>
                <w:b/>
              </w:rPr>
            </w:pPr>
            <w:r>
              <w:rPr>
                <w:b/>
              </w:rPr>
              <w:t>Governance and Public Policy Committee Chair</w:t>
            </w:r>
          </w:p>
        </w:tc>
        <w:tc>
          <w:tcPr>
            <w:tcW w:w="300" w:type="dxa"/>
            <w:tcBorders>
              <w:bottom w:val="single" w:sz="2" w:space="0" w:color="000000"/>
            </w:tcBorders>
            <w:vAlign w:val="center"/>
          </w:tcPr>
          <w:p>
            <w:pPr>
              <w:pStyle w:val="TableContents"/>
              <w:bidi w:val="0"/>
              <w:spacing w:before="0" w:after="283"/>
              <w:jc w:val="left"/>
              <w:rPr/>
            </w:pPr>
            <w:r>
              <w:rPr/>
              <w:t> </w:t>
            </w:r>
          </w:p>
        </w:tc>
        <w:tc>
          <w:tcPr>
            <w:tcW w:w="920" w:type="dxa"/>
            <w:tcBorders>
              <w:bottom w:val="single" w:sz="2" w:space="0" w:color="000000"/>
            </w:tcBorders>
            <w:vAlign w:val="center"/>
          </w:tcPr>
          <w:p>
            <w:pPr>
              <w:pStyle w:val="TableContents"/>
              <w:bidi w:val="0"/>
              <w:spacing w:before="0" w:after="283"/>
              <w:jc w:val="right"/>
              <w:rPr/>
            </w:pPr>
            <w:r>
              <w:rPr/>
              <w:t>$10,000</w:t>
            </w:r>
          </w:p>
        </w:tc>
        <w:tc>
          <w:tcPr>
            <w:tcW w:w="360" w:type="dxa"/>
            <w:tcBorders>
              <w:bottom w:val="single" w:sz="2" w:space="0" w:color="000000"/>
            </w:tcBorders>
            <w:vAlign w:val="center"/>
          </w:tcPr>
          <w:p>
            <w:pPr>
              <w:pStyle w:val="TableContents"/>
              <w:bidi w:val="0"/>
              <w:spacing w:before="0" w:after="283"/>
              <w:jc w:val="left"/>
              <w:rPr/>
            </w:pPr>
            <w:r>
              <w:rPr/>
              <w:t> </w:t>
            </w:r>
          </w:p>
        </w:tc>
        <w:tc>
          <w:tcPr>
            <w:tcW w:w="950" w:type="dxa"/>
            <w:tcBorders>
              <w:bottom w:val="single" w:sz="2" w:space="0" w:color="000000"/>
            </w:tcBorders>
            <w:vAlign w:val="center"/>
          </w:tcPr>
          <w:p>
            <w:pPr>
              <w:pStyle w:val="TableContents"/>
              <w:bidi w:val="0"/>
              <w:spacing w:before="0" w:after="283"/>
              <w:jc w:val="right"/>
              <w:rPr/>
            </w:pPr>
            <w:r>
              <w:rPr/>
              <w:t>$15,000</w:t>
            </w:r>
          </w:p>
        </w:tc>
        <w:tc>
          <w:tcPr>
            <w:tcW w:w="360" w:type="dxa"/>
            <w:tcBorders>
              <w:bottom w:val="single" w:sz="2" w:space="0" w:color="000000"/>
            </w:tcBorders>
            <w:vAlign w:val="center"/>
          </w:tcPr>
          <w:p>
            <w:pPr>
              <w:pStyle w:val="TableContents"/>
              <w:bidi w:val="0"/>
              <w:spacing w:before="0" w:after="283"/>
              <w:jc w:val="left"/>
              <w:rPr/>
            </w:pPr>
            <w:r>
              <w:rPr/>
              <w:t> </w:t>
            </w:r>
          </w:p>
        </w:tc>
        <w:tc>
          <w:tcPr>
            <w:tcW w:w="935" w:type="dxa"/>
            <w:tcBorders>
              <w:bottom w:val="single" w:sz="2" w:space="0" w:color="000000"/>
            </w:tcBorders>
            <w:shd w:fill="EDEDEE" w:val="clear"/>
            <w:vAlign w:val="center"/>
          </w:tcPr>
          <w:p>
            <w:pPr>
              <w:pStyle w:val="TableContents"/>
              <w:bidi w:val="0"/>
              <w:spacing w:before="0" w:after="283"/>
              <w:jc w:val="right"/>
              <w:rPr>
                <w:b/>
              </w:rPr>
            </w:pPr>
            <w:r>
              <w:rPr>
                <w:b/>
              </w:rPr>
              <w:t>$25,000</w:t>
            </w:r>
          </w:p>
        </w:tc>
      </w:tr>
      <w:tr>
        <w:trPr/>
        <w:tc>
          <w:tcPr>
            <w:tcW w:w="5225" w:type="dxa"/>
            <w:tcBorders>
              <w:bottom w:val="single" w:sz="12" w:space="0" w:color="636466"/>
            </w:tcBorders>
            <w:vAlign w:val="center"/>
          </w:tcPr>
          <w:p>
            <w:pPr>
              <w:pStyle w:val="TableContents"/>
              <w:bidi w:val="0"/>
              <w:spacing w:before="0" w:after="283"/>
              <w:jc w:val="left"/>
              <w:rPr>
                <w:b/>
              </w:rPr>
            </w:pPr>
            <w:r>
              <w:rPr>
                <w:b/>
              </w:rPr>
              <w:t>Special Activities Committee Chair</w:t>
            </w:r>
          </w:p>
        </w:tc>
        <w:tc>
          <w:tcPr>
            <w:tcW w:w="300" w:type="dxa"/>
            <w:tcBorders>
              <w:bottom w:val="single" w:sz="12" w:space="0" w:color="636466"/>
            </w:tcBorders>
            <w:vAlign w:val="center"/>
          </w:tcPr>
          <w:p>
            <w:pPr>
              <w:pStyle w:val="TableContents"/>
              <w:bidi w:val="0"/>
              <w:spacing w:before="0" w:after="283"/>
              <w:jc w:val="left"/>
              <w:rPr/>
            </w:pPr>
            <w:r>
              <w:rPr/>
              <w:t> </w:t>
            </w:r>
          </w:p>
        </w:tc>
        <w:tc>
          <w:tcPr>
            <w:tcW w:w="920" w:type="dxa"/>
            <w:tcBorders>
              <w:bottom w:val="single" w:sz="12" w:space="0" w:color="636466"/>
            </w:tcBorders>
            <w:vAlign w:val="center"/>
          </w:tcPr>
          <w:p>
            <w:pPr>
              <w:pStyle w:val="TableContents"/>
              <w:bidi w:val="0"/>
              <w:spacing w:before="0" w:after="283"/>
              <w:jc w:val="right"/>
              <w:rPr/>
            </w:pPr>
            <w:r>
              <w:rPr/>
              <w:t>$10,000</w:t>
            </w:r>
          </w:p>
        </w:tc>
        <w:tc>
          <w:tcPr>
            <w:tcW w:w="360" w:type="dxa"/>
            <w:tcBorders>
              <w:bottom w:val="single" w:sz="12" w:space="0" w:color="636466"/>
            </w:tcBorders>
            <w:vAlign w:val="center"/>
          </w:tcPr>
          <w:p>
            <w:pPr>
              <w:pStyle w:val="TableContents"/>
              <w:bidi w:val="0"/>
              <w:spacing w:before="0" w:after="283"/>
              <w:jc w:val="left"/>
              <w:rPr/>
            </w:pPr>
            <w:r>
              <w:rPr/>
              <w:t> </w:t>
            </w:r>
          </w:p>
        </w:tc>
        <w:tc>
          <w:tcPr>
            <w:tcW w:w="950" w:type="dxa"/>
            <w:tcBorders>
              <w:bottom w:val="single" w:sz="12" w:space="0" w:color="636466"/>
            </w:tcBorders>
            <w:vAlign w:val="center"/>
          </w:tcPr>
          <w:p>
            <w:pPr>
              <w:pStyle w:val="TableContents"/>
              <w:bidi w:val="0"/>
              <w:spacing w:before="0" w:after="283"/>
              <w:jc w:val="right"/>
              <w:rPr/>
            </w:pPr>
            <w:r>
              <w:rPr/>
              <w:t>$15,000</w:t>
            </w:r>
          </w:p>
        </w:tc>
        <w:tc>
          <w:tcPr>
            <w:tcW w:w="360" w:type="dxa"/>
            <w:tcBorders>
              <w:bottom w:val="single" w:sz="12" w:space="0" w:color="636466"/>
            </w:tcBorders>
            <w:vAlign w:val="center"/>
          </w:tcPr>
          <w:p>
            <w:pPr>
              <w:pStyle w:val="TableContents"/>
              <w:bidi w:val="0"/>
              <w:spacing w:before="0" w:after="283"/>
              <w:jc w:val="left"/>
              <w:rPr/>
            </w:pPr>
            <w:r>
              <w:rPr/>
              <w:t> </w:t>
            </w:r>
          </w:p>
        </w:tc>
        <w:tc>
          <w:tcPr>
            <w:tcW w:w="935" w:type="dxa"/>
            <w:tcBorders>
              <w:bottom w:val="single" w:sz="12" w:space="0" w:color="636466"/>
            </w:tcBorders>
            <w:shd w:fill="EDEDEE" w:val="clear"/>
            <w:vAlign w:val="center"/>
          </w:tcPr>
          <w:p>
            <w:pPr>
              <w:pStyle w:val="TableContents"/>
              <w:bidi w:val="0"/>
              <w:spacing w:before="0" w:after="283"/>
              <w:jc w:val="right"/>
              <w:rPr>
                <w:b/>
              </w:rPr>
            </w:pPr>
            <w:r>
              <w:rPr>
                <w:b/>
              </w:rPr>
              <w:t>$25,000</w:t>
            </w:r>
          </w:p>
        </w:tc>
      </w:tr>
    </w:tbl>
    <w:p>
      <w:pPr>
        <w:pStyle w:val="TextBody"/>
        <w:bidi w:val="0"/>
        <w:ind w:left="0" w:right="0" w:firstLine="72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Annual retainers are paid each year following the Annual Meeting. Non-employee directors who join the Board or are appointed to a leadership role between the Annual Meeting and the end of September receive 100% of the annual retainer. Non-employee directors who join the Board or are appointed to a leadership role between October and the next Annual Meeting receive 50% of the annual retainer.</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Non-employee directors do not receive additional compensation for attending regular Board or Committee meetings, although they do receive a $3,000 fee for special, in-person meetings. The special meeting fee applies only to formal Board or Committee meetings that are not on the Board’s annual calendar and do not take place during a regularly scheduled Board meeting. No special Board or Committee meetings took place in 2025. </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DEFERRED RESTRICTED STOCK UNITS</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Directors appointed to the Board before October 2019 received a one-time deferred restricted stock unit (“RSU”) award. This award vested in equal portions over five years, but distribution does not occur until a director retires from the Board. Non-employee directors appointed after October 2019 did not receive a deferred RSU award upon joining the Board. All deferred RSUs held by directors are fully vested.</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DIVIDEND TREATMENT</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When RTX pays a dividend on RTX Common Stock to shareowners, directors are credited with additional DSUs and deferred RSUs equal in value to the dividend paid on the corresponding number of shares of RTX Common Stock.</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PLAN DISTRIBUTIONS</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DSUs and deferred RSUs are not distributed to directors until they retire from the Board. Upon retirement, RTX DSUs and deferred RSUs are converted into shares of RTX Common Stock. For our legacy UTC directors, upon the 2020 spinoff by United Technologies Corporation (“UTC”) of Carrier and Otis, DSUs and deferred RSUs originally based in UTC stock were converted into DSUs and deferred RSUs in the stock of RTX, Carrier and Otis. When these directors retire from the RTX Board, the Carrier and Otis DSUs and deferred RSUs (if any) will be distributed in cash. Directors can elect to receive distributions in either a lump sum or in 10- or 15-year installments.</w:t>
      </w:r>
    </w:p>
    <w:p>
      <w:pPr>
        <w:pStyle w:val="TextBody"/>
        <w:bidi w:val="0"/>
        <w:jc w:val="left"/>
        <w:rPr>
          <w:caps w:val="false"/>
          <w:smallCaps w:val="false"/>
        </w:rPr>
      </w:pPr>
      <w:r>
        <w:rPr>
          <w:caps w:val="false"/>
          <w:smallCaps w:val="false"/>
        </w:rPr>
        <w:t> </w:t>
      </w:r>
    </w:p>
    <w:p>
      <w:pPr>
        <w:pStyle w:val="TextBody"/>
        <w:bidi w:val="0"/>
        <w:jc w:val="right"/>
        <w:rPr>
          <w:rFonts w:ascii="Arial;Helvetica;Sans-Serif" w:hAnsi="Arial;Helvetica;Sans-Serif"/>
          <w:b w:val="false"/>
          <w:i w:val="false"/>
          <w:caps w:val="false"/>
          <w:smallCaps w:val="false"/>
          <w:sz w:val="15"/>
        </w:rPr>
      </w:pPr>
      <w:r>
        <w:rPr>
          <w:rFonts w:ascii="Arial;Helvetica;Sans-Serif" w:hAnsi="Arial;Helvetica;Sans-Serif"/>
          <w:b/>
          <w:i w:val="false"/>
          <w:caps w:val="false"/>
          <w:smallCaps w:val="false"/>
          <w:sz w:val="15"/>
        </w:rPr>
        <w:t>RTX</w:t>
      </w:r>
      <w:r>
        <w:rPr>
          <w:rFonts w:ascii="Arial;Helvetica;Sans-Serif" w:hAnsi="Arial;Helvetica;Sans-Serif"/>
          <w:b w:val="false"/>
          <w:i w:val="false"/>
          <w:caps w:val="false"/>
          <w:smallCaps w:val="false"/>
          <w:sz w:val="15"/>
        </w:rPr>
        <w:t xml:space="preserve"> 2026 PROXY STATEMENT    </w:t>
      </w:r>
      <w:r>
        <w:rPr>
          <w:rFonts w:ascii="Arial;Helvetica;Sans-Serif" w:hAnsi="Arial;Helvetica;Sans-Serif"/>
          <w:b/>
          <w:i w:val="false"/>
          <w:caps w:val="false"/>
          <w:smallCaps w:val="false"/>
          <w:sz w:val="15"/>
        </w:rPr>
        <w:t>33</w:t>
      </w:r>
    </w:p>
    <w:p>
      <w:pPr>
        <w:pStyle w:val="HorizontalLine"/>
        <w:pBdr>
          <w:bottom w:val="double" w:sz="2" w:space="0" w:color="808080"/>
        </w:pBdr>
        <w:bidi w:val="0"/>
        <w:spacing w:before="0" w:after="283"/>
        <w:jc w:val="left"/>
        <w:rPr/>
      </w:pPr>
      <w:r>
        <w:rPr/>
      </w:r>
    </w:p>
    <w:p>
      <w:pPr>
        <w:pStyle w:val="TextBody"/>
        <w:bidi w:val="0"/>
        <w:spacing w:before="200" w:after="200"/>
        <w:jc w:val="left"/>
        <w:rPr/>
      </w:pPr>
      <w:hyperlink w:anchor="toc">
        <w:r>
          <w:rPr>
            <w:rStyle w:val="InternetLink"/>
            <w:rFonts w:ascii="Arial;Helvetica;Sans-Serif" w:hAnsi="Arial;Helvetica;Sans-Serif"/>
            <w:b/>
            <w:i w:val="false"/>
            <w:caps w:val="false"/>
            <w:smallCaps w:val="false"/>
            <w:sz w:val="16"/>
          </w:rPr>
          <w:t>Table of Contents</w:t>
        </w:r>
      </w:hyperlink>
    </w:p>
    <w:p>
      <w:pPr>
        <w:pStyle w:val="TextBody"/>
        <w:bidi w:val="0"/>
        <w:jc w:val="left"/>
        <w:rPr>
          <w:rFonts w:ascii="Arial;Helvetica;Sans-Serif" w:hAnsi="Arial;Helvetica;Sans-Serif"/>
          <w:b/>
          <w:i w:val="false"/>
          <w:caps w:val="false"/>
          <w:smallCaps w:val="false"/>
          <w:color w:val="C12E33"/>
          <w:sz w:val="15"/>
        </w:rPr>
      </w:pPr>
      <w:r>
        <w:rPr>
          <w:rFonts w:ascii="Arial;Helvetica;Sans-Serif" w:hAnsi="Arial;Helvetica;Sans-Serif"/>
          <w:b/>
          <w:i w:val="false"/>
          <w:caps w:val="false"/>
          <w:smallCaps w:val="false"/>
          <w:color w:val="C12E33"/>
          <w:sz w:val="15"/>
        </w:rPr>
        <w:t>COMPENSATION OF DIRECTORS</w:t>
      </w:r>
    </w:p>
    <w:p>
      <w:pPr>
        <w:pStyle w:val="TextBody"/>
        <w:bidi w:val="0"/>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2025 DIRECTOR COMPENSATION</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i w:val="false"/>
          <w:caps w:val="false"/>
          <w:smallCaps w:val="false"/>
          <w:sz w:val="34"/>
        </w:rPr>
      </w:pPr>
      <w:r>
        <w:rPr>
          <w:rFonts w:ascii="Arial;Helvetica;Sans-Serif" w:hAnsi="Arial;Helvetica;Sans-Serif"/>
          <w:b/>
          <w:i w:val="false"/>
          <w:caps w:val="false"/>
          <w:smallCaps w:val="false"/>
          <w:sz w:val="34"/>
        </w:rPr>
        <w:t>2025 Director Compensation</w:t>
      </w:r>
    </w:p>
    <w:p>
      <w:pPr>
        <w:pStyle w:val="TextBody"/>
        <w:bidi w:val="0"/>
        <w:jc w:val="left"/>
        <w:rPr>
          <w:caps w:val="false"/>
          <w:smallCaps w:val="false"/>
        </w:rPr>
      </w:pPr>
      <w:r>
        <w:rPr>
          <w:caps w:val="false"/>
          <w:smallCaps w:val="false"/>
        </w:rPr>
        <w:t> </w:t>
      </w:r>
    </w:p>
    <w:tbl>
      <w:tblPr>
        <w:tblW w:w="8380" w:type="dxa"/>
        <w:jc w:val="left"/>
        <w:tblInd w:w="0" w:type="dxa"/>
        <w:tblLayout w:type="fixed"/>
        <w:tblCellMar>
          <w:top w:w="0" w:type="dxa"/>
          <w:left w:w="0" w:type="dxa"/>
          <w:bottom w:w="40" w:type="dxa"/>
          <w:right w:w="0" w:type="dxa"/>
        </w:tblCellMar>
      </w:tblPr>
      <w:tblGrid>
        <w:gridCol w:w="2480"/>
        <w:gridCol w:w="300"/>
        <w:gridCol w:w="1235"/>
        <w:gridCol w:w="300"/>
        <w:gridCol w:w="920"/>
        <w:gridCol w:w="300"/>
        <w:gridCol w:w="1310"/>
        <w:gridCol w:w="300"/>
        <w:gridCol w:w="300"/>
        <w:gridCol w:w="935"/>
      </w:tblGrid>
      <w:tr>
        <w:trPr/>
        <w:tc>
          <w:tcPr>
            <w:tcW w:w="2480" w:type="dxa"/>
            <w:tcBorders>
              <w:bottom w:val="single" w:sz="12" w:space="0" w:color="C12E33"/>
            </w:tcBorders>
            <w:vAlign w:val="center"/>
          </w:tcPr>
          <w:p>
            <w:pPr>
              <w:pStyle w:val="TableContents"/>
              <w:bidi w:val="0"/>
              <w:spacing w:before="0" w:after="283"/>
              <w:jc w:val="left"/>
              <w:rPr>
                <w:b/>
                <w:color w:val="636466"/>
                <w:sz w:val="15"/>
              </w:rPr>
            </w:pPr>
            <w:r>
              <w:rPr>
                <w:b/>
                <w:color w:val="636466"/>
                <w:sz w:val="15"/>
              </w:rPr>
              <w:t>Name</w:t>
            </w:r>
            <w:r>
              <w:rPr>
                <w:b/>
                <w:color w:val="636466"/>
                <w:position w:val="5"/>
                <w:sz w:val="12"/>
                <w:sz w:val="15"/>
              </w:rPr>
              <w:t>(1)</w:t>
            </w:r>
          </w:p>
        </w:tc>
        <w:tc>
          <w:tcPr>
            <w:tcW w:w="300" w:type="dxa"/>
            <w:tcBorders>
              <w:bottom w:val="single" w:sz="12" w:space="0" w:color="C12E33"/>
            </w:tcBorders>
            <w:vAlign w:val="center"/>
          </w:tcPr>
          <w:p>
            <w:pPr>
              <w:pStyle w:val="TableContents"/>
              <w:bidi w:val="0"/>
              <w:spacing w:before="0" w:after="283"/>
              <w:jc w:val="left"/>
              <w:rPr/>
            </w:pPr>
            <w:r>
              <w:rPr/>
              <w:t>     </w:t>
            </w:r>
          </w:p>
        </w:tc>
        <w:tc>
          <w:tcPr>
            <w:tcW w:w="1235" w:type="dxa"/>
            <w:tcBorders>
              <w:bottom w:val="single" w:sz="12" w:space="0" w:color="C12E33"/>
            </w:tcBorders>
            <w:vAlign w:val="center"/>
          </w:tcPr>
          <w:p>
            <w:pPr>
              <w:pStyle w:val="TableContents"/>
              <w:bidi w:val="0"/>
              <w:spacing w:before="0" w:after="283"/>
              <w:jc w:val="right"/>
              <w:rPr/>
            </w:pPr>
            <w:r>
              <w:rPr>
                <w:b/>
                <w:color w:val="636466"/>
                <w:sz w:val="15"/>
              </w:rPr>
              <w:t>Fees Earned or</w:t>
            </w:r>
            <w:r>
              <w:rPr/>
              <w:t xml:space="preserve"> </w:t>
            </w:r>
            <w:r>
              <w:rPr>
                <w:b/>
              </w:rPr>
              <w:br/>
            </w:r>
            <w:r>
              <w:rPr>
                <w:b/>
                <w:color w:val="636466"/>
                <w:sz w:val="15"/>
              </w:rPr>
              <w:t>Paid in Cash ($)</w:t>
            </w:r>
            <w:r>
              <w:rPr>
                <w:b/>
                <w:color w:val="636466"/>
                <w:position w:val="5"/>
                <w:sz w:val="12"/>
                <w:sz w:val="15"/>
              </w:rPr>
              <w:t>(2)</w:t>
            </w:r>
          </w:p>
        </w:tc>
        <w:tc>
          <w:tcPr>
            <w:tcW w:w="300" w:type="dxa"/>
            <w:tcBorders>
              <w:bottom w:val="single" w:sz="12" w:space="0" w:color="C12E33"/>
            </w:tcBorders>
            <w:vAlign w:val="center"/>
          </w:tcPr>
          <w:p>
            <w:pPr>
              <w:pStyle w:val="TableContents"/>
              <w:bidi w:val="0"/>
              <w:spacing w:before="0" w:after="283"/>
              <w:jc w:val="left"/>
              <w:rPr/>
            </w:pPr>
            <w:r>
              <w:rPr/>
              <w:t>     </w:t>
            </w:r>
          </w:p>
        </w:tc>
        <w:tc>
          <w:tcPr>
            <w:tcW w:w="920" w:type="dxa"/>
            <w:tcBorders>
              <w:bottom w:val="single" w:sz="12" w:space="0" w:color="C12E33"/>
            </w:tcBorders>
            <w:vAlign w:val="center"/>
          </w:tcPr>
          <w:p>
            <w:pPr>
              <w:pStyle w:val="TableContents"/>
              <w:bidi w:val="0"/>
              <w:spacing w:before="0" w:after="283"/>
              <w:jc w:val="right"/>
              <w:rPr/>
            </w:pPr>
            <w:r>
              <w:rPr>
                <w:b/>
                <w:color w:val="636466"/>
                <w:sz w:val="15"/>
              </w:rPr>
              <w:t xml:space="preserve">Stock </w:t>
            </w:r>
            <w:r>
              <w:rPr>
                <w:b/>
              </w:rPr>
              <w:br/>
            </w:r>
            <w:r>
              <w:rPr>
                <w:b/>
                <w:color w:val="636466"/>
                <w:sz w:val="15"/>
              </w:rPr>
              <w:t>Award ($)</w:t>
            </w:r>
            <w:r>
              <w:rPr>
                <w:b/>
                <w:color w:val="636466"/>
                <w:position w:val="5"/>
                <w:sz w:val="12"/>
                <w:sz w:val="15"/>
              </w:rPr>
              <w:t>(3)</w:t>
            </w:r>
          </w:p>
        </w:tc>
        <w:tc>
          <w:tcPr>
            <w:tcW w:w="300" w:type="dxa"/>
            <w:tcBorders>
              <w:bottom w:val="single" w:sz="12" w:space="0" w:color="C12E33"/>
            </w:tcBorders>
            <w:vAlign w:val="center"/>
          </w:tcPr>
          <w:p>
            <w:pPr>
              <w:pStyle w:val="TableContents"/>
              <w:bidi w:val="0"/>
              <w:spacing w:before="0" w:after="283"/>
              <w:jc w:val="left"/>
              <w:rPr/>
            </w:pPr>
            <w:r>
              <w:rPr/>
              <w:t>     </w:t>
            </w:r>
          </w:p>
        </w:tc>
        <w:tc>
          <w:tcPr>
            <w:tcW w:w="1310" w:type="dxa"/>
            <w:tcBorders>
              <w:bottom w:val="single" w:sz="12" w:space="0" w:color="C12E33"/>
            </w:tcBorders>
            <w:vAlign w:val="center"/>
          </w:tcPr>
          <w:p>
            <w:pPr>
              <w:pStyle w:val="TableContents"/>
              <w:bidi w:val="0"/>
              <w:spacing w:before="0" w:after="283"/>
              <w:jc w:val="right"/>
              <w:rPr/>
            </w:pPr>
            <w:r>
              <w:rPr>
                <w:b/>
                <w:color w:val="636466"/>
                <w:sz w:val="15"/>
              </w:rPr>
              <w:t>All Other</w:t>
            </w:r>
            <w:r>
              <w:rPr/>
              <w:t xml:space="preserve"> </w:t>
            </w:r>
            <w:r>
              <w:rPr>
                <w:b/>
              </w:rPr>
              <w:br/>
            </w:r>
            <w:r>
              <w:rPr>
                <w:b/>
                <w:color w:val="636466"/>
                <w:sz w:val="15"/>
              </w:rPr>
              <w:t>Compensation ($)</w:t>
            </w:r>
            <w:r>
              <w:rPr>
                <w:b/>
                <w:color w:val="636466"/>
                <w:position w:val="5"/>
                <w:sz w:val="12"/>
                <w:sz w:val="15"/>
              </w:rPr>
              <w:t>(4)</w:t>
            </w:r>
          </w:p>
        </w:tc>
        <w:tc>
          <w:tcPr>
            <w:tcW w:w="300" w:type="dxa"/>
            <w:tcBorders>
              <w:bottom w:val="single" w:sz="12" w:space="0" w:color="C12E33"/>
            </w:tcBorders>
            <w:vAlign w:val="center"/>
          </w:tcPr>
          <w:p>
            <w:pPr>
              <w:pStyle w:val="TableContents"/>
              <w:bidi w:val="0"/>
              <w:spacing w:before="0" w:after="283"/>
              <w:jc w:val="left"/>
              <w:rPr/>
            </w:pPr>
            <w:r>
              <w:rPr/>
              <w:t>     </w:t>
            </w:r>
          </w:p>
        </w:tc>
        <w:tc>
          <w:tcPr>
            <w:tcW w:w="1235" w:type="dxa"/>
            <w:gridSpan w:val="2"/>
            <w:tcBorders>
              <w:bottom w:val="single" w:sz="12" w:space="0" w:color="C12E33"/>
            </w:tcBorders>
            <w:vAlign w:val="center"/>
          </w:tcPr>
          <w:p>
            <w:pPr>
              <w:pStyle w:val="TableContents"/>
              <w:bidi w:val="0"/>
              <w:spacing w:before="0" w:after="283"/>
              <w:jc w:val="right"/>
              <w:rPr>
                <w:b/>
                <w:color w:val="636466"/>
                <w:sz w:val="15"/>
              </w:rPr>
            </w:pPr>
            <w:r>
              <w:rPr>
                <w:b/>
                <w:color w:val="636466"/>
                <w:sz w:val="15"/>
              </w:rPr>
              <w:t>Total ($)</w:t>
            </w:r>
          </w:p>
        </w:tc>
      </w:tr>
      <w:tr>
        <w:trPr/>
        <w:tc>
          <w:tcPr>
            <w:tcW w:w="2480" w:type="dxa"/>
            <w:tcBorders>
              <w:bottom w:val="single" w:sz="2" w:space="0" w:color="000000"/>
            </w:tcBorders>
            <w:vAlign w:val="center"/>
          </w:tcPr>
          <w:p>
            <w:pPr>
              <w:pStyle w:val="TableContents"/>
              <w:bidi w:val="0"/>
              <w:spacing w:before="0" w:after="283"/>
              <w:jc w:val="left"/>
              <w:rPr>
                <w:b/>
              </w:rPr>
            </w:pPr>
            <w:r>
              <w:rPr>
                <w:b/>
              </w:rPr>
              <w:t>Tracy A. Atkinson</w:t>
            </w:r>
          </w:p>
        </w:tc>
        <w:tc>
          <w:tcPr>
            <w:tcW w:w="300" w:type="dxa"/>
            <w:tcBorders>
              <w:bottom w:val="single" w:sz="2" w:space="0" w:color="000000"/>
            </w:tcBorders>
            <w:vAlign w:val="center"/>
          </w:tcPr>
          <w:p>
            <w:pPr>
              <w:pStyle w:val="TableContents"/>
              <w:bidi w:val="0"/>
              <w:spacing w:before="0" w:after="283"/>
              <w:jc w:val="left"/>
              <w:rPr/>
            </w:pPr>
            <w:r>
              <w:rPr/>
              <w:t> </w:t>
            </w:r>
          </w:p>
        </w:tc>
        <w:tc>
          <w:tcPr>
            <w:tcW w:w="1235" w:type="dxa"/>
            <w:tcBorders>
              <w:bottom w:val="single" w:sz="2" w:space="0" w:color="000000"/>
            </w:tcBorders>
            <w:vAlign w:val="center"/>
          </w:tcPr>
          <w:p>
            <w:pPr>
              <w:pStyle w:val="TableContents"/>
              <w:bidi w:val="0"/>
              <w:spacing w:before="0" w:after="283"/>
              <w:jc w:val="right"/>
              <w:rPr/>
            </w:pPr>
            <w:r>
              <w:rPr/>
              <w:t>$152,000</w:t>
            </w:r>
          </w:p>
        </w:tc>
        <w:tc>
          <w:tcPr>
            <w:tcW w:w="300" w:type="dxa"/>
            <w:tcBorders>
              <w:bottom w:val="single" w:sz="2" w:space="0" w:color="000000"/>
            </w:tcBorders>
            <w:vAlign w:val="center"/>
          </w:tcPr>
          <w:p>
            <w:pPr>
              <w:pStyle w:val="TableContents"/>
              <w:bidi w:val="0"/>
              <w:spacing w:before="0" w:after="283"/>
              <w:jc w:val="left"/>
              <w:rPr/>
            </w:pPr>
            <w:r>
              <w:rPr/>
              <w:t> </w:t>
            </w:r>
          </w:p>
        </w:tc>
        <w:tc>
          <w:tcPr>
            <w:tcW w:w="920" w:type="dxa"/>
            <w:tcBorders>
              <w:bottom w:val="single" w:sz="2" w:space="0" w:color="000000"/>
            </w:tcBorders>
            <w:vAlign w:val="center"/>
          </w:tcPr>
          <w:p>
            <w:pPr>
              <w:pStyle w:val="TableContents"/>
              <w:bidi w:val="0"/>
              <w:spacing w:before="0" w:after="283"/>
              <w:jc w:val="right"/>
              <w:rPr/>
            </w:pPr>
            <w:r>
              <w:rPr/>
              <w:t>$228,000</w:t>
            </w:r>
          </w:p>
        </w:tc>
        <w:tc>
          <w:tcPr>
            <w:tcW w:w="300" w:type="dxa"/>
            <w:tcBorders>
              <w:bottom w:val="single" w:sz="2" w:space="0" w:color="000000"/>
            </w:tcBorders>
            <w:vAlign w:val="center"/>
          </w:tcPr>
          <w:p>
            <w:pPr>
              <w:pStyle w:val="TableContents"/>
              <w:bidi w:val="0"/>
              <w:spacing w:before="0" w:after="283"/>
              <w:jc w:val="left"/>
              <w:rPr/>
            </w:pPr>
            <w:r>
              <w:rPr/>
              <w:t> </w:t>
            </w:r>
          </w:p>
        </w:tc>
        <w:tc>
          <w:tcPr>
            <w:tcW w:w="1310" w:type="dxa"/>
            <w:tcBorders>
              <w:bottom w:val="single" w:sz="2" w:space="0" w:color="000000"/>
            </w:tcBorders>
            <w:vAlign w:val="center"/>
          </w:tcPr>
          <w:p>
            <w:pPr>
              <w:pStyle w:val="TableContents"/>
              <w:bidi w:val="0"/>
              <w:spacing w:before="0" w:after="283"/>
              <w:jc w:val="right"/>
              <w:rPr/>
            </w:pPr>
            <w:r>
              <w:rPr/>
              <w:t>$26,850</w:t>
            </w:r>
          </w:p>
        </w:tc>
        <w:tc>
          <w:tcPr>
            <w:tcW w:w="300" w:type="dxa"/>
            <w:tcBorders>
              <w:bottom w:val="single" w:sz="2" w:space="0" w:color="000000"/>
            </w:tcBorders>
            <w:vAlign w:val="center"/>
          </w:tcPr>
          <w:p>
            <w:pPr>
              <w:pStyle w:val="TableContents"/>
              <w:bidi w:val="0"/>
              <w:spacing w:before="0" w:after="283"/>
              <w:jc w:val="left"/>
              <w:rPr/>
            </w:pPr>
            <w:r>
              <w:rPr/>
              <w:t> </w:t>
            </w:r>
          </w:p>
        </w:tc>
        <w:tc>
          <w:tcPr>
            <w:tcW w:w="300" w:type="dxa"/>
            <w:tcBorders>
              <w:bottom w:val="single" w:sz="2" w:space="0" w:color="000000"/>
            </w:tcBorders>
            <w:shd w:fill="EDEDEE" w:val="clear"/>
            <w:vAlign w:val="center"/>
          </w:tcPr>
          <w:p>
            <w:pPr>
              <w:pStyle w:val="TableContents"/>
              <w:bidi w:val="0"/>
              <w:spacing w:before="0" w:after="283"/>
              <w:jc w:val="left"/>
              <w:rPr/>
            </w:pPr>
            <w:r>
              <w:rPr/>
              <w:t>     </w:t>
            </w:r>
          </w:p>
        </w:tc>
        <w:tc>
          <w:tcPr>
            <w:tcW w:w="935" w:type="dxa"/>
            <w:tcBorders>
              <w:bottom w:val="single" w:sz="2" w:space="0" w:color="000000"/>
            </w:tcBorders>
            <w:shd w:fill="EDEDEE" w:val="clear"/>
            <w:vAlign w:val="center"/>
          </w:tcPr>
          <w:p>
            <w:pPr>
              <w:pStyle w:val="TableContents"/>
              <w:bidi w:val="0"/>
              <w:spacing w:before="0" w:after="283"/>
              <w:jc w:val="right"/>
              <w:rPr>
                <w:b/>
              </w:rPr>
            </w:pPr>
            <w:r>
              <w:rPr>
                <w:b/>
              </w:rPr>
              <w:t>$406,850</w:t>
            </w:r>
          </w:p>
        </w:tc>
      </w:tr>
      <w:tr>
        <w:trPr/>
        <w:tc>
          <w:tcPr>
            <w:tcW w:w="2480" w:type="dxa"/>
            <w:tcBorders>
              <w:bottom w:val="single" w:sz="2" w:space="0" w:color="000000"/>
            </w:tcBorders>
            <w:vAlign w:val="center"/>
          </w:tcPr>
          <w:p>
            <w:pPr>
              <w:pStyle w:val="TableContents"/>
              <w:bidi w:val="0"/>
              <w:spacing w:before="0" w:after="283"/>
              <w:jc w:val="left"/>
              <w:rPr>
                <w:b/>
              </w:rPr>
            </w:pPr>
            <w:r>
              <w:rPr>
                <w:b/>
              </w:rPr>
              <w:t>Leanne G. Caret</w:t>
            </w:r>
          </w:p>
        </w:tc>
        <w:tc>
          <w:tcPr>
            <w:tcW w:w="300" w:type="dxa"/>
            <w:tcBorders>
              <w:bottom w:val="single" w:sz="2" w:space="0" w:color="000000"/>
            </w:tcBorders>
            <w:vAlign w:val="center"/>
          </w:tcPr>
          <w:p>
            <w:pPr>
              <w:pStyle w:val="TableContents"/>
              <w:bidi w:val="0"/>
              <w:spacing w:before="0" w:after="283"/>
              <w:jc w:val="left"/>
              <w:rPr/>
            </w:pPr>
            <w:r>
              <w:rPr/>
              <w:t> </w:t>
            </w:r>
          </w:p>
        </w:tc>
        <w:tc>
          <w:tcPr>
            <w:tcW w:w="1235" w:type="dxa"/>
            <w:tcBorders>
              <w:bottom w:val="single" w:sz="2" w:space="0" w:color="000000"/>
            </w:tcBorders>
            <w:vAlign w:val="center"/>
          </w:tcPr>
          <w:p>
            <w:pPr>
              <w:pStyle w:val="TableContents"/>
              <w:bidi w:val="0"/>
              <w:spacing w:before="0" w:after="283"/>
              <w:jc w:val="right"/>
              <w:rPr/>
            </w:pPr>
            <w:r>
              <w:rPr/>
              <w:t>$154,000</w:t>
            </w:r>
          </w:p>
        </w:tc>
        <w:tc>
          <w:tcPr>
            <w:tcW w:w="300" w:type="dxa"/>
            <w:tcBorders>
              <w:bottom w:val="single" w:sz="2" w:space="0" w:color="000000"/>
            </w:tcBorders>
            <w:vAlign w:val="center"/>
          </w:tcPr>
          <w:p>
            <w:pPr>
              <w:pStyle w:val="TableContents"/>
              <w:bidi w:val="0"/>
              <w:spacing w:before="0" w:after="283"/>
              <w:jc w:val="left"/>
              <w:rPr/>
            </w:pPr>
            <w:r>
              <w:rPr/>
              <w:t> </w:t>
            </w:r>
          </w:p>
        </w:tc>
        <w:tc>
          <w:tcPr>
            <w:tcW w:w="920" w:type="dxa"/>
            <w:tcBorders>
              <w:bottom w:val="single" w:sz="2" w:space="0" w:color="000000"/>
            </w:tcBorders>
            <w:vAlign w:val="center"/>
          </w:tcPr>
          <w:p>
            <w:pPr>
              <w:pStyle w:val="TableContents"/>
              <w:bidi w:val="0"/>
              <w:spacing w:before="0" w:after="283"/>
              <w:jc w:val="right"/>
              <w:rPr/>
            </w:pPr>
            <w:r>
              <w:rPr/>
              <w:t>$231,000</w:t>
            </w:r>
          </w:p>
        </w:tc>
        <w:tc>
          <w:tcPr>
            <w:tcW w:w="300" w:type="dxa"/>
            <w:tcBorders>
              <w:bottom w:val="single" w:sz="2" w:space="0" w:color="000000"/>
            </w:tcBorders>
            <w:vAlign w:val="center"/>
          </w:tcPr>
          <w:p>
            <w:pPr>
              <w:pStyle w:val="TableContents"/>
              <w:bidi w:val="0"/>
              <w:spacing w:before="0" w:after="283"/>
              <w:jc w:val="left"/>
              <w:rPr/>
            </w:pPr>
            <w:r>
              <w:rPr/>
              <w:t> </w:t>
            </w:r>
          </w:p>
        </w:tc>
        <w:tc>
          <w:tcPr>
            <w:tcW w:w="1310" w:type="dxa"/>
            <w:tcBorders>
              <w:bottom w:val="single" w:sz="2" w:space="0" w:color="000000"/>
            </w:tcBorders>
            <w:vAlign w:val="center"/>
          </w:tcPr>
          <w:p>
            <w:pPr>
              <w:pStyle w:val="TableContents"/>
              <w:bidi w:val="0"/>
              <w:spacing w:before="0" w:after="283"/>
              <w:jc w:val="right"/>
              <w:rPr/>
            </w:pPr>
            <w:r>
              <w:rPr/>
              <w:t>$26,155</w:t>
            </w:r>
          </w:p>
        </w:tc>
        <w:tc>
          <w:tcPr>
            <w:tcW w:w="300" w:type="dxa"/>
            <w:tcBorders>
              <w:bottom w:val="single" w:sz="2" w:space="0" w:color="000000"/>
            </w:tcBorders>
            <w:vAlign w:val="center"/>
          </w:tcPr>
          <w:p>
            <w:pPr>
              <w:pStyle w:val="TableContents"/>
              <w:bidi w:val="0"/>
              <w:spacing w:before="0" w:after="283"/>
              <w:jc w:val="left"/>
              <w:rPr/>
            </w:pPr>
            <w:r>
              <w:rPr/>
              <w:t> </w:t>
            </w:r>
          </w:p>
        </w:tc>
        <w:tc>
          <w:tcPr>
            <w:tcW w:w="300" w:type="dxa"/>
            <w:tcBorders>
              <w:bottom w:val="single" w:sz="2" w:space="0" w:color="000000"/>
            </w:tcBorders>
            <w:shd w:fill="EDEDEE" w:val="clear"/>
            <w:vAlign w:val="center"/>
          </w:tcPr>
          <w:p>
            <w:pPr>
              <w:pStyle w:val="TableContents"/>
              <w:bidi w:val="0"/>
              <w:spacing w:before="0" w:after="283"/>
              <w:jc w:val="left"/>
              <w:rPr/>
            </w:pPr>
            <w:r>
              <w:rPr/>
              <w:t> </w:t>
            </w:r>
          </w:p>
        </w:tc>
        <w:tc>
          <w:tcPr>
            <w:tcW w:w="935" w:type="dxa"/>
            <w:tcBorders>
              <w:bottom w:val="single" w:sz="2" w:space="0" w:color="000000"/>
            </w:tcBorders>
            <w:shd w:fill="EDEDEE" w:val="clear"/>
            <w:vAlign w:val="center"/>
          </w:tcPr>
          <w:p>
            <w:pPr>
              <w:pStyle w:val="TableContents"/>
              <w:bidi w:val="0"/>
              <w:spacing w:before="0" w:after="283"/>
              <w:jc w:val="right"/>
              <w:rPr>
                <w:b/>
              </w:rPr>
            </w:pPr>
            <w:r>
              <w:rPr>
                <w:b/>
              </w:rPr>
              <w:t>$411,155</w:t>
            </w:r>
          </w:p>
        </w:tc>
      </w:tr>
      <w:tr>
        <w:trPr/>
        <w:tc>
          <w:tcPr>
            <w:tcW w:w="2480" w:type="dxa"/>
            <w:tcBorders>
              <w:bottom w:val="single" w:sz="2" w:space="0" w:color="000000"/>
            </w:tcBorders>
            <w:vAlign w:val="center"/>
          </w:tcPr>
          <w:p>
            <w:pPr>
              <w:pStyle w:val="TableContents"/>
              <w:bidi w:val="0"/>
              <w:spacing w:before="0" w:after="283"/>
              <w:jc w:val="left"/>
              <w:rPr>
                <w:b/>
              </w:rPr>
            </w:pPr>
            <w:r>
              <w:rPr>
                <w:b/>
              </w:rPr>
              <w:t>Bernard A. Harris, Jr.</w:t>
            </w:r>
          </w:p>
        </w:tc>
        <w:tc>
          <w:tcPr>
            <w:tcW w:w="300" w:type="dxa"/>
            <w:tcBorders>
              <w:bottom w:val="single" w:sz="2" w:space="0" w:color="000000"/>
            </w:tcBorders>
            <w:vAlign w:val="center"/>
          </w:tcPr>
          <w:p>
            <w:pPr>
              <w:pStyle w:val="TableContents"/>
              <w:bidi w:val="0"/>
              <w:spacing w:before="0" w:after="283"/>
              <w:jc w:val="left"/>
              <w:rPr/>
            </w:pPr>
            <w:r>
              <w:rPr/>
              <w:t> </w:t>
            </w:r>
          </w:p>
        </w:tc>
        <w:tc>
          <w:tcPr>
            <w:tcW w:w="1235" w:type="dxa"/>
            <w:tcBorders>
              <w:bottom w:val="single" w:sz="2" w:space="0" w:color="000000"/>
            </w:tcBorders>
            <w:vAlign w:val="center"/>
          </w:tcPr>
          <w:p>
            <w:pPr>
              <w:pStyle w:val="TableContents"/>
              <w:bidi w:val="0"/>
              <w:spacing w:before="0" w:after="283"/>
              <w:jc w:val="right"/>
              <w:rPr/>
            </w:pPr>
            <w:r>
              <w:rPr/>
              <w:t>$138,000</w:t>
            </w:r>
          </w:p>
        </w:tc>
        <w:tc>
          <w:tcPr>
            <w:tcW w:w="300" w:type="dxa"/>
            <w:tcBorders>
              <w:bottom w:val="single" w:sz="2" w:space="0" w:color="000000"/>
            </w:tcBorders>
            <w:vAlign w:val="center"/>
          </w:tcPr>
          <w:p>
            <w:pPr>
              <w:pStyle w:val="TableContents"/>
              <w:bidi w:val="0"/>
              <w:spacing w:before="0" w:after="283"/>
              <w:jc w:val="left"/>
              <w:rPr/>
            </w:pPr>
            <w:r>
              <w:rPr/>
              <w:t> </w:t>
            </w:r>
          </w:p>
        </w:tc>
        <w:tc>
          <w:tcPr>
            <w:tcW w:w="920" w:type="dxa"/>
            <w:tcBorders>
              <w:bottom w:val="single" w:sz="2" w:space="0" w:color="000000"/>
            </w:tcBorders>
            <w:vAlign w:val="center"/>
          </w:tcPr>
          <w:p>
            <w:pPr>
              <w:pStyle w:val="TableContents"/>
              <w:bidi w:val="0"/>
              <w:spacing w:before="0" w:after="283"/>
              <w:jc w:val="right"/>
              <w:rPr/>
            </w:pPr>
            <w:r>
              <w:rPr/>
              <w:t>$207,000</w:t>
            </w:r>
          </w:p>
        </w:tc>
        <w:tc>
          <w:tcPr>
            <w:tcW w:w="300" w:type="dxa"/>
            <w:tcBorders>
              <w:bottom w:val="single" w:sz="2" w:space="0" w:color="000000"/>
            </w:tcBorders>
            <w:vAlign w:val="center"/>
          </w:tcPr>
          <w:p>
            <w:pPr>
              <w:pStyle w:val="TableContents"/>
              <w:bidi w:val="0"/>
              <w:spacing w:before="0" w:after="283"/>
              <w:jc w:val="left"/>
              <w:rPr/>
            </w:pPr>
            <w:r>
              <w:rPr/>
              <w:t> </w:t>
            </w:r>
          </w:p>
        </w:tc>
        <w:tc>
          <w:tcPr>
            <w:tcW w:w="1310" w:type="dxa"/>
            <w:tcBorders>
              <w:bottom w:val="single" w:sz="2" w:space="0" w:color="000000"/>
            </w:tcBorders>
            <w:vAlign w:val="center"/>
          </w:tcPr>
          <w:p>
            <w:pPr>
              <w:pStyle w:val="TableContents"/>
              <w:bidi w:val="0"/>
              <w:spacing w:before="0" w:after="283"/>
              <w:jc w:val="right"/>
              <w:rPr/>
            </w:pPr>
            <w:r>
              <w:rPr/>
              <w:t>$26,850</w:t>
            </w:r>
          </w:p>
        </w:tc>
        <w:tc>
          <w:tcPr>
            <w:tcW w:w="300" w:type="dxa"/>
            <w:tcBorders>
              <w:bottom w:val="single" w:sz="2" w:space="0" w:color="000000"/>
            </w:tcBorders>
            <w:vAlign w:val="center"/>
          </w:tcPr>
          <w:p>
            <w:pPr>
              <w:pStyle w:val="TableContents"/>
              <w:bidi w:val="0"/>
              <w:spacing w:before="0" w:after="283"/>
              <w:jc w:val="left"/>
              <w:rPr/>
            </w:pPr>
            <w:r>
              <w:rPr/>
              <w:t> </w:t>
            </w:r>
          </w:p>
        </w:tc>
        <w:tc>
          <w:tcPr>
            <w:tcW w:w="300" w:type="dxa"/>
            <w:tcBorders>
              <w:bottom w:val="single" w:sz="2" w:space="0" w:color="000000"/>
            </w:tcBorders>
            <w:shd w:fill="EDEDEE" w:val="clear"/>
            <w:vAlign w:val="center"/>
          </w:tcPr>
          <w:p>
            <w:pPr>
              <w:pStyle w:val="TableContents"/>
              <w:bidi w:val="0"/>
              <w:spacing w:before="0" w:after="283"/>
              <w:jc w:val="left"/>
              <w:rPr/>
            </w:pPr>
            <w:r>
              <w:rPr/>
              <w:t> </w:t>
            </w:r>
          </w:p>
        </w:tc>
        <w:tc>
          <w:tcPr>
            <w:tcW w:w="935" w:type="dxa"/>
            <w:tcBorders>
              <w:bottom w:val="single" w:sz="2" w:space="0" w:color="000000"/>
            </w:tcBorders>
            <w:shd w:fill="EDEDEE" w:val="clear"/>
            <w:vAlign w:val="center"/>
          </w:tcPr>
          <w:p>
            <w:pPr>
              <w:pStyle w:val="TableContents"/>
              <w:bidi w:val="0"/>
              <w:spacing w:before="0" w:after="283"/>
              <w:jc w:val="right"/>
              <w:rPr>
                <w:b/>
              </w:rPr>
            </w:pPr>
            <w:r>
              <w:rPr>
                <w:b/>
              </w:rPr>
              <w:t>$371,850</w:t>
            </w:r>
          </w:p>
        </w:tc>
      </w:tr>
      <w:tr>
        <w:trPr/>
        <w:tc>
          <w:tcPr>
            <w:tcW w:w="2480" w:type="dxa"/>
            <w:tcBorders>
              <w:bottom w:val="single" w:sz="2" w:space="0" w:color="000000"/>
            </w:tcBorders>
            <w:vAlign w:val="center"/>
          </w:tcPr>
          <w:p>
            <w:pPr>
              <w:pStyle w:val="TableContents"/>
              <w:bidi w:val="0"/>
              <w:spacing w:before="0" w:after="283"/>
              <w:jc w:val="left"/>
              <w:rPr>
                <w:b/>
              </w:rPr>
            </w:pPr>
            <w:r>
              <w:rPr>
                <w:b/>
              </w:rPr>
              <w:t>George R. Oliver</w:t>
            </w:r>
          </w:p>
        </w:tc>
        <w:tc>
          <w:tcPr>
            <w:tcW w:w="300" w:type="dxa"/>
            <w:tcBorders>
              <w:bottom w:val="single" w:sz="2" w:space="0" w:color="000000"/>
            </w:tcBorders>
            <w:vAlign w:val="center"/>
          </w:tcPr>
          <w:p>
            <w:pPr>
              <w:pStyle w:val="TableContents"/>
              <w:bidi w:val="0"/>
              <w:spacing w:before="0" w:after="283"/>
              <w:jc w:val="left"/>
              <w:rPr/>
            </w:pPr>
            <w:r>
              <w:rPr/>
              <w:t> </w:t>
            </w:r>
          </w:p>
        </w:tc>
        <w:tc>
          <w:tcPr>
            <w:tcW w:w="1235" w:type="dxa"/>
            <w:tcBorders>
              <w:bottom w:val="single" w:sz="2" w:space="0" w:color="000000"/>
            </w:tcBorders>
            <w:vAlign w:val="center"/>
          </w:tcPr>
          <w:p>
            <w:pPr>
              <w:pStyle w:val="TableContents"/>
              <w:bidi w:val="0"/>
              <w:spacing w:before="0" w:after="283"/>
              <w:jc w:val="right"/>
              <w:rPr/>
            </w:pPr>
            <w:r>
              <w:rPr/>
              <w:t>$0</w:t>
            </w:r>
          </w:p>
        </w:tc>
        <w:tc>
          <w:tcPr>
            <w:tcW w:w="300" w:type="dxa"/>
            <w:tcBorders>
              <w:bottom w:val="single" w:sz="2" w:space="0" w:color="000000"/>
            </w:tcBorders>
            <w:vAlign w:val="center"/>
          </w:tcPr>
          <w:p>
            <w:pPr>
              <w:pStyle w:val="TableContents"/>
              <w:bidi w:val="0"/>
              <w:spacing w:before="0" w:after="283"/>
              <w:jc w:val="left"/>
              <w:rPr/>
            </w:pPr>
            <w:r>
              <w:rPr/>
              <w:t> </w:t>
            </w:r>
          </w:p>
        </w:tc>
        <w:tc>
          <w:tcPr>
            <w:tcW w:w="920" w:type="dxa"/>
            <w:tcBorders>
              <w:bottom w:val="single" w:sz="2" w:space="0" w:color="000000"/>
            </w:tcBorders>
            <w:vAlign w:val="center"/>
          </w:tcPr>
          <w:p>
            <w:pPr>
              <w:pStyle w:val="TableContents"/>
              <w:bidi w:val="0"/>
              <w:spacing w:before="0" w:after="283"/>
              <w:jc w:val="right"/>
              <w:rPr/>
            </w:pPr>
            <w:r>
              <w:rPr/>
              <w:t>$345,000</w:t>
            </w:r>
          </w:p>
        </w:tc>
        <w:tc>
          <w:tcPr>
            <w:tcW w:w="300" w:type="dxa"/>
            <w:tcBorders>
              <w:bottom w:val="single" w:sz="2" w:space="0" w:color="000000"/>
            </w:tcBorders>
            <w:vAlign w:val="center"/>
          </w:tcPr>
          <w:p>
            <w:pPr>
              <w:pStyle w:val="TableContents"/>
              <w:bidi w:val="0"/>
              <w:spacing w:before="0" w:after="283"/>
              <w:jc w:val="left"/>
              <w:rPr/>
            </w:pPr>
            <w:r>
              <w:rPr/>
              <w:t> </w:t>
            </w:r>
          </w:p>
        </w:tc>
        <w:tc>
          <w:tcPr>
            <w:tcW w:w="1310" w:type="dxa"/>
            <w:tcBorders>
              <w:bottom w:val="single" w:sz="2" w:space="0" w:color="000000"/>
            </w:tcBorders>
            <w:vAlign w:val="center"/>
          </w:tcPr>
          <w:p>
            <w:pPr>
              <w:pStyle w:val="TableContents"/>
              <w:bidi w:val="0"/>
              <w:spacing w:before="0" w:after="283"/>
              <w:jc w:val="right"/>
              <w:rPr/>
            </w:pPr>
            <w:r>
              <w:rPr/>
              <w:t>$25,695</w:t>
            </w:r>
          </w:p>
        </w:tc>
        <w:tc>
          <w:tcPr>
            <w:tcW w:w="300" w:type="dxa"/>
            <w:tcBorders>
              <w:bottom w:val="single" w:sz="2" w:space="0" w:color="000000"/>
            </w:tcBorders>
            <w:vAlign w:val="center"/>
          </w:tcPr>
          <w:p>
            <w:pPr>
              <w:pStyle w:val="TableContents"/>
              <w:bidi w:val="0"/>
              <w:spacing w:before="0" w:after="283"/>
              <w:jc w:val="left"/>
              <w:rPr/>
            </w:pPr>
            <w:r>
              <w:rPr/>
              <w:t> </w:t>
            </w:r>
          </w:p>
        </w:tc>
        <w:tc>
          <w:tcPr>
            <w:tcW w:w="300" w:type="dxa"/>
            <w:tcBorders>
              <w:bottom w:val="single" w:sz="2" w:space="0" w:color="000000"/>
            </w:tcBorders>
            <w:shd w:fill="EDEDEE" w:val="clear"/>
            <w:vAlign w:val="center"/>
          </w:tcPr>
          <w:p>
            <w:pPr>
              <w:pStyle w:val="TableContents"/>
              <w:bidi w:val="0"/>
              <w:spacing w:before="0" w:after="283"/>
              <w:jc w:val="left"/>
              <w:rPr/>
            </w:pPr>
            <w:r>
              <w:rPr/>
              <w:t> </w:t>
            </w:r>
          </w:p>
        </w:tc>
        <w:tc>
          <w:tcPr>
            <w:tcW w:w="935" w:type="dxa"/>
            <w:tcBorders>
              <w:bottom w:val="single" w:sz="2" w:space="0" w:color="000000"/>
            </w:tcBorders>
            <w:shd w:fill="EDEDEE" w:val="clear"/>
            <w:vAlign w:val="center"/>
          </w:tcPr>
          <w:p>
            <w:pPr>
              <w:pStyle w:val="TableContents"/>
              <w:bidi w:val="0"/>
              <w:spacing w:before="0" w:after="283"/>
              <w:jc w:val="right"/>
              <w:rPr>
                <w:b/>
              </w:rPr>
            </w:pPr>
            <w:r>
              <w:rPr>
                <w:b/>
              </w:rPr>
              <w:t>$370,695</w:t>
            </w:r>
          </w:p>
        </w:tc>
      </w:tr>
      <w:tr>
        <w:trPr/>
        <w:tc>
          <w:tcPr>
            <w:tcW w:w="2480" w:type="dxa"/>
            <w:tcBorders>
              <w:bottom w:val="single" w:sz="2" w:space="0" w:color="000000"/>
            </w:tcBorders>
            <w:vAlign w:val="center"/>
          </w:tcPr>
          <w:p>
            <w:pPr>
              <w:pStyle w:val="TableContents"/>
              <w:bidi w:val="0"/>
              <w:spacing w:before="0" w:after="283"/>
              <w:jc w:val="left"/>
              <w:rPr>
                <w:b/>
              </w:rPr>
            </w:pPr>
            <w:r>
              <w:rPr>
                <w:b/>
              </w:rPr>
              <w:t>Ellen M. Pawlikowski</w:t>
            </w:r>
          </w:p>
        </w:tc>
        <w:tc>
          <w:tcPr>
            <w:tcW w:w="300" w:type="dxa"/>
            <w:tcBorders>
              <w:bottom w:val="single" w:sz="2" w:space="0" w:color="000000"/>
            </w:tcBorders>
            <w:vAlign w:val="center"/>
          </w:tcPr>
          <w:p>
            <w:pPr>
              <w:pStyle w:val="TableContents"/>
              <w:bidi w:val="0"/>
              <w:spacing w:before="0" w:after="283"/>
              <w:jc w:val="left"/>
              <w:rPr/>
            </w:pPr>
            <w:r>
              <w:rPr/>
              <w:t> </w:t>
            </w:r>
          </w:p>
        </w:tc>
        <w:tc>
          <w:tcPr>
            <w:tcW w:w="1235" w:type="dxa"/>
            <w:tcBorders>
              <w:bottom w:val="single" w:sz="2" w:space="0" w:color="000000"/>
            </w:tcBorders>
            <w:vAlign w:val="center"/>
          </w:tcPr>
          <w:p>
            <w:pPr>
              <w:pStyle w:val="TableContents"/>
              <w:bidi w:val="0"/>
              <w:spacing w:before="0" w:after="283"/>
              <w:jc w:val="right"/>
              <w:rPr/>
            </w:pPr>
            <w:r>
              <w:rPr/>
              <w:t>$138,000</w:t>
            </w:r>
          </w:p>
        </w:tc>
        <w:tc>
          <w:tcPr>
            <w:tcW w:w="300" w:type="dxa"/>
            <w:tcBorders>
              <w:bottom w:val="single" w:sz="2" w:space="0" w:color="000000"/>
            </w:tcBorders>
            <w:vAlign w:val="center"/>
          </w:tcPr>
          <w:p>
            <w:pPr>
              <w:pStyle w:val="TableContents"/>
              <w:bidi w:val="0"/>
              <w:spacing w:before="0" w:after="283"/>
              <w:jc w:val="left"/>
              <w:rPr/>
            </w:pPr>
            <w:r>
              <w:rPr/>
              <w:t> </w:t>
            </w:r>
          </w:p>
        </w:tc>
        <w:tc>
          <w:tcPr>
            <w:tcW w:w="920" w:type="dxa"/>
            <w:tcBorders>
              <w:bottom w:val="single" w:sz="2" w:space="0" w:color="000000"/>
            </w:tcBorders>
            <w:vAlign w:val="center"/>
          </w:tcPr>
          <w:p>
            <w:pPr>
              <w:pStyle w:val="TableContents"/>
              <w:bidi w:val="0"/>
              <w:spacing w:before="0" w:after="283"/>
              <w:jc w:val="right"/>
              <w:rPr/>
            </w:pPr>
            <w:r>
              <w:rPr/>
              <w:t>$207,000</w:t>
            </w:r>
          </w:p>
        </w:tc>
        <w:tc>
          <w:tcPr>
            <w:tcW w:w="300" w:type="dxa"/>
            <w:tcBorders>
              <w:bottom w:val="single" w:sz="2" w:space="0" w:color="000000"/>
            </w:tcBorders>
            <w:vAlign w:val="center"/>
          </w:tcPr>
          <w:p>
            <w:pPr>
              <w:pStyle w:val="TableContents"/>
              <w:bidi w:val="0"/>
              <w:spacing w:before="0" w:after="283"/>
              <w:jc w:val="left"/>
              <w:rPr/>
            </w:pPr>
            <w:r>
              <w:rPr/>
              <w:t> </w:t>
            </w:r>
          </w:p>
        </w:tc>
        <w:tc>
          <w:tcPr>
            <w:tcW w:w="1310" w:type="dxa"/>
            <w:tcBorders>
              <w:bottom w:val="single" w:sz="2" w:space="0" w:color="000000"/>
            </w:tcBorders>
            <w:vAlign w:val="center"/>
          </w:tcPr>
          <w:p>
            <w:pPr>
              <w:pStyle w:val="TableContents"/>
              <w:bidi w:val="0"/>
              <w:spacing w:before="0" w:after="283"/>
              <w:jc w:val="right"/>
              <w:rPr/>
            </w:pPr>
            <w:r>
              <w:rPr/>
              <w:t>$5,655</w:t>
            </w:r>
          </w:p>
        </w:tc>
        <w:tc>
          <w:tcPr>
            <w:tcW w:w="300" w:type="dxa"/>
            <w:tcBorders>
              <w:bottom w:val="single" w:sz="2" w:space="0" w:color="000000"/>
            </w:tcBorders>
            <w:vAlign w:val="center"/>
          </w:tcPr>
          <w:p>
            <w:pPr>
              <w:pStyle w:val="TableContents"/>
              <w:bidi w:val="0"/>
              <w:spacing w:before="0" w:after="283"/>
              <w:jc w:val="left"/>
              <w:rPr/>
            </w:pPr>
            <w:r>
              <w:rPr/>
              <w:t> </w:t>
            </w:r>
          </w:p>
        </w:tc>
        <w:tc>
          <w:tcPr>
            <w:tcW w:w="300" w:type="dxa"/>
            <w:tcBorders>
              <w:bottom w:val="single" w:sz="2" w:space="0" w:color="000000"/>
            </w:tcBorders>
            <w:shd w:fill="EDEDEE" w:val="clear"/>
            <w:vAlign w:val="center"/>
          </w:tcPr>
          <w:p>
            <w:pPr>
              <w:pStyle w:val="TableContents"/>
              <w:bidi w:val="0"/>
              <w:spacing w:before="0" w:after="283"/>
              <w:jc w:val="left"/>
              <w:rPr/>
            </w:pPr>
            <w:r>
              <w:rPr/>
              <w:t> </w:t>
            </w:r>
          </w:p>
        </w:tc>
        <w:tc>
          <w:tcPr>
            <w:tcW w:w="935" w:type="dxa"/>
            <w:tcBorders>
              <w:bottom w:val="single" w:sz="2" w:space="0" w:color="000000"/>
            </w:tcBorders>
            <w:shd w:fill="EDEDEE" w:val="clear"/>
            <w:vAlign w:val="center"/>
          </w:tcPr>
          <w:p>
            <w:pPr>
              <w:pStyle w:val="TableContents"/>
              <w:bidi w:val="0"/>
              <w:spacing w:before="0" w:after="283"/>
              <w:jc w:val="right"/>
              <w:rPr>
                <w:b/>
              </w:rPr>
            </w:pPr>
            <w:r>
              <w:rPr>
                <w:b/>
              </w:rPr>
              <w:t>$350,655</w:t>
            </w:r>
          </w:p>
        </w:tc>
      </w:tr>
      <w:tr>
        <w:trPr/>
        <w:tc>
          <w:tcPr>
            <w:tcW w:w="2480" w:type="dxa"/>
            <w:tcBorders>
              <w:bottom w:val="single" w:sz="2" w:space="0" w:color="000000"/>
            </w:tcBorders>
            <w:vAlign w:val="center"/>
          </w:tcPr>
          <w:p>
            <w:pPr>
              <w:pStyle w:val="TableContents"/>
              <w:bidi w:val="0"/>
              <w:spacing w:before="0" w:after="283"/>
              <w:jc w:val="left"/>
              <w:rPr>
                <w:b/>
              </w:rPr>
            </w:pPr>
            <w:r>
              <w:rPr>
                <w:b/>
              </w:rPr>
              <w:t>Denise L. Ramos</w:t>
            </w:r>
          </w:p>
        </w:tc>
        <w:tc>
          <w:tcPr>
            <w:tcW w:w="300" w:type="dxa"/>
            <w:tcBorders>
              <w:bottom w:val="single" w:sz="2" w:space="0" w:color="000000"/>
            </w:tcBorders>
            <w:vAlign w:val="center"/>
          </w:tcPr>
          <w:p>
            <w:pPr>
              <w:pStyle w:val="TableContents"/>
              <w:bidi w:val="0"/>
              <w:spacing w:before="0" w:after="283"/>
              <w:jc w:val="left"/>
              <w:rPr/>
            </w:pPr>
            <w:r>
              <w:rPr/>
              <w:t> </w:t>
            </w:r>
          </w:p>
        </w:tc>
        <w:tc>
          <w:tcPr>
            <w:tcW w:w="1235" w:type="dxa"/>
            <w:tcBorders>
              <w:bottom w:val="single" w:sz="2" w:space="0" w:color="000000"/>
            </w:tcBorders>
            <w:vAlign w:val="center"/>
          </w:tcPr>
          <w:p>
            <w:pPr>
              <w:pStyle w:val="TableContents"/>
              <w:bidi w:val="0"/>
              <w:spacing w:before="0" w:after="283"/>
              <w:jc w:val="right"/>
              <w:rPr/>
            </w:pPr>
            <w:r>
              <w:rPr/>
              <w:t>$0</w:t>
            </w:r>
          </w:p>
        </w:tc>
        <w:tc>
          <w:tcPr>
            <w:tcW w:w="300" w:type="dxa"/>
            <w:tcBorders>
              <w:bottom w:val="single" w:sz="2" w:space="0" w:color="000000"/>
            </w:tcBorders>
            <w:vAlign w:val="center"/>
          </w:tcPr>
          <w:p>
            <w:pPr>
              <w:pStyle w:val="TableContents"/>
              <w:bidi w:val="0"/>
              <w:spacing w:before="0" w:after="283"/>
              <w:jc w:val="left"/>
              <w:rPr/>
            </w:pPr>
            <w:r>
              <w:rPr/>
              <w:t> </w:t>
            </w:r>
          </w:p>
        </w:tc>
        <w:tc>
          <w:tcPr>
            <w:tcW w:w="920" w:type="dxa"/>
            <w:tcBorders>
              <w:bottom w:val="single" w:sz="2" w:space="0" w:color="000000"/>
            </w:tcBorders>
            <w:vAlign w:val="center"/>
          </w:tcPr>
          <w:p>
            <w:pPr>
              <w:pStyle w:val="TableContents"/>
              <w:bidi w:val="0"/>
              <w:spacing w:before="0" w:after="283"/>
              <w:jc w:val="right"/>
              <w:rPr/>
            </w:pPr>
            <w:r>
              <w:rPr/>
              <w:t>$345,000</w:t>
            </w:r>
          </w:p>
        </w:tc>
        <w:tc>
          <w:tcPr>
            <w:tcW w:w="300" w:type="dxa"/>
            <w:tcBorders>
              <w:bottom w:val="single" w:sz="2" w:space="0" w:color="000000"/>
            </w:tcBorders>
            <w:vAlign w:val="center"/>
          </w:tcPr>
          <w:p>
            <w:pPr>
              <w:pStyle w:val="TableContents"/>
              <w:bidi w:val="0"/>
              <w:spacing w:before="0" w:after="283"/>
              <w:jc w:val="left"/>
              <w:rPr/>
            </w:pPr>
            <w:r>
              <w:rPr/>
              <w:t> </w:t>
            </w:r>
          </w:p>
        </w:tc>
        <w:tc>
          <w:tcPr>
            <w:tcW w:w="1310" w:type="dxa"/>
            <w:tcBorders>
              <w:bottom w:val="single" w:sz="2" w:space="0" w:color="000000"/>
            </w:tcBorders>
            <w:vAlign w:val="center"/>
          </w:tcPr>
          <w:p>
            <w:pPr>
              <w:pStyle w:val="TableContents"/>
              <w:bidi w:val="0"/>
              <w:spacing w:before="0" w:after="283"/>
              <w:jc w:val="right"/>
              <w:rPr/>
            </w:pPr>
            <w:r>
              <w:rPr/>
              <w:t>$1,850</w:t>
            </w:r>
          </w:p>
        </w:tc>
        <w:tc>
          <w:tcPr>
            <w:tcW w:w="300" w:type="dxa"/>
            <w:tcBorders>
              <w:bottom w:val="single" w:sz="2" w:space="0" w:color="000000"/>
            </w:tcBorders>
            <w:vAlign w:val="center"/>
          </w:tcPr>
          <w:p>
            <w:pPr>
              <w:pStyle w:val="TableContents"/>
              <w:bidi w:val="0"/>
              <w:spacing w:before="0" w:after="283"/>
              <w:jc w:val="left"/>
              <w:rPr/>
            </w:pPr>
            <w:r>
              <w:rPr/>
              <w:t> </w:t>
            </w:r>
          </w:p>
        </w:tc>
        <w:tc>
          <w:tcPr>
            <w:tcW w:w="300" w:type="dxa"/>
            <w:tcBorders>
              <w:bottom w:val="single" w:sz="2" w:space="0" w:color="000000"/>
            </w:tcBorders>
            <w:shd w:fill="EDEDEE" w:val="clear"/>
            <w:vAlign w:val="center"/>
          </w:tcPr>
          <w:p>
            <w:pPr>
              <w:pStyle w:val="TableContents"/>
              <w:bidi w:val="0"/>
              <w:spacing w:before="0" w:after="283"/>
              <w:jc w:val="left"/>
              <w:rPr/>
            </w:pPr>
            <w:r>
              <w:rPr/>
              <w:t> </w:t>
            </w:r>
          </w:p>
        </w:tc>
        <w:tc>
          <w:tcPr>
            <w:tcW w:w="935" w:type="dxa"/>
            <w:tcBorders>
              <w:bottom w:val="single" w:sz="2" w:space="0" w:color="000000"/>
            </w:tcBorders>
            <w:shd w:fill="EDEDEE" w:val="clear"/>
            <w:vAlign w:val="center"/>
          </w:tcPr>
          <w:p>
            <w:pPr>
              <w:pStyle w:val="TableContents"/>
              <w:bidi w:val="0"/>
              <w:spacing w:before="0" w:after="283"/>
              <w:jc w:val="right"/>
              <w:rPr>
                <w:b/>
              </w:rPr>
            </w:pPr>
            <w:r>
              <w:rPr>
                <w:b/>
              </w:rPr>
              <w:t>$346,850</w:t>
            </w:r>
          </w:p>
        </w:tc>
      </w:tr>
      <w:tr>
        <w:trPr/>
        <w:tc>
          <w:tcPr>
            <w:tcW w:w="2480" w:type="dxa"/>
            <w:tcBorders>
              <w:bottom w:val="single" w:sz="2" w:space="0" w:color="000000"/>
            </w:tcBorders>
            <w:vAlign w:val="center"/>
          </w:tcPr>
          <w:p>
            <w:pPr>
              <w:pStyle w:val="TableContents"/>
              <w:bidi w:val="0"/>
              <w:spacing w:before="0" w:after="283"/>
              <w:jc w:val="left"/>
              <w:rPr>
                <w:b/>
              </w:rPr>
            </w:pPr>
            <w:r>
              <w:rPr>
                <w:b/>
              </w:rPr>
              <w:t>Fredric G. Reynolds</w:t>
            </w:r>
          </w:p>
        </w:tc>
        <w:tc>
          <w:tcPr>
            <w:tcW w:w="300" w:type="dxa"/>
            <w:tcBorders>
              <w:bottom w:val="single" w:sz="2" w:space="0" w:color="000000"/>
            </w:tcBorders>
            <w:vAlign w:val="center"/>
          </w:tcPr>
          <w:p>
            <w:pPr>
              <w:pStyle w:val="TableContents"/>
              <w:bidi w:val="0"/>
              <w:spacing w:before="0" w:after="283"/>
              <w:jc w:val="left"/>
              <w:rPr/>
            </w:pPr>
            <w:r>
              <w:rPr/>
              <w:t> </w:t>
            </w:r>
          </w:p>
        </w:tc>
        <w:tc>
          <w:tcPr>
            <w:tcW w:w="1235" w:type="dxa"/>
            <w:tcBorders>
              <w:bottom w:val="single" w:sz="2" w:space="0" w:color="000000"/>
            </w:tcBorders>
            <w:vAlign w:val="center"/>
          </w:tcPr>
          <w:p>
            <w:pPr>
              <w:pStyle w:val="TableContents"/>
              <w:bidi w:val="0"/>
              <w:spacing w:before="0" w:after="283"/>
              <w:jc w:val="right"/>
              <w:rPr/>
            </w:pPr>
            <w:r>
              <w:rPr/>
              <w:t>$158,000</w:t>
            </w:r>
          </w:p>
        </w:tc>
        <w:tc>
          <w:tcPr>
            <w:tcW w:w="300" w:type="dxa"/>
            <w:tcBorders>
              <w:bottom w:val="single" w:sz="2" w:space="0" w:color="000000"/>
            </w:tcBorders>
            <w:vAlign w:val="center"/>
          </w:tcPr>
          <w:p>
            <w:pPr>
              <w:pStyle w:val="TableContents"/>
              <w:bidi w:val="0"/>
              <w:spacing w:before="0" w:after="283"/>
              <w:jc w:val="left"/>
              <w:rPr/>
            </w:pPr>
            <w:r>
              <w:rPr/>
              <w:t> </w:t>
            </w:r>
          </w:p>
        </w:tc>
        <w:tc>
          <w:tcPr>
            <w:tcW w:w="920" w:type="dxa"/>
            <w:tcBorders>
              <w:bottom w:val="single" w:sz="2" w:space="0" w:color="000000"/>
            </w:tcBorders>
            <w:vAlign w:val="center"/>
          </w:tcPr>
          <w:p>
            <w:pPr>
              <w:pStyle w:val="TableContents"/>
              <w:bidi w:val="0"/>
              <w:spacing w:before="0" w:after="283"/>
              <w:jc w:val="right"/>
              <w:rPr/>
            </w:pPr>
            <w:r>
              <w:rPr/>
              <w:t>$237,000</w:t>
            </w:r>
          </w:p>
        </w:tc>
        <w:tc>
          <w:tcPr>
            <w:tcW w:w="300" w:type="dxa"/>
            <w:tcBorders>
              <w:bottom w:val="single" w:sz="2" w:space="0" w:color="000000"/>
            </w:tcBorders>
            <w:vAlign w:val="center"/>
          </w:tcPr>
          <w:p>
            <w:pPr>
              <w:pStyle w:val="TableContents"/>
              <w:bidi w:val="0"/>
              <w:spacing w:before="0" w:after="283"/>
              <w:jc w:val="left"/>
              <w:rPr/>
            </w:pPr>
            <w:r>
              <w:rPr/>
              <w:t> </w:t>
            </w:r>
          </w:p>
        </w:tc>
        <w:tc>
          <w:tcPr>
            <w:tcW w:w="1310" w:type="dxa"/>
            <w:tcBorders>
              <w:bottom w:val="single" w:sz="2" w:space="0" w:color="000000"/>
            </w:tcBorders>
            <w:vAlign w:val="center"/>
          </w:tcPr>
          <w:p>
            <w:pPr>
              <w:pStyle w:val="TableContents"/>
              <w:bidi w:val="0"/>
              <w:spacing w:before="0" w:after="283"/>
              <w:jc w:val="right"/>
              <w:rPr/>
            </w:pPr>
            <w:r>
              <w:rPr/>
              <w:t>$25,695</w:t>
            </w:r>
          </w:p>
        </w:tc>
        <w:tc>
          <w:tcPr>
            <w:tcW w:w="300" w:type="dxa"/>
            <w:tcBorders>
              <w:bottom w:val="single" w:sz="2" w:space="0" w:color="000000"/>
            </w:tcBorders>
            <w:vAlign w:val="center"/>
          </w:tcPr>
          <w:p>
            <w:pPr>
              <w:pStyle w:val="TableContents"/>
              <w:bidi w:val="0"/>
              <w:spacing w:before="0" w:after="283"/>
              <w:jc w:val="left"/>
              <w:rPr/>
            </w:pPr>
            <w:r>
              <w:rPr/>
              <w:t> </w:t>
            </w:r>
          </w:p>
        </w:tc>
        <w:tc>
          <w:tcPr>
            <w:tcW w:w="300" w:type="dxa"/>
            <w:tcBorders>
              <w:bottom w:val="single" w:sz="2" w:space="0" w:color="000000"/>
            </w:tcBorders>
            <w:shd w:fill="EDEDEE" w:val="clear"/>
            <w:vAlign w:val="center"/>
          </w:tcPr>
          <w:p>
            <w:pPr>
              <w:pStyle w:val="TableContents"/>
              <w:bidi w:val="0"/>
              <w:spacing w:before="0" w:after="283"/>
              <w:jc w:val="left"/>
              <w:rPr/>
            </w:pPr>
            <w:r>
              <w:rPr/>
              <w:t> </w:t>
            </w:r>
          </w:p>
        </w:tc>
        <w:tc>
          <w:tcPr>
            <w:tcW w:w="935" w:type="dxa"/>
            <w:tcBorders>
              <w:bottom w:val="single" w:sz="2" w:space="0" w:color="000000"/>
            </w:tcBorders>
            <w:shd w:fill="EDEDEE" w:val="clear"/>
            <w:vAlign w:val="center"/>
          </w:tcPr>
          <w:p>
            <w:pPr>
              <w:pStyle w:val="TableContents"/>
              <w:bidi w:val="0"/>
              <w:spacing w:before="0" w:after="283"/>
              <w:jc w:val="right"/>
              <w:rPr>
                <w:b/>
              </w:rPr>
            </w:pPr>
            <w:r>
              <w:rPr>
                <w:b/>
              </w:rPr>
              <w:t>$420,695</w:t>
            </w:r>
          </w:p>
        </w:tc>
      </w:tr>
      <w:tr>
        <w:trPr/>
        <w:tc>
          <w:tcPr>
            <w:tcW w:w="2480" w:type="dxa"/>
            <w:tcBorders>
              <w:bottom w:val="single" w:sz="2" w:space="0" w:color="000000"/>
            </w:tcBorders>
            <w:vAlign w:val="center"/>
          </w:tcPr>
          <w:p>
            <w:pPr>
              <w:pStyle w:val="TableContents"/>
              <w:bidi w:val="0"/>
              <w:spacing w:before="0" w:after="283"/>
              <w:jc w:val="left"/>
              <w:rPr>
                <w:b/>
              </w:rPr>
            </w:pPr>
            <w:r>
              <w:rPr>
                <w:b/>
              </w:rPr>
              <w:t>Brian C. Rogers</w:t>
            </w:r>
          </w:p>
        </w:tc>
        <w:tc>
          <w:tcPr>
            <w:tcW w:w="300" w:type="dxa"/>
            <w:tcBorders>
              <w:bottom w:val="single" w:sz="2" w:space="0" w:color="000000"/>
            </w:tcBorders>
            <w:vAlign w:val="center"/>
          </w:tcPr>
          <w:p>
            <w:pPr>
              <w:pStyle w:val="TableContents"/>
              <w:bidi w:val="0"/>
              <w:spacing w:before="0" w:after="283"/>
              <w:jc w:val="left"/>
              <w:rPr/>
            </w:pPr>
            <w:r>
              <w:rPr/>
              <w:t> </w:t>
            </w:r>
          </w:p>
        </w:tc>
        <w:tc>
          <w:tcPr>
            <w:tcW w:w="1235" w:type="dxa"/>
            <w:tcBorders>
              <w:bottom w:val="single" w:sz="2" w:space="0" w:color="000000"/>
            </w:tcBorders>
            <w:vAlign w:val="center"/>
          </w:tcPr>
          <w:p>
            <w:pPr>
              <w:pStyle w:val="TableContents"/>
              <w:bidi w:val="0"/>
              <w:spacing w:before="0" w:after="283"/>
              <w:jc w:val="right"/>
              <w:rPr/>
            </w:pPr>
            <w:r>
              <w:rPr/>
              <w:t>$0</w:t>
            </w:r>
          </w:p>
        </w:tc>
        <w:tc>
          <w:tcPr>
            <w:tcW w:w="300" w:type="dxa"/>
            <w:tcBorders>
              <w:bottom w:val="single" w:sz="2" w:space="0" w:color="000000"/>
            </w:tcBorders>
            <w:vAlign w:val="center"/>
          </w:tcPr>
          <w:p>
            <w:pPr>
              <w:pStyle w:val="TableContents"/>
              <w:bidi w:val="0"/>
              <w:spacing w:before="0" w:after="283"/>
              <w:jc w:val="left"/>
              <w:rPr/>
            </w:pPr>
            <w:r>
              <w:rPr/>
              <w:t> </w:t>
            </w:r>
          </w:p>
        </w:tc>
        <w:tc>
          <w:tcPr>
            <w:tcW w:w="920" w:type="dxa"/>
            <w:tcBorders>
              <w:bottom w:val="single" w:sz="2" w:space="0" w:color="000000"/>
            </w:tcBorders>
            <w:vAlign w:val="center"/>
          </w:tcPr>
          <w:p>
            <w:pPr>
              <w:pStyle w:val="TableContents"/>
              <w:bidi w:val="0"/>
              <w:spacing w:before="0" w:after="283"/>
              <w:jc w:val="right"/>
              <w:rPr/>
            </w:pPr>
            <w:r>
              <w:rPr/>
              <w:t>$370,000</w:t>
            </w:r>
          </w:p>
        </w:tc>
        <w:tc>
          <w:tcPr>
            <w:tcW w:w="300" w:type="dxa"/>
            <w:tcBorders>
              <w:bottom w:val="single" w:sz="2" w:space="0" w:color="000000"/>
            </w:tcBorders>
            <w:vAlign w:val="center"/>
          </w:tcPr>
          <w:p>
            <w:pPr>
              <w:pStyle w:val="TableContents"/>
              <w:bidi w:val="0"/>
              <w:spacing w:before="0" w:after="283"/>
              <w:jc w:val="left"/>
              <w:rPr/>
            </w:pPr>
            <w:r>
              <w:rPr/>
              <w:t> </w:t>
            </w:r>
          </w:p>
        </w:tc>
        <w:tc>
          <w:tcPr>
            <w:tcW w:w="1310" w:type="dxa"/>
            <w:tcBorders>
              <w:bottom w:val="single" w:sz="2" w:space="0" w:color="000000"/>
            </w:tcBorders>
            <w:vAlign w:val="center"/>
          </w:tcPr>
          <w:p>
            <w:pPr>
              <w:pStyle w:val="TableContents"/>
              <w:bidi w:val="0"/>
              <w:spacing w:before="0" w:after="283"/>
              <w:jc w:val="right"/>
              <w:rPr/>
            </w:pPr>
            <w:r>
              <w:rPr/>
              <w:t>$26,850</w:t>
            </w:r>
          </w:p>
        </w:tc>
        <w:tc>
          <w:tcPr>
            <w:tcW w:w="300" w:type="dxa"/>
            <w:tcBorders>
              <w:bottom w:val="single" w:sz="2" w:space="0" w:color="000000"/>
            </w:tcBorders>
            <w:vAlign w:val="center"/>
          </w:tcPr>
          <w:p>
            <w:pPr>
              <w:pStyle w:val="TableContents"/>
              <w:bidi w:val="0"/>
              <w:spacing w:before="0" w:after="283"/>
              <w:jc w:val="left"/>
              <w:rPr/>
            </w:pPr>
            <w:r>
              <w:rPr/>
              <w:t> </w:t>
            </w:r>
          </w:p>
        </w:tc>
        <w:tc>
          <w:tcPr>
            <w:tcW w:w="300" w:type="dxa"/>
            <w:tcBorders>
              <w:bottom w:val="single" w:sz="2" w:space="0" w:color="000000"/>
            </w:tcBorders>
            <w:shd w:fill="EDEDEE" w:val="clear"/>
            <w:vAlign w:val="center"/>
          </w:tcPr>
          <w:p>
            <w:pPr>
              <w:pStyle w:val="TableContents"/>
              <w:bidi w:val="0"/>
              <w:spacing w:before="0" w:after="283"/>
              <w:jc w:val="left"/>
              <w:rPr/>
            </w:pPr>
            <w:r>
              <w:rPr/>
              <w:t> </w:t>
            </w:r>
          </w:p>
        </w:tc>
        <w:tc>
          <w:tcPr>
            <w:tcW w:w="935" w:type="dxa"/>
            <w:tcBorders>
              <w:bottom w:val="single" w:sz="2" w:space="0" w:color="000000"/>
            </w:tcBorders>
            <w:shd w:fill="EDEDEE" w:val="clear"/>
            <w:vAlign w:val="center"/>
          </w:tcPr>
          <w:p>
            <w:pPr>
              <w:pStyle w:val="TableContents"/>
              <w:bidi w:val="0"/>
              <w:spacing w:before="0" w:after="283"/>
              <w:jc w:val="right"/>
              <w:rPr>
                <w:b/>
              </w:rPr>
            </w:pPr>
            <w:r>
              <w:rPr>
                <w:b/>
              </w:rPr>
              <w:t>$396,850</w:t>
            </w:r>
          </w:p>
        </w:tc>
      </w:tr>
      <w:tr>
        <w:trPr/>
        <w:tc>
          <w:tcPr>
            <w:tcW w:w="2480" w:type="dxa"/>
            <w:tcBorders>
              <w:bottom w:val="single" w:sz="2" w:space="0" w:color="000000"/>
            </w:tcBorders>
            <w:vAlign w:val="center"/>
          </w:tcPr>
          <w:p>
            <w:pPr>
              <w:pStyle w:val="TableContents"/>
              <w:bidi w:val="0"/>
              <w:spacing w:before="0" w:after="283"/>
              <w:jc w:val="left"/>
              <w:rPr>
                <w:b/>
              </w:rPr>
            </w:pPr>
            <w:r>
              <w:rPr>
                <w:b/>
              </w:rPr>
              <w:t>James A. Winnefeld, Jr.</w:t>
            </w:r>
          </w:p>
        </w:tc>
        <w:tc>
          <w:tcPr>
            <w:tcW w:w="300" w:type="dxa"/>
            <w:tcBorders>
              <w:bottom w:val="single" w:sz="2" w:space="0" w:color="000000"/>
            </w:tcBorders>
            <w:vAlign w:val="center"/>
          </w:tcPr>
          <w:p>
            <w:pPr>
              <w:pStyle w:val="TableContents"/>
              <w:bidi w:val="0"/>
              <w:spacing w:before="0" w:after="283"/>
              <w:jc w:val="left"/>
              <w:rPr/>
            </w:pPr>
            <w:r>
              <w:rPr/>
              <w:t> </w:t>
            </w:r>
          </w:p>
        </w:tc>
        <w:tc>
          <w:tcPr>
            <w:tcW w:w="1235" w:type="dxa"/>
            <w:tcBorders>
              <w:bottom w:val="single" w:sz="2" w:space="0" w:color="000000"/>
            </w:tcBorders>
            <w:vAlign w:val="center"/>
          </w:tcPr>
          <w:p>
            <w:pPr>
              <w:pStyle w:val="TableContents"/>
              <w:bidi w:val="0"/>
              <w:spacing w:before="0" w:after="283"/>
              <w:jc w:val="right"/>
              <w:rPr/>
            </w:pPr>
            <w:r>
              <w:rPr/>
              <w:t>$0</w:t>
            </w:r>
          </w:p>
        </w:tc>
        <w:tc>
          <w:tcPr>
            <w:tcW w:w="300" w:type="dxa"/>
            <w:tcBorders>
              <w:bottom w:val="single" w:sz="2" w:space="0" w:color="000000"/>
            </w:tcBorders>
            <w:vAlign w:val="center"/>
          </w:tcPr>
          <w:p>
            <w:pPr>
              <w:pStyle w:val="TableContents"/>
              <w:bidi w:val="0"/>
              <w:spacing w:before="0" w:after="283"/>
              <w:jc w:val="left"/>
              <w:rPr/>
            </w:pPr>
            <w:r>
              <w:rPr/>
              <w:t> </w:t>
            </w:r>
          </w:p>
        </w:tc>
        <w:tc>
          <w:tcPr>
            <w:tcW w:w="920" w:type="dxa"/>
            <w:tcBorders>
              <w:bottom w:val="single" w:sz="2" w:space="0" w:color="000000"/>
            </w:tcBorders>
            <w:vAlign w:val="center"/>
          </w:tcPr>
          <w:p>
            <w:pPr>
              <w:pStyle w:val="TableContents"/>
              <w:bidi w:val="0"/>
              <w:spacing w:before="0" w:after="283"/>
              <w:jc w:val="right"/>
              <w:rPr/>
            </w:pPr>
            <w:r>
              <w:rPr/>
              <w:t>$370,000</w:t>
            </w:r>
          </w:p>
        </w:tc>
        <w:tc>
          <w:tcPr>
            <w:tcW w:w="300" w:type="dxa"/>
            <w:tcBorders>
              <w:bottom w:val="single" w:sz="2" w:space="0" w:color="000000"/>
            </w:tcBorders>
            <w:vAlign w:val="center"/>
          </w:tcPr>
          <w:p>
            <w:pPr>
              <w:pStyle w:val="TableContents"/>
              <w:bidi w:val="0"/>
              <w:spacing w:before="0" w:after="283"/>
              <w:jc w:val="left"/>
              <w:rPr/>
            </w:pPr>
            <w:r>
              <w:rPr/>
              <w:t> </w:t>
            </w:r>
          </w:p>
        </w:tc>
        <w:tc>
          <w:tcPr>
            <w:tcW w:w="1310" w:type="dxa"/>
            <w:tcBorders>
              <w:bottom w:val="single" w:sz="2" w:space="0" w:color="000000"/>
            </w:tcBorders>
            <w:vAlign w:val="center"/>
          </w:tcPr>
          <w:p>
            <w:pPr>
              <w:pStyle w:val="TableContents"/>
              <w:bidi w:val="0"/>
              <w:spacing w:before="0" w:after="283"/>
              <w:jc w:val="right"/>
              <w:rPr/>
            </w:pPr>
            <w:r>
              <w:rPr/>
              <w:t>$31,951</w:t>
            </w:r>
          </w:p>
        </w:tc>
        <w:tc>
          <w:tcPr>
            <w:tcW w:w="300" w:type="dxa"/>
            <w:tcBorders>
              <w:bottom w:val="single" w:sz="2" w:space="0" w:color="000000"/>
            </w:tcBorders>
            <w:vAlign w:val="center"/>
          </w:tcPr>
          <w:p>
            <w:pPr>
              <w:pStyle w:val="TableContents"/>
              <w:bidi w:val="0"/>
              <w:spacing w:before="0" w:after="283"/>
              <w:jc w:val="left"/>
              <w:rPr/>
            </w:pPr>
            <w:r>
              <w:rPr/>
              <w:t> </w:t>
            </w:r>
          </w:p>
        </w:tc>
        <w:tc>
          <w:tcPr>
            <w:tcW w:w="300" w:type="dxa"/>
            <w:tcBorders>
              <w:bottom w:val="single" w:sz="2" w:space="0" w:color="000000"/>
            </w:tcBorders>
            <w:shd w:fill="EDEDEE" w:val="clear"/>
            <w:vAlign w:val="center"/>
          </w:tcPr>
          <w:p>
            <w:pPr>
              <w:pStyle w:val="TableContents"/>
              <w:bidi w:val="0"/>
              <w:spacing w:before="0" w:after="283"/>
              <w:jc w:val="left"/>
              <w:rPr/>
            </w:pPr>
            <w:r>
              <w:rPr/>
              <w:t> </w:t>
            </w:r>
          </w:p>
        </w:tc>
        <w:tc>
          <w:tcPr>
            <w:tcW w:w="935" w:type="dxa"/>
            <w:tcBorders>
              <w:bottom w:val="single" w:sz="2" w:space="0" w:color="000000"/>
            </w:tcBorders>
            <w:shd w:fill="EDEDEE" w:val="clear"/>
            <w:vAlign w:val="center"/>
          </w:tcPr>
          <w:p>
            <w:pPr>
              <w:pStyle w:val="TableContents"/>
              <w:bidi w:val="0"/>
              <w:spacing w:before="0" w:after="283"/>
              <w:jc w:val="right"/>
              <w:rPr>
                <w:b/>
              </w:rPr>
            </w:pPr>
            <w:r>
              <w:rPr>
                <w:b/>
              </w:rPr>
              <w:t>$401,951</w:t>
            </w:r>
          </w:p>
        </w:tc>
      </w:tr>
      <w:tr>
        <w:trPr/>
        <w:tc>
          <w:tcPr>
            <w:tcW w:w="2480" w:type="dxa"/>
            <w:tcBorders>
              <w:bottom w:val="single" w:sz="12" w:space="0" w:color="636466"/>
            </w:tcBorders>
            <w:vAlign w:val="center"/>
          </w:tcPr>
          <w:p>
            <w:pPr>
              <w:pStyle w:val="TableContents"/>
              <w:bidi w:val="0"/>
              <w:spacing w:before="0" w:after="283"/>
              <w:jc w:val="left"/>
              <w:rPr>
                <w:b/>
              </w:rPr>
            </w:pPr>
            <w:r>
              <w:rPr>
                <w:b/>
              </w:rPr>
              <w:t>Robert O. Work</w:t>
            </w:r>
          </w:p>
        </w:tc>
        <w:tc>
          <w:tcPr>
            <w:tcW w:w="300" w:type="dxa"/>
            <w:tcBorders>
              <w:bottom w:val="single" w:sz="12" w:space="0" w:color="636466"/>
            </w:tcBorders>
            <w:vAlign w:val="center"/>
          </w:tcPr>
          <w:p>
            <w:pPr>
              <w:pStyle w:val="TableContents"/>
              <w:bidi w:val="0"/>
              <w:spacing w:before="0" w:after="283"/>
              <w:jc w:val="left"/>
              <w:rPr/>
            </w:pPr>
            <w:r>
              <w:rPr/>
              <w:t> </w:t>
            </w:r>
          </w:p>
        </w:tc>
        <w:tc>
          <w:tcPr>
            <w:tcW w:w="1235" w:type="dxa"/>
            <w:tcBorders>
              <w:bottom w:val="single" w:sz="12" w:space="0" w:color="636466"/>
            </w:tcBorders>
            <w:vAlign w:val="center"/>
          </w:tcPr>
          <w:p>
            <w:pPr>
              <w:pStyle w:val="TableContents"/>
              <w:bidi w:val="0"/>
              <w:spacing w:before="0" w:after="283"/>
              <w:jc w:val="right"/>
              <w:rPr/>
            </w:pPr>
            <w:r>
              <w:rPr/>
              <w:t>$148,000</w:t>
            </w:r>
          </w:p>
        </w:tc>
        <w:tc>
          <w:tcPr>
            <w:tcW w:w="300" w:type="dxa"/>
            <w:tcBorders>
              <w:bottom w:val="single" w:sz="12" w:space="0" w:color="636466"/>
            </w:tcBorders>
            <w:vAlign w:val="center"/>
          </w:tcPr>
          <w:p>
            <w:pPr>
              <w:pStyle w:val="TableContents"/>
              <w:bidi w:val="0"/>
              <w:spacing w:before="0" w:after="283"/>
              <w:jc w:val="left"/>
              <w:rPr/>
            </w:pPr>
            <w:r>
              <w:rPr/>
              <w:t> </w:t>
            </w:r>
          </w:p>
        </w:tc>
        <w:tc>
          <w:tcPr>
            <w:tcW w:w="920" w:type="dxa"/>
            <w:tcBorders>
              <w:bottom w:val="single" w:sz="12" w:space="0" w:color="636466"/>
            </w:tcBorders>
            <w:vAlign w:val="center"/>
          </w:tcPr>
          <w:p>
            <w:pPr>
              <w:pStyle w:val="TableContents"/>
              <w:bidi w:val="0"/>
              <w:spacing w:before="0" w:after="283"/>
              <w:jc w:val="right"/>
              <w:rPr/>
            </w:pPr>
            <w:r>
              <w:rPr/>
              <w:t>$222,000</w:t>
            </w:r>
          </w:p>
        </w:tc>
        <w:tc>
          <w:tcPr>
            <w:tcW w:w="300" w:type="dxa"/>
            <w:tcBorders>
              <w:bottom w:val="single" w:sz="12" w:space="0" w:color="636466"/>
            </w:tcBorders>
            <w:vAlign w:val="center"/>
          </w:tcPr>
          <w:p>
            <w:pPr>
              <w:pStyle w:val="TableContents"/>
              <w:bidi w:val="0"/>
              <w:spacing w:before="0" w:after="283"/>
              <w:jc w:val="left"/>
              <w:rPr/>
            </w:pPr>
            <w:r>
              <w:rPr/>
              <w:t> </w:t>
            </w:r>
          </w:p>
        </w:tc>
        <w:tc>
          <w:tcPr>
            <w:tcW w:w="1310" w:type="dxa"/>
            <w:tcBorders>
              <w:bottom w:val="single" w:sz="12" w:space="0" w:color="636466"/>
            </w:tcBorders>
            <w:vAlign w:val="center"/>
          </w:tcPr>
          <w:p>
            <w:pPr>
              <w:pStyle w:val="TableContents"/>
              <w:bidi w:val="0"/>
              <w:spacing w:before="0" w:after="283"/>
              <w:jc w:val="right"/>
              <w:rPr/>
            </w:pPr>
            <w:r>
              <w:rPr/>
              <w:t>$695</w:t>
            </w:r>
          </w:p>
        </w:tc>
        <w:tc>
          <w:tcPr>
            <w:tcW w:w="300" w:type="dxa"/>
            <w:tcBorders>
              <w:bottom w:val="single" w:sz="12" w:space="0" w:color="636466"/>
            </w:tcBorders>
            <w:vAlign w:val="center"/>
          </w:tcPr>
          <w:p>
            <w:pPr>
              <w:pStyle w:val="TableContents"/>
              <w:bidi w:val="0"/>
              <w:spacing w:before="0" w:after="283"/>
              <w:jc w:val="left"/>
              <w:rPr/>
            </w:pPr>
            <w:r>
              <w:rPr/>
              <w:t> </w:t>
            </w:r>
          </w:p>
        </w:tc>
        <w:tc>
          <w:tcPr>
            <w:tcW w:w="300" w:type="dxa"/>
            <w:tcBorders>
              <w:bottom w:val="single" w:sz="12" w:space="0" w:color="636466"/>
            </w:tcBorders>
            <w:shd w:fill="EDEDEE" w:val="clear"/>
            <w:vAlign w:val="center"/>
          </w:tcPr>
          <w:p>
            <w:pPr>
              <w:pStyle w:val="TableContents"/>
              <w:bidi w:val="0"/>
              <w:spacing w:before="0" w:after="283"/>
              <w:jc w:val="left"/>
              <w:rPr/>
            </w:pPr>
            <w:r>
              <w:rPr/>
              <w:t> </w:t>
            </w:r>
          </w:p>
        </w:tc>
        <w:tc>
          <w:tcPr>
            <w:tcW w:w="935" w:type="dxa"/>
            <w:tcBorders>
              <w:bottom w:val="single" w:sz="12" w:space="0" w:color="636466"/>
            </w:tcBorders>
            <w:shd w:fill="EDEDEE" w:val="clear"/>
            <w:vAlign w:val="center"/>
          </w:tcPr>
          <w:p>
            <w:pPr>
              <w:pStyle w:val="TableContents"/>
              <w:bidi w:val="0"/>
              <w:spacing w:before="0" w:after="283"/>
              <w:jc w:val="right"/>
              <w:rPr>
                <w:b/>
              </w:rPr>
            </w:pPr>
            <w:r>
              <w:rPr>
                <w:b/>
              </w:rPr>
              <w:t>$370,695</w:t>
            </w:r>
          </w:p>
        </w:tc>
      </w:tr>
    </w:tbl>
    <w:tbl>
      <w:tblPr>
        <w:tblW w:w="10205" w:type="dxa"/>
        <w:jc w:val="left"/>
        <w:tblInd w:w="0" w:type="dxa"/>
        <w:tblLayout w:type="fixed"/>
        <w:tblCellMar>
          <w:top w:w="0" w:type="dxa"/>
          <w:left w:w="0" w:type="dxa"/>
          <w:bottom w:w="0" w:type="dxa"/>
          <w:right w:w="0" w:type="dxa"/>
        </w:tblCellMar>
      </w:tblPr>
      <w:tblGrid>
        <w:gridCol w:w="236"/>
        <w:gridCol w:w="9969"/>
      </w:tblGrid>
      <w:tr>
        <w:trPr/>
        <w:tc>
          <w:tcPr>
            <w:tcW w:w="236" w:type="dxa"/>
            <w:tcBorders/>
            <w:vAlign w:val="center"/>
          </w:tcPr>
          <w:p>
            <w:pPr>
              <w:pStyle w:val="TableContents"/>
              <w:bidi w:val="0"/>
              <w:spacing w:before="0" w:after="283"/>
              <w:jc w:val="left"/>
              <w:rPr/>
            </w:pPr>
            <w:r>
              <w:rPr/>
              <w:t>(1)</w:t>
            </w:r>
          </w:p>
        </w:tc>
        <w:tc>
          <w:tcPr>
            <w:tcW w:w="9969" w:type="dxa"/>
            <w:tcBorders/>
            <w:vAlign w:val="center"/>
          </w:tcPr>
          <w:p>
            <w:pPr>
              <w:pStyle w:val="TableContents"/>
              <w:bidi w:val="0"/>
              <w:spacing w:before="0" w:after="283"/>
              <w:jc w:val="left"/>
              <w:rPr/>
            </w:pPr>
            <w:r>
              <w:rPr/>
              <w:t>Mr. Hayes served as a director and an executive officer of the Company until April 30, 2025. For fiscal year 2025, he is not a Named Executive Officer because his compensation in 2025 was not higher than the three most highly compensated executive officers at year-end. Mr. Hayes did not receive any additional compensation during the year for his service as a director.</w:t>
            </w:r>
          </w:p>
        </w:tc>
      </w:tr>
      <w:tr>
        <w:trPr/>
        <w:tc>
          <w:tcPr>
            <w:tcW w:w="236" w:type="dxa"/>
            <w:tcBorders/>
            <w:vAlign w:val="center"/>
          </w:tcPr>
          <w:p>
            <w:pPr>
              <w:pStyle w:val="TableContents"/>
              <w:bidi w:val="0"/>
              <w:spacing w:before="0" w:after="283"/>
              <w:jc w:val="left"/>
              <w:rPr/>
            </w:pPr>
            <w:r>
              <w:rPr/>
              <w:t>(2)</w:t>
            </w:r>
          </w:p>
        </w:tc>
        <w:tc>
          <w:tcPr>
            <w:tcW w:w="9969" w:type="dxa"/>
            <w:tcBorders/>
            <w:vAlign w:val="center"/>
          </w:tcPr>
          <w:p>
            <w:pPr>
              <w:pStyle w:val="TableContents"/>
              <w:bidi w:val="0"/>
              <w:spacing w:before="0" w:after="283"/>
              <w:jc w:val="left"/>
              <w:rPr/>
            </w:pPr>
            <w:r>
              <w:rPr/>
              <w:t>Reflects the portion of the directors’ annual retainer paid in cash. Messrs. Oliver, Rogers and Winnefeld, Jr. and Ms. Ramos elected to receive their annual cash retainer in DSUs, as detailed in footnote (3).</w:t>
            </w:r>
          </w:p>
        </w:tc>
      </w:tr>
      <w:tr>
        <w:trPr/>
        <w:tc>
          <w:tcPr>
            <w:tcW w:w="236" w:type="dxa"/>
            <w:tcBorders/>
            <w:vAlign w:val="center"/>
          </w:tcPr>
          <w:p>
            <w:pPr>
              <w:pStyle w:val="TableContents"/>
              <w:bidi w:val="0"/>
              <w:spacing w:before="0" w:after="283"/>
              <w:jc w:val="left"/>
              <w:rPr/>
            </w:pPr>
            <w:r>
              <w:rPr/>
              <w:t>(3)</w:t>
            </w:r>
          </w:p>
        </w:tc>
        <w:tc>
          <w:tcPr>
            <w:tcW w:w="9969" w:type="dxa"/>
            <w:tcBorders/>
            <w:vAlign w:val="center"/>
          </w:tcPr>
          <w:p>
            <w:pPr>
              <w:pStyle w:val="TableContents"/>
              <w:bidi w:val="0"/>
              <w:spacing w:before="0" w:after="283"/>
              <w:jc w:val="left"/>
              <w:rPr/>
            </w:pPr>
            <w:r>
              <w:rPr/>
              <w:t>Reflects the grant date fair value of DSU awards credited to the director’s account, including any portion of the annual cash retainer that the director elected to receive as DSUs. The value of DSU awards is calculated in accordance with FASB ASC Topic 718 using assumptions described in Note 19: Stock Based Compensation, to the Consolidated Financial Statements in RTX’s 2025 Annual Report on Form 10-K. The number of units credited to each director in 2025 was calculated by dividing the value of the award by the NYSE closing price per share of RTX Common Stock on May 1, 2025, which was the date of the 2025 Annual Meeting of Shareowners, or for retainers paid to directors upon joining the Board or being appointed to a leadership role (if applicable), the RTX closing stock price on the grant date. DSU awards are credited with additional units each time the Company pays a dividend to shareowners and are restricted from distribution while a non-employee director serves on the Board.</w:t>
            </w:r>
          </w:p>
        </w:tc>
      </w:tr>
      <w:tr>
        <w:trPr/>
        <w:tc>
          <w:tcPr>
            <w:tcW w:w="236" w:type="dxa"/>
            <w:tcBorders/>
            <w:vAlign w:val="center"/>
          </w:tcPr>
          <w:p>
            <w:pPr>
              <w:pStyle w:val="TableContents"/>
              <w:bidi w:val="0"/>
              <w:spacing w:before="0" w:after="283"/>
              <w:jc w:val="left"/>
              <w:rPr/>
            </w:pPr>
            <w:r>
              <w:rPr/>
              <w:t>(4)</w:t>
            </w:r>
          </w:p>
        </w:tc>
        <w:tc>
          <w:tcPr>
            <w:tcW w:w="9969" w:type="dxa"/>
            <w:tcBorders/>
            <w:vAlign w:val="center"/>
          </w:tcPr>
          <w:p>
            <w:pPr>
              <w:pStyle w:val="TableContents"/>
              <w:bidi w:val="0"/>
              <w:spacing w:before="0" w:after="283"/>
              <w:jc w:val="left"/>
              <w:rPr/>
            </w:pPr>
            <w:r>
              <w:rPr/>
              <w:t>Amounts in this column include incidental benefits and matching contributions to eligible nonprofit organizations under the Company’s matching charitable gift program that covers non-employee directors, as well as Company employees. The Company’s matching charitable gifts paid in 2025 were as follows: Ms. Atkinson, $25,000; Ms. Caret, $25,000; Mr. Harris, Jr., $25,000; Mr. Oliver, $25,000; Ms. Pawlikowski, $4,500; Mr. Reynolds, $25,000; Mr. Rogers, $25,000; and Mr. Winnefeld, Jr., $24,700.</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100" w:type="dxa"/>
          <w:left w:w="0" w:type="dxa"/>
          <w:bottom w:w="0" w:type="dxa"/>
          <w:right w:w="0" w:type="dxa"/>
        </w:tblCellMar>
      </w:tblPr>
      <w:tblGrid>
        <w:gridCol w:w="10205"/>
      </w:tblGrid>
      <w:tr>
        <w:trPr/>
        <w:tc>
          <w:tcPr>
            <w:tcW w:w="10205" w:type="dxa"/>
            <w:tcBorders>
              <w:top w:val="single" w:sz="12" w:space="0" w:color="C12E33"/>
            </w:tcBorders>
            <w:shd w:fill="EDEDEE" w:val="clear"/>
            <w:vAlign w:val="center"/>
          </w:tcPr>
          <w:p>
            <w:pPr>
              <w:pStyle w:val="TableContents"/>
              <w:bidi w:val="0"/>
              <w:jc w:val="left"/>
              <w:rPr>
                <w:b/>
                <w:sz w:val="22"/>
              </w:rPr>
            </w:pPr>
            <w:r>
              <w:rPr>
                <w:b/>
                <w:sz w:val="22"/>
              </w:rPr>
              <w:t>CHANGES TO DIRECTOR COMPENSATION</w:t>
            </w:r>
          </w:p>
          <w:p>
            <w:pPr>
              <w:pStyle w:val="TableContents"/>
              <w:bidi w:val="0"/>
              <w:spacing w:before="200" w:after="200"/>
              <w:ind w:left="200" w:right="200" w:hanging="0"/>
              <w:jc w:val="left"/>
              <w:rPr/>
            </w:pPr>
            <w:r>
              <w:rPr/>
              <w:t>For the May 2025 to May 2026 Board cycle, the Governance Committee increased the base retainer from $325,000 to $345,000 to better align with the competitive market. This change became effective on May 1, 2025, the date of the 2025 Annual Meeting of Shareowners. In 2025, the Governance Committee conducted a review of director compensation for the May 2026 to May 2027 Board cycle and determined that no changes were necessary at that time.</w:t>
            </w:r>
          </w:p>
        </w:tc>
      </w:tr>
    </w:tbl>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15"/>
        </w:rPr>
      </w:pPr>
      <w:r>
        <w:rPr>
          <w:rFonts w:ascii="Arial;Helvetica;Sans-Serif" w:hAnsi="Arial;Helvetica;Sans-Serif"/>
          <w:b/>
          <w:i w:val="false"/>
          <w:caps w:val="false"/>
          <w:smallCaps w:val="false"/>
          <w:sz w:val="15"/>
        </w:rPr>
        <w:t>34    RTX</w:t>
      </w:r>
      <w:r>
        <w:rPr>
          <w:rFonts w:ascii="Arial;Helvetica;Sans-Serif" w:hAnsi="Arial;Helvetica;Sans-Serif"/>
          <w:b w:val="false"/>
          <w:i w:val="false"/>
          <w:caps w:val="false"/>
          <w:smallCaps w:val="false"/>
          <w:sz w:val="15"/>
        </w:rPr>
        <w:t xml:space="preserve"> 2026 PROXY STATEMENT</w:t>
      </w:r>
    </w:p>
    <w:p>
      <w:pPr>
        <w:pStyle w:val="HorizontalLine"/>
        <w:pBdr>
          <w:bottom w:val="double" w:sz="2" w:space="0" w:color="808080"/>
        </w:pBdr>
        <w:bidi w:val="0"/>
        <w:spacing w:before="0" w:after="283"/>
        <w:jc w:val="left"/>
        <w:rPr/>
      </w:pPr>
      <w:r>
        <w:rPr/>
      </w:r>
    </w:p>
    <w:p>
      <w:pPr>
        <w:pStyle w:val="TextBody"/>
        <w:bidi w:val="0"/>
        <w:spacing w:before="200" w:after="200"/>
        <w:jc w:val="left"/>
        <w:rPr/>
      </w:pPr>
      <w:hyperlink w:anchor="toc">
        <w:r>
          <w:rPr>
            <w:rStyle w:val="InternetLink"/>
            <w:rFonts w:ascii="Arial;Helvetica;Sans-Serif" w:hAnsi="Arial;Helvetica;Sans-Serif"/>
            <w:b/>
            <w:i w:val="false"/>
            <w:caps w:val="false"/>
            <w:smallCaps w:val="false"/>
            <w:sz w:val="16"/>
          </w:rPr>
          <w:t>Table of Contents</w:t>
        </w:r>
      </w:hyperlink>
    </w:p>
    <w:p>
      <w:pPr>
        <w:pStyle w:val="TextBody"/>
        <w:bidi w:val="0"/>
        <w:jc w:val="left"/>
        <w:rPr>
          <w:rFonts w:ascii="Arial;Helvetica;Sans-Serif" w:hAnsi="Arial;Helvetica;Sans-Serif"/>
          <w:b/>
          <w:i w:val="false"/>
          <w:caps w:val="false"/>
          <w:smallCaps w:val="false"/>
          <w:sz w:val="56"/>
        </w:rPr>
      </w:pPr>
      <w:bookmarkStart w:id="11" w:name="rtx014050a007"/>
      <w:bookmarkEnd w:id="11"/>
      <w:r>
        <w:rPr>
          <w:rFonts w:ascii="Arial;Helvetica;Sans-Serif" w:hAnsi="Arial;Helvetica;Sans-Serif"/>
          <w:b/>
          <w:i w:val="false"/>
          <w:caps w:val="false"/>
          <w:smallCaps w:val="false"/>
          <w:sz w:val="56"/>
        </w:rPr>
        <w:t>Share Ownership</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i w:val="false"/>
          <w:caps w:val="false"/>
          <w:smallCaps w:val="false"/>
          <w:sz w:val="34"/>
        </w:rPr>
      </w:pPr>
      <w:r>
        <w:rPr>
          <w:rFonts w:ascii="Arial;Helvetica;Sans-Serif" w:hAnsi="Arial;Helvetica;Sans-Serif"/>
          <w:b/>
          <w:i w:val="false"/>
          <w:caps w:val="false"/>
          <w:smallCaps w:val="false"/>
          <w:sz w:val="34"/>
        </w:rPr>
        <w:t>Share Ownership Requirements</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rigorous share ownership requirements, shown below, promote and strengthen the alignment of our non-employee directors and senior management with the interests of our shareowners.</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60" w:type="dxa"/>
          <w:left w:w="0" w:type="dxa"/>
          <w:bottom w:w="0" w:type="dxa"/>
          <w:right w:w="0" w:type="dxa"/>
        </w:tblCellMar>
      </w:tblPr>
      <w:tblGrid>
        <w:gridCol w:w="1949"/>
        <w:gridCol w:w="60"/>
        <w:gridCol w:w="2550"/>
        <w:gridCol w:w="60"/>
        <w:gridCol w:w="2277"/>
        <w:gridCol w:w="60"/>
        <w:gridCol w:w="1692"/>
        <w:gridCol w:w="60"/>
        <w:gridCol w:w="1497"/>
      </w:tblGrid>
      <w:tr>
        <w:trPr/>
        <w:tc>
          <w:tcPr>
            <w:tcW w:w="1949" w:type="dxa"/>
            <w:tcBorders>
              <w:top w:val="single" w:sz="12" w:space="0" w:color="C12E33"/>
            </w:tcBorders>
            <w:shd w:fill="EDEDEE" w:val="clear"/>
            <w:vAlign w:val="center"/>
          </w:tcPr>
          <w:p>
            <w:pPr>
              <w:pStyle w:val="TableContents"/>
              <w:bidi w:val="0"/>
              <w:spacing w:before="0" w:after="283"/>
              <w:jc w:val="left"/>
              <w:rPr/>
            </w:pPr>
            <w:r>
              <w:rPr>
                <w:b/>
                <w:sz w:val="50"/>
              </w:rPr>
              <w:t>6x</w:t>
            </w:r>
            <w:r>
              <w:rPr/>
              <w:br/>
              <w:t>base salary for our Chairman &amp; CEO role</w:t>
            </w:r>
          </w:p>
        </w:tc>
        <w:tc>
          <w:tcPr>
            <w:tcW w:w="60" w:type="dxa"/>
            <w:tcBorders/>
            <w:tcMar>
              <w:top w:w="0" w:type="dxa"/>
            </w:tcMar>
            <w:vAlign w:val="center"/>
          </w:tcPr>
          <w:p>
            <w:pPr>
              <w:pStyle w:val="TableContents"/>
              <w:bidi w:val="0"/>
              <w:spacing w:before="0" w:after="283"/>
              <w:jc w:val="left"/>
              <w:rPr/>
            </w:pPr>
            <w:r>
              <w:rPr/>
              <w:t> </w:t>
            </w:r>
          </w:p>
        </w:tc>
        <w:tc>
          <w:tcPr>
            <w:tcW w:w="2550" w:type="dxa"/>
            <w:tcBorders>
              <w:top w:val="single" w:sz="12" w:space="0" w:color="C12E33"/>
            </w:tcBorders>
            <w:shd w:fill="EDEDEE" w:val="clear"/>
            <w:vAlign w:val="center"/>
          </w:tcPr>
          <w:p>
            <w:pPr>
              <w:pStyle w:val="TableContents"/>
              <w:bidi w:val="0"/>
              <w:jc w:val="left"/>
              <w:rPr>
                <w:b/>
                <w:sz w:val="50"/>
              </w:rPr>
            </w:pPr>
            <w:r>
              <w:rPr>
                <w:b/>
                <w:sz w:val="50"/>
              </w:rPr>
              <w:t>5x</w:t>
            </w:r>
          </w:p>
          <w:p>
            <w:pPr>
              <w:pStyle w:val="TableContents"/>
              <w:bidi w:val="0"/>
              <w:spacing w:before="0" w:after="283"/>
              <w:jc w:val="left"/>
              <w:rPr/>
            </w:pPr>
            <w:r>
              <w:rPr/>
              <w:t>annual base cash retainer for non-employee directors</w:t>
            </w:r>
          </w:p>
        </w:tc>
        <w:tc>
          <w:tcPr>
            <w:tcW w:w="60" w:type="dxa"/>
            <w:tcBorders/>
            <w:tcMar>
              <w:top w:w="0" w:type="dxa"/>
            </w:tcMar>
            <w:vAlign w:val="center"/>
          </w:tcPr>
          <w:p>
            <w:pPr>
              <w:pStyle w:val="TableContents"/>
              <w:bidi w:val="0"/>
              <w:spacing w:before="0" w:after="283"/>
              <w:jc w:val="left"/>
              <w:rPr/>
            </w:pPr>
            <w:r>
              <w:rPr/>
              <w:t> </w:t>
            </w:r>
          </w:p>
        </w:tc>
        <w:tc>
          <w:tcPr>
            <w:tcW w:w="2277" w:type="dxa"/>
            <w:tcBorders>
              <w:top w:val="single" w:sz="12" w:space="0" w:color="C12E33"/>
            </w:tcBorders>
            <w:shd w:fill="EDEDEE" w:val="clear"/>
            <w:vAlign w:val="center"/>
          </w:tcPr>
          <w:p>
            <w:pPr>
              <w:pStyle w:val="TableContents"/>
              <w:bidi w:val="0"/>
              <w:spacing w:before="0" w:after="283"/>
              <w:jc w:val="left"/>
              <w:rPr/>
            </w:pPr>
            <w:r>
              <w:rPr>
                <w:b/>
                <w:sz w:val="50"/>
              </w:rPr>
              <w:t>4x</w:t>
            </w:r>
            <w:r>
              <w:rPr/>
              <w:br/>
              <w:t>base salary for our CFO and business unit presidents</w:t>
            </w:r>
          </w:p>
        </w:tc>
        <w:tc>
          <w:tcPr>
            <w:tcW w:w="60" w:type="dxa"/>
            <w:tcBorders/>
            <w:tcMar>
              <w:top w:w="0" w:type="dxa"/>
            </w:tcMar>
            <w:vAlign w:val="center"/>
          </w:tcPr>
          <w:p>
            <w:pPr>
              <w:pStyle w:val="TableContents"/>
              <w:bidi w:val="0"/>
              <w:spacing w:before="0" w:after="283"/>
              <w:jc w:val="left"/>
              <w:rPr/>
            </w:pPr>
            <w:r>
              <w:rPr/>
              <w:t> </w:t>
            </w:r>
          </w:p>
        </w:tc>
        <w:tc>
          <w:tcPr>
            <w:tcW w:w="1692" w:type="dxa"/>
            <w:tcBorders>
              <w:top w:val="single" w:sz="12" w:space="0" w:color="C12E33"/>
            </w:tcBorders>
            <w:shd w:fill="EDEDEE" w:val="clear"/>
            <w:vAlign w:val="center"/>
          </w:tcPr>
          <w:p>
            <w:pPr>
              <w:pStyle w:val="TableContents"/>
              <w:bidi w:val="0"/>
              <w:jc w:val="left"/>
              <w:rPr>
                <w:b/>
                <w:sz w:val="50"/>
              </w:rPr>
            </w:pPr>
            <w:r>
              <w:rPr>
                <w:b/>
                <w:sz w:val="50"/>
              </w:rPr>
              <w:t>3x</w:t>
            </w:r>
          </w:p>
          <w:p>
            <w:pPr>
              <w:pStyle w:val="TableContents"/>
              <w:bidi w:val="0"/>
              <w:spacing w:before="0" w:after="283"/>
              <w:jc w:val="left"/>
              <w:rPr/>
            </w:pPr>
            <w:r>
              <w:rPr/>
              <w:t>base salary for other ELG members</w:t>
            </w:r>
          </w:p>
        </w:tc>
        <w:tc>
          <w:tcPr>
            <w:tcW w:w="60" w:type="dxa"/>
            <w:tcBorders/>
            <w:tcMar>
              <w:top w:w="0" w:type="dxa"/>
            </w:tcMar>
            <w:vAlign w:val="center"/>
          </w:tcPr>
          <w:p>
            <w:pPr>
              <w:pStyle w:val="TableContents"/>
              <w:bidi w:val="0"/>
              <w:spacing w:before="0" w:after="283"/>
              <w:jc w:val="left"/>
              <w:rPr/>
            </w:pPr>
            <w:r>
              <w:rPr/>
              <w:t> </w:t>
            </w:r>
          </w:p>
        </w:tc>
        <w:tc>
          <w:tcPr>
            <w:tcW w:w="1497" w:type="dxa"/>
            <w:tcBorders>
              <w:top w:val="single" w:sz="12" w:space="0" w:color="C12E33"/>
            </w:tcBorders>
            <w:shd w:fill="EDEDEE" w:val="clear"/>
            <w:vAlign w:val="center"/>
          </w:tcPr>
          <w:p>
            <w:pPr>
              <w:pStyle w:val="TableContents"/>
              <w:bidi w:val="0"/>
              <w:spacing w:before="0" w:after="283"/>
              <w:jc w:val="left"/>
              <w:rPr/>
            </w:pPr>
            <w:r>
              <w:rPr>
                <w:b/>
                <w:sz w:val="50"/>
              </w:rPr>
              <w:t>2x</w:t>
            </w:r>
            <w:r>
              <w:rPr/>
              <w:br/>
              <w:t>base salary for other officers</w:t>
            </w:r>
            <w:r>
              <w:rPr>
                <w:position w:val="8"/>
                <w:sz w:val="19"/>
              </w:rPr>
              <w:t>(1)</w:t>
            </w:r>
          </w:p>
        </w:tc>
      </w:tr>
    </w:tbl>
    <w:p>
      <w:pPr>
        <w:pStyle w:val="TextBody"/>
        <w:bidi w:val="0"/>
        <w:ind w:left="0" w:right="0" w:firstLine="72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For the purposes of determining compliance with the RTX Share Ownership Policy, shares are defined as RTX Common Stock held outright (by the executive/director or their spouse), RSUs, restricted stock awards and shares or share equivalents held in a Company savings plan or deferred compensation plan. Stock options, stock appreciation rights (“SARs”) and PSUs are excluded from the definition of shares under the RTX Share Ownership Policy.</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Non-employee directors must achieve their required ownership level within five years of joining the Board, and ELG members (including the NEOs) must achieve their ownership levels within five years of appointment to the ELG or a role requiring a higher level of ownership. Other officers who are not ELG members must achieve their ownership levels within five years of appointment to an officer role. An individual who has not reached the applicable ownership level after this five-year period is not permitted to sell RTX shares until that ownership level is achieved. All directors, ELG members and other officers currently comply with their respective ownership requirements or are on track to meet them within the five-year period.</w:t>
      </w:r>
    </w:p>
    <w:p>
      <w:pPr>
        <w:pStyle w:val="TextBody"/>
        <w:bidi w:val="0"/>
        <w:jc w:val="left"/>
        <w:rPr>
          <w:caps w:val="false"/>
          <w:smallCaps w:val="false"/>
        </w:rPr>
      </w:pPr>
      <w:r>
        <w:rPr>
          <w:caps w:val="false"/>
          <w:smallCaps w:val="false"/>
        </w:rPr>
        <w:t> </w:t>
      </w:r>
    </w:p>
    <w:tbl>
      <w:tblPr>
        <w:tblW w:w="4345" w:type="dxa"/>
        <w:jc w:val="left"/>
        <w:tblInd w:w="0" w:type="dxa"/>
        <w:tblLayout w:type="fixed"/>
        <w:tblCellMar>
          <w:top w:w="0" w:type="dxa"/>
          <w:left w:w="0" w:type="dxa"/>
          <w:bottom w:w="0" w:type="dxa"/>
          <w:right w:w="0" w:type="dxa"/>
        </w:tblCellMar>
      </w:tblPr>
      <w:tblGrid>
        <w:gridCol w:w="305"/>
        <w:gridCol w:w="4040"/>
      </w:tblGrid>
      <w:tr>
        <w:trPr/>
        <w:tc>
          <w:tcPr>
            <w:tcW w:w="305" w:type="dxa"/>
            <w:tcBorders/>
            <w:vAlign w:val="center"/>
          </w:tcPr>
          <w:p>
            <w:pPr>
              <w:pStyle w:val="TableContents"/>
              <w:bidi w:val="0"/>
              <w:spacing w:before="0" w:after="283"/>
              <w:jc w:val="right"/>
              <w:rPr/>
            </w:pPr>
            <w:r>
              <w:rPr/>
              <w:t>(1)</w:t>
            </w:r>
          </w:p>
        </w:tc>
        <w:tc>
          <w:tcPr>
            <w:tcW w:w="4040" w:type="dxa"/>
            <w:tcBorders/>
            <w:vAlign w:val="center"/>
          </w:tcPr>
          <w:p>
            <w:pPr>
              <w:pStyle w:val="TableContents"/>
              <w:bidi w:val="0"/>
              <w:spacing w:before="0" w:after="283"/>
              <w:jc w:val="both"/>
              <w:rPr/>
            </w:pPr>
            <w:r>
              <w:rPr/>
              <w:t>Other officers who are not ELG members.</w:t>
            </w:r>
          </w:p>
        </w:tc>
      </w:tr>
    </w:tbl>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i w:val="false"/>
          <w:caps w:val="false"/>
          <w:smallCaps w:val="false"/>
          <w:sz w:val="34"/>
        </w:rPr>
      </w:pPr>
      <w:r>
        <w:rPr>
          <w:rFonts w:ascii="Arial;Helvetica;Sans-Serif" w:hAnsi="Arial;Helvetica;Sans-Serif"/>
          <w:b/>
          <w:i w:val="false"/>
          <w:caps w:val="false"/>
          <w:smallCaps w:val="false"/>
          <w:sz w:val="34"/>
        </w:rPr>
        <w:t>Beneficial Share Ownership of Directors and Executive Officers</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following table shows the beneficial ownership of RTX Common Stock as of February 17, 2026, for: (i) each director and nominee; (ii) each NEO; and (iii) the directors and executive officers as a group. None of these individuals or the group as a whole beneficially owned more than 1% of RTX Common Stock as of that date. Unless otherwise noted, each person named in the table has sole voting power and sole investment power.</w:t>
      </w:r>
    </w:p>
    <w:p>
      <w:pPr>
        <w:pStyle w:val="TextBody"/>
        <w:bidi w:val="0"/>
        <w:jc w:val="left"/>
        <w:rPr>
          <w:caps w:val="false"/>
          <w:smallCaps w:val="false"/>
        </w:rPr>
      </w:pPr>
      <w:r>
        <w:rPr>
          <w:caps w:val="false"/>
          <w:smallCaps w:val="false"/>
        </w:rPr>
        <w:t> </w:t>
      </w:r>
    </w:p>
    <w:tbl>
      <w:tblPr>
        <w:tblW w:w="10025" w:type="dxa"/>
        <w:jc w:val="left"/>
        <w:tblInd w:w="0" w:type="dxa"/>
        <w:tblLayout w:type="fixed"/>
        <w:tblCellMar>
          <w:top w:w="0" w:type="dxa"/>
          <w:left w:w="0" w:type="dxa"/>
          <w:bottom w:w="40" w:type="dxa"/>
          <w:right w:w="0" w:type="dxa"/>
        </w:tblCellMar>
      </w:tblPr>
      <w:tblGrid>
        <w:gridCol w:w="2047"/>
        <w:gridCol w:w="377"/>
        <w:gridCol w:w="1385"/>
        <w:gridCol w:w="377"/>
        <w:gridCol w:w="1896"/>
        <w:gridCol w:w="377"/>
        <w:gridCol w:w="1896"/>
        <w:gridCol w:w="300"/>
        <w:gridCol w:w="1370"/>
      </w:tblGrid>
      <w:tr>
        <w:trPr/>
        <w:tc>
          <w:tcPr>
            <w:tcW w:w="2047" w:type="dxa"/>
            <w:tcBorders>
              <w:bottom w:val="single" w:sz="12" w:space="0" w:color="C12E33"/>
            </w:tcBorders>
            <w:vAlign w:val="center"/>
          </w:tcPr>
          <w:p>
            <w:pPr>
              <w:pStyle w:val="TableContents"/>
              <w:bidi w:val="0"/>
              <w:spacing w:before="0" w:after="283"/>
              <w:jc w:val="left"/>
              <w:rPr>
                <w:color w:val="636466"/>
                <w:sz w:val="15"/>
              </w:rPr>
            </w:pPr>
            <w:r>
              <w:rPr>
                <w:color w:val="636466"/>
                <w:sz w:val="15"/>
              </w:rPr>
              <w:t>Name of Beneficial Owner</w:t>
            </w:r>
          </w:p>
        </w:tc>
        <w:tc>
          <w:tcPr>
            <w:tcW w:w="377" w:type="dxa"/>
            <w:tcBorders>
              <w:bottom w:val="single" w:sz="12" w:space="0" w:color="C12E33"/>
            </w:tcBorders>
            <w:vAlign w:val="center"/>
          </w:tcPr>
          <w:p>
            <w:pPr>
              <w:pStyle w:val="TableContents"/>
              <w:bidi w:val="0"/>
              <w:spacing w:before="0" w:after="283"/>
              <w:jc w:val="left"/>
              <w:rPr/>
            </w:pPr>
            <w:r>
              <w:rPr/>
              <w:t>     </w:t>
            </w:r>
          </w:p>
        </w:tc>
        <w:tc>
          <w:tcPr>
            <w:tcW w:w="1385" w:type="dxa"/>
            <w:tcBorders>
              <w:bottom w:val="single" w:sz="12" w:space="0" w:color="C12E33"/>
            </w:tcBorders>
            <w:vAlign w:val="center"/>
          </w:tcPr>
          <w:p>
            <w:pPr>
              <w:pStyle w:val="TableContents"/>
              <w:bidi w:val="0"/>
              <w:spacing w:before="0" w:after="283"/>
              <w:jc w:val="right"/>
              <w:rPr>
                <w:color w:val="636466"/>
                <w:sz w:val="15"/>
              </w:rPr>
            </w:pPr>
            <w:r>
              <w:rPr>
                <w:color w:val="636466"/>
                <w:sz w:val="15"/>
              </w:rPr>
              <w:t>SARs Exercisable</w:t>
              <w:br/>
              <w:t>within 60 days</w:t>
            </w:r>
            <w:r>
              <w:rPr>
                <w:color w:val="636466"/>
                <w:position w:val="5"/>
                <w:sz w:val="12"/>
                <w:sz w:val="15"/>
              </w:rPr>
              <w:t>(1)</w:t>
            </w:r>
          </w:p>
        </w:tc>
        <w:tc>
          <w:tcPr>
            <w:tcW w:w="377" w:type="dxa"/>
            <w:tcBorders>
              <w:bottom w:val="single" w:sz="12" w:space="0" w:color="C12E33"/>
            </w:tcBorders>
            <w:vAlign w:val="center"/>
          </w:tcPr>
          <w:p>
            <w:pPr>
              <w:pStyle w:val="TableContents"/>
              <w:bidi w:val="0"/>
              <w:spacing w:before="0" w:after="283"/>
              <w:jc w:val="left"/>
              <w:rPr/>
            </w:pPr>
            <w:r>
              <w:rPr/>
              <w:t>     </w:t>
            </w:r>
          </w:p>
        </w:tc>
        <w:tc>
          <w:tcPr>
            <w:tcW w:w="1896" w:type="dxa"/>
            <w:tcBorders>
              <w:bottom w:val="single" w:sz="12" w:space="0" w:color="C12E33"/>
            </w:tcBorders>
            <w:vAlign w:val="center"/>
          </w:tcPr>
          <w:p>
            <w:pPr>
              <w:pStyle w:val="TableContents"/>
              <w:bidi w:val="0"/>
              <w:spacing w:before="0" w:after="283"/>
              <w:jc w:val="right"/>
              <w:rPr/>
            </w:pPr>
            <w:r>
              <w:rPr>
                <w:color w:val="636466"/>
                <w:sz w:val="15"/>
              </w:rPr>
              <w:t>RSUs Convertible to</w:t>
            </w:r>
            <w:r>
              <w:rPr/>
              <w:t xml:space="preserve"> </w:t>
            </w:r>
            <w:r>
              <w:rPr>
                <w:sz w:val="15"/>
              </w:rPr>
              <w:br/>
            </w:r>
            <w:r>
              <w:rPr>
                <w:color w:val="636466"/>
                <w:sz w:val="15"/>
              </w:rPr>
              <w:t>Shares within 60 days</w:t>
            </w:r>
            <w:r>
              <w:rPr>
                <w:color w:val="636466"/>
                <w:position w:val="5"/>
                <w:sz w:val="12"/>
                <w:sz w:val="15"/>
              </w:rPr>
              <w:t>(2)</w:t>
            </w:r>
          </w:p>
        </w:tc>
        <w:tc>
          <w:tcPr>
            <w:tcW w:w="377" w:type="dxa"/>
            <w:tcBorders>
              <w:bottom w:val="single" w:sz="12" w:space="0" w:color="C12E33"/>
            </w:tcBorders>
            <w:vAlign w:val="center"/>
          </w:tcPr>
          <w:p>
            <w:pPr>
              <w:pStyle w:val="TableContents"/>
              <w:bidi w:val="0"/>
              <w:spacing w:before="0" w:after="283"/>
              <w:jc w:val="left"/>
              <w:rPr/>
            </w:pPr>
            <w:r>
              <w:rPr/>
              <w:t>     </w:t>
            </w:r>
          </w:p>
        </w:tc>
        <w:tc>
          <w:tcPr>
            <w:tcW w:w="1896" w:type="dxa"/>
            <w:tcBorders>
              <w:bottom w:val="single" w:sz="12" w:space="0" w:color="C12E33"/>
            </w:tcBorders>
            <w:vAlign w:val="center"/>
          </w:tcPr>
          <w:p>
            <w:pPr>
              <w:pStyle w:val="TableContents"/>
              <w:bidi w:val="0"/>
              <w:spacing w:before="0" w:after="283"/>
              <w:jc w:val="right"/>
              <w:rPr/>
            </w:pPr>
            <w:r>
              <w:rPr>
                <w:color w:val="636466"/>
                <w:sz w:val="15"/>
              </w:rPr>
              <w:t>DSUs Convertible to</w:t>
            </w:r>
            <w:r>
              <w:rPr/>
              <w:t xml:space="preserve"> </w:t>
            </w:r>
            <w:r>
              <w:rPr>
                <w:sz w:val="15"/>
              </w:rPr>
              <w:br/>
            </w:r>
            <w:r>
              <w:rPr>
                <w:color w:val="636466"/>
                <w:sz w:val="15"/>
              </w:rPr>
              <w:t>Shares within 60 days</w:t>
            </w:r>
            <w:r>
              <w:rPr>
                <w:color w:val="636466"/>
                <w:position w:val="5"/>
                <w:sz w:val="12"/>
                <w:sz w:val="15"/>
              </w:rPr>
              <w:t>(3)</w:t>
            </w:r>
          </w:p>
        </w:tc>
        <w:tc>
          <w:tcPr>
            <w:tcW w:w="300" w:type="dxa"/>
            <w:tcBorders>
              <w:bottom w:val="single" w:sz="12" w:space="0" w:color="C12E33"/>
            </w:tcBorders>
            <w:vAlign w:val="center"/>
          </w:tcPr>
          <w:p>
            <w:pPr>
              <w:pStyle w:val="TableContents"/>
              <w:bidi w:val="0"/>
              <w:spacing w:before="0" w:after="283"/>
              <w:jc w:val="left"/>
              <w:rPr/>
            </w:pPr>
            <w:r>
              <w:rPr/>
              <w:t>     </w:t>
            </w:r>
          </w:p>
        </w:tc>
        <w:tc>
          <w:tcPr>
            <w:tcW w:w="1370" w:type="dxa"/>
            <w:tcBorders>
              <w:bottom w:val="single" w:sz="12" w:space="0" w:color="C12E33"/>
            </w:tcBorders>
            <w:vAlign w:val="center"/>
          </w:tcPr>
          <w:p>
            <w:pPr>
              <w:pStyle w:val="TableContents"/>
              <w:bidi w:val="0"/>
              <w:spacing w:before="0" w:after="283"/>
              <w:jc w:val="right"/>
              <w:rPr/>
            </w:pPr>
            <w:r>
              <w:rPr>
                <w:color w:val="636466"/>
                <w:sz w:val="15"/>
              </w:rPr>
              <w:t xml:space="preserve">Total Shares </w:t>
            </w:r>
            <w:r>
              <w:rPr>
                <w:sz w:val="15"/>
              </w:rPr>
              <w:br/>
            </w:r>
            <w:r>
              <w:rPr>
                <w:color w:val="636466"/>
                <w:sz w:val="15"/>
              </w:rPr>
              <w:t>Beneficially Owned</w:t>
            </w:r>
            <w:r>
              <w:rPr>
                <w:color w:val="636466"/>
                <w:position w:val="5"/>
                <w:sz w:val="12"/>
                <w:sz w:val="15"/>
              </w:rPr>
              <w:t>(4)</w:t>
            </w:r>
          </w:p>
        </w:tc>
      </w:tr>
      <w:tr>
        <w:trPr/>
        <w:tc>
          <w:tcPr>
            <w:tcW w:w="8355" w:type="dxa"/>
            <w:gridSpan w:val="7"/>
            <w:tcBorders>
              <w:bottom w:val="single" w:sz="2" w:space="0" w:color="000000"/>
            </w:tcBorders>
            <w:vAlign w:val="center"/>
          </w:tcPr>
          <w:p>
            <w:pPr>
              <w:pStyle w:val="TableContents"/>
              <w:bidi w:val="0"/>
              <w:spacing w:before="0" w:after="283"/>
              <w:jc w:val="left"/>
              <w:rPr>
                <w:b/>
              </w:rPr>
            </w:pPr>
            <w:r>
              <w:rPr>
                <w:b/>
              </w:rPr>
              <w:t>Each director as of February 17, 2026, including the Chairman, President &amp; CEO</w:t>
            </w:r>
          </w:p>
        </w:tc>
        <w:tc>
          <w:tcPr>
            <w:tcW w:w="300" w:type="dxa"/>
            <w:tcBorders>
              <w:bottom w:val="single" w:sz="2" w:space="0" w:color="000000"/>
            </w:tcBorders>
            <w:vAlign w:val="center"/>
          </w:tcPr>
          <w:p>
            <w:pPr>
              <w:pStyle w:val="TableContents"/>
              <w:bidi w:val="0"/>
              <w:spacing w:before="0" w:after="283"/>
              <w:jc w:val="left"/>
              <w:rPr/>
            </w:pPr>
            <w:r>
              <w:rPr/>
              <w:t> </w:t>
            </w:r>
          </w:p>
        </w:tc>
        <w:tc>
          <w:tcPr>
            <w:tcW w:w="1370" w:type="dxa"/>
            <w:tcBorders>
              <w:bottom w:val="single" w:sz="2" w:space="0" w:color="000000"/>
            </w:tcBorders>
            <w:vAlign w:val="center"/>
          </w:tcPr>
          <w:p>
            <w:pPr>
              <w:pStyle w:val="TableContents"/>
              <w:bidi w:val="0"/>
              <w:spacing w:before="0" w:after="283"/>
              <w:jc w:val="left"/>
              <w:rPr/>
            </w:pPr>
            <w:r>
              <w:rPr/>
              <w:t> </w:t>
            </w:r>
          </w:p>
        </w:tc>
      </w:tr>
      <w:tr>
        <w:trPr/>
        <w:tc>
          <w:tcPr>
            <w:tcW w:w="2047" w:type="dxa"/>
            <w:tcBorders>
              <w:bottom w:val="single" w:sz="2" w:space="0" w:color="000000"/>
            </w:tcBorders>
            <w:vAlign w:val="center"/>
          </w:tcPr>
          <w:p>
            <w:pPr>
              <w:pStyle w:val="TableContents"/>
              <w:bidi w:val="0"/>
              <w:spacing w:before="0" w:after="283"/>
              <w:jc w:val="left"/>
              <w:rPr/>
            </w:pPr>
            <w:r>
              <w:rPr/>
              <w:t>T. Atkinson</w:t>
            </w:r>
          </w:p>
        </w:tc>
        <w:tc>
          <w:tcPr>
            <w:tcW w:w="377" w:type="dxa"/>
            <w:tcBorders>
              <w:bottom w:val="single" w:sz="2" w:space="0" w:color="000000"/>
            </w:tcBorders>
            <w:vAlign w:val="center"/>
          </w:tcPr>
          <w:p>
            <w:pPr>
              <w:pStyle w:val="TableContents"/>
              <w:bidi w:val="0"/>
              <w:spacing w:before="0" w:after="283"/>
              <w:jc w:val="left"/>
              <w:rPr/>
            </w:pPr>
            <w:r>
              <w:rPr/>
              <w:t> </w:t>
            </w:r>
          </w:p>
        </w:tc>
        <w:tc>
          <w:tcPr>
            <w:tcW w:w="1385" w:type="dxa"/>
            <w:tcBorders>
              <w:bottom w:val="single" w:sz="2" w:space="0" w:color="000000"/>
            </w:tcBorders>
            <w:vAlign w:val="center"/>
          </w:tcPr>
          <w:p>
            <w:pPr>
              <w:pStyle w:val="TableContents"/>
              <w:bidi w:val="0"/>
              <w:spacing w:before="0" w:after="283"/>
              <w:jc w:val="right"/>
              <w:rPr/>
            </w:pPr>
            <w:r>
              <w:rPr/>
              <w:t>–</w:t>
            </w:r>
          </w:p>
        </w:tc>
        <w:tc>
          <w:tcPr>
            <w:tcW w:w="377" w:type="dxa"/>
            <w:tcBorders>
              <w:bottom w:val="single" w:sz="2" w:space="0" w:color="000000"/>
            </w:tcBorders>
            <w:vAlign w:val="center"/>
          </w:tcPr>
          <w:p>
            <w:pPr>
              <w:pStyle w:val="TableContents"/>
              <w:bidi w:val="0"/>
              <w:spacing w:before="0" w:after="283"/>
              <w:jc w:val="left"/>
              <w:rPr/>
            </w:pPr>
            <w:r>
              <w:rPr/>
              <w:t> </w:t>
            </w:r>
          </w:p>
        </w:tc>
        <w:tc>
          <w:tcPr>
            <w:tcW w:w="1896" w:type="dxa"/>
            <w:tcBorders>
              <w:bottom w:val="single" w:sz="2" w:space="0" w:color="000000"/>
            </w:tcBorders>
            <w:vAlign w:val="center"/>
          </w:tcPr>
          <w:p>
            <w:pPr>
              <w:pStyle w:val="TableContents"/>
              <w:bidi w:val="0"/>
              <w:spacing w:before="0" w:after="283"/>
              <w:jc w:val="right"/>
              <w:rPr/>
            </w:pPr>
            <w:r>
              <w:rPr/>
              <w:t>–</w:t>
            </w:r>
          </w:p>
        </w:tc>
        <w:tc>
          <w:tcPr>
            <w:tcW w:w="377" w:type="dxa"/>
            <w:tcBorders>
              <w:bottom w:val="single" w:sz="2" w:space="0" w:color="000000"/>
            </w:tcBorders>
            <w:vAlign w:val="center"/>
          </w:tcPr>
          <w:p>
            <w:pPr>
              <w:pStyle w:val="TableContents"/>
              <w:bidi w:val="0"/>
              <w:spacing w:before="0" w:after="283"/>
              <w:jc w:val="left"/>
              <w:rPr/>
            </w:pPr>
            <w:r>
              <w:rPr/>
              <w:t> </w:t>
            </w:r>
          </w:p>
        </w:tc>
        <w:tc>
          <w:tcPr>
            <w:tcW w:w="1896" w:type="dxa"/>
            <w:tcBorders>
              <w:bottom w:val="single" w:sz="2" w:space="0" w:color="000000"/>
            </w:tcBorders>
            <w:vAlign w:val="center"/>
          </w:tcPr>
          <w:p>
            <w:pPr>
              <w:pStyle w:val="TableContents"/>
              <w:bidi w:val="0"/>
              <w:spacing w:before="0" w:after="283"/>
              <w:jc w:val="right"/>
              <w:rPr/>
            </w:pPr>
            <w:r>
              <w:rPr/>
              <w:t>15,322</w:t>
            </w:r>
          </w:p>
        </w:tc>
        <w:tc>
          <w:tcPr>
            <w:tcW w:w="300" w:type="dxa"/>
            <w:tcBorders>
              <w:bottom w:val="single" w:sz="2" w:space="0" w:color="000000"/>
            </w:tcBorders>
            <w:vAlign w:val="center"/>
          </w:tcPr>
          <w:p>
            <w:pPr>
              <w:pStyle w:val="TableContents"/>
              <w:bidi w:val="0"/>
              <w:spacing w:before="0" w:after="283"/>
              <w:jc w:val="left"/>
              <w:rPr/>
            </w:pPr>
            <w:r>
              <w:rPr/>
              <w:t> </w:t>
            </w:r>
          </w:p>
        </w:tc>
        <w:tc>
          <w:tcPr>
            <w:tcW w:w="1370" w:type="dxa"/>
            <w:tcBorders>
              <w:bottom w:val="single" w:sz="2" w:space="0" w:color="000000"/>
            </w:tcBorders>
            <w:vAlign w:val="center"/>
          </w:tcPr>
          <w:p>
            <w:pPr>
              <w:pStyle w:val="TableContents"/>
              <w:bidi w:val="0"/>
              <w:spacing w:before="0" w:after="283"/>
              <w:jc w:val="right"/>
              <w:rPr/>
            </w:pPr>
            <w:r>
              <w:rPr/>
              <w:t>19,402</w:t>
            </w:r>
          </w:p>
        </w:tc>
      </w:tr>
      <w:tr>
        <w:trPr/>
        <w:tc>
          <w:tcPr>
            <w:tcW w:w="2047" w:type="dxa"/>
            <w:tcBorders>
              <w:bottom w:val="single" w:sz="2" w:space="0" w:color="000000"/>
            </w:tcBorders>
            <w:vAlign w:val="center"/>
          </w:tcPr>
          <w:p>
            <w:pPr>
              <w:pStyle w:val="TableContents"/>
              <w:bidi w:val="0"/>
              <w:spacing w:before="0" w:after="283"/>
              <w:jc w:val="left"/>
              <w:rPr/>
            </w:pPr>
            <w:r>
              <w:rPr/>
              <w:t>C. Calio</w:t>
            </w:r>
          </w:p>
        </w:tc>
        <w:tc>
          <w:tcPr>
            <w:tcW w:w="377" w:type="dxa"/>
            <w:tcBorders>
              <w:bottom w:val="single" w:sz="2" w:space="0" w:color="000000"/>
            </w:tcBorders>
            <w:vAlign w:val="center"/>
          </w:tcPr>
          <w:p>
            <w:pPr>
              <w:pStyle w:val="TableContents"/>
              <w:bidi w:val="0"/>
              <w:spacing w:before="0" w:after="283"/>
              <w:jc w:val="left"/>
              <w:rPr/>
            </w:pPr>
            <w:r>
              <w:rPr/>
              <w:t> </w:t>
            </w:r>
          </w:p>
        </w:tc>
        <w:tc>
          <w:tcPr>
            <w:tcW w:w="1385" w:type="dxa"/>
            <w:tcBorders>
              <w:bottom w:val="single" w:sz="2" w:space="0" w:color="000000"/>
            </w:tcBorders>
            <w:vAlign w:val="center"/>
          </w:tcPr>
          <w:p>
            <w:pPr>
              <w:pStyle w:val="TableContents"/>
              <w:bidi w:val="0"/>
              <w:spacing w:before="0" w:after="283"/>
              <w:jc w:val="right"/>
              <w:rPr/>
            </w:pPr>
            <w:r>
              <w:rPr/>
              <w:t>291,304</w:t>
            </w:r>
          </w:p>
        </w:tc>
        <w:tc>
          <w:tcPr>
            <w:tcW w:w="377" w:type="dxa"/>
            <w:tcBorders>
              <w:bottom w:val="single" w:sz="2" w:space="0" w:color="000000"/>
            </w:tcBorders>
            <w:vAlign w:val="center"/>
          </w:tcPr>
          <w:p>
            <w:pPr>
              <w:pStyle w:val="TableContents"/>
              <w:bidi w:val="0"/>
              <w:spacing w:before="0" w:after="283"/>
              <w:jc w:val="left"/>
              <w:rPr/>
            </w:pPr>
            <w:r>
              <w:rPr/>
              <w:t> </w:t>
            </w:r>
          </w:p>
        </w:tc>
        <w:tc>
          <w:tcPr>
            <w:tcW w:w="1896" w:type="dxa"/>
            <w:tcBorders>
              <w:bottom w:val="single" w:sz="2" w:space="0" w:color="000000"/>
            </w:tcBorders>
            <w:vAlign w:val="center"/>
          </w:tcPr>
          <w:p>
            <w:pPr>
              <w:pStyle w:val="TableContents"/>
              <w:bidi w:val="0"/>
              <w:spacing w:before="0" w:after="283"/>
              <w:jc w:val="right"/>
              <w:rPr/>
            </w:pPr>
            <w:r>
              <w:rPr/>
              <w:t>–</w:t>
            </w:r>
          </w:p>
        </w:tc>
        <w:tc>
          <w:tcPr>
            <w:tcW w:w="377" w:type="dxa"/>
            <w:tcBorders>
              <w:bottom w:val="single" w:sz="2" w:space="0" w:color="000000"/>
            </w:tcBorders>
            <w:vAlign w:val="center"/>
          </w:tcPr>
          <w:p>
            <w:pPr>
              <w:pStyle w:val="TableContents"/>
              <w:bidi w:val="0"/>
              <w:spacing w:before="0" w:after="283"/>
              <w:jc w:val="left"/>
              <w:rPr/>
            </w:pPr>
            <w:r>
              <w:rPr/>
              <w:t> </w:t>
            </w:r>
          </w:p>
        </w:tc>
        <w:tc>
          <w:tcPr>
            <w:tcW w:w="1896" w:type="dxa"/>
            <w:tcBorders>
              <w:bottom w:val="single" w:sz="2" w:space="0" w:color="000000"/>
            </w:tcBorders>
            <w:vAlign w:val="center"/>
          </w:tcPr>
          <w:p>
            <w:pPr>
              <w:pStyle w:val="TableContents"/>
              <w:bidi w:val="0"/>
              <w:spacing w:before="0" w:after="283"/>
              <w:jc w:val="right"/>
              <w:rPr/>
            </w:pPr>
            <w:r>
              <w:rPr/>
              <w:t>–</w:t>
            </w:r>
          </w:p>
        </w:tc>
        <w:tc>
          <w:tcPr>
            <w:tcW w:w="300" w:type="dxa"/>
            <w:tcBorders>
              <w:bottom w:val="single" w:sz="2" w:space="0" w:color="000000"/>
            </w:tcBorders>
            <w:vAlign w:val="center"/>
          </w:tcPr>
          <w:p>
            <w:pPr>
              <w:pStyle w:val="TableContents"/>
              <w:bidi w:val="0"/>
              <w:spacing w:before="0" w:after="283"/>
              <w:jc w:val="left"/>
              <w:rPr/>
            </w:pPr>
            <w:r>
              <w:rPr/>
              <w:t> </w:t>
            </w:r>
          </w:p>
        </w:tc>
        <w:tc>
          <w:tcPr>
            <w:tcW w:w="1370" w:type="dxa"/>
            <w:tcBorders>
              <w:bottom w:val="single" w:sz="2" w:space="0" w:color="000000"/>
            </w:tcBorders>
            <w:vAlign w:val="center"/>
          </w:tcPr>
          <w:p>
            <w:pPr>
              <w:pStyle w:val="TableContents"/>
              <w:bidi w:val="0"/>
              <w:spacing w:before="0" w:after="283"/>
              <w:jc w:val="right"/>
              <w:rPr/>
            </w:pPr>
            <w:r>
              <w:rPr/>
              <w:t>421,213</w:t>
            </w:r>
          </w:p>
        </w:tc>
      </w:tr>
      <w:tr>
        <w:trPr/>
        <w:tc>
          <w:tcPr>
            <w:tcW w:w="2047" w:type="dxa"/>
            <w:tcBorders>
              <w:bottom w:val="single" w:sz="2" w:space="0" w:color="000000"/>
            </w:tcBorders>
            <w:vAlign w:val="center"/>
          </w:tcPr>
          <w:p>
            <w:pPr>
              <w:pStyle w:val="TableContents"/>
              <w:bidi w:val="0"/>
              <w:spacing w:before="0" w:after="283"/>
              <w:jc w:val="left"/>
              <w:rPr/>
            </w:pPr>
            <w:r>
              <w:rPr/>
              <w:t>L. Caret</w:t>
            </w:r>
          </w:p>
        </w:tc>
        <w:tc>
          <w:tcPr>
            <w:tcW w:w="377" w:type="dxa"/>
            <w:tcBorders>
              <w:bottom w:val="single" w:sz="2" w:space="0" w:color="000000"/>
            </w:tcBorders>
            <w:vAlign w:val="center"/>
          </w:tcPr>
          <w:p>
            <w:pPr>
              <w:pStyle w:val="TableContents"/>
              <w:bidi w:val="0"/>
              <w:spacing w:before="0" w:after="283"/>
              <w:jc w:val="left"/>
              <w:rPr/>
            </w:pPr>
            <w:r>
              <w:rPr/>
              <w:t> </w:t>
            </w:r>
          </w:p>
        </w:tc>
        <w:tc>
          <w:tcPr>
            <w:tcW w:w="1385" w:type="dxa"/>
            <w:tcBorders>
              <w:bottom w:val="single" w:sz="2" w:space="0" w:color="000000"/>
            </w:tcBorders>
            <w:vAlign w:val="center"/>
          </w:tcPr>
          <w:p>
            <w:pPr>
              <w:pStyle w:val="TableContents"/>
              <w:bidi w:val="0"/>
              <w:spacing w:before="0" w:after="283"/>
              <w:jc w:val="right"/>
              <w:rPr/>
            </w:pPr>
            <w:r>
              <w:rPr/>
              <w:t>–</w:t>
            </w:r>
          </w:p>
        </w:tc>
        <w:tc>
          <w:tcPr>
            <w:tcW w:w="377" w:type="dxa"/>
            <w:tcBorders>
              <w:bottom w:val="single" w:sz="2" w:space="0" w:color="000000"/>
            </w:tcBorders>
            <w:vAlign w:val="center"/>
          </w:tcPr>
          <w:p>
            <w:pPr>
              <w:pStyle w:val="TableContents"/>
              <w:bidi w:val="0"/>
              <w:spacing w:before="0" w:after="283"/>
              <w:jc w:val="left"/>
              <w:rPr/>
            </w:pPr>
            <w:r>
              <w:rPr/>
              <w:t> </w:t>
            </w:r>
          </w:p>
        </w:tc>
        <w:tc>
          <w:tcPr>
            <w:tcW w:w="1896" w:type="dxa"/>
            <w:tcBorders>
              <w:bottom w:val="single" w:sz="2" w:space="0" w:color="000000"/>
            </w:tcBorders>
            <w:vAlign w:val="center"/>
          </w:tcPr>
          <w:p>
            <w:pPr>
              <w:pStyle w:val="TableContents"/>
              <w:bidi w:val="0"/>
              <w:spacing w:before="0" w:after="283"/>
              <w:jc w:val="right"/>
              <w:rPr/>
            </w:pPr>
            <w:r>
              <w:rPr/>
              <w:t>–</w:t>
            </w:r>
          </w:p>
        </w:tc>
        <w:tc>
          <w:tcPr>
            <w:tcW w:w="377" w:type="dxa"/>
            <w:tcBorders>
              <w:bottom w:val="single" w:sz="2" w:space="0" w:color="000000"/>
            </w:tcBorders>
            <w:vAlign w:val="center"/>
          </w:tcPr>
          <w:p>
            <w:pPr>
              <w:pStyle w:val="TableContents"/>
              <w:bidi w:val="0"/>
              <w:spacing w:before="0" w:after="283"/>
              <w:jc w:val="left"/>
              <w:rPr/>
            </w:pPr>
            <w:r>
              <w:rPr/>
              <w:t> </w:t>
            </w:r>
          </w:p>
        </w:tc>
        <w:tc>
          <w:tcPr>
            <w:tcW w:w="1896" w:type="dxa"/>
            <w:tcBorders>
              <w:bottom w:val="single" w:sz="2" w:space="0" w:color="000000"/>
            </w:tcBorders>
            <w:vAlign w:val="center"/>
          </w:tcPr>
          <w:p>
            <w:pPr>
              <w:pStyle w:val="TableContents"/>
              <w:bidi w:val="0"/>
              <w:spacing w:before="0" w:after="283"/>
              <w:jc w:val="right"/>
              <w:rPr/>
            </w:pPr>
            <w:r>
              <w:rPr/>
              <w:t>7,400</w:t>
            </w:r>
          </w:p>
        </w:tc>
        <w:tc>
          <w:tcPr>
            <w:tcW w:w="300" w:type="dxa"/>
            <w:tcBorders>
              <w:bottom w:val="single" w:sz="2" w:space="0" w:color="000000"/>
            </w:tcBorders>
            <w:vAlign w:val="center"/>
          </w:tcPr>
          <w:p>
            <w:pPr>
              <w:pStyle w:val="TableContents"/>
              <w:bidi w:val="0"/>
              <w:spacing w:before="0" w:after="283"/>
              <w:jc w:val="left"/>
              <w:rPr/>
            </w:pPr>
            <w:r>
              <w:rPr/>
              <w:t> </w:t>
            </w:r>
          </w:p>
        </w:tc>
        <w:tc>
          <w:tcPr>
            <w:tcW w:w="1370" w:type="dxa"/>
            <w:tcBorders>
              <w:bottom w:val="single" w:sz="2" w:space="0" w:color="000000"/>
            </w:tcBorders>
            <w:vAlign w:val="center"/>
          </w:tcPr>
          <w:p>
            <w:pPr>
              <w:pStyle w:val="TableContents"/>
              <w:bidi w:val="0"/>
              <w:spacing w:before="0" w:after="283"/>
              <w:jc w:val="right"/>
              <w:rPr/>
            </w:pPr>
            <w:r>
              <w:rPr/>
              <w:t>7,400</w:t>
            </w:r>
          </w:p>
        </w:tc>
      </w:tr>
      <w:tr>
        <w:trPr/>
        <w:tc>
          <w:tcPr>
            <w:tcW w:w="2047" w:type="dxa"/>
            <w:tcBorders>
              <w:bottom w:val="single" w:sz="2" w:space="0" w:color="000000"/>
            </w:tcBorders>
            <w:vAlign w:val="center"/>
          </w:tcPr>
          <w:p>
            <w:pPr>
              <w:pStyle w:val="TableContents"/>
              <w:bidi w:val="0"/>
              <w:spacing w:before="0" w:after="283"/>
              <w:jc w:val="left"/>
              <w:rPr/>
            </w:pPr>
            <w:r>
              <w:rPr/>
              <w:t>B. Harris, Jr.</w:t>
            </w:r>
          </w:p>
        </w:tc>
        <w:tc>
          <w:tcPr>
            <w:tcW w:w="377" w:type="dxa"/>
            <w:tcBorders>
              <w:bottom w:val="single" w:sz="2" w:space="0" w:color="000000"/>
            </w:tcBorders>
            <w:vAlign w:val="center"/>
          </w:tcPr>
          <w:p>
            <w:pPr>
              <w:pStyle w:val="TableContents"/>
              <w:bidi w:val="0"/>
              <w:spacing w:before="0" w:after="283"/>
              <w:jc w:val="left"/>
              <w:rPr/>
            </w:pPr>
            <w:r>
              <w:rPr/>
              <w:t> </w:t>
            </w:r>
          </w:p>
        </w:tc>
        <w:tc>
          <w:tcPr>
            <w:tcW w:w="1385" w:type="dxa"/>
            <w:tcBorders>
              <w:bottom w:val="single" w:sz="2" w:space="0" w:color="000000"/>
            </w:tcBorders>
            <w:vAlign w:val="center"/>
          </w:tcPr>
          <w:p>
            <w:pPr>
              <w:pStyle w:val="TableContents"/>
              <w:bidi w:val="0"/>
              <w:spacing w:before="0" w:after="283"/>
              <w:jc w:val="right"/>
              <w:rPr/>
            </w:pPr>
            <w:r>
              <w:rPr/>
              <w:t>–</w:t>
            </w:r>
          </w:p>
        </w:tc>
        <w:tc>
          <w:tcPr>
            <w:tcW w:w="377" w:type="dxa"/>
            <w:tcBorders>
              <w:bottom w:val="single" w:sz="2" w:space="0" w:color="000000"/>
            </w:tcBorders>
            <w:vAlign w:val="center"/>
          </w:tcPr>
          <w:p>
            <w:pPr>
              <w:pStyle w:val="TableContents"/>
              <w:bidi w:val="0"/>
              <w:spacing w:before="0" w:after="283"/>
              <w:jc w:val="left"/>
              <w:rPr/>
            </w:pPr>
            <w:r>
              <w:rPr/>
              <w:t> </w:t>
            </w:r>
          </w:p>
        </w:tc>
        <w:tc>
          <w:tcPr>
            <w:tcW w:w="1896" w:type="dxa"/>
            <w:tcBorders>
              <w:bottom w:val="single" w:sz="2" w:space="0" w:color="000000"/>
            </w:tcBorders>
            <w:vAlign w:val="center"/>
          </w:tcPr>
          <w:p>
            <w:pPr>
              <w:pStyle w:val="TableContents"/>
              <w:bidi w:val="0"/>
              <w:spacing w:before="0" w:after="283"/>
              <w:jc w:val="right"/>
              <w:rPr/>
            </w:pPr>
            <w:r>
              <w:rPr/>
              <w:t>–</w:t>
            </w:r>
          </w:p>
        </w:tc>
        <w:tc>
          <w:tcPr>
            <w:tcW w:w="377" w:type="dxa"/>
            <w:tcBorders>
              <w:bottom w:val="single" w:sz="2" w:space="0" w:color="000000"/>
            </w:tcBorders>
            <w:vAlign w:val="center"/>
          </w:tcPr>
          <w:p>
            <w:pPr>
              <w:pStyle w:val="TableContents"/>
              <w:bidi w:val="0"/>
              <w:spacing w:before="0" w:after="283"/>
              <w:jc w:val="left"/>
              <w:rPr/>
            </w:pPr>
            <w:r>
              <w:rPr/>
              <w:t> </w:t>
            </w:r>
          </w:p>
        </w:tc>
        <w:tc>
          <w:tcPr>
            <w:tcW w:w="1896" w:type="dxa"/>
            <w:tcBorders>
              <w:bottom w:val="single" w:sz="2" w:space="0" w:color="000000"/>
            </w:tcBorders>
            <w:vAlign w:val="center"/>
          </w:tcPr>
          <w:p>
            <w:pPr>
              <w:pStyle w:val="TableContents"/>
              <w:bidi w:val="0"/>
              <w:spacing w:before="0" w:after="283"/>
              <w:jc w:val="right"/>
              <w:rPr/>
            </w:pPr>
            <w:r>
              <w:rPr/>
              <w:t>10,754</w:t>
            </w:r>
          </w:p>
        </w:tc>
        <w:tc>
          <w:tcPr>
            <w:tcW w:w="300" w:type="dxa"/>
            <w:tcBorders>
              <w:bottom w:val="single" w:sz="2" w:space="0" w:color="000000"/>
            </w:tcBorders>
            <w:vAlign w:val="center"/>
          </w:tcPr>
          <w:p>
            <w:pPr>
              <w:pStyle w:val="TableContents"/>
              <w:bidi w:val="0"/>
              <w:spacing w:before="0" w:after="283"/>
              <w:jc w:val="left"/>
              <w:rPr/>
            </w:pPr>
            <w:r>
              <w:rPr/>
              <w:t> </w:t>
            </w:r>
          </w:p>
        </w:tc>
        <w:tc>
          <w:tcPr>
            <w:tcW w:w="1370" w:type="dxa"/>
            <w:tcBorders>
              <w:bottom w:val="single" w:sz="2" w:space="0" w:color="000000"/>
            </w:tcBorders>
            <w:vAlign w:val="center"/>
          </w:tcPr>
          <w:p>
            <w:pPr>
              <w:pStyle w:val="TableContents"/>
              <w:bidi w:val="0"/>
              <w:spacing w:before="0" w:after="283"/>
              <w:jc w:val="right"/>
              <w:rPr/>
            </w:pPr>
            <w:r>
              <w:rPr/>
              <w:t>10,754</w:t>
            </w:r>
          </w:p>
        </w:tc>
      </w:tr>
      <w:tr>
        <w:trPr/>
        <w:tc>
          <w:tcPr>
            <w:tcW w:w="2047" w:type="dxa"/>
            <w:tcBorders>
              <w:bottom w:val="single" w:sz="2" w:space="0" w:color="000000"/>
            </w:tcBorders>
            <w:vAlign w:val="center"/>
          </w:tcPr>
          <w:p>
            <w:pPr>
              <w:pStyle w:val="TableContents"/>
              <w:bidi w:val="0"/>
              <w:spacing w:before="0" w:after="283"/>
              <w:jc w:val="left"/>
              <w:rPr/>
            </w:pPr>
            <w:r>
              <w:rPr/>
              <w:t>G. Oliver</w:t>
            </w:r>
          </w:p>
        </w:tc>
        <w:tc>
          <w:tcPr>
            <w:tcW w:w="377" w:type="dxa"/>
            <w:tcBorders>
              <w:bottom w:val="single" w:sz="2" w:space="0" w:color="000000"/>
            </w:tcBorders>
            <w:vAlign w:val="center"/>
          </w:tcPr>
          <w:p>
            <w:pPr>
              <w:pStyle w:val="TableContents"/>
              <w:bidi w:val="0"/>
              <w:spacing w:before="0" w:after="283"/>
              <w:jc w:val="left"/>
              <w:rPr/>
            </w:pPr>
            <w:r>
              <w:rPr/>
              <w:t> </w:t>
            </w:r>
          </w:p>
        </w:tc>
        <w:tc>
          <w:tcPr>
            <w:tcW w:w="1385" w:type="dxa"/>
            <w:tcBorders>
              <w:bottom w:val="single" w:sz="2" w:space="0" w:color="000000"/>
            </w:tcBorders>
            <w:vAlign w:val="center"/>
          </w:tcPr>
          <w:p>
            <w:pPr>
              <w:pStyle w:val="TableContents"/>
              <w:bidi w:val="0"/>
              <w:spacing w:before="0" w:after="283"/>
              <w:jc w:val="right"/>
              <w:rPr/>
            </w:pPr>
            <w:r>
              <w:rPr/>
              <w:t>–</w:t>
            </w:r>
          </w:p>
        </w:tc>
        <w:tc>
          <w:tcPr>
            <w:tcW w:w="377" w:type="dxa"/>
            <w:tcBorders>
              <w:bottom w:val="single" w:sz="2" w:space="0" w:color="000000"/>
            </w:tcBorders>
            <w:vAlign w:val="center"/>
          </w:tcPr>
          <w:p>
            <w:pPr>
              <w:pStyle w:val="TableContents"/>
              <w:bidi w:val="0"/>
              <w:spacing w:before="0" w:after="283"/>
              <w:jc w:val="left"/>
              <w:rPr/>
            </w:pPr>
            <w:r>
              <w:rPr/>
              <w:t> </w:t>
            </w:r>
          </w:p>
        </w:tc>
        <w:tc>
          <w:tcPr>
            <w:tcW w:w="1896" w:type="dxa"/>
            <w:tcBorders>
              <w:bottom w:val="single" w:sz="2" w:space="0" w:color="000000"/>
            </w:tcBorders>
            <w:vAlign w:val="center"/>
          </w:tcPr>
          <w:p>
            <w:pPr>
              <w:pStyle w:val="TableContents"/>
              <w:bidi w:val="0"/>
              <w:spacing w:before="0" w:after="283"/>
              <w:jc w:val="right"/>
              <w:rPr/>
            </w:pPr>
            <w:r>
              <w:rPr/>
              <w:t>–</w:t>
            </w:r>
          </w:p>
        </w:tc>
        <w:tc>
          <w:tcPr>
            <w:tcW w:w="377" w:type="dxa"/>
            <w:tcBorders>
              <w:bottom w:val="single" w:sz="2" w:space="0" w:color="000000"/>
            </w:tcBorders>
            <w:vAlign w:val="center"/>
          </w:tcPr>
          <w:p>
            <w:pPr>
              <w:pStyle w:val="TableContents"/>
              <w:bidi w:val="0"/>
              <w:spacing w:before="0" w:after="283"/>
              <w:jc w:val="left"/>
              <w:rPr/>
            </w:pPr>
            <w:r>
              <w:rPr/>
              <w:t> </w:t>
            </w:r>
          </w:p>
        </w:tc>
        <w:tc>
          <w:tcPr>
            <w:tcW w:w="1896" w:type="dxa"/>
            <w:tcBorders>
              <w:bottom w:val="single" w:sz="2" w:space="0" w:color="000000"/>
            </w:tcBorders>
            <w:vAlign w:val="center"/>
          </w:tcPr>
          <w:p>
            <w:pPr>
              <w:pStyle w:val="TableContents"/>
              <w:bidi w:val="0"/>
              <w:spacing w:before="0" w:after="283"/>
              <w:jc w:val="right"/>
              <w:rPr/>
            </w:pPr>
            <w:r>
              <w:rPr/>
              <w:t>15,815</w:t>
            </w:r>
          </w:p>
        </w:tc>
        <w:tc>
          <w:tcPr>
            <w:tcW w:w="300" w:type="dxa"/>
            <w:tcBorders>
              <w:bottom w:val="single" w:sz="2" w:space="0" w:color="000000"/>
            </w:tcBorders>
            <w:vAlign w:val="center"/>
          </w:tcPr>
          <w:p>
            <w:pPr>
              <w:pStyle w:val="TableContents"/>
              <w:bidi w:val="0"/>
              <w:spacing w:before="0" w:after="283"/>
              <w:jc w:val="left"/>
              <w:rPr/>
            </w:pPr>
            <w:r>
              <w:rPr/>
              <w:t> </w:t>
            </w:r>
          </w:p>
        </w:tc>
        <w:tc>
          <w:tcPr>
            <w:tcW w:w="1370" w:type="dxa"/>
            <w:tcBorders>
              <w:bottom w:val="single" w:sz="2" w:space="0" w:color="000000"/>
            </w:tcBorders>
            <w:vAlign w:val="center"/>
          </w:tcPr>
          <w:p>
            <w:pPr>
              <w:pStyle w:val="TableContents"/>
              <w:bidi w:val="0"/>
              <w:spacing w:before="0" w:after="283"/>
              <w:jc w:val="right"/>
              <w:rPr/>
            </w:pPr>
            <w:r>
              <w:rPr/>
              <w:t>32,081</w:t>
            </w:r>
          </w:p>
        </w:tc>
      </w:tr>
      <w:tr>
        <w:trPr/>
        <w:tc>
          <w:tcPr>
            <w:tcW w:w="2047" w:type="dxa"/>
            <w:tcBorders>
              <w:bottom w:val="single" w:sz="2" w:space="0" w:color="000000"/>
            </w:tcBorders>
            <w:vAlign w:val="center"/>
          </w:tcPr>
          <w:p>
            <w:pPr>
              <w:pStyle w:val="TableContents"/>
              <w:bidi w:val="0"/>
              <w:spacing w:before="0" w:after="283"/>
              <w:jc w:val="left"/>
              <w:rPr/>
            </w:pPr>
            <w:r>
              <w:rPr/>
              <w:t>E. Pawlikowski</w:t>
            </w:r>
          </w:p>
        </w:tc>
        <w:tc>
          <w:tcPr>
            <w:tcW w:w="377" w:type="dxa"/>
            <w:tcBorders>
              <w:bottom w:val="single" w:sz="2" w:space="0" w:color="000000"/>
            </w:tcBorders>
            <w:vAlign w:val="center"/>
          </w:tcPr>
          <w:p>
            <w:pPr>
              <w:pStyle w:val="TableContents"/>
              <w:bidi w:val="0"/>
              <w:spacing w:before="0" w:after="283"/>
              <w:jc w:val="left"/>
              <w:rPr/>
            </w:pPr>
            <w:r>
              <w:rPr/>
              <w:t> </w:t>
            </w:r>
          </w:p>
        </w:tc>
        <w:tc>
          <w:tcPr>
            <w:tcW w:w="1385" w:type="dxa"/>
            <w:tcBorders>
              <w:bottom w:val="single" w:sz="2" w:space="0" w:color="000000"/>
            </w:tcBorders>
            <w:vAlign w:val="center"/>
          </w:tcPr>
          <w:p>
            <w:pPr>
              <w:pStyle w:val="TableContents"/>
              <w:bidi w:val="0"/>
              <w:spacing w:before="0" w:after="283"/>
              <w:jc w:val="right"/>
              <w:rPr/>
            </w:pPr>
            <w:r>
              <w:rPr/>
              <w:t>–</w:t>
            </w:r>
          </w:p>
        </w:tc>
        <w:tc>
          <w:tcPr>
            <w:tcW w:w="377" w:type="dxa"/>
            <w:tcBorders>
              <w:bottom w:val="single" w:sz="2" w:space="0" w:color="000000"/>
            </w:tcBorders>
            <w:vAlign w:val="center"/>
          </w:tcPr>
          <w:p>
            <w:pPr>
              <w:pStyle w:val="TableContents"/>
              <w:bidi w:val="0"/>
              <w:spacing w:before="0" w:after="283"/>
              <w:jc w:val="left"/>
              <w:rPr/>
            </w:pPr>
            <w:r>
              <w:rPr/>
              <w:t> </w:t>
            </w:r>
          </w:p>
        </w:tc>
        <w:tc>
          <w:tcPr>
            <w:tcW w:w="1896" w:type="dxa"/>
            <w:tcBorders>
              <w:bottom w:val="single" w:sz="2" w:space="0" w:color="000000"/>
            </w:tcBorders>
            <w:vAlign w:val="center"/>
          </w:tcPr>
          <w:p>
            <w:pPr>
              <w:pStyle w:val="TableContents"/>
              <w:bidi w:val="0"/>
              <w:spacing w:before="0" w:after="283"/>
              <w:jc w:val="right"/>
              <w:rPr/>
            </w:pPr>
            <w:r>
              <w:rPr/>
              <w:t>–</w:t>
            </w:r>
          </w:p>
        </w:tc>
        <w:tc>
          <w:tcPr>
            <w:tcW w:w="377" w:type="dxa"/>
            <w:tcBorders>
              <w:bottom w:val="single" w:sz="2" w:space="0" w:color="000000"/>
            </w:tcBorders>
            <w:vAlign w:val="center"/>
          </w:tcPr>
          <w:p>
            <w:pPr>
              <w:pStyle w:val="TableContents"/>
              <w:bidi w:val="0"/>
              <w:spacing w:before="0" w:after="283"/>
              <w:jc w:val="left"/>
              <w:rPr/>
            </w:pPr>
            <w:r>
              <w:rPr/>
              <w:t> </w:t>
            </w:r>
          </w:p>
        </w:tc>
        <w:tc>
          <w:tcPr>
            <w:tcW w:w="1896" w:type="dxa"/>
            <w:tcBorders>
              <w:bottom w:val="single" w:sz="2" w:space="0" w:color="000000"/>
            </w:tcBorders>
            <w:vAlign w:val="center"/>
          </w:tcPr>
          <w:p>
            <w:pPr>
              <w:pStyle w:val="TableContents"/>
              <w:bidi w:val="0"/>
              <w:spacing w:before="0" w:after="283"/>
              <w:jc w:val="right"/>
              <w:rPr/>
            </w:pPr>
            <w:r>
              <w:rPr/>
              <w:t>15,479</w:t>
            </w:r>
          </w:p>
        </w:tc>
        <w:tc>
          <w:tcPr>
            <w:tcW w:w="300" w:type="dxa"/>
            <w:tcBorders>
              <w:bottom w:val="single" w:sz="2" w:space="0" w:color="000000"/>
            </w:tcBorders>
            <w:vAlign w:val="center"/>
          </w:tcPr>
          <w:p>
            <w:pPr>
              <w:pStyle w:val="TableContents"/>
              <w:bidi w:val="0"/>
              <w:spacing w:before="0" w:after="283"/>
              <w:jc w:val="left"/>
              <w:rPr/>
            </w:pPr>
            <w:r>
              <w:rPr/>
              <w:t> </w:t>
            </w:r>
          </w:p>
        </w:tc>
        <w:tc>
          <w:tcPr>
            <w:tcW w:w="1370" w:type="dxa"/>
            <w:tcBorders>
              <w:bottom w:val="single" w:sz="2" w:space="0" w:color="000000"/>
            </w:tcBorders>
            <w:vAlign w:val="center"/>
          </w:tcPr>
          <w:p>
            <w:pPr>
              <w:pStyle w:val="TableContents"/>
              <w:bidi w:val="0"/>
              <w:spacing w:before="0" w:after="283"/>
              <w:jc w:val="right"/>
              <w:rPr/>
            </w:pPr>
            <w:r>
              <w:rPr/>
              <w:t>18,678</w:t>
            </w:r>
          </w:p>
        </w:tc>
      </w:tr>
      <w:tr>
        <w:trPr/>
        <w:tc>
          <w:tcPr>
            <w:tcW w:w="2047" w:type="dxa"/>
            <w:tcBorders>
              <w:bottom w:val="single" w:sz="2" w:space="0" w:color="000000"/>
            </w:tcBorders>
            <w:vAlign w:val="center"/>
          </w:tcPr>
          <w:p>
            <w:pPr>
              <w:pStyle w:val="TableContents"/>
              <w:bidi w:val="0"/>
              <w:spacing w:before="0" w:after="283"/>
              <w:jc w:val="left"/>
              <w:rPr/>
            </w:pPr>
            <w:r>
              <w:rPr/>
              <w:t>D. Ramos</w:t>
            </w:r>
          </w:p>
        </w:tc>
        <w:tc>
          <w:tcPr>
            <w:tcW w:w="377" w:type="dxa"/>
            <w:tcBorders>
              <w:bottom w:val="single" w:sz="2" w:space="0" w:color="000000"/>
            </w:tcBorders>
            <w:vAlign w:val="center"/>
          </w:tcPr>
          <w:p>
            <w:pPr>
              <w:pStyle w:val="TableContents"/>
              <w:bidi w:val="0"/>
              <w:spacing w:before="0" w:after="283"/>
              <w:jc w:val="left"/>
              <w:rPr/>
            </w:pPr>
            <w:r>
              <w:rPr/>
              <w:t> </w:t>
            </w:r>
          </w:p>
        </w:tc>
        <w:tc>
          <w:tcPr>
            <w:tcW w:w="1385" w:type="dxa"/>
            <w:tcBorders>
              <w:bottom w:val="single" w:sz="2" w:space="0" w:color="000000"/>
            </w:tcBorders>
            <w:vAlign w:val="center"/>
          </w:tcPr>
          <w:p>
            <w:pPr>
              <w:pStyle w:val="TableContents"/>
              <w:bidi w:val="0"/>
              <w:spacing w:before="0" w:after="283"/>
              <w:jc w:val="right"/>
              <w:rPr/>
            </w:pPr>
            <w:r>
              <w:rPr/>
              <w:t>–</w:t>
            </w:r>
          </w:p>
        </w:tc>
        <w:tc>
          <w:tcPr>
            <w:tcW w:w="377" w:type="dxa"/>
            <w:tcBorders>
              <w:bottom w:val="single" w:sz="2" w:space="0" w:color="000000"/>
            </w:tcBorders>
            <w:vAlign w:val="center"/>
          </w:tcPr>
          <w:p>
            <w:pPr>
              <w:pStyle w:val="TableContents"/>
              <w:bidi w:val="0"/>
              <w:spacing w:before="0" w:after="283"/>
              <w:jc w:val="left"/>
              <w:rPr/>
            </w:pPr>
            <w:r>
              <w:rPr/>
              <w:t> </w:t>
            </w:r>
          </w:p>
        </w:tc>
        <w:tc>
          <w:tcPr>
            <w:tcW w:w="1896" w:type="dxa"/>
            <w:tcBorders>
              <w:bottom w:val="single" w:sz="2" w:space="0" w:color="000000"/>
            </w:tcBorders>
            <w:vAlign w:val="center"/>
          </w:tcPr>
          <w:p>
            <w:pPr>
              <w:pStyle w:val="TableContents"/>
              <w:bidi w:val="0"/>
              <w:spacing w:before="0" w:after="283"/>
              <w:jc w:val="right"/>
              <w:rPr/>
            </w:pPr>
            <w:r>
              <w:rPr/>
              <w:t>1,219</w:t>
            </w:r>
          </w:p>
        </w:tc>
        <w:tc>
          <w:tcPr>
            <w:tcW w:w="377" w:type="dxa"/>
            <w:tcBorders>
              <w:bottom w:val="single" w:sz="2" w:space="0" w:color="000000"/>
            </w:tcBorders>
            <w:vAlign w:val="center"/>
          </w:tcPr>
          <w:p>
            <w:pPr>
              <w:pStyle w:val="TableContents"/>
              <w:bidi w:val="0"/>
              <w:spacing w:before="0" w:after="283"/>
              <w:jc w:val="left"/>
              <w:rPr/>
            </w:pPr>
            <w:r>
              <w:rPr/>
              <w:t> </w:t>
            </w:r>
          </w:p>
        </w:tc>
        <w:tc>
          <w:tcPr>
            <w:tcW w:w="1896" w:type="dxa"/>
            <w:tcBorders>
              <w:bottom w:val="single" w:sz="2" w:space="0" w:color="000000"/>
            </w:tcBorders>
            <w:vAlign w:val="center"/>
          </w:tcPr>
          <w:p>
            <w:pPr>
              <w:pStyle w:val="TableContents"/>
              <w:bidi w:val="0"/>
              <w:spacing w:before="0" w:after="283"/>
              <w:jc w:val="right"/>
              <w:rPr/>
            </w:pPr>
            <w:r>
              <w:rPr/>
              <w:t>27,239</w:t>
            </w:r>
          </w:p>
        </w:tc>
        <w:tc>
          <w:tcPr>
            <w:tcW w:w="300" w:type="dxa"/>
            <w:tcBorders>
              <w:bottom w:val="single" w:sz="2" w:space="0" w:color="000000"/>
            </w:tcBorders>
            <w:vAlign w:val="center"/>
          </w:tcPr>
          <w:p>
            <w:pPr>
              <w:pStyle w:val="TableContents"/>
              <w:bidi w:val="0"/>
              <w:spacing w:before="0" w:after="283"/>
              <w:jc w:val="left"/>
              <w:rPr/>
            </w:pPr>
            <w:r>
              <w:rPr/>
              <w:t> </w:t>
            </w:r>
          </w:p>
        </w:tc>
        <w:tc>
          <w:tcPr>
            <w:tcW w:w="1370" w:type="dxa"/>
            <w:tcBorders>
              <w:bottom w:val="single" w:sz="2" w:space="0" w:color="000000"/>
            </w:tcBorders>
            <w:vAlign w:val="center"/>
          </w:tcPr>
          <w:p>
            <w:pPr>
              <w:pStyle w:val="TableContents"/>
              <w:bidi w:val="0"/>
              <w:spacing w:before="0" w:after="283"/>
              <w:jc w:val="right"/>
              <w:rPr/>
            </w:pPr>
            <w:r>
              <w:rPr/>
              <w:t>28,458</w:t>
            </w:r>
          </w:p>
        </w:tc>
      </w:tr>
      <w:tr>
        <w:trPr/>
        <w:tc>
          <w:tcPr>
            <w:tcW w:w="2047" w:type="dxa"/>
            <w:tcBorders>
              <w:bottom w:val="single" w:sz="2" w:space="0" w:color="000000"/>
            </w:tcBorders>
            <w:vAlign w:val="center"/>
          </w:tcPr>
          <w:p>
            <w:pPr>
              <w:pStyle w:val="TableContents"/>
              <w:bidi w:val="0"/>
              <w:spacing w:before="0" w:after="283"/>
              <w:jc w:val="left"/>
              <w:rPr/>
            </w:pPr>
            <w:r>
              <w:rPr/>
              <w:t>F. Reynolds</w:t>
            </w:r>
          </w:p>
        </w:tc>
        <w:tc>
          <w:tcPr>
            <w:tcW w:w="377" w:type="dxa"/>
            <w:tcBorders>
              <w:bottom w:val="single" w:sz="2" w:space="0" w:color="000000"/>
            </w:tcBorders>
            <w:vAlign w:val="center"/>
          </w:tcPr>
          <w:p>
            <w:pPr>
              <w:pStyle w:val="TableContents"/>
              <w:bidi w:val="0"/>
              <w:spacing w:before="0" w:after="283"/>
              <w:jc w:val="left"/>
              <w:rPr/>
            </w:pPr>
            <w:r>
              <w:rPr/>
              <w:t> </w:t>
            </w:r>
          </w:p>
        </w:tc>
        <w:tc>
          <w:tcPr>
            <w:tcW w:w="1385" w:type="dxa"/>
            <w:tcBorders>
              <w:bottom w:val="single" w:sz="2" w:space="0" w:color="000000"/>
            </w:tcBorders>
            <w:vAlign w:val="center"/>
          </w:tcPr>
          <w:p>
            <w:pPr>
              <w:pStyle w:val="TableContents"/>
              <w:bidi w:val="0"/>
              <w:spacing w:before="0" w:after="283"/>
              <w:jc w:val="right"/>
              <w:rPr/>
            </w:pPr>
            <w:r>
              <w:rPr/>
              <w:t>–</w:t>
            </w:r>
          </w:p>
        </w:tc>
        <w:tc>
          <w:tcPr>
            <w:tcW w:w="377" w:type="dxa"/>
            <w:tcBorders>
              <w:bottom w:val="single" w:sz="2" w:space="0" w:color="000000"/>
            </w:tcBorders>
            <w:vAlign w:val="center"/>
          </w:tcPr>
          <w:p>
            <w:pPr>
              <w:pStyle w:val="TableContents"/>
              <w:bidi w:val="0"/>
              <w:spacing w:before="0" w:after="283"/>
              <w:jc w:val="left"/>
              <w:rPr/>
            </w:pPr>
            <w:r>
              <w:rPr/>
              <w:t> </w:t>
            </w:r>
          </w:p>
        </w:tc>
        <w:tc>
          <w:tcPr>
            <w:tcW w:w="1896" w:type="dxa"/>
            <w:tcBorders>
              <w:bottom w:val="single" w:sz="2" w:space="0" w:color="000000"/>
            </w:tcBorders>
            <w:vAlign w:val="center"/>
          </w:tcPr>
          <w:p>
            <w:pPr>
              <w:pStyle w:val="TableContents"/>
              <w:bidi w:val="0"/>
              <w:spacing w:before="0" w:after="283"/>
              <w:jc w:val="right"/>
              <w:rPr/>
            </w:pPr>
            <w:r>
              <w:rPr/>
              <w:t>1,244</w:t>
            </w:r>
          </w:p>
        </w:tc>
        <w:tc>
          <w:tcPr>
            <w:tcW w:w="377" w:type="dxa"/>
            <w:tcBorders>
              <w:bottom w:val="single" w:sz="2" w:space="0" w:color="000000"/>
            </w:tcBorders>
            <w:vAlign w:val="center"/>
          </w:tcPr>
          <w:p>
            <w:pPr>
              <w:pStyle w:val="TableContents"/>
              <w:bidi w:val="0"/>
              <w:spacing w:before="0" w:after="283"/>
              <w:jc w:val="left"/>
              <w:rPr/>
            </w:pPr>
            <w:r>
              <w:rPr/>
              <w:t> </w:t>
            </w:r>
          </w:p>
        </w:tc>
        <w:tc>
          <w:tcPr>
            <w:tcW w:w="1896" w:type="dxa"/>
            <w:tcBorders>
              <w:bottom w:val="single" w:sz="2" w:space="0" w:color="000000"/>
            </w:tcBorders>
            <w:vAlign w:val="center"/>
          </w:tcPr>
          <w:p>
            <w:pPr>
              <w:pStyle w:val="TableContents"/>
              <w:bidi w:val="0"/>
              <w:spacing w:before="0" w:after="283"/>
              <w:jc w:val="right"/>
              <w:rPr/>
            </w:pPr>
            <w:r>
              <w:rPr/>
              <w:t>23,374</w:t>
            </w:r>
          </w:p>
        </w:tc>
        <w:tc>
          <w:tcPr>
            <w:tcW w:w="300" w:type="dxa"/>
            <w:tcBorders>
              <w:bottom w:val="single" w:sz="2" w:space="0" w:color="000000"/>
            </w:tcBorders>
            <w:vAlign w:val="center"/>
          </w:tcPr>
          <w:p>
            <w:pPr>
              <w:pStyle w:val="TableContents"/>
              <w:bidi w:val="0"/>
              <w:spacing w:before="0" w:after="283"/>
              <w:jc w:val="left"/>
              <w:rPr/>
            </w:pPr>
            <w:r>
              <w:rPr/>
              <w:t> </w:t>
            </w:r>
          </w:p>
        </w:tc>
        <w:tc>
          <w:tcPr>
            <w:tcW w:w="1370" w:type="dxa"/>
            <w:tcBorders>
              <w:bottom w:val="single" w:sz="2" w:space="0" w:color="000000"/>
            </w:tcBorders>
            <w:vAlign w:val="center"/>
          </w:tcPr>
          <w:p>
            <w:pPr>
              <w:pStyle w:val="TableContents"/>
              <w:bidi w:val="0"/>
              <w:spacing w:before="0" w:after="283"/>
              <w:jc w:val="right"/>
              <w:rPr/>
            </w:pPr>
            <w:r>
              <w:rPr/>
              <w:t>46,843</w:t>
            </w:r>
          </w:p>
        </w:tc>
      </w:tr>
      <w:tr>
        <w:trPr/>
        <w:tc>
          <w:tcPr>
            <w:tcW w:w="2047" w:type="dxa"/>
            <w:tcBorders>
              <w:bottom w:val="single" w:sz="2" w:space="0" w:color="000000"/>
            </w:tcBorders>
            <w:vAlign w:val="center"/>
          </w:tcPr>
          <w:p>
            <w:pPr>
              <w:pStyle w:val="TableContents"/>
              <w:bidi w:val="0"/>
              <w:spacing w:before="0" w:after="283"/>
              <w:jc w:val="left"/>
              <w:rPr/>
            </w:pPr>
            <w:r>
              <w:rPr/>
              <w:t>B. Rogers</w:t>
            </w:r>
          </w:p>
        </w:tc>
        <w:tc>
          <w:tcPr>
            <w:tcW w:w="377" w:type="dxa"/>
            <w:tcBorders>
              <w:bottom w:val="single" w:sz="2" w:space="0" w:color="000000"/>
            </w:tcBorders>
            <w:vAlign w:val="center"/>
          </w:tcPr>
          <w:p>
            <w:pPr>
              <w:pStyle w:val="TableContents"/>
              <w:bidi w:val="0"/>
              <w:spacing w:before="0" w:after="283"/>
              <w:jc w:val="left"/>
              <w:rPr/>
            </w:pPr>
            <w:r>
              <w:rPr/>
              <w:t> </w:t>
            </w:r>
          </w:p>
        </w:tc>
        <w:tc>
          <w:tcPr>
            <w:tcW w:w="1385" w:type="dxa"/>
            <w:tcBorders>
              <w:bottom w:val="single" w:sz="2" w:space="0" w:color="000000"/>
            </w:tcBorders>
            <w:vAlign w:val="center"/>
          </w:tcPr>
          <w:p>
            <w:pPr>
              <w:pStyle w:val="TableContents"/>
              <w:bidi w:val="0"/>
              <w:spacing w:before="0" w:after="283"/>
              <w:jc w:val="right"/>
              <w:rPr/>
            </w:pPr>
            <w:r>
              <w:rPr/>
              <w:t>–</w:t>
            </w:r>
          </w:p>
        </w:tc>
        <w:tc>
          <w:tcPr>
            <w:tcW w:w="377" w:type="dxa"/>
            <w:tcBorders>
              <w:bottom w:val="single" w:sz="2" w:space="0" w:color="000000"/>
            </w:tcBorders>
            <w:vAlign w:val="center"/>
          </w:tcPr>
          <w:p>
            <w:pPr>
              <w:pStyle w:val="TableContents"/>
              <w:bidi w:val="0"/>
              <w:spacing w:before="0" w:after="283"/>
              <w:jc w:val="left"/>
              <w:rPr/>
            </w:pPr>
            <w:r>
              <w:rPr/>
              <w:t> </w:t>
            </w:r>
          </w:p>
        </w:tc>
        <w:tc>
          <w:tcPr>
            <w:tcW w:w="1896" w:type="dxa"/>
            <w:tcBorders>
              <w:bottom w:val="single" w:sz="2" w:space="0" w:color="000000"/>
            </w:tcBorders>
            <w:vAlign w:val="center"/>
          </w:tcPr>
          <w:p>
            <w:pPr>
              <w:pStyle w:val="TableContents"/>
              <w:bidi w:val="0"/>
              <w:spacing w:before="0" w:after="283"/>
              <w:jc w:val="right"/>
              <w:rPr/>
            </w:pPr>
            <w:r>
              <w:rPr/>
              <w:t>1,244</w:t>
            </w:r>
          </w:p>
        </w:tc>
        <w:tc>
          <w:tcPr>
            <w:tcW w:w="377" w:type="dxa"/>
            <w:tcBorders>
              <w:bottom w:val="single" w:sz="2" w:space="0" w:color="000000"/>
            </w:tcBorders>
            <w:vAlign w:val="center"/>
          </w:tcPr>
          <w:p>
            <w:pPr>
              <w:pStyle w:val="TableContents"/>
              <w:bidi w:val="0"/>
              <w:spacing w:before="0" w:after="283"/>
              <w:jc w:val="left"/>
              <w:rPr/>
            </w:pPr>
            <w:r>
              <w:rPr/>
              <w:t> </w:t>
            </w:r>
          </w:p>
        </w:tc>
        <w:tc>
          <w:tcPr>
            <w:tcW w:w="1896" w:type="dxa"/>
            <w:tcBorders>
              <w:bottom w:val="single" w:sz="2" w:space="0" w:color="000000"/>
            </w:tcBorders>
            <w:vAlign w:val="center"/>
          </w:tcPr>
          <w:p>
            <w:pPr>
              <w:pStyle w:val="TableContents"/>
              <w:bidi w:val="0"/>
              <w:spacing w:before="0" w:after="283"/>
              <w:jc w:val="right"/>
              <w:rPr/>
            </w:pPr>
            <w:r>
              <w:rPr/>
              <w:t>36,198</w:t>
            </w:r>
          </w:p>
        </w:tc>
        <w:tc>
          <w:tcPr>
            <w:tcW w:w="300" w:type="dxa"/>
            <w:tcBorders>
              <w:bottom w:val="single" w:sz="2" w:space="0" w:color="000000"/>
            </w:tcBorders>
            <w:vAlign w:val="center"/>
          </w:tcPr>
          <w:p>
            <w:pPr>
              <w:pStyle w:val="TableContents"/>
              <w:bidi w:val="0"/>
              <w:spacing w:before="0" w:after="283"/>
              <w:jc w:val="left"/>
              <w:rPr/>
            </w:pPr>
            <w:r>
              <w:rPr/>
              <w:t> </w:t>
            </w:r>
          </w:p>
        </w:tc>
        <w:tc>
          <w:tcPr>
            <w:tcW w:w="1370" w:type="dxa"/>
            <w:tcBorders>
              <w:bottom w:val="single" w:sz="2" w:space="0" w:color="000000"/>
            </w:tcBorders>
            <w:vAlign w:val="center"/>
          </w:tcPr>
          <w:p>
            <w:pPr>
              <w:pStyle w:val="TableContents"/>
              <w:bidi w:val="0"/>
              <w:spacing w:before="0" w:after="283"/>
              <w:jc w:val="right"/>
              <w:rPr/>
            </w:pPr>
            <w:r>
              <w:rPr/>
              <w:t>42,442</w:t>
            </w:r>
            <w:r>
              <w:rPr>
                <w:position w:val="8"/>
                <w:sz w:val="19"/>
              </w:rPr>
              <w:t>(5)</w:t>
            </w:r>
          </w:p>
        </w:tc>
      </w:tr>
      <w:tr>
        <w:trPr/>
        <w:tc>
          <w:tcPr>
            <w:tcW w:w="2047" w:type="dxa"/>
            <w:tcBorders>
              <w:bottom w:val="single" w:sz="2" w:space="0" w:color="000000"/>
            </w:tcBorders>
            <w:vAlign w:val="center"/>
          </w:tcPr>
          <w:p>
            <w:pPr>
              <w:pStyle w:val="TableContents"/>
              <w:bidi w:val="0"/>
              <w:spacing w:before="0" w:after="283"/>
              <w:jc w:val="left"/>
              <w:rPr/>
            </w:pPr>
            <w:r>
              <w:rPr/>
              <w:t>J. Winnefeld, Jr.</w:t>
            </w:r>
          </w:p>
        </w:tc>
        <w:tc>
          <w:tcPr>
            <w:tcW w:w="377" w:type="dxa"/>
            <w:tcBorders>
              <w:bottom w:val="single" w:sz="2" w:space="0" w:color="000000"/>
            </w:tcBorders>
            <w:vAlign w:val="center"/>
          </w:tcPr>
          <w:p>
            <w:pPr>
              <w:pStyle w:val="TableContents"/>
              <w:bidi w:val="0"/>
              <w:spacing w:before="0" w:after="283"/>
              <w:jc w:val="left"/>
              <w:rPr/>
            </w:pPr>
            <w:r>
              <w:rPr/>
              <w:t> </w:t>
            </w:r>
          </w:p>
        </w:tc>
        <w:tc>
          <w:tcPr>
            <w:tcW w:w="1385" w:type="dxa"/>
            <w:tcBorders>
              <w:bottom w:val="single" w:sz="2" w:space="0" w:color="000000"/>
            </w:tcBorders>
            <w:vAlign w:val="center"/>
          </w:tcPr>
          <w:p>
            <w:pPr>
              <w:pStyle w:val="TableContents"/>
              <w:bidi w:val="0"/>
              <w:spacing w:before="0" w:after="283"/>
              <w:jc w:val="right"/>
              <w:rPr/>
            </w:pPr>
            <w:r>
              <w:rPr/>
              <w:t>–</w:t>
            </w:r>
          </w:p>
        </w:tc>
        <w:tc>
          <w:tcPr>
            <w:tcW w:w="377" w:type="dxa"/>
            <w:tcBorders>
              <w:bottom w:val="single" w:sz="2" w:space="0" w:color="000000"/>
            </w:tcBorders>
            <w:vAlign w:val="center"/>
          </w:tcPr>
          <w:p>
            <w:pPr>
              <w:pStyle w:val="TableContents"/>
              <w:bidi w:val="0"/>
              <w:spacing w:before="0" w:after="283"/>
              <w:jc w:val="left"/>
              <w:rPr/>
            </w:pPr>
            <w:r>
              <w:rPr/>
              <w:t> </w:t>
            </w:r>
          </w:p>
        </w:tc>
        <w:tc>
          <w:tcPr>
            <w:tcW w:w="1896" w:type="dxa"/>
            <w:tcBorders>
              <w:bottom w:val="single" w:sz="2" w:space="0" w:color="000000"/>
            </w:tcBorders>
            <w:vAlign w:val="center"/>
          </w:tcPr>
          <w:p>
            <w:pPr>
              <w:pStyle w:val="TableContents"/>
              <w:bidi w:val="0"/>
              <w:spacing w:before="0" w:after="283"/>
              <w:jc w:val="right"/>
              <w:rPr/>
            </w:pPr>
            <w:r>
              <w:rPr/>
              <w:t>–</w:t>
            </w:r>
          </w:p>
        </w:tc>
        <w:tc>
          <w:tcPr>
            <w:tcW w:w="377" w:type="dxa"/>
            <w:tcBorders>
              <w:bottom w:val="single" w:sz="2" w:space="0" w:color="000000"/>
            </w:tcBorders>
            <w:vAlign w:val="center"/>
          </w:tcPr>
          <w:p>
            <w:pPr>
              <w:pStyle w:val="TableContents"/>
              <w:bidi w:val="0"/>
              <w:spacing w:before="0" w:after="283"/>
              <w:jc w:val="left"/>
              <w:rPr/>
            </w:pPr>
            <w:r>
              <w:rPr/>
              <w:t> </w:t>
            </w:r>
          </w:p>
        </w:tc>
        <w:tc>
          <w:tcPr>
            <w:tcW w:w="1896" w:type="dxa"/>
            <w:tcBorders>
              <w:bottom w:val="single" w:sz="2" w:space="0" w:color="000000"/>
            </w:tcBorders>
            <w:vAlign w:val="center"/>
          </w:tcPr>
          <w:p>
            <w:pPr>
              <w:pStyle w:val="TableContents"/>
              <w:bidi w:val="0"/>
              <w:spacing w:before="0" w:after="283"/>
              <w:jc w:val="right"/>
              <w:rPr/>
            </w:pPr>
            <w:r>
              <w:rPr/>
              <w:t>22,558</w:t>
            </w:r>
          </w:p>
        </w:tc>
        <w:tc>
          <w:tcPr>
            <w:tcW w:w="300" w:type="dxa"/>
            <w:tcBorders>
              <w:bottom w:val="single" w:sz="2" w:space="0" w:color="000000"/>
            </w:tcBorders>
            <w:vAlign w:val="center"/>
          </w:tcPr>
          <w:p>
            <w:pPr>
              <w:pStyle w:val="TableContents"/>
              <w:bidi w:val="0"/>
              <w:spacing w:before="0" w:after="283"/>
              <w:jc w:val="left"/>
              <w:rPr/>
            </w:pPr>
            <w:r>
              <w:rPr/>
              <w:t> </w:t>
            </w:r>
          </w:p>
        </w:tc>
        <w:tc>
          <w:tcPr>
            <w:tcW w:w="1370" w:type="dxa"/>
            <w:tcBorders>
              <w:bottom w:val="single" w:sz="2" w:space="0" w:color="000000"/>
            </w:tcBorders>
            <w:vAlign w:val="center"/>
          </w:tcPr>
          <w:p>
            <w:pPr>
              <w:pStyle w:val="TableContents"/>
              <w:bidi w:val="0"/>
              <w:spacing w:before="0" w:after="283"/>
              <w:jc w:val="right"/>
              <w:rPr/>
            </w:pPr>
            <w:r>
              <w:rPr/>
              <w:t>30,558</w:t>
            </w:r>
          </w:p>
        </w:tc>
      </w:tr>
      <w:tr>
        <w:trPr/>
        <w:tc>
          <w:tcPr>
            <w:tcW w:w="2047" w:type="dxa"/>
            <w:tcBorders>
              <w:bottom w:val="single" w:sz="12" w:space="0" w:color="636466"/>
            </w:tcBorders>
            <w:vAlign w:val="center"/>
          </w:tcPr>
          <w:p>
            <w:pPr>
              <w:pStyle w:val="TableContents"/>
              <w:bidi w:val="0"/>
              <w:spacing w:before="0" w:after="283"/>
              <w:jc w:val="left"/>
              <w:rPr/>
            </w:pPr>
            <w:r>
              <w:rPr/>
              <w:t>R. Work</w:t>
            </w:r>
          </w:p>
        </w:tc>
        <w:tc>
          <w:tcPr>
            <w:tcW w:w="377" w:type="dxa"/>
            <w:tcBorders>
              <w:bottom w:val="single" w:sz="12" w:space="0" w:color="636466"/>
            </w:tcBorders>
            <w:vAlign w:val="center"/>
          </w:tcPr>
          <w:p>
            <w:pPr>
              <w:pStyle w:val="TableContents"/>
              <w:bidi w:val="0"/>
              <w:spacing w:before="0" w:after="283"/>
              <w:jc w:val="left"/>
              <w:rPr/>
            </w:pPr>
            <w:r>
              <w:rPr/>
              <w:t> </w:t>
            </w:r>
          </w:p>
        </w:tc>
        <w:tc>
          <w:tcPr>
            <w:tcW w:w="1385" w:type="dxa"/>
            <w:tcBorders>
              <w:bottom w:val="single" w:sz="12" w:space="0" w:color="636466"/>
            </w:tcBorders>
            <w:vAlign w:val="center"/>
          </w:tcPr>
          <w:p>
            <w:pPr>
              <w:pStyle w:val="TableContents"/>
              <w:bidi w:val="0"/>
              <w:spacing w:before="0" w:after="283"/>
              <w:jc w:val="right"/>
              <w:rPr/>
            </w:pPr>
            <w:r>
              <w:rPr/>
              <w:t>–</w:t>
            </w:r>
          </w:p>
        </w:tc>
        <w:tc>
          <w:tcPr>
            <w:tcW w:w="377" w:type="dxa"/>
            <w:tcBorders>
              <w:bottom w:val="single" w:sz="12" w:space="0" w:color="636466"/>
            </w:tcBorders>
            <w:vAlign w:val="center"/>
          </w:tcPr>
          <w:p>
            <w:pPr>
              <w:pStyle w:val="TableContents"/>
              <w:bidi w:val="0"/>
              <w:spacing w:before="0" w:after="283"/>
              <w:jc w:val="left"/>
              <w:rPr/>
            </w:pPr>
            <w:r>
              <w:rPr/>
              <w:t> </w:t>
            </w:r>
          </w:p>
        </w:tc>
        <w:tc>
          <w:tcPr>
            <w:tcW w:w="1896" w:type="dxa"/>
            <w:tcBorders>
              <w:bottom w:val="single" w:sz="12" w:space="0" w:color="636466"/>
            </w:tcBorders>
            <w:vAlign w:val="center"/>
          </w:tcPr>
          <w:p>
            <w:pPr>
              <w:pStyle w:val="TableContents"/>
              <w:bidi w:val="0"/>
              <w:spacing w:before="0" w:after="283"/>
              <w:jc w:val="right"/>
              <w:rPr/>
            </w:pPr>
            <w:r>
              <w:rPr/>
              <w:t>–</w:t>
            </w:r>
          </w:p>
        </w:tc>
        <w:tc>
          <w:tcPr>
            <w:tcW w:w="377" w:type="dxa"/>
            <w:tcBorders>
              <w:bottom w:val="single" w:sz="12" w:space="0" w:color="636466"/>
            </w:tcBorders>
            <w:vAlign w:val="center"/>
          </w:tcPr>
          <w:p>
            <w:pPr>
              <w:pStyle w:val="TableContents"/>
              <w:bidi w:val="0"/>
              <w:spacing w:before="0" w:after="283"/>
              <w:jc w:val="left"/>
              <w:rPr/>
            </w:pPr>
            <w:r>
              <w:rPr/>
              <w:t> </w:t>
            </w:r>
          </w:p>
        </w:tc>
        <w:tc>
          <w:tcPr>
            <w:tcW w:w="1896" w:type="dxa"/>
            <w:tcBorders>
              <w:bottom w:val="single" w:sz="12" w:space="0" w:color="636466"/>
            </w:tcBorders>
            <w:vAlign w:val="center"/>
          </w:tcPr>
          <w:p>
            <w:pPr>
              <w:pStyle w:val="TableContents"/>
              <w:bidi w:val="0"/>
              <w:spacing w:before="0" w:after="283"/>
              <w:jc w:val="right"/>
              <w:rPr/>
            </w:pPr>
            <w:r>
              <w:rPr/>
              <w:t>17,155</w:t>
            </w:r>
          </w:p>
        </w:tc>
        <w:tc>
          <w:tcPr>
            <w:tcW w:w="300" w:type="dxa"/>
            <w:tcBorders>
              <w:bottom w:val="single" w:sz="12" w:space="0" w:color="636466"/>
            </w:tcBorders>
            <w:vAlign w:val="center"/>
          </w:tcPr>
          <w:p>
            <w:pPr>
              <w:pStyle w:val="TableContents"/>
              <w:bidi w:val="0"/>
              <w:spacing w:before="0" w:after="283"/>
              <w:jc w:val="left"/>
              <w:rPr/>
            </w:pPr>
            <w:r>
              <w:rPr/>
              <w:t> </w:t>
            </w:r>
          </w:p>
        </w:tc>
        <w:tc>
          <w:tcPr>
            <w:tcW w:w="1370" w:type="dxa"/>
            <w:tcBorders>
              <w:bottom w:val="single" w:sz="12" w:space="0" w:color="636466"/>
            </w:tcBorders>
            <w:vAlign w:val="center"/>
          </w:tcPr>
          <w:p>
            <w:pPr>
              <w:pStyle w:val="TableContents"/>
              <w:bidi w:val="0"/>
              <w:spacing w:before="0" w:after="283"/>
              <w:jc w:val="right"/>
              <w:rPr/>
            </w:pPr>
            <w:r>
              <w:rPr/>
              <w:t>22,356</w:t>
            </w:r>
          </w:p>
        </w:tc>
      </w:tr>
    </w:tbl>
    <w:p>
      <w:pPr>
        <w:pStyle w:val="TextBody"/>
        <w:bidi w:val="0"/>
        <w:ind w:left="0" w:right="0" w:firstLine="720"/>
        <w:jc w:val="left"/>
        <w:rPr>
          <w:caps w:val="false"/>
          <w:smallCaps w:val="false"/>
        </w:rPr>
      </w:pPr>
      <w:r>
        <w:rPr>
          <w:caps w:val="false"/>
          <w:smallCaps w:val="false"/>
        </w:rPr>
        <w:t> </w:t>
      </w:r>
    </w:p>
    <w:p>
      <w:pPr>
        <w:pStyle w:val="TextBody"/>
        <w:bidi w:val="0"/>
        <w:jc w:val="right"/>
        <w:rPr>
          <w:rFonts w:ascii="Arial;Helvetica;Sans-Serif" w:hAnsi="Arial;Helvetica;Sans-Serif"/>
          <w:b w:val="false"/>
          <w:i w:val="false"/>
          <w:caps w:val="false"/>
          <w:smallCaps w:val="false"/>
          <w:sz w:val="15"/>
        </w:rPr>
      </w:pPr>
      <w:r>
        <w:rPr>
          <w:rFonts w:ascii="Arial;Helvetica;Sans-Serif" w:hAnsi="Arial;Helvetica;Sans-Serif"/>
          <w:b/>
          <w:i w:val="false"/>
          <w:caps w:val="false"/>
          <w:smallCaps w:val="false"/>
          <w:sz w:val="15"/>
        </w:rPr>
        <w:t>RTX</w:t>
      </w:r>
      <w:r>
        <w:rPr>
          <w:rFonts w:ascii="Arial;Helvetica;Sans-Serif" w:hAnsi="Arial;Helvetica;Sans-Serif"/>
          <w:b w:val="false"/>
          <w:i w:val="false"/>
          <w:caps w:val="false"/>
          <w:smallCaps w:val="false"/>
          <w:sz w:val="15"/>
        </w:rPr>
        <w:t xml:space="preserve"> 2026 PROXY STATEMENT    </w:t>
      </w:r>
      <w:r>
        <w:rPr>
          <w:rFonts w:ascii="Arial;Helvetica;Sans-Serif" w:hAnsi="Arial;Helvetica;Sans-Serif"/>
          <w:b/>
          <w:i w:val="false"/>
          <w:caps w:val="false"/>
          <w:smallCaps w:val="false"/>
          <w:sz w:val="15"/>
        </w:rPr>
        <w:t>35</w:t>
      </w:r>
    </w:p>
    <w:p>
      <w:pPr>
        <w:pStyle w:val="HorizontalLine"/>
        <w:pBdr>
          <w:bottom w:val="double" w:sz="2" w:space="0" w:color="808080"/>
        </w:pBdr>
        <w:bidi w:val="0"/>
        <w:spacing w:before="0" w:after="283"/>
        <w:jc w:val="left"/>
        <w:rPr/>
      </w:pPr>
      <w:r>
        <w:rPr/>
      </w:r>
    </w:p>
    <w:p>
      <w:pPr>
        <w:pStyle w:val="TextBody"/>
        <w:bidi w:val="0"/>
        <w:spacing w:before="200" w:after="200"/>
        <w:jc w:val="left"/>
        <w:rPr/>
      </w:pPr>
      <w:hyperlink w:anchor="toc">
        <w:r>
          <w:rPr>
            <w:rStyle w:val="InternetLink"/>
            <w:rFonts w:ascii="Arial;Helvetica;Sans-Serif" w:hAnsi="Arial;Helvetica;Sans-Serif"/>
            <w:b/>
            <w:i w:val="false"/>
            <w:caps w:val="false"/>
            <w:smallCaps w:val="false"/>
            <w:sz w:val="16"/>
          </w:rPr>
          <w:t>Table of Contents</w:t>
        </w:r>
      </w:hyperlink>
    </w:p>
    <w:p>
      <w:pPr>
        <w:pStyle w:val="TextBody"/>
        <w:bidi w:val="0"/>
        <w:jc w:val="left"/>
        <w:rPr>
          <w:rFonts w:ascii="Arial;Helvetica;Sans-Serif" w:hAnsi="Arial;Helvetica;Sans-Serif"/>
          <w:b/>
          <w:i w:val="false"/>
          <w:caps w:val="false"/>
          <w:smallCaps w:val="false"/>
          <w:color w:val="C12E33"/>
          <w:sz w:val="15"/>
        </w:rPr>
      </w:pPr>
      <w:r>
        <w:rPr>
          <w:rFonts w:ascii="Arial;Helvetica;Sans-Serif" w:hAnsi="Arial;Helvetica;Sans-Serif"/>
          <w:b/>
          <w:i w:val="false"/>
          <w:caps w:val="false"/>
          <w:smallCaps w:val="false"/>
          <w:color w:val="C12E33"/>
          <w:sz w:val="15"/>
        </w:rPr>
        <w:t>SHARE OWNERSHIP</w:t>
      </w:r>
    </w:p>
    <w:p>
      <w:pPr>
        <w:pStyle w:val="TextBody"/>
        <w:bidi w:val="0"/>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CERTAIN BENEFICIAL OWNERS</w:t>
      </w:r>
    </w:p>
    <w:p>
      <w:pPr>
        <w:pStyle w:val="TextBody"/>
        <w:bidi w:val="0"/>
        <w:jc w:val="left"/>
        <w:rPr>
          <w:caps w:val="false"/>
          <w:smallCaps w:val="false"/>
        </w:rPr>
      </w:pPr>
      <w:r>
        <w:rPr>
          <w:caps w:val="false"/>
          <w:smallCaps w:val="false"/>
        </w:rPr>
        <w:t> </w:t>
      </w:r>
    </w:p>
    <w:tbl>
      <w:tblPr>
        <w:tblW w:w="8426" w:type="dxa"/>
        <w:jc w:val="left"/>
        <w:tblInd w:w="0" w:type="dxa"/>
        <w:tblLayout w:type="fixed"/>
        <w:tblCellMar>
          <w:top w:w="0" w:type="dxa"/>
          <w:left w:w="0" w:type="dxa"/>
          <w:bottom w:w="40" w:type="dxa"/>
          <w:right w:w="0" w:type="dxa"/>
        </w:tblCellMar>
      </w:tblPr>
      <w:tblGrid>
        <w:gridCol w:w="1651"/>
        <w:gridCol w:w="304"/>
        <w:gridCol w:w="1163"/>
        <w:gridCol w:w="304"/>
        <w:gridCol w:w="1529"/>
        <w:gridCol w:w="300"/>
        <w:gridCol w:w="1505"/>
        <w:gridCol w:w="300"/>
        <w:gridCol w:w="1370"/>
      </w:tblGrid>
      <w:tr>
        <w:trPr/>
        <w:tc>
          <w:tcPr>
            <w:tcW w:w="1651" w:type="dxa"/>
            <w:tcBorders>
              <w:bottom w:val="single" w:sz="12" w:space="0" w:color="C12E33"/>
            </w:tcBorders>
            <w:vAlign w:val="center"/>
          </w:tcPr>
          <w:p>
            <w:pPr>
              <w:pStyle w:val="TableContents"/>
              <w:bidi w:val="0"/>
              <w:spacing w:before="0" w:after="283"/>
              <w:jc w:val="left"/>
              <w:rPr>
                <w:color w:val="636466"/>
                <w:sz w:val="15"/>
              </w:rPr>
            </w:pPr>
            <w:r>
              <w:rPr>
                <w:color w:val="636466"/>
                <w:sz w:val="15"/>
              </w:rPr>
              <w:t>Name of Beneficial Owner</w:t>
            </w:r>
          </w:p>
        </w:tc>
        <w:tc>
          <w:tcPr>
            <w:tcW w:w="304" w:type="dxa"/>
            <w:tcBorders>
              <w:bottom w:val="single" w:sz="12" w:space="0" w:color="C12E33"/>
            </w:tcBorders>
            <w:vAlign w:val="center"/>
          </w:tcPr>
          <w:p>
            <w:pPr>
              <w:pStyle w:val="TableContents"/>
              <w:bidi w:val="0"/>
              <w:spacing w:before="0" w:after="283"/>
              <w:jc w:val="left"/>
              <w:rPr/>
            </w:pPr>
            <w:r>
              <w:rPr/>
              <w:t>     </w:t>
            </w:r>
          </w:p>
        </w:tc>
        <w:tc>
          <w:tcPr>
            <w:tcW w:w="1163" w:type="dxa"/>
            <w:tcBorders>
              <w:bottom w:val="single" w:sz="12" w:space="0" w:color="C12E33"/>
            </w:tcBorders>
            <w:vAlign w:val="center"/>
          </w:tcPr>
          <w:p>
            <w:pPr>
              <w:pStyle w:val="TableContents"/>
              <w:bidi w:val="0"/>
              <w:spacing w:before="0" w:after="283"/>
              <w:jc w:val="right"/>
              <w:rPr/>
            </w:pPr>
            <w:r>
              <w:rPr>
                <w:color w:val="636466"/>
                <w:sz w:val="15"/>
              </w:rPr>
              <w:t xml:space="preserve">SARs Exercisable </w:t>
            </w:r>
            <w:r>
              <w:rPr>
                <w:sz w:val="15"/>
              </w:rPr>
              <w:br/>
            </w:r>
            <w:r>
              <w:rPr>
                <w:color w:val="636466"/>
                <w:sz w:val="15"/>
              </w:rPr>
              <w:t>within 60 days</w:t>
            </w:r>
            <w:r>
              <w:rPr>
                <w:color w:val="636466"/>
                <w:position w:val="5"/>
                <w:sz w:val="12"/>
                <w:sz w:val="15"/>
              </w:rPr>
              <w:t>(1)</w:t>
            </w:r>
          </w:p>
        </w:tc>
        <w:tc>
          <w:tcPr>
            <w:tcW w:w="304" w:type="dxa"/>
            <w:tcBorders>
              <w:bottom w:val="single" w:sz="12" w:space="0" w:color="C12E33"/>
            </w:tcBorders>
            <w:vAlign w:val="center"/>
          </w:tcPr>
          <w:p>
            <w:pPr>
              <w:pStyle w:val="TableContents"/>
              <w:bidi w:val="0"/>
              <w:spacing w:before="0" w:after="283"/>
              <w:jc w:val="left"/>
              <w:rPr/>
            </w:pPr>
            <w:r>
              <w:rPr/>
              <w:t>     </w:t>
            </w:r>
          </w:p>
        </w:tc>
        <w:tc>
          <w:tcPr>
            <w:tcW w:w="1529" w:type="dxa"/>
            <w:tcBorders>
              <w:bottom w:val="single" w:sz="12" w:space="0" w:color="C12E33"/>
            </w:tcBorders>
            <w:vAlign w:val="center"/>
          </w:tcPr>
          <w:p>
            <w:pPr>
              <w:pStyle w:val="TableContents"/>
              <w:bidi w:val="0"/>
              <w:spacing w:before="0" w:after="283"/>
              <w:jc w:val="right"/>
              <w:rPr/>
            </w:pPr>
            <w:r>
              <w:rPr>
                <w:color w:val="636466"/>
                <w:sz w:val="15"/>
              </w:rPr>
              <w:t>RSUs Convertible to</w:t>
            </w:r>
            <w:r>
              <w:rPr/>
              <w:t xml:space="preserve"> </w:t>
            </w:r>
            <w:r>
              <w:rPr>
                <w:sz w:val="15"/>
              </w:rPr>
              <w:br/>
            </w:r>
            <w:r>
              <w:rPr>
                <w:color w:val="636466"/>
                <w:sz w:val="15"/>
              </w:rPr>
              <w:t>Shares within 60 days</w:t>
            </w:r>
            <w:r>
              <w:rPr>
                <w:color w:val="636466"/>
                <w:position w:val="5"/>
                <w:sz w:val="12"/>
                <w:sz w:val="15"/>
              </w:rPr>
              <w:t>(2)</w:t>
            </w:r>
          </w:p>
        </w:tc>
        <w:tc>
          <w:tcPr>
            <w:tcW w:w="300" w:type="dxa"/>
            <w:tcBorders>
              <w:bottom w:val="single" w:sz="12" w:space="0" w:color="C12E33"/>
            </w:tcBorders>
            <w:vAlign w:val="center"/>
          </w:tcPr>
          <w:p>
            <w:pPr>
              <w:pStyle w:val="TableContents"/>
              <w:bidi w:val="0"/>
              <w:spacing w:before="0" w:after="283"/>
              <w:jc w:val="left"/>
              <w:rPr/>
            </w:pPr>
            <w:r>
              <w:rPr/>
              <w:t>     </w:t>
            </w:r>
          </w:p>
        </w:tc>
        <w:tc>
          <w:tcPr>
            <w:tcW w:w="1505" w:type="dxa"/>
            <w:tcBorders>
              <w:bottom w:val="single" w:sz="12" w:space="0" w:color="C12E33"/>
            </w:tcBorders>
            <w:vAlign w:val="center"/>
          </w:tcPr>
          <w:p>
            <w:pPr>
              <w:pStyle w:val="TableContents"/>
              <w:bidi w:val="0"/>
              <w:spacing w:before="0" w:after="283"/>
              <w:jc w:val="right"/>
              <w:rPr/>
            </w:pPr>
            <w:r>
              <w:rPr>
                <w:color w:val="636466"/>
                <w:sz w:val="15"/>
              </w:rPr>
              <w:t>DSUs Convertible to</w:t>
            </w:r>
            <w:r>
              <w:rPr/>
              <w:t xml:space="preserve"> </w:t>
            </w:r>
            <w:r>
              <w:rPr>
                <w:sz w:val="15"/>
              </w:rPr>
              <w:br/>
            </w:r>
            <w:r>
              <w:rPr>
                <w:color w:val="636466"/>
                <w:sz w:val="15"/>
              </w:rPr>
              <w:t>Shares within 60 days</w:t>
            </w:r>
            <w:r>
              <w:rPr>
                <w:color w:val="636466"/>
                <w:position w:val="5"/>
                <w:sz w:val="12"/>
                <w:sz w:val="15"/>
              </w:rPr>
              <w:t>(3)</w:t>
            </w:r>
          </w:p>
        </w:tc>
        <w:tc>
          <w:tcPr>
            <w:tcW w:w="300" w:type="dxa"/>
            <w:tcBorders>
              <w:bottom w:val="single" w:sz="12" w:space="0" w:color="C12E33"/>
            </w:tcBorders>
            <w:vAlign w:val="center"/>
          </w:tcPr>
          <w:p>
            <w:pPr>
              <w:pStyle w:val="TableContents"/>
              <w:bidi w:val="0"/>
              <w:spacing w:before="0" w:after="283"/>
              <w:jc w:val="left"/>
              <w:rPr/>
            </w:pPr>
            <w:r>
              <w:rPr/>
              <w:t>     </w:t>
            </w:r>
          </w:p>
        </w:tc>
        <w:tc>
          <w:tcPr>
            <w:tcW w:w="1370" w:type="dxa"/>
            <w:tcBorders>
              <w:bottom w:val="single" w:sz="12" w:space="0" w:color="C12E33"/>
            </w:tcBorders>
            <w:vAlign w:val="center"/>
          </w:tcPr>
          <w:p>
            <w:pPr>
              <w:pStyle w:val="TableContents"/>
              <w:bidi w:val="0"/>
              <w:spacing w:before="0" w:after="283"/>
              <w:jc w:val="right"/>
              <w:rPr/>
            </w:pPr>
            <w:r>
              <w:rPr>
                <w:color w:val="636466"/>
                <w:sz w:val="15"/>
              </w:rPr>
              <w:t xml:space="preserve">Total Shares </w:t>
            </w:r>
            <w:r>
              <w:rPr>
                <w:sz w:val="15"/>
              </w:rPr>
              <w:br/>
            </w:r>
            <w:r>
              <w:rPr>
                <w:color w:val="636466"/>
                <w:sz w:val="15"/>
              </w:rPr>
              <w:t>Beneficially Owned</w:t>
            </w:r>
            <w:r>
              <w:rPr>
                <w:color w:val="636466"/>
                <w:position w:val="5"/>
                <w:sz w:val="12"/>
                <w:sz w:val="15"/>
              </w:rPr>
              <w:t>(4)</w:t>
            </w:r>
          </w:p>
        </w:tc>
      </w:tr>
      <w:tr>
        <w:trPr/>
        <w:tc>
          <w:tcPr>
            <w:tcW w:w="4951" w:type="dxa"/>
            <w:gridSpan w:val="5"/>
            <w:tcBorders>
              <w:bottom w:val="single" w:sz="2" w:space="0" w:color="000000"/>
            </w:tcBorders>
            <w:vAlign w:val="center"/>
          </w:tcPr>
          <w:p>
            <w:pPr>
              <w:pStyle w:val="TableContents"/>
              <w:bidi w:val="0"/>
              <w:spacing w:before="0" w:after="283"/>
              <w:jc w:val="left"/>
              <w:rPr>
                <w:b/>
              </w:rPr>
            </w:pPr>
            <w:r>
              <w:rPr>
                <w:b/>
              </w:rPr>
              <w:t>CFO and other NEOs who are not also directors</w:t>
            </w:r>
          </w:p>
        </w:tc>
        <w:tc>
          <w:tcPr>
            <w:tcW w:w="300" w:type="dxa"/>
            <w:tcBorders>
              <w:bottom w:val="single" w:sz="2" w:space="0" w:color="000000"/>
            </w:tcBorders>
            <w:vAlign w:val="center"/>
          </w:tcPr>
          <w:p>
            <w:pPr>
              <w:pStyle w:val="TableContents"/>
              <w:bidi w:val="0"/>
              <w:spacing w:before="0" w:after="283"/>
              <w:jc w:val="left"/>
              <w:rPr/>
            </w:pPr>
            <w:r>
              <w:rPr/>
              <w:t> </w:t>
            </w:r>
          </w:p>
        </w:tc>
        <w:tc>
          <w:tcPr>
            <w:tcW w:w="1505" w:type="dxa"/>
            <w:tcBorders>
              <w:bottom w:val="single" w:sz="2" w:space="0" w:color="000000"/>
            </w:tcBorders>
            <w:vAlign w:val="center"/>
          </w:tcPr>
          <w:p>
            <w:pPr>
              <w:pStyle w:val="TableContents"/>
              <w:bidi w:val="0"/>
              <w:spacing w:before="0" w:after="283"/>
              <w:jc w:val="left"/>
              <w:rPr/>
            </w:pPr>
            <w:r>
              <w:rPr/>
              <w:t> </w:t>
            </w:r>
          </w:p>
        </w:tc>
        <w:tc>
          <w:tcPr>
            <w:tcW w:w="300" w:type="dxa"/>
            <w:tcBorders>
              <w:bottom w:val="single" w:sz="2" w:space="0" w:color="000000"/>
            </w:tcBorders>
            <w:vAlign w:val="center"/>
          </w:tcPr>
          <w:p>
            <w:pPr>
              <w:pStyle w:val="TableContents"/>
              <w:bidi w:val="0"/>
              <w:spacing w:before="0" w:after="283"/>
              <w:jc w:val="left"/>
              <w:rPr/>
            </w:pPr>
            <w:r>
              <w:rPr/>
              <w:t> </w:t>
            </w:r>
          </w:p>
        </w:tc>
        <w:tc>
          <w:tcPr>
            <w:tcW w:w="1370" w:type="dxa"/>
            <w:tcBorders>
              <w:bottom w:val="single" w:sz="2" w:space="0" w:color="000000"/>
            </w:tcBorders>
            <w:vAlign w:val="center"/>
          </w:tcPr>
          <w:p>
            <w:pPr>
              <w:pStyle w:val="TableContents"/>
              <w:bidi w:val="0"/>
              <w:spacing w:before="0" w:after="283"/>
              <w:jc w:val="left"/>
              <w:rPr/>
            </w:pPr>
            <w:r>
              <w:rPr/>
              <w:t> </w:t>
            </w:r>
          </w:p>
        </w:tc>
      </w:tr>
      <w:tr>
        <w:trPr/>
        <w:tc>
          <w:tcPr>
            <w:tcW w:w="1651" w:type="dxa"/>
            <w:tcBorders>
              <w:bottom w:val="single" w:sz="2" w:space="0" w:color="000000"/>
            </w:tcBorders>
            <w:vAlign w:val="center"/>
          </w:tcPr>
          <w:p>
            <w:pPr>
              <w:pStyle w:val="TableContents"/>
              <w:bidi w:val="0"/>
              <w:spacing w:before="0" w:after="283"/>
              <w:jc w:val="left"/>
              <w:rPr/>
            </w:pPr>
            <w:r>
              <w:rPr/>
              <w:t>N. Mitchill, Jr.</w:t>
            </w:r>
          </w:p>
        </w:tc>
        <w:tc>
          <w:tcPr>
            <w:tcW w:w="304" w:type="dxa"/>
            <w:tcBorders>
              <w:bottom w:val="single" w:sz="2" w:space="0" w:color="000000"/>
            </w:tcBorders>
            <w:vAlign w:val="center"/>
          </w:tcPr>
          <w:p>
            <w:pPr>
              <w:pStyle w:val="TableContents"/>
              <w:bidi w:val="0"/>
              <w:spacing w:before="0" w:after="283"/>
              <w:jc w:val="left"/>
              <w:rPr/>
            </w:pPr>
            <w:r>
              <w:rPr/>
              <w:t> </w:t>
            </w:r>
          </w:p>
        </w:tc>
        <w:tc>
          <w:tcPr>
            <w:tcW w:w="1163" w:type="dxa"/>
            <w:tcBorders>
              <w:bottom w:val="single" w:sz="2" w:space="0" w:color="000000"/>
            </w:tcBorders>
            <w:vAlign w:val="center"/>
          </w:tcPr>
          <w:p>
            <w:pPr>
              <w:pStyle w:val="TableContents"/>
              <w:bidi w:val="0"/>
              <w:spacing w:before="0" w:after="283"/>
              <w:jc w:val="right"/>
              <w:rPr/>
            </w:pPr>
            <w:r>
              <w:rPr/>
              <w:t>175,149</w:t>
            </w:r>
          </w:p>
        </w:tc>
        <w:tc>
          <w:tcPr>
            <w:tcW w:w="304" w:type="dxa"/>
            <w:tcBorders>
              <w:bottom w:val="single" w:sz="2" w:space="0" w:color="000000"/>
            </w:tcBorders>
            <w:vAlign w:val="center"/>
          </w:tcPr>
          <w:p>
            <w:pPr>
              <w:pStyle w:val="TableContents"/>
              <w:bidi w:val="0"/>
              <w:spacing w:before="0" w:after="283"/>
              <w:jc w:val="left"/>
              <w:rPr/>
            </w:pPr>
            <w:r>
              <w:rPr/>
              <w:t> </w:t>
            </w:r>
          </w:p>
        </w:tc>
        <w:tc>
          <w:tcPr>
            <w:tcW w:w="1529" w:type="dxa"/>
            <w:tcBorders>
              <w:bottom w:val="single" w:sz="2" w:space="0" w:color="000000"/>
            </w:tcBorders>
            <w:vAlign w:val="center"/>
          </w:tcPr>
          <w:p>
            <w:pPr>
              <w:pStyle w:val="TableContents"/>
              <w:bidi w:val="0"/>
              <w:spacing w:before="0" w:after="283"/>
              <w:jc w:val="right"/>
              <w:rPr/>
            </w:pPr>
            <w:r>
              <w:rPr/>
              <w:t>–</w:t>
            </w:r>
          </w:p>
        </w:tc>
        <w:tc>
          <w:tcPr>
            <w:tcW w:w="300" w:type="dxa"/>
            <w:tcBorders>
              <w:bottom w:val="single" w:sz="2" w:space="0" w:color="000000"/>
            </w:tcBorders>
            <w:vAlign w:val="center"/>
          </w:tcPr>
          <w:p>
            <w:pPr>
              <w:pStyle w:val="TableContents"/>
              <w:bidi w:val="0"/>
              <w:spacing w:before="0" w:after="283"/>
              <w:jc w:val="left"/>
              <w:rPr/>
            </w:pPr>
            <w:r>
              <w:rPr/>
              <w:t> </w:t>
            </w:r>
          </w:p>
        </w:tc>
        <w:tc>
          <w:tcPr>
            <w:tcW w:w="1505" w:type="dxa"/>
            <w:tcBorders>
              <w:bottom w:val="single" w:sz="2" w:space="0" w:color="000000"/>
            </w:tcBorders>
            <w:vAlign w:val="center"/>
          </w:tcPr>
          <w:p>
            <w:pPr>
              <w:pStyle w:val="TableContents"/>
              <w:bidi w:val="0"/>
              <w:spacing w:before="0" w:after="283"/>
              <w:jc w:val="right"/>
              <w:rPr/>
            </w:pPr>
            <w:r>
              <w:rPr/>
              <w:t>–</w:t>
            </w:r>
          </w:p>
        </w:tc>
        <w:tc>
          <w:tcPr>
            <w:tcW w:w="300" w:type="dxa"/>
            <w:tcBorders>
              <w:bottom w:val="single" w:sz="2" w:space="0" w:color="000000"/>
            </w:tcBorders>
            <w:vAlign w:val="center"/>
          </w:tcPr>
          <w:p>
            <w:pPr>
              <w:pStyle w:val="TableContents"/>
              <w:bidi w:val="0"/>
              <w:spacing w:before="0" w:after="283"/>
              <w:jc w:val="left"/>
              <w:rPr/>
            </w:pPr>
            <w:r>
              <w:rPr/>
              <w:t> </w:t>
            </w:r>
          </w:p>
        </w:tc>
        <w:tc>
          <w:tcPr>
            <w:tcW w:w="1370" w:type="dxa"/>
            <w:tcBorders>
              <w:bottom w:val="single" w:sz="2" w:space="0" w:color="000000"/>
            </w:tcBorders>
            <w:vAlign w:val="center"/>
          </w:tcPr>
          <w:p>
            <w:pPr>
              <w:pStyle w:val="TableContents"/>
              <w:bidi w:val="0"/>
              <w:spacing w:before="0" w:after="283"/>
              <w:jc w:val="right"/>
              <w:rPr/>
            </w:pPr>
            <w:r>
              <w:rPr/>
              <w:t>259,711</w:t>
            </w:r>
          </w:p>
        </w:tc>
      </w:tr>
      <w:tr>
        <w:trPr/>
        <w:tc>
          <w:tcPr>
            <w:tcW w:w="1651" w:type="dxa"/>
            <w:tcBorders>
              <w:bottom w:val="single" w:sz="2" w:space="0" w:color="000000"/>
            </w:tcBorders>
            <w:vAlign w:val="center"/>
          </w:tcPr>
          <w:p>
            <w:pPr>
              <w:pStyle w:val="TableContents"/>
              <w:bidi w:val="0"/>
              <w:spacing w:before="0" w:after="283"/>
              <w:jc w:val="left"/>
              <w:rPr/>
            </w:pPr>
            <w:r>
              <w:rPr/>
              <w:t>P. Jasper</w:t>
            </w:r>
          </w:p>
        </w:tc>
        <w:tc>
          <w:tcPr>
            <w:tcW w:w="304" w:type="dxa"/>
            <w:tcBorders>
              <w:bottom w:val="single" w:sz="2" w:space="0" w:color="000000"/>
            </w:tcBorders>
            <w:vAlign w:val="center"/>
          </w:tcPr>
          <w:p>
            <w:pPr>
              <w:pStyle w:val="TableContents"/>
              <w:bidi w:val="0"/>
              <w:spacing w:before="0" w:after="283"/>
              <w:jc w:val="left"/>
              <w:rPr/>
            </w:pPr>
            <w:r>
              <w:rPr/>
              <w:t> </w:t>
            </w:r>
          </w:p>
        </w:tc>
        <w:tc>
          <w:tcPr>
            <w:tcW w:w="1163" w:type="dxa"/>
            <w:tcBorders>
              <w:bottom w:val="single" w:sz="2" w:space="0" w:color="000000"/>
            </w:tcBorders>
            <w:vAlign w:val="center"/>
          </w:tcPr>
          <w:p>
            <w:pPr>
              <w:pStyle w:val="TableContents"/>
              <w:bidi w:val="0"/>
              <w:spacing w:before="0" w:after="283"/>
              <w:jc w:val="right"/>
              <w:rPr/>
            </w:pPr>
            <w:r>
              <w:rPr/>
              <w:t>72,085</w:t>
            </w:r>
          </w:p>
        </w:tc>
        <w:tc>
          <w:tcPr>
            <w:tcW w:w="304" w:type="dxa"/>
            <w:tcBorders>
              <w:bottom w:val="single" w:sz="2" w:space="0" w:color="000000"/>
            </w:tcBorders>
            <w:vAlign w:val="center"/>
          </w:tcPr>
          <w:p>
            <w:pPr>
              <w:pStyle w:val="TableContents"/>
              <w:bidi w:val="0"/>
              <w:spacing w:before="0" w:after="283"/>
              <w:jc w:val="left"/>
              <w:rPr/>
            </w:pPr>
            <w:r>
              <w:rPr/>
              <w:t> </w:t>
            </w:r>
          </w:p>
        </w:tc>
        <w:tc>
          <w:tcPr>
            <w:tcW w:w="1529" w:type="dxa"/>
            <w:tcBorders>
              <w:bottom w:val="single" w:sz="2" w:space="0" w:color="000000"/>
            </w:tcBorders>
            <w:vAlign w:val="center"/>
          </w:tcPr>
          <w:p>
            <w:pPr>
              <w:pStyle w:val="TableContents"/>
              <w:bidi w:val="0"/>
              <w:spacing w:before="0" w:after="283"/>
              <w:jc w:val="right"/>
              <w:rPr/>
            </w:pPr>
            <w:r>
              <w:rPr/>
              <w:t>–</w:t>
            </w:r>
          </w:p>
        </w:tc>
        <w:tc>
          <w:tcPr>
            <w:tcW w:w="300" w:type="dxa"/>
            <w:tcBorders>
              <w:bottom w:val="single" w:sz="2" w:space="0" w:color="000000"/>
            </w:tcBorders>
            <w:vAlign w:val="center"/>
          </w:tcPr>
          <w:p>
            <w:pPr>
              <w:pStyle w:val="TableContents"/>
              <w:bidi w:val="0"/>
              <w:spacing w:before="0" w:after="283"/>
              <w:jc w:val="left"/>
              <w:rPr/>
            </w:pPr>
            <w:r>
              <w:rPr/>
              <w:t> </w:t>
            </w:r>
          </w:p>
        </w:tc>
        <w:tc>
          <w:tcPr>
            <w:tcW w:w="1505" w:type="dxa"/>
            <w:tcBorders>
              <w:bottom w:val="single" w:sz="2" w:space="0" w:color="000000"/>
            </w:tcBorders>
            <w:vAlign w:val="center"/>
          </w:tcPr>
          <w:p>
            <w:pPr>
              <w:pStyle w:val="TableContents"/>
              <w:bidi w:val="0"/>
              <w:spacing w:before="0" w:after="283"/>
              <w:jc w:val="right"/>
              <w:rPr/>
            </w:pPr>
            <w:r>
              <w:rPr/>
              <w:t>–</w:t>
            </w:r>
          </w:p>
        </w:tc>
        <w:tc>
          <w:tcPr>
            <w:tcW w:w="300" w:type="dxa"/>
            <w:tcBorders>
              <w:bottom w:val="single" w:sz="2" w:space="0" w:color="000000"/>
            </w:tcBorders>
            <w:vAlign w:val="center"/>
          </w:tcPr>
          <w:p>
            <w:pPr>
              <w:pStyle w:val="TableContents"/>
              <w:bidi w:val="0"/>
              <w:spacing w:before="0" w:after="283"/>
              <w:jc w:val="left"/>
              <w:rPr/>
            </w:pPr>
            <w:r>
              <w:rPr/>
              <w:t> </w:t>
            </w:r>
          </w:p>
        </w:tc>
        <w:tc>
          <w:tcPr>
            <w:tcW w:w="1370" w:type="dxa"/>
            <w:tcBorders>
              <w:bottom w:val="single" w:sz="2" w:space="0" w:color="000000"/>
            </w:tcBorders>
            <w:vAlign w:val="center"/>
          </w:tcPr>
          <w:p>
            <w:pPr>
              <w:pStyle w:val="TableContents"/>
              <w:bidi w:val="0"/>
              <w:spacing w:before="0" w:after="283"/>
              <w:jc w:val="right"/>
              <w:rPr/>
            </w:pPr>
            <w:r>
              <w:rPr/>
              <w:t>99,097</w:t>
            </w:r>
          </w:p>
        </w:tc>
      </w:tr>
      <w:tr>
        <w:trPr/>
        <w:tc>
          <w:tcPr>
            <w:tcW w:w="1651" w:type="dxa"/>
            <w:tcBorders>
              <w:bottom w:val="single" w:sz="2" w:space="0" w:color="000000"/>
            </w:tcBorders>
            <w:vAlign w:val="center"/>
          </w:tcPr>
          <w:p>
            <w:pPr>
              <w:pStyle w:val="TableContents"/>
              <w:bidi w:val="0"/>
              <w:spacing w:before="0" w:after="283"/>
              <w:jc w:val="left"/>
              <w:rPr/>
            </w:pPr>
            <w:r>
              <w:rPr/>
              <w:t>S. Eddy</w:t>
            </w:r>
          </w:p>
        </w:tc>
        <w:tc>
          <w:tcPr>
            <w:tcW w:w="304" w:type="dxa"/>
            <w:tcBorders>
              <w:bottom w:val="single" w:sz="2" w:space="0" w:color="000000"/>
            </w:tcBorders>
            <w:vAlign w:val="center"/>
          </w:tcPr>
          <w:p>
            <w:pPr>
              <w:pStyle w:val="TableContents"/>
              <w:bidi w:val="0"/>
              <w:spacing w:before="0" w:after="283"/>
              <w:jc w:val="left"/>
              <w:rPr/>
            </w:pPr>
            <w:r>
              <w:rPr/>
              <w:t> </w:t>
            </w:r>
          </w:p>
        </w:tc>
        <w:tc>
          <w:tcPr>
            <w:tcW w:w="1163" w:type="dxa"/>
            <w:tcBorders>
              <w:bottom w:val="single" w:sz="2" w:space="0" w:color="000000"/>
            </w:tcBorders>
            <w:vAlign w:val="center"/>
          </w:tcPr>
          <w:p>
            <w:pPr>
              <w:pStyle w:val="TableContents"/>
              <w:bidi w:val="0"/>
              <w:spacing w:before="0" w:after="283"/>
              <w:jc w:val="right"/>
              <w:rPr/>
            </w:pPr>
            <w:r>
              <w:rPr/>
              <w:t>118,431</w:t>
            </w:r>
          </w:p>
        </w:tc>
        <w:tc>
          <w:tcPr>
            <w:tcW w:w="304" w:type="dxa"/>
            <w:tcBorders>
              <w:bottom w:val="single" w:sz="2" w:space="0" w:color="000000"/>
            </w:tcBorders>
            <w:vAlign w:val="center"/>
          </w:tcPr>
          <w:p>
            <w:pPr>
              <w:pStyle w:val="TableContents"/>
              <w:bidi w:val="0"/>
              <w:spacing w:before="0" w:after="283"/>
              <w:jc w:val="left"/>
              <w:rPr/>
            </w:pPr>
            <w:r>
              <w:rPr/>
              <w:t> </w:t>
            </w:r>
          </w:p>
        </w:tc>
        <w:tc>
          <w:tcPr>
            <w:tcW w:w="1529" w:type="dxa"/>
            <w:tcBorders>
              <w:bottom w:val="single" w:sz="2" w:space="0" w:color="000000"/>
            </w:tcBorders>
            <w:vAlign w:val="center"/>
          </w:tcPr>
          <w:p>
            <w:pPr>
              <w:pStyle w:val="TableContents"/>
              <w:bidi w:val="0"/>
              <w:spacing w:before="0" w:after="283"/>
              <w:jc w:val="right"/>
              <w:rPr/>
            </w:pPr>
            <w:r>
              <w:rPr/>
              <w:t>–</w:t>
            </w:r>
          </w:p>
        </w:tc>
        <w:tc>
          <w:tcPr>
            <w:tcW w:w="300" w:type="dxa"/>
            <w:tcBorders>
              <w:bottom w:val="single" w:sz="2" w:space="0" w:color="000000"/>
            </w:tcBorders>
            <w:vAlign w:val="center"/>
          </w:tcPr>
          <w:p>
            <w:pPr>
              <w:pStyle w:val="TableContents"/>
              <w:bidi w:val="0"/>
              <w:spacing w:before="0" w:after="283"/>
              <w:jc w:val="left"/>
              <w:rPr/>
            </w:pPr>
            <w:r>
              <w:rPr/>
              <w:t> </w:t>
            </w:r>
          </w:p>
        </w:tc>
        <w:tc>
          <w:tcPr>
            <w:tcW w:w="1505" w:type="dxa"/>
            <w:tcBorders>
              <w:bottom w:val="single" w:sz="2" w:space="0" w:color="000000"/>
            </w:tcBorders>
            <w:vAlign w:val="center"/>
          </w:tcPr>
          <w:p>
            <w:pPr>
              <w:pStyle w:val="TableContents"/>
              <w:bidi w:val="0"/>
              <w:spacing w:before="0" w:after="283"/>
              <w:jc w:val="right"/>
              <w:rPr/>
            </w:pPr>
            <w:r>
              <w:rPr/>
              <w:t>–</w:t>
            </w:r>
          </w:p>
        </w:tc>
        <w:tc>
          <w:tcPr>
            <w:tcW w:w="300" w:type="dxa"/>
            <w:tcBorders>
              <w:bottom w:val="single" w:sz="2" w:space="0" w:color="000000"/>
            </w:tcBorders>
            <w:vAlign w:val="center"/>
          </w:tcPr>
          <w:p>
            <w:pPr>
              <w:pStyle w:val="TableContents"/>
              <w:bidi w:val="0"/>
              <w:spacing w:before="0" w:after="283"/>
              <w:jc w:val="left"/>
              <w:rPr/>
            </w:pPr>
            <w:r>
              <w:rPr/>
              <w:t> </w:t>
            </w:r>
          </w:p>
        </w:tc>
        <w:tc>
          <w:tcPr>
            <w:tcW w:w="1370" w:type="dxa"/>
            <w:tcBorders>
              <w:bottom w:val="single" w:sz="2" w:space="0" w:color="000000"/>
            </w:tcBorders>
            <w:vAlign w:val="center"/>
          </w:tcPr>
          <w:p>
            <w:pPr>
              <w:pStyle w:val="TableContents"/>
              <w:bidi w:val="0"/>
              <w:spacing w:before="0" w:after="283"/>
              <w:jc w:val="right"/>
              <w:rPr/>
            </w:pPr>
            <w:r>
              <w:rPr/>
              <w:t>118,630</w:t>
            </w:r>
          </w:p>
        </w:tc>
      </w:tr>
      <w:tr>
        <w:trPr/>
        <w:tc>
          <w:tcPr>
            <w:tcW w:w="1651" w:type="dxa"/>
            <w:tcBorders>
              <w:bottom w:val="single" w:sz="2" w:space="0" w:color="000000"/>
            </w:tcBorders>
            <w:vAlign w:val="center"/>
          </w:tcPr>
          <w:p>
            <w:pPr>
              <w:pStyle w:val="TableContents"/>
              <w:bidi w:val="0"/>
              <w:spacing w:before="0" w:after="283"/>
              <w:jc w:val="left"/>
              <w:rPr/>
            </w:pPr>
            <w:r>
              <w:rPr/>
              <w:t>T. Brunk</w:t>
            </w:r>
          </w:p>
        </w:tc>
        <w:tc>
          <w:tcPr>
            <w:tcW w:w="304" w:type="dxa"/>
            <w:tcBorders>
              <w:bottom w:val="single" w:sz="2" w:space="0" w:color="000000"/>
            </w:tcBorders>
            <w:vAlign w:val="center"/>
          </w:tcPr>
          <w:p>
            <w:pPr>
              <w:pStyle w:val="TableContents"/>
              <w:bidi w:val="0"/>
              <w:spacing w:before="0" w:after="283"/>
              <w:jc w:val="left"/>
              <w:rPr/>
            </w:pPr>
            <w:r>
              <w:rPr/>
              <w:t> </w:t>
            </w:r>
          </w:p>
        </w:tc>
        <w:tc>
          <w:tcPr>
            <w:tcW w:w="1163" w:type="dxa"/>
            <w:tcBorders>
              <w:bottom w:val="single" w:sz="2" w:space="0" w:color="000000"/>
            </w:tcBorders>
            <w:vAlign w:val="center"/>
          </w:tcPr>
          <w:p>
            <w:pPr>
              <w:pStyle w:val="TableContents"/>
              <w:bidi w:val="0"/>
              <w:spacing w:before="0" w:after="283"/>
              <w:jc w:val="right"/>
              <w:rPr/>
            </w:pPr>
            <w:r>
              <w:rPr/>
              <w:t>6,554</w:t>
            </w:r>
          </w:p>
        </w:tc>
        <w:tc>
          <w:tcPr>
            <w:tcW w:w="304" w:type="dxa"/>
            <w:tcBorders>
              <w:bottom w:val="single" w:sz="2" w:space="0" w:color="000000"/>
            </w:tcBorders>
            <w:vAlign w:val="center"/>
          </w:tcPr>
          <w:p>
            <w:pPr>
              <w:pStyle w:val="TableContents"/>
              <w:bidi w:val="0"/>
              <w:spacing w:before="0" w:after="283"/>
              <w:jc w:val="left"/>
              <w:rPr/>
            </w:pPr>
            <w:r>
              <w:rPr/>
              <w:t> </w:t>
            </w:r>
          </w:p>
        </w:tc>
        <w:tc>
          <w:tcPr>
            <w:tcW w:w="1529" w:type="dxa"/>
            <w:tcBorders>
              <w:bottom w:val="single" w:sz="2" w:space="0" w:color="000000"/>
            </w:tcBorders>
            <w:vAlign w:val="center"/>
          </w:tcPr>
          <w:p>
            <w:pPr>
              <w:pStyle w:val="TableContents"/>
              <w:bidi w:val="0"/>
              <w:spacing w:before="0" w:after="283"/>
              <w:jc w:val="right"/>
              <w:rPr/>
            </w:pPr>
            <w:r>
              <w:rPr/>
              <w:t>–</w:t>
            </w:r>
          </w:p>
        </w:tc>
        <w:tc>
          <w:tcPr>
            <w:tcW w:w="300" w:type="dxa"/>
            <w:tcBorders>
              <w:bottom w:val="single" w:sz="2" w:space="0" w:color="000000"/>
            </w:tcBorders>
            <w:vAlign w:val="center"/>
          </w:tcPr>
          <w:p>
            <w:pPr>
              <w:pStyle w:val="TableContents"/>
              <w:bidi w:val="0"/>
              <w:spacing w:before="0" w:after="283"/>
              <w:jc w:val="left"/>
              <w:rPr/>
            </w:pPr>
            <w:r>
              <w:rPr/>
              <w:t> </w:t>
            </w:r>
          </w:p>
        </w:tc>
        <w:tc>
          <w:tcPr>
            <w:tcW w:w="1505" w:type="dxa"/>
            <w:tcBorders>
              <w:bottom w:val="single" w:sz="2" w:space="0" w:color="000000"/>
            </w:tcBorders>
            <w:vAlign w:val="center"/>
          </w:tcPr>
          <w:p>
            <w:pPr>
              <w:pStyle w:val="TableContents"/>
              <w:bidi w:val="0"/>
              <w:spacing w:before="0" w:after="283"/>
              <w:jc w:val="right"/>
              <w:rPr/>
            </w:pPr>
            <w:r>
              <w:rPr/>
              <w:t>–</w:t>
            </w:r>
          </w:p>
        </w:tc>
        <w:tc>
          <w:tcPr>
            <w:tcW w:w="300" w:type="dxa"/>
            <w:tcBorders>
              <w:bottom w:val="single" w:sz="2" w:space="0" w:color="000000"/>
            </w:tcBorders>
            <w:vAlign w:val="center"/>
          </w:tcPr>
          <w:p>
            <w:pPr>
              <w:pStyle w:val="TableContents"/>
              <w:bidi w:val="0"/>
              <w:spacing w:before="0" w:after="283"/>
              <w:jc w:val="left"/>
              <w:rPr/>
            </w:pPr>
            <w:r>
              <w:rPr/>
              <w:t> </w:t>
            </w:r>
          </w:p>
        </w:tc>
        <w:tc>
          <w:tcPr>
            <w:tcW w:w="1370" w:type="dxa"/>
            <w:tcBorders>
              <w:bottom w:val="single" w:sz="2" w:space="0" w:color="000000"/>
            </w:tcBorders>
            <w:vAlign w:val="center"/>
          </w:tcPr>
          <w:p>
            <w:pPr>
              <w:pStyle w:val="TableContents"/>
              <w:bidi w:val="0"/>
              <w:spacing w:before="0" w:after="283"/>
              <w:jc w:val="right"/>
              <w:rPr/>
            </w:pPr>
            <w:r>
              <w:rPr/>
              <w:t>10,959</w:t>
            </w:r>
          </w:p>
        </w:tc>
      </w:tr>
      <w:tr>
        <w:trPr/>
        <w:tc>
          <w:tcPr>
            <w:tcW w:w="6756" w:type="dxa"/>
            <w:gridSpan w:val="7"/>
            <w:tcBorders>
              <w:bottom w:val="single" w:sz="12" w:space="0" w:color="636466"/>
            </w:tcBorders>
            <w:vAlign w:val="center"/>
          </w:tcPr>
          <w:p>
            <w:pPr>
              <w:pStyle w:val="TableContents"/>
              <w:bidi w:val="0"/>
              <w:spacing w:before="0" w:after="283"/>
              <w:jc w:val="left"/>
              <w:rPr>
                <w:b/>
              </w:rPr>
            </w:pPr>
            <w:r>
              <w:rPr>
                <w:b/>
              </w:rPr>
              <w:t>All directors and executive officers as a group (19 in total)</w:t>
            </w:r>
            <w:r>
              <w:rPr>
                <w:b/>
                <w:position w:val="8"/>
                <w:sz w:val="19"/>
              </w:rPr>
              <w:t>(6)</w:t>
            </w:r>
          </w:p>
        </w:tc>
        <w:tc>
          <w:tcPr>
            <w:tcW w:w="300" w:type="dxa"/>
            <w:tcBorders>
              <w:bottom w:val="single" w:sz="12" w:space="0" w:color="636466"/>
            </w:tcBorders>
            <w:vAlign w:val="center"/>
          </w:tcPr>
          <w:p>
            <w:pPr>
              <w:pStyle w:val="TableContents"/>
              <w:bidi w:val="0"/>
              <w:spacing w:before="0" w:after="283"/>
              <w:jc w:val="left"/>
              <w:rPr/>
            </w:pPr>
            <w:r>
              <w:rPr/>
              <w:t> </w:t>
            </w:r>
          </w:p>
        </w:tc>
        <w:tc>
          <w:tcPr>
            <w:tcW w:w="1370" w:type="dxa"/>
            <w:tcBorders>
              <w:bottom w:val="single" w:sz="12" w:space="0" w:color="636466"/>
            </w:tcBorders>
            <w:vAlign w:val="center"/>
          </w:tcPr>
          <w:p>
            <w:pPr>
              <w:pStyle w:val="TableContents"/>
              <w:bidi w:val="0"/>
              <w:spacing w:before="0" w:after="283"/>
              <w:jc w:val="right"/>
              <w:rPr>
                <w:b/>
              </w:rPr>
            </w:pPr>
            <w:r>
              <w:rPr>
                <w:b/>
              </w:rPr>
              <w:t>1,406,743</w:t>
            </w:r>
          </w:p>
        </w:tc>
      </w:tr>
    </w:tbl>
    <w:tbl>
      <w:tblPr>
        <w:tblW w:w="10205" w:type="dxa"/>
        <w:jc w:val="left"/>
        <w:tblInd w:w="0" w:type="dxa"/>
        <w:tblLayout w:type="fixed"/>
        <w:tblCellMar>
          <w:top w:w="0" w:type="dxa"/>
          <w:left w:w="0" w:type="dxa"/>
          <w:bottom w:w="0" w:type="dxa"/>
          <w:right w:w="0" w:type="dxa"/>
        </w:tblCellMar>
      </w:tblPr>
      <w:tblGrid>
        <w:gridCol w:w="242"/>
        <w:gridCol w:w="9963"/>
      </w:tblGrid>
      <w:tr>
        <w:trPr/>
        <w:tc>
          <w:tcPr>
            <w:tcW w:w="242" w:type="dxa"/>
            <w:tcBorders/>
            <w:vAlign w:val="center"/>
          </w:tcPr>
          <w:p>
            <w:pPr>
              <w:pStyle w:val="TableContents"/>
              <w:bidi w:val="0"/>
              <w:spacing w:before="0" w:after="283"/>
              <w:jc w:val="left"/>
              <w:rPr/>
            </w:pPr>
            <w:r>
              <w:rPr/>
              <w:t>(1)</w:t>
            </w:r>
          </w:p>
        </w:tc>
        <w:tc>
          <w:tcPr>
            <w:tcW w:w="9963" w:type="dxa"/>
            <w:tcBorders/>
            <w:vAlign w:val="center"/>
          </w:tcPr>
          <w:p>
            <w:pPr>
              <w:pStyle w:val="TableContents"/>
              <w:bidi w:val="0"/>
              <w:spacing w:before="0" w:after="283"/>
              <w:jc w:val="left"/>
              <w:rPr/>
            </w:pPr>
            <w:r>
              <w:rPr/>
              <w:t>Net number of shares of RTX Common Stock that would be issued to the current or former executive officers if their vested SARs were exercised within 60 days of February 17, 2026. Once vested, each SAR can be exercised for the number of shares of RTX Common Stock having a value equal to the difference between the market price on the exercise date and the exercise price of the SAR. The estimated net number of shares of RTX Common Stock was calculated using $203.50 per share, which was the NYSE closing price of RTX Common Stock on February 17, 2026.</w:t>
            </w:r>
          </w:p>
        </w:tc>
      </w:tr>
      <w:tr>
        <w:trPr/>
        <w:tc>
          <w:tcPr>
            <w:tcW w:w="242" w:type="dxa"/>
            <w:tcBorders/>
            <w:vAlign w:val="center"/>
          </w:tcPr>
          <w:p>
            <w:pPr>
              <w:pStyle w:val="TableContents"/>
              <w:bidi w:val="0"/>
              <w:spacing w:before="0" w:after="283"/>
              <w:jc w:val="left"/>
              <w:rPr/>
            </w:pPr>
            <w:r>
              <w:rPr/>
              <w:t>(2)</w:t>
            </w:r>
          </w:p>
        </w:tc>
        <w:tc>
          <w:tcPr>
            <w:tcW w:w="9963" w:type="dxa"/>
            <w:tcBorders/>
            <w:vAlign w:val="center"/>
          </w:tcPr>
          <w:p>
            <w:pPr>
              <w:pStyle w:val="TableContents"/>
              <w:bidi w:val="0"/>
              <w:spacing w:before="0" w:after="283"/>
              <w:jc w:val="left"/>
              <w:rPr/>
            </w:pPr>
            <w:r>
              <w:rPr/>
              <w:t>Each non-employee director appointed to the Board prior to October 2019 received deferred RSUs that vest in equal portions over five years and are distributed in shares of RTX Common Stock when the director retires from the Board. The table reflects the vested deferred RSUs, which are the number of shares in which the director has the right to acquire beneficial ownership at any time within 60 days of February 17, 2026, following the director’s retirement from the Board.</w:t>
            </w:r>
          </w:p>
        </w:tc>
      </w:tr>
      <w:tr>
        <w:trPr/>
        <w:tc>
          <w:tcPr>
            <w:tcW w:w="242" w:type="dxa"/>
            <w:tcBorders/>
            <w:vAlign w:val="center"/>
          </w:tcPr>
          <w:p>
            <w:pPr>
              <w:pStyle w:val="TableContents"/>
              <w:bidi w:val="0"/>
              <w:spacing w:before="0" w:after="283"/>
              <w:jc w:val="left"/>
              <w:rPr/>
            </w:pPr>
            <w:r>
              <w:rPr/>
              <w:t>(3)</w:t>
            </w:r>
          </w:p>
        </w:tc>
        <w:tc>
          <w:tcPr>
            <w:tcW w:w="9963" w:type="dxa"/>
            <w:tcBorders/>
            <w:vAlign w:val="center"/>
          </w:tcPr>
          <w:p>
            <w:pPr>
              <w:pStyle w:val="TableContents"/>
              <w:bidi w:val="0"/>
              <w:spacing w:before="0" w:after="283"/>
              <w:jc w:val="left"/>
              <w:rPr/>
            </w:pPr>
            <w:r>
              <w:rPr/>
              <w:t>Reflects the previously accrued portion of the non-employee director’s annual retainer earned in DSUs, which are restricted from distribution until retirement. The table reflects the number of shares in which the director or nominee has the right to acquire beneficial ownership at any time within 60 days of February 17, 2026, following the director’s retirement from the Board.</w:t>
            </w:r>
          </w:p>
        </w:tc>
      </w:tr>
      <w:tr>
        <w:trPr/>
        <w:tc>
          <w:tcPr>
            <w:tcW w:w="242" w:type="dxa"/>
            <w:tcBorders/>
            <w:vAlign w:val="center"/>
          </w:tcPr>
          <w:p>
            <w:pPr>
              <w:pStyle w:val="TableContents"/>
              <w:bidi w:val="0"/>
              <w:spacing w:before="0" w:after="283"/>
              <w:jc w:val="left"/>
              <w:rPr/>
            </w:pPr>
            <w:r>
              <w:rPr/>
              <w:t>(4)</w:t>
            </w:r>
          </w:p>
        </w:tc>
        <w:tc>
          <w:tcPr>
            <w:tcW w:w="9963" w:type="dxa"/>
            <w:tcBorders/>
            <w:vAlign w:val="center"/>
          </w:tcPr>
          <w:p>
            <w:pPr>
              <w:pStyle w:val="TableContents"/>
              <w:bidi w:val="0"/>
              <w:spacing w:before="0" w:after="283"/>
              <w:jc w:val="left"/>
              <w:rPr/>
            </w:pPr>
            <w:r>
              <w:rPr/>
              <w:t>Reflects holdings by the director, nominee or officer of all shares beneficially owned and awards convertible to shares within 60 days of February 17, 2026.</w:t>
            </w:r>
          </w:p>
        </w:tc>
      </w:tr>
      <w:tr>
        <w:trPr/>
        <w:tc>
          <w:tcPr>
            <w:tcW w:w="242" w:type="dxa"/>
            <w:tcBorders/>
            <w:vAlign w:val="center"/>
          </w:tcPr>
          <w:p>
            <w:pPr>
              <w:pStyle w:val="TableContents"/>
              <w:bidi w:val="0"/>
              <w:spacing w:before="0" w:after="283"/>
              <w:jc w:val="left"/>
              <w:rPr/>
            </w:pPr>
            <w:r>
              <w:rPr/>
              <w:t>(5)</w:t>
            </w:r>
          </w:p>
        </w:tc>
        <w:tc>
          <w:tcPr>
            <w:tcW w:w="9963" w:type="dxa"/>
            <w:tcBorders/>
            <w:vAlign w:val="center"/>
          </w:tcPr>
          <w:p>
            <w:pPr>
              <w:pStyle w:val="TableContents"/>
              <w:bidi w:val="0"/>
              <w:spacing w:before="0" w:after="283"/>
              <w:jc w:val="left"/>
              <w:rPr/>
            </w:pPr>
            <w:r>
              <w:rPr/>
              <w:t>Includes shares for which voting and investment power is jointly held by the director: B. Rogers (5,000 shares).</w:t>
            </w:r>
          </w:p>
        </w:tc>
      </w:tr>
      <w:tr>
        <w:trPr/>
        <w:tc>
          <w:tcPr>
            <w:tcW w:w="242" w:type="dxa"/>
            <w:tcBorders/>
            <w:vAlign w:val="center"/>
          </w:tcPr>
          <w:p>
            <w:pPr>
              <w:pStyle w:val="TableContents"/>
              <w:bidi w:val="0"/>
              <w:spacing w:before="0" w:after="283"/>
              <w:jc w:val="left"/>
              <w:rPr/>
            </w:pPr>
            <w:r>
              <w:rPr/>
              <w:t>(6)</w:t>
            </w:r>
          </w:p>
        </w:tc>
        <w:tc>
          <w:tcPr>
            <w:tcW w:w="9963" w:type="dxa"/>
            <w:tcBorders/>
            <w:vAlign w:val="center"/>
          </w:tcPr>
          <w:p>
            <w:pPr>
              <w:pStyle w:val="TableContents"/>
              <w:bidi w:val="0"/>
              <w:spacing w:before="0" w:after="283"/>
              <w:jc w:val="left"/>
              <w:rPr/>
            </w:pPr>
            <w:r>
              <w:rPr/>
              <w:t>Holdings, as of February 17, 2026, of the directors and executive officers who are listed in the Company’s 2025 Annual Report on Form 10-K.</w:t>
            </w:r>
          </w:p>
        </w:tc>
      </w:tr>
    </w:tbl>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i w:val="false"/>
          <w:caps w:val="false"/>
          <w:smallCaps w:val="false"/>
          <w:sz w:val="34"/>
        </w:rPr>
      </w:pPr>
      <w:r>
        <w:rPr>
          <w:rFonts w:ascii="Arial;Helvetica;Sans-Serif" w:hAnsi="Arial;Helvetica;Sans-Serif"/>
          <w:b/>
          <w:i w:val="false"/>
          <w:caps w:val="false"/>
          <w:smallCaps w:val="false"/>
          <w:sz w:val="34"/>
        </w:rPr>
        <w:t>Certain Beneficial Owners</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following table shows all holders known to RTX to be beneficial owners of more than 5% of the outstanding shares of RTX Common Stock as of December 31, 2025.</w:t>
      </w:r>
    </w:p>
    <w:p>
      <w:pPr>
        <w:pStyle w:val="TextBody"/>
        <w:bidi w:val="0"/>
        <w:jc w:val="left"/>
        <w:rPr>
          <w:caps w:val="false"/>
          <w:smallCaps w:val="false"/>
        </w:rPr>
      </w:pPr>
      <w:r>
        <w:rPr>
          <w:caps w:val="false"/>
          <w:smallCaps w:val="false"/>
        </w:rPr>
        <w:t> </w:t>
      </w:r>
    </w:p>
    <w:tbl>
      <w:tblPr>
        <w:tblW w:w="6630" w:type="dxa"/>
        <w:jc w:val="left"/>
        <w:tblInd w:w="0" w:type="dxa"/>
        <w:tblLayout w:type="fixed"/>
        <w:tblCellMar>
          <w:top w:w="0" w:type="dxa"/>
          <w:left w:w="0" w:type="dxa"/>
          <w:bottom w:w="40" w:type="dxa"/>
          <w:right w:w="0" w:type="dxa"/>
        </w:tblCellMar>
      </w:tblPr>
      <w:tblGrid>
        <w:gridCol w:w="3800"/>
        <w:gridCol w:w="300"/>
        <w:gridCol w:w="1220"/>
        <w:gridCol w:w="300"/>
        <w:gridCol w:w="1010"/>
      </w:tblGrid>
      <w:tr>
        <w:trPr/>
        <w:tc>
          <w:tcPr>
            <w:tcW w:w="3800" w:type="dxa"/>
            <w:tcBorders>
              <w:bottom w:val="single" w:sz="12" w:space="0" w:color="C12E33"/>
            </w:tcBorders>
            <w:vAlign w:val="center"/>
          </w:tcPr>
          <w:p>
            <w:pPr>
              <w:pStyle w:val="TableContents"/>
              <w:bidi w:val="0"/>
              <w:spacing w:before="0" w:after="283"/>
              <w:jc w:val="left"/>
              <w:rPr>
                <w:color w:val="636466"/>
                <w:sz w:val="15"/>
              </w:rPr>
            </w:pPr>
            <w:r>
              <w:rPr>
                <w:color w:val="636466"/>
                <w:sz w:val="15"/>
              </w:rPr>
              <w:t>Name and Address</w:t>
            </w:r>
          </w:p>
        </w:tc>
        <w:tc>
          <w:tcPr>
            <w:tcW w:w="300" w:type="dxa"/>
            <w:tcBorders>
              <w:bottom w:val="single" w:sz="12" w:space="0" w:color="C12E33"/>
            </w:tcBorders>
            <w:vAlign w:val="center"/>
          </w:tcPr>
          <w:p>
            <w:pPr>
              <w:pStyle w:val="TableContents"/>
              <w:bidi w:val="0"/>
              <w:spacing w:before="0" w:after="283"/>
              <w:jc w:val="left"/>
              <w:rPr/>
            </w:pPr>
            <w:r>
              <w:rPr/>
              <w:t>     </w:t>
            </w:r>
          </w:p>
        </w:tc>
        <w:tc>
          <w:tcPr>
            <w:tcW w:w="1220" w:type="dxa"/>
            <w:tcBorders>
              <w:bottom w:val="single" w:sz="12" w:space="0" w:color="C12E33"/>
            </w:tcBorders>
            <w:vAlign w:val="center"/>
          </w:tcPr>
          <w:p>
            <w:pPr>
              <w:pStyle w:val="TableContents"/>
              <w:bidi w:val="0"/>
              <w:spacing w:before="0" w:after="283"/>
              <w:jc w:val="right"/>
              <w:rPr>
                <w:color w:val="636466"/>
                <w:sz w:val="15"/>
              </w:rPr>
            </w:pPr>
            <w:r>
              <w:rPr>
                <w:color w:val="636466"/>
                <w:sz w:val="15"/>
              </w:rPr>
              <w:t>Shares</w:t>
            </w:r>
          </w:p>
        </w:tc>
        <w:tc>
          <w:tcPr>
            <w:tcW w:w="300" w:type="dxa"/>
            <w:tcBorders>
              <w:bottom w:val="single" w:sz="12" w:space="0" w:color="C12E33"/>
            </w:tcBorders>
            <w:vAlign w:val="center"/>
          </w:tcPr>
          <w:p>
            <w:pPr>
              <w:pStyle w:val="TableContents"/>
              <w:bidi w:val="0"/>
              <w:spacing w:before="0" w:after="283"/>
              <w:jc w:val="left"/>
              <w:rPr/>
            </w:pPr>
            <w:r>
              <w:rPr/>
              <w:t>     </w:t>
            </w:r>
          </w:p>
        </w:tc>
        <w:tc>
          <w:tcPr>
            <w:tcW w:w="1010" w:type="dxa"/>
            <w:tcBorders>
              <w:bottom w:val="single" w:sz="12" w:space="0" w:color="C12E33"/>
            </w:tcBorders>
            <w:vAlign w:val="center"/>
          </w:tcPr>
          <w:p>
            <w:pPr>
              <w:pStyle w:val="TableContents"/>
              <w:bidi w:val="0"/>
              <w:spacing w:before="0" w:after="283"/>
              <w:jc w:val="right"/>
              <w:rPr>
                <w:color w:val="636466"/>
                <w:sz w:val="15"/>
              </w:rPr>
            </w:pPr>
            <w:r>
              <w:rPr>
                <w:color w:val="636466"/>
                <w:sz w:val="15"/>
              </w:rPr>
              <w:t>Percent of Class</w:t>
            </w:r>
          </w:p>
        </w:tc>
      </w:tr>
      <w:tr>
        <w:trPr/>
        <w:tc>
          <w:tcPr>
            <w:tcW w:w="3800" w:type="dxa"/>
            <w:tcBorders>
              <w:bottom w:val="single" w:sz="2" w:space="0" w:color="000000"/>
            </w:tcBorders>
            <w:vAlign w:val="center"/>
          </w:tcPr>
          <w:p>
            <w:pPr>
              <w:pStyle w:val="TableContents"/>
              <w:bidi w:val="0"/>
              <w:jc w:val="left"/>
              <w:rPr>
                <w:b/>
              </w:rPr>
            </w:pPr>
            <w:r>
              <w:rPr>
                <w:b/>
              </w:rPr>
              <w:t>Vanguard Group, Inc.</w:t>
            </w:r>
            <w:r>
              <w:rPr>
                <w:b/>
                <w:position w:val="8"/>
                <w:sz w:val="19"/>
              </w:rPr>
              <w:t>(1)</w:t>
            </w:r>
          </w:p>
          <w:p>
            <w:pPr>
              <w:pStyle w:val="TableContents"/>
              <w:bidi w:val="0"/>
              <w:jc w:val="left"/>
              <w:rPr>
                <w:b/>
                <w:color w:val="636466"/>
              </w:rPr>
            </w:pPr>
            <w:r>
              <w:rPr>
                <w:b/>
                <w:color w:val="636466"/>
              </w:rPr>
              <w:t>P.O. Box 2600</w:t>
            </w:r>
          </w:p>
          <w:p>
            <w:pPr>
              <w:pStyle w:val="TableContents"/>
              <w:bidi w:val="0"/>
              <w:spacing w:before="0" w:after="283"/>
              <w:jc w:val="left"/>
              <w:rPr>
                <w:b/>
                <w:color w:val="636466"/>
              </w:rPr>
            </w:pPr>
            <w:r>
              <w:rPr>
                <w:b/>
                <w:color w:val="636466"/>
              </w:rPr>
              <w:t>Valley Forge, PA 19482-2600</w:t>
            </w:r>
          </w:p>
        </w:tc>
        <w:tc>
          <w:tcPr>
            <w:tcW w:w="300" w:type="dxa"/>
            <w:tcBorders>
              <w:bottom w:val="single" w:sz="2" w:space="0" w:color="000000"/>
            </w:tcBorders>
            <w:vAlign w:val="center"/>
          </w:tcPr>
          <w:p>
            <w:pPr>
              <w:pStyle w:val="TableContents"/>
              <w:bidi w:val="0"/>
              <w:spacing w:before="0" w:after="283"/>
              <w:jc w:val="left"/>
              <w:rPr/>
            </w:pPr>
            <w:r>
              <w:rPr/>
              <w:t> </w:t>
            </w:r>
          </w:p>
        </w:tc>
        <w:tc>
          <w:tcPr>
            <w:tcW w:w="1220" w:type="dxa"/>
            <w:tcBorders>
              <w:bottom w:val="single" w:sz="2" w:space="0" w:color="000000"/>
            </w:tcBorders>
            <w:vAlign w:val="center"/>
          </w:tcPr>
          <w:p>
            <w:pPr>
              <w:pStyle w:val="TableContents"/>
              <w:bidi w:val="0"/>
              <w:spacing w:before="0" w:after="283"/>
              <w:jc w:val="right"/>
              <w:rPr/>
            </w:pPr>
            <w:r>
              <w:rPr/>
              <w:t>124,986,171</w:t>
            </w:r>
          </w:p>
        </w:tc>
        <w:tc>
          <w:tcPr>
            <w:tcW w:w="300" w:type="dxa"/>
            <w:tcBorders>
              <w:bottom w:val="single" w:sz="2" w:space="0" w:color="000000"/>
            </w:tcBorders>
            <w:vAlign w:val="center"/>
          </w:tcPr>
          <w:p>
            <w:pPr>
              <w:pStyle w:val="TableContents"/>
              <w:bidi w:val="0"/>
              <w:spacing w:before="0" w:after="283"/>
              <w:jc w:val="left"/>
              <w:rPr/>
            </w:pPr>
            <w:r>
              <w:rPr/>
              <w:t> </w:t>
            </w:r>
          </w:p>
        </w:tc>
        <w:tc>
          <w:tcPr>
            <w:tcW w:w="1010" w:type="dxa"/>
            <w:tcBorders>
              <w:bottom w:val="single" w:sz="2" w:space="0" w:color="000000"/>
            </w:tcBorders>
            <w:vAlign w:val="center"/>
          </w:tcPr>
          <w:p>
            <w:pPr>
              <w:pStyle w:val="TableContents"/>
              <w:bidi w:val="0"/>
              <w:spacing w:before="0" w:after="283"/>
              <w:jc w:val="right"/>
              <w:rPr/>
            </w:pPr>
            <w:r>
              <w:rPr/>
              <w:t>9.3%</w:t>
            </w:r>
          </w:p>
        </w:tc>
      </w:tr>
      <w:tr>
        <w:trPr/>
        <w:tc>
          <w:tcPr>
            <w:tcW w:w="3800" w:type="dxa"/>
            <w:tcBorders>
              <w:bottom w:val="single" w:sz="2" w:space="0" w:color="000000"/>
            </w:tcBorders>
            <w:vAlign w:val="center"/>
          </w:tcPr>
          <w:p>
            <w:pPr>
              <w:pStyle w:val="TableContents"/>
              <w:bidi w:val="0"/>
              <w:jc w:val="left"/>
              <w:rPr>
                <w:b/>
              </w:rPr>
            </w:pPr>
            <w:r>
              <w:rPr>
                <w:b/>
              </w:rPr>
              <w:t>BlackRock, Inc.</w:t>
            </w:r>
            <w:r>
              <w:rPr>
                <w:b/>
                <w:position w:val="8"/>
                <w:sz w:val="19"/>
              </w:rPr>
              <w:t>(2)</w:t>
            </w:r>
          </w:p>
          <w:p>
            <w:pPr>
              <w:pStyle w:val="TableContents"/>
              <w:bidi w:val="0"/>
              <w:jc w:val="left"/>
              <w:rPr>
                <w:b/>
                <w:color w:val="636466"/>
              </w:rPr>
            </w:pPr>
            <w:r>
              <w:rPr>
                <w:b/>
                <w:color w:val="636466"/>
              </w:rPr>
              <w:t>50 Hudson Yards</w:t>
            </w:r>
          </w:p>
          <w:p>
            <w:pPr>
              <w:pStyle w:val="TableContents"/>
              <w:bidi w:val="0"/>
              <w:spacing w:before="0" w:after="283"/>
              <w:jc w:val="left"/>
              <w:rPr>
                <w:b/>
                <w:color w:val="636466"/>
              </w:rPr>
            </w:pPr>
            <w:r>
              <w:rPr>
                <w:b/>
                <w:color w:val="636466"/>
              </w:rPr>
              <w:t>New York, NY 10001</w:t>
            </w:r>
          </w:p>
        </w:tc>
        <w:tc>
          <w:tcPr>
            <w:tcW w:w="300" w:type="dxa"/>
            <w:tcBorders>
              <w:bottom w:val="single" w:sz="2" w:space="0" w:color="000000"/>
            </w:tcBorders>
            <w:vAlign w:val="center"/>
          </w:tcPr>
          <w:p>
            <w:pPr>
              <w:pStyle w:val="TableContents"/>
              <w:bidi w:val="0"/>
              <w:spacing w:before="0" w:after="283"/>
              <w:jc w:val="left"/>
              <w:rPr/>
            </w:pPr>
            <w:r>
              <w:rPr/>
              <w:t> </w:t>
            </w:r>
          </w:p>
        </w:tc>
        <w:tc>
          <w:tcPr>
            <w:tcW w:w="1220" w:type="dxa"/>
            <w:tcBorders>
              <w:bottom w:val="single" w:sz="2" w:space="0" w:color="000000"/>
            </w:tcBorders>
            <w:vAlign w:val="center"/>
          </w:tcPr>
          <w:p>
            <w:pPr>
              <w:pStyle w:val="TableContents"/>
              <w:bidi w:val="0"/>
              <w:spacing w:before="0" w:after="283"/>
              <w:jc w:val="right"/>
              <w:rPr/>
            </w:pPr>
            <w:r>
              <w:rPr/>
              <w:t>104,920,146</w:t>
            </w:r>
          </w:p>
        </w:tc>
        <w:tc>
          <w:tcPr>
            <w:tcW w:w="300" w:type="dxa"/>
            <w:tcBorders>
              <w:bottom w:val="single" w:sz="2" w:space="0" w:color="000000"/>
            </w:tcBorders>
            <w:vAlign w:val="center"/>
          </w:tcPr>
          <w:p>
            <w:pPr>
              <w:pStyle w:val="TableContents"/>
              <w:bidi w:val="0"/>
              <w:spacing w:before="0" w:after="283"/>
              <w:jc w:val="left"/>
              <w:rPr/>
            </w:pPr>
            <w:r>
              <w:rPr/>
              <w:t> </w:t>
            </w:r>
          </w:p>
        </w:tc>
        <w:tc>
          <w:tcPr>
            <w:tcW w:w="1010" w:type="dxa"/>
            <w:tcBorders>
              <w:bottom w:val="single" w:sz="2" w:space="0" w:color="000000"/>
            </w:tcBorders>
            <w:vAlign w:val="center"/>
          </w:tcPr>
          <w:p>
            <w:pPr>
              <w:pStyle w:val="TableContents"/>
              <w:bidi w:val="0"/>
              <w:spacing w:before="0" w:after="283"/>
              <w:jc w:val="right"/>
              <w:rPr/>
            </w:pPr>
            <w:r>
              <w:rPr/>
              <w:t>7.8%</w:t>
            </w:r>
          </w:p>
        </w:tc>
      </w:tr>
      <w:tr>
        <w:trPr/>
        <w:tc>
          <w:tcPr>
            <w:tcW w:w="3800" w:type="dxa"/>
            <w:tcBorders>
              <w:bottom w:val="single" w:sz="2" w:space="0" w:color="000000"/>
            </w:tcBorders>
            <w:vAlign w:val="center"/>
          </w:tcPr>
          <w:p>
            <w:pPr>
              <w:pStyle w:val="TableContents"/>
              <w:bidi w:val="0"/>
              <w:jc w:val="left"/>
              <w:rPr>
                <w:b/>
              </w:rPr>
            </w:pPr>
            <w:r>
              <w:rPr>
                <w:b/>
              </w:rPr>
              <w:t>State Street Corporation</w:t>
            </w:r>
            <w:r>
              <w:rPr>
                <w:b/>
                <w:position w:val="8"/>
                <w:sz w:val="19"/>
              </w:rPr>
              <w:t>(3)</w:t>
            </w:r>
          </w:p>
          <w:p>
            <w:pPr>
              <w:pStyle w:val="TableContents"/>
              <w:bidi w:val="0"/>
              <w:jc w:val="left"/>
              <w:rPr>
                <w:b/>
                <w:color w:val="636466"/>
              </w:rPr>
            </w:pPr>
            <w:r>
              <w:rPr>
                <w:b/>
                <w:color w:val="636466"/>
              </w:rPr>
              <w:t>1 Congress Street, Suite 1</w:t>
            </w:r>
          </w:p>
          <w:p>
            <w:pPr>
              <w:pStyle w:val="TableContents"/>
              <w:bidi w:val="0"/>
              <w:spacing w:before="0" w:after="283"/>
              <w:jc w:val="left"/>
              <w:rPr>
                <w:b/>
                <w:color w:val="636466"/>
              </w:rPr>
            </w:pPr>
            <w:r>
              <w:rPr>
                <w:b/>
                <w:color w:val="636466"/>
              </w:rPr>
              <w:t>Boston, MA 02114-2016</w:t>
            </w:r>
          </w:p>
        </w:tc>
        <w:tc>
          <w:tcPr>
            <w:tcW w:w="300" w:type="dxa"/>
            <w:tcBorders>
              <w:bottom w:val="single" w:sz="2" w:space="0" w:color="000000"/>
            </w:tcBorders>
            <w:vAlign w:val="center"/>
          </w:tcPr>
          <w:p>
            <w:pPr>
              <w:pStyle w:val="TableContents"/>
              <w:bidi w:val="0"/>
              <w:spacing w:before="0" w:after="283"/>
              <w:jc w:val="left"/>
              <w:rPr/>
            </w:pPr>
            <w:r>
              <w:rPr/>
              <w:t> </w:t>
            </w:r>
          </w:p>
        </w:tc>
        <w:tc>
          <w:tcPr>
            <w:tcW w:w="1220" w:type="dxa"/>
            <w:tcBorders>
              <w:bottom w:val="single" w:sz="2" w:space="0" w:color="000000"/>
            </w:tcBorders>
            <w:vAlign w:val="center"/>
          </w:tcPr>
          <w:p>
            <w:pPr>
              <w:pStyle w:val="TableContents"/>
              <w:bidi w:val="0"/>
              <w:spacing w:before="0" w:after="283"/>
              <w:jc w:val="right"/>
              <w:rPr/>
            </w:pPr>
            <w:r>
              <w:rPr/>
              <w:t>91,884,588</w:t>
            </w:r>
          </w:p>
        </w:tc>
        <w:tc>
          <w:tcPr>
            <w:tcW w:w="300" w:type="dxa"/>
            <w:tcBorders>
              <w:bottom w:val="single" w:sz="2" w:space="0" w:color="000000"/>
            </w:tcBorders>
            <w:vAlign w:val="center"/>
          </w:tcPr>
          <w:p>
            <w:pPr>
              <w:pStyle w:val="TableContents"/>
              <w:bidi w:val="0"/>
              <w:spacing w:before="0" w:after="283"/>
              <w:jc w:val="left"/>
              <w:rPr/>
            </w:pPr>
            <w:r>
              <w:rPr/>
              <w:t> </w:t>
            </w:r>
          </w:p>
        </w:tc>
        <w:tc>
          <w:tcPr>
            <w:tcW w:w="1010" w:type="dxa"/>
            <w:tcBorders>
              <w:bottom w:val="single" w:sz="2" w:space="0" w:color="000000"/>
            </w:tcBorders>
            <w:vAlign w:val="center"/>
          </w:tcPr>
          <w:p>
            <w:pPr>
              <w:pStyle w:val="TableContents"/>
              <w:bidi w:val="0"/>
              <w:spacing w:before="0" w:after="283"/>
              <w:jc w:val="right"/>
              <w:rPr/>
            </w:pPr>
            <w:r>
              <w:rPr/>
              <w:t>6.8%</w:t>
            </w:r>
          </w:p>
        </w:tc>
      </w:tr>
      <w:tr>
        <w:trPr/>
        <w:tc>
          <w:tcPr>
            <w:tcW w:w="3800" w:type="dxa"/>
            <w:tcBorders>
              <w:bottom w:val="single" w:sz="12" w:space="0" w:color="636466"/>
            </w:tcBorders>
            <w:vAlign w:val="center"/>
          </w:tcPr>
          <w:p>
            <w:pPr>
              <w:pStyle w:val="TableContents"/>
              <w:bidi w:val="0"/>
              <w:jc w:val="left"/>
              <w:rPr/>
            </w:pPr>
            <w:r>
              <w:rPr>
                <w:b/>
              </w:rPr>
              <w:t>Capital Research Global Investors</w:t>
            </w:r>
            <w:r>
              <w:rPr>
                <w:b/>
                <w:position w:val="8"/>
                <w:sz w:val="19"/>
              </w:rPr>
              <w:t>(4)</w:t>
            </w:r>
            <w:r>
              <w:rPr/>
              <w:t xml:space="preserve"> </w:t>
            </w:r>
          </w:p>
          <w:p>
            <w:pPr>
              <w:pStyle w:val="TableContents"/>
              <w:bidi w:val="0"/>
              <w:jc w:val="left"/>
              <w:rPr>
                <w:b/>
                <w:color w:val="636466"/>
              </w:rPr>
            </w:pPr>
            <w:r>
              <w:rPr>
                <w:b/>
                <w:color w:val="636466"/>
              </w:rPr>
              <w:t>333 South Hope Street, 55th Floor</w:t>
            </w:r>
          </w:p>
          <w:p>
            <w:pPr>
              <w:pStyle w:val="TableContents"/>
              <w:bidi w:val="0"/>
              <w:spacing w:before="0" w:after="283"/>
              <w:jc w:val="left"/>
              <w:rPr>
                <w:b/>
                <w:color w:val="636466"/>
              </w:rPr>
            </w:pPr>
            <w:r>
              <w:rPr>
                <w:b/>
                <w:color w:val="636466"/>
              </w:rPr>
              <w:t>Los Angeles, CA 90071</w:t>
            </w:r>
          </w:p>
        </w:tc>
        <w:tc>
          <w:tcPr>
            <w:tcW w:w="300" w:type="dxa"/>
            <w:tcBorders>
              <w:bottom w:val="single" w:sz="12" w:space="0" w:color="636466"/>
            </w:tcBorders>
            <w:vAlign w:val="center"/>
          </w:tcPr>
          <w:p>
            <w:pPr>
              <w:pStyle w:val="TableContents"/>
              <w:bidi w:val="0"/>
              <w:spacing w:before="0" w:after="283"/>
              <w:jc w:val="left"/>
              <w:rPr/>
            </w:pPr>
            <w:r>
              <w:rPr/>
              <w:t> </w:t>
            </w:r>
          </w:p>
        </w:tc>
        <w:tc>
          <w:tcPr>
            <w:tcW w:w="1220" w:type="dxa"/>
            <w:tcBorders>
              <w:bottom w:val="single" w:sz="12" w:space="0" w:color="636466"/>
            </w:tcBorders>
            <w:vAlign w:val="center"/>
          </w:tcPr>
          <w:p>
            <w:pPr>
              <w:pStyle w:val="TableContents"/>
              <w:bidi w:val="0"/>
              <w:spacing w:before="0" w:after="283"/>
              <w:jc w:val="right"/>
              <w:rPr/>
            </w:pPr>
            <w:r>
              <w:rPr/>
              <w:t>76,140,352</w:t>
            </w:r>
          </w:p>
        </w:tc>
        <w:tc>
          <w:tcPr>
            <w:tcW w:w="300" w:type="dxa"/>
            <w:tcBorders>
              <w:bottom w:val="single" w:sz="12" w:space="0" w:color="636466"/>
            </w:tcBorders>
            <w:vAlign w:val="center"/>
          </w:tcPr>
          <w:p>
            <w:pPr>
              <w:pStyle w:val="TableContents"/>
              <w:bidi w:val="0"/>
              <w:spacing w:before="0" w:after="283"/>
              <w:jc w:val="left"/>
              <w:rPr/>
            </w:pPr>
            <w:r>
              <w:rPr/>
              <w:t> </w:t>
            </w:r>
          </w:p>
        </w:tc>
        <w:tc>
          <w:tcPr>
            <w:tcW w:w="1010" w:type="dxa"/>
            <w:tcBorders>
              <w:bottom w:val="single" w:sz="12" w:space="0" w:color="636466"/>
            </w:tcBorders>
            <w:vAlign w:val="center"/>
          </w:tcPr>
          <w:p>
            <w:pPr>
              <w:pStyle w:val="TableContents"/>
              <w:bidi w:val="0"/>
              <w:spacing w:before="0" w:after="283"/>
              <w:jc w:val="right"/>
              <w:rPr/>
            </w:pPr>
            <w:r>
              <w:rPr/>
              <w:t>5.7%</w:t>
            </w:r>
          </w:p>
        </w:tc>
      </w:tr>
    </w:tbl>
    <w:tbl>
      <w:tblPr>
        <w:tblW w:w="10205" w:type="dxa"/>
        <w:jc w:val="left"/>
        <w:tblInd w:w="0" w:type="dxa"/>
        <w:tblLayout w:type="fixed"/>
        <w:tblCellMar>
          <w:top w:w="0" w:type="dxa"/>
          <w:left w:w="0" w:type="dxa"/>
          <w:bottom w:w="0" w:type="dxa"/>
          <w:right w:w="0" w:type="dxa"/>
        </w:tblCellMar>
      </w:tblPr>
      <w:tblGrid>
        <w:gridCol w:w="241"/>
        <w:gridCol w:w="9964"/>
      </w:tblGrid>
      <w:tr>
        <w:trPr/>
        <w:tc>
          <w:tcPr>
            <w:tcW w:w="241" w:type="dxa"/>
            <w:tcBorders/>
            <w:vAlign w:val="center"/>
          </w:tcPr>
          <w:p>
            <w:pPr>
              <w:pStyle w:val="TableContents"/>
              <w:bidi w:val="0"/>
              <w:spacing w:before="0" w:after="283"/>
              <w:jc w:val="left"/>
              <w:rPr/>
            </w:pPr>
            <w:r>
              <w:rPr/>
              <w:t>(1)</w:t>
            </w:r>
          </w:p>
        </w:tc>
        <w:tc>
          <w:tcPr>
            <w:tcW w:w="9964" w:type="dxa"/>
            <w:tcBorders/>
            <w:vAlign w:val="center"/>
          </w:tcPr>
          <w:p>
            <w:pPr>
              <w:pStyle w:val="TableContents"/>
              <w:bidi w:val="0"/>
              <w:spacing w:before="0" w:after="283"/>
              <w:jc w:val="left"/>
              <w:rPr/>
            </w:pPr>
            <w:r>
              <w:rPr/>
              <w:t>Based on a Form 13F filed with the SEC by Vanguard Group, Inc. (“Vanguard”) on January 29, 2026, as of December 31, 2025, Vanguard held sole voting power with respect to 19,434 shares of RTX Common Stock, shared voting power with respect to 8,166,292 shares of RTX Common Stock, sole investment discretion with respect to 111,788,856 shares of RTX Common Stock, and no voting or investment discretion with respect to any other shares of RTX Common Stock. Vanguard’s most recent Schedule 13G/A for RTX was filed with the SEC on February 13, 2024.</w:t>
            </w:r>
          </w:p>
        </w:tc>
      </w:tr>
      <w:tr>
        <w:trPr/>
        <w:tc>
          <w:tcPr>
            <w:tcW w:w="241" w:type="dxa"/>
            <w:tcBorders/>
            <w:vAlign w:val="center"/>
          </w:tcPr>
          <w:p>
            <w:pPr>
              <w:pStyle w:val="TableContents"/>
              <w:bidi w:val="0"/>
              <w:spacing w:before="0" w:after="283"/>
              <w:jc w:val="left"/>
              <w:rPr/>
            </w:pPr>
            <w:r>
              <w:rPr/>
              <w:t>(2)</w:t>
            </w:r>
          </w:p>
        </w:tc>
        <w:tc>
          <w:tcPr>
            <w:tcW w:w="9964" w:type="dxa"/>
            <w:tcBorders/>
            <w:vAlign w:val="center"/>
          </w:tcPr>
          <w:p>
            <w:pPr>
              <w:pStyle w:val="TableContents"/>
              <w:bidi w:val="0"/>
              <w:spacing w:before="0" w:after="283"/>
              <w:jc w:val="left"/>
              <w:rPr/>
            </w:pPr>
            <w:r>
              <w:rPr/>
              <w:t>Based on a Form 13F filed with the SEC by BlackRock, Inc. (“BlackRock”) on February 12, 2026, as of December 31, 2025, BlackRock held sole voting power with respect to 97,984,630 shares of RTX Common Stock, sole investment discretion with respect to 104,920,146 shares of RTX Common Stock, and no voting or investment discretion with respect to any other shares of RTX Common Stock. BlackRock’s most recent Schedule 13G/A for RTX was filed on January 26, 2024.</w:t>
            </w:r>
          </w:p>
        </w:tc>
      </w:tr>
      <w:tr>
        <w:trPr/>
        <w:tc>
          <w:tcPr>
            <w:tcW w:w="241" w:type="dxa"/>
            <w:tcBorders/>
            <w:vAlign w:val="center"/>
          </w:tcPr>
          <w:p>
            <w:pPr>
              <w:pStyle w:val="TableContents"/>
              <w:bidi w:val="0"/>
              <w:spacing w:before="0" w:after="283"/>
              <w:jc w:val="left"/>
              <w:rPr/>
            </w:pPr>
            <w:r>
              <w:rPr/>
              <w:t>(3)</w:t>
            </w:r>
          </w:p>
        </w:tc>
        <w:tc>
          <w:tcPr>
            <w:tcW w:w="9964" w:type="dxa"/>
            <w:tcBorders/>
            <w:vAlign w:val="center"/>
          </w:tcPr>
          <w:p>
            <w:pPr>
              <w:pStyle w:val="TableContents"/>
              <w:bidi w:val="0"/>
              <w:spacing w:before="0" w:after="283"/>
              <w:jc w:val="left"/>
              <w:rPr/>
            </w:pPr>
            <w:r>
              <w:rPr/>
              <w:t>Based on a Form 13F filed with the SEC by State Street Corporation (“State Street”) on February 13, 2026, as of December 31, 2025, State Street held sole voting power with respect to 6,581,924 shares of RTX Common Stock, shared voting power with respect to 37,202,192 shares of RTX Common Stock, shared investment discretion with respect to 91,884,588 shares of RTX Common Stock, and no voting or investment discretion with respect to any other shares of RTX Common Stock. State Street’s most recent Schedule 13G/A for RTX was filed with the SEC on January 30, 2024.</w:t>
            </w:r>
          </w:p>
        </w:tc>
      </w:tr>
      <w:tr>
        <w:trPr/>
        <w:tc>
          <w:tcPr>
            <w:tcW w:w="241" w:type="dxa"/>
            <w:tcBorders/>
            <w:vAlign w:val="center"/>
          </w:tcPr>
          <w:p>
            <w:pPr>
              <w:pStyle w:val="TableContents"/>
              <w:bidi w:val="0"/>
              <w:spacing w:before="0" w:after="283"/>
              <w:jc w:val="left"/>
              <w:rPr/>
            </w:pPr>
            <w:r>
              <w:rPr/>
              <w:t>(4)</w:t>
            </w:r>
          </w:p>
        </w:tc>
        <w:tc>
          <w:tcPr>
            <w:tcW w:w="9964" w:type="dxa"/>
            <w:tcBorders/>
            <w:vAlign w:val="center"/>
          </w:tcPr>
          <w:p>
            <w:pPr>
              <w:pStyle w:val="TableContents"/>
              <w:bidi w:val="0"/>
              <w:spacing w:before="0" w:after="283"/>
              <w:jc w:val="left"/>
              <w:rPr/>
            </w:pPr>
            <w:r>
              <w:rPr/>
              <w:t>Based on a Form 13F filed with the SEC by Capital Research Global Investors (“Capital”) on February 11, 2026, as of December 31, 2025, Capital held sole voting power with respect to 76,118,391 shares of RTX Common Stock, shared investment discretion with respect to 76,140,352 shares of RTX Common Stock, and no voting or   investment discretion with respect to any other shares of RTX Common Stock. Capital’s most recent Schedule 13G/A for RTX was filed with the SEC on February 9, 2024.</w:t>
            </w:r>
          </w:p>
        </w:tc>
      </w:tr>
    </w:tbl>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15"/>
        </w:rPr>
      </w:pPr>
      <w:r>
        <w:rPr>
          <w:rFonts w:ascii="Arial;Helvetica;Sans-Serif" w:hAnsi="Arial;Helvetica;Sans-Serif"/>
          <w:b/>
          <w:i w:val="false"/>
          <w:caps w:val="false"/>
          <w:smallCaps w:val="false"/>
          <w:sz w:val="15"/>
        </w:rPr>
        <w:t>36    RTX</w:t>
      </w:r>
      <w:r>
        <w:rPr>
          <w:rFonts w:ascii="Arial;Helvetica;Sans-Serif" w:hAnsi="Arial;Helvetica;Sans-Serif"/>
          <w:b w:val="false"/>
          <w:i w:val="false"/>
          <w:caps w:val="false"/>
          <w:smallCaps w:val="false"/>
          <w:sz w:val="15"/>
        </w:rPr>
        <w:t xml:space="preserve"> 2026 PROXY STATEMENT</w:t>
      </w:r>
    </w:p>
    <w:p>
      <w:pPr>
        <w:pStyle w:val="HorizontalLine"/>
        <w:pBdr>
          <w:bottom w:val="double" w:sz="2" w:space="0" w:color="808080"/>
        </w:pBdr>
        <w:bidi w:val="0"/>
        <w:spacing w:before="0" w:after="283"/>
        <w:jc w:val="left"/>
        <w:rPr/>
      </w:pPr>
      <w:r>
        <w:rPr/>
      </w:r>
    </w:p>
    <w:p>
      <w:pPr>
        <w:pStyle w:val="TextBody"/>
        <w:bidi w:val="0"/>
        <w:spacing w:before="200" w:after="200"/>
        <w:jc w:val="left"/>
        <w:rPr/>
      </w:pPr>
      <w:hyperlink w:anchor="toc">
        <w:r>
          <w:rPr>
            <w:rStyle w:val="InternetLink"/>
            <w:rFonts w:ascii="Arial;Helvetica;Sans-Serif" w:hAnsi="Arial;Helvetica;Sans-Serif"/>
            <w:b/>
            <w:i w:val="false"/>
            <w:caps w:val="false"/>
            <w:smallCaps w:val="false"/>
            <w:sz w:val="16"/>
          </w:rPr>
          <w:t>Table of Contents</w:t>
        </w:r>
      </w:hyperlink>
    </w:p>
    <w:p>
      <w:pPr>
        <w:pStyle w:val="TextBody"/>
        <w:bidi w:val="0"/>
        <w:spacing w:before="0" w:after="0"/>
        <w:ind w:left="0" w:right="0" w:hanging="0"/>
        <w:jc w:val="left"/>
        <w:rPr>
          <w:rFonts w:ascii="Arial;Helvetica;Sans-Serif" w:hAnsi="Arial;Helvetica;Sans-Serif"/>
          <w:b/>
          <w:i w:val="false"/>
          <w:caps w:val="false"/>
          <w:smallCaps w:val="false"/>
          <w:color w:val="C12E33"/>
          <w:sz w:val="56"/>
        </w:rPr>
      </w:pPr>
      <w:bookmarkStart w:id="12" w:name="rtx014050a008"/>
      <w:bookmarkEnd w:id="12"/>
      <w:r>
        <w:rPr>
          <w:rFonts w:ascii="Arial;Helvetica;Sans-Serif" w:hAnsi="Arial;Helvetica;Sans-Serif"/>
          <w:b/>
          <w:i w:val="false"/>
          <w:caps w:val="false"/>
          <w:smallCaps w:val="false"/>
          <w:color w:val="C12E33"/>
          <w:sz w:val="56"/>
        </w:rPr>
        <w:t>Proposal 2:</w:t>
      </w:r>
    </w:p>
    <w:p>
      <w:pPr>
        <w:pStyle w:val="TextBody"/>
        <w:bidi w:val="0"/>
        <w:spacing w:before="0" w:after="0"/>
        <w:ind w:left="0" w:right="0" w:hanging="0"/>
        <w:jc w:val="left"/>
        <w:rPr>
          <w:rFonts w:ascii="Arial;Helvetica;Sans-Serif" w:hAnsi="Arial;Helvetica;Sans-Serif"/>
          <w:b/>
          <w:i w:val="false"/>
          <w:caps w:val="false"/>
          <w:smallCaps w:val="false"/>
          <w:sz w:val="56"/>
        </w:rPr>
      </w:pPr>
      <w:r>
        <w:rPr>
          <w:rFonts w:ascii="Arial;Helvetica;Sans-Serif" w:hAnsi="Arial;Helvetica;Sans-Serif"/>
          <w:b/>
          <w:i w:val="false"/>
          <w:caps w:val="false"/>
          <w:smallCaps w:val="false"/>
          <w:sz w:val="56"/>
        </w:rPr>
        <w:t>Advisory Vote to Approve</w:t>
        <w:br/>
        <w:t>Executive Compensation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00" w:type="dxa"/>
          <w:left w:w="0" w:type="dxa"/>
          <w:bottom w:w="0" w:type="dxa"/>
          <w:right w:w="0" w:type="dxa"/>
        </w:tblCellMar>
      </w:tblPr>
      <w:tblGrid>
        <w:gridCol w:w="1624"/>
        <w:gridCol w:w="8581"/>
      </w:tblGrid>
      <w:tr>
        <w:trPr/>
        <w:tc>
          <w:tcPr>
            <w:tcW w:w="1624" w:type="dxa"/>
            <w:tcBorders>
              <w:top w:val="single" w:sz="12" w:space="0" w:color="C12E33"/>
            </w:tcBorders>
            <w:shd w:fill="EDEDEE" w:val="clear"/>
            <w:vAlign w:val="center"/>
          </w:tcPr>
          <w:p>
            <w:pPr>
              <w:pStyle w:val="TableContents"/>
              <w:bidi w:val="0"/>
              <w:spacing w:before="0" w:after="283"/>
              <w:jc w:val="left"/>
              <w:rPr>
                <w:rFonts w:ascii="Arial;Helvetica;Sans-Serif" w:hAnsi="Arial;Helvetica;Sans-Serif"/>
                <w:b/>
                <w:i w:val="false"/>
                <w:caps w:val="false"/>
                <w:smallCaps w:val="false"/>
                <w:color w:val="C12E33"/>
                <w:sz w:val="44"/>
              </w:rPr>
            </w:pPr>
            <w:r>
              <w:rPr>
                <w:rFonts w:ascii="Arial;Helvetica;Sans-Serif" w:hAnsi="Arial;Helvetica;Sans-Serif"/>
                <w:b/>
                <w:i w:val="false"/>
                <w:caps w:val="false"/>
                <w:smallCaps w:val="false"/>
                <w:color w:val="C12E33"/>
                <w:sz w:val="44"/>
              </w:rPr>
              <w:t xml:space="preserve">What </w:t>
              <w:br/>
              <w:t xml:space="preserve">am I </w:t>
              <w:br/>
              <w:t>voting on?</w:t>
            </w:r>
          </w:p>
        </w:tc>
        <w:tc>
          <w:tcPr>
            <w:tcW w:w="8581" w:type="dxa"/>
            <w:tcBorders>
              <w:top w:val="single" w:sz="12" w:space="0" w:color="C12E33"/>
            </w:tcBorders>
            <w:shd w:fill="EDEDEE"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Arial;Helvetica;Sans-Serif" w:hAnsi="Arial;Helvetica;Sans-Serif"/>
                <w:b w:val="false"/>
                <w:i w:val="false"/>
                <w:caps w:val="false"/>
                <w:smallCaps w:val="false"/>
                <w:sz w:val="20"/>
              </w:rPr>
              <w:t xml:space="preserve">Each year we ask shareowners to </w:t>
            </w:r>
            <w:r>
              <w:rPr>
                <w:rFonts w:ascii="Arial;Helvetica;Sans-Serif" w:hAnsi="Arial;Helvetica;Sans-Serif"/>
                <w:b/>
                <w:i w:val="false"/>
                <w:caps w:val="false"/>
                <w:smallCaps w:val="false"/>
                <w:sz w:val="20"/>
              </w:rPr>
              <w:t xml:space="preserve">approve, on an advisory basis, the compensation of our Named Executive Officers (“NEOs”). </w:t>
            </w:r>
            <w:r>
              <w:rPr>
                <w:rFonts w:ascii="Arial;Helvetica;Sans-Serif" w:hAnsi="Arial;Helvetica;Sans-Serif"/>
                <w:b w:val="false"/>
                <w:i w:val="false"/>
                <w:caps w:val="false"/>
                <w:smallCaps w:val="false"/>
                <w:sz w:val="20"/>
              </w:rPr>
              <w:t>Before voting, we encourage you to read and consider the Compensation Discussion and Analysis on pages 39</w:t>
            </w:r>
            <w:r>
              <w:rPr>
                <w:rFonts w:ascii="NeueFrutigerWorld-Book-Identity" w:hAnsi="NeueFrutigerWorld-Book-Identity"/>
                <w:b w:val="false"/>
                <w:i w:val="false"/>
                <w:caps w:val="false"/>
                <w:smallCaps w:val="false"/>
                <w:sz w:val="20"/>
              </w:rPr>
              <w:t>-</w:t>
            </w:r>
            <w:r>
              <w:rPr>
                <w:rFonts w:ascii="Arial;Helvetica;Sans-Serif" w:hAnsi="Arial;Helvetica;Sans-Serif"/>
                <w:b w:val="false"/>
                <w:i w:val="false"/>
                <w:caps w:val="false"/>
                <w:smallCaps w:val="false"/>
                <w:sz w:val="20"/>
              </w:rPr>
              <w:t>62, along with the compensation tables on pages 64</w:t>
            </w:r>
            <w:r>
              <w:rPr>
                <w:rFonts w:ascii="NeueFrutigerWorld-Book-Identity" w:hAnsi="NeueFrutigerWorld-Book-Identity"/>
                <w:b w:val="false"/>
                <w:i w:val="false"/>
                <w:caps w:val="false"/>
                <w:smallCaps w:val="false"/>
                <w:sz w:val="20"/>
              </w:rPr>
              <w:t>-</w:t>
            </w:r>
            <w:r>
              <w:rPr>
                <w:rFonts w:ascii="Arial;Helvetica;Sans-Serif" w:hAnsi="Arial;Helvetica;Sans-Serif"/>
                <w:b w:val="false"/>
                <w:i w:val="false"/>
                <w:caps w:val="false"/>
                <w:smallCaps w:val="false"/>
                <w:sz w:val="20"/>
              </w:rPr>
              <w:t>77.</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34"/>
        </w:rPr>
      </w:pPr>
      <w:r>
        <w:rPr>
          <w:rFonts w:ascii="Arial;Helvetica;Sans-Serif" w:hAnsi="Arial;Helvetica;Sans-Serif"/>
          <w:b/>
          <w:i w:val="false"/>
          <w:caps w:val="false"/>
          <w:smallCaps w:val="false"/>
          <w:sz w:val="34"/>
        </w:rPr>
        <w:t>How is shareowner feedback considered?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RTX values and considers shareowner views when making executive compensation decisions. Over the years, shareowner input has substantially contributed to the philosophy that underpins the design of our executive compensation program—our Guiding Principles—which are described on page 42 of this Proxy Statement. We continue to engage with investors each year to solicit their views on our executive compensation programs. The Human Capital &amp; Compensation Committee (the “HCC Committee”) uses this feedback in its evaluation and oversight of our program. Shareowner feedback is also reflected in our ongoing effort to make the compensation information in our proxy statements clear and transparent.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34"/>
        </w:rPr>
      </w:pPr>
      <w:r>
        <w:rPr>
          <w:rFonts w:ascii="Arial;Helvetica;Sans-Serif" w:hAnsi="Arial;Helvetica;Sans-Serif"/>
          <w:b/>
          <w:i w:val="false"/>
          <w:caps w:val="false"/>
          <w:smallCaps w:val="false"/>
          <w:sz w:val="34"/>
        </w:rPr>
        <w:t>Why should I vote for this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HCC Committee is committed to designing an executive compensation program that is structured to advance our fundamental objective: aligning our executives’ compensation with the long-term interests of our shareowners. The HCC Committee’s primary goal is to ensure that our program rewards financial and operating performance and effective strategic leadership—key elements in building sustainable shareowner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 addition, compensation opportunities are structured to:</w:t>
      </w:r>
    </w:p>
    <w:p>
      <w:pPr>
        <w:pStyle w:val="TextBody"/>
        <w:bidi w:val="0"/>
        <w:spacing w:before="0" w:after="0"/>
        <w:ind w:left="0" w:right="0" w:hanging="0"/>
        <w:jc w:val="left"/>
        <w:rPr>
          <w:caps w:val="false"/>
          <w:smallCaps w:val="false"/>
        </w:rPr>
      </w:pPr>
      <w:r>
        <w:rPr>
          <w:caps w:val="false"/>
          <w:smallCaps w:val="false"/>
        </w:rPr>
        <w:t> </w:t>
      </w:r>
    </w:p>
    <w:tbl>
      <w:tblPr>
        <w:tblW w:w="10060" w:type="dxa"/>
        <w:jc w:val="left"/>
        <w:tblInd w:w="0" w:type="dxa"/>
        <w:tblLayout w:type="fixed"/>
        <w:tblCellMar>
          <w:top w:w="0" w:type="dxa"/>
          <w:left w:w="0" w:type="dxa"/>
          <w:bottom w:w="0" w:type="dxa"/>
          <w:right w:w="0" w:type="dxa"/>
        </w:tblCellMar>
      </w:tblPr>
      <w:tblGrid>
        <w:gridCol w:w="185"/>
        <w:gridCol w:w="9875"/>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987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Facilitate the retention of highly talented executives who are critical to our long-term success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987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Deliver fair and equitable pay to executives of comparable experience and performance who perform similar work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987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Require ethical and responsible conduct in pursuit of our goals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Further, the performance metrics used in our incentive programs directly align with shareowner interests, with the timing and amount of actual payouts correlated to our short-, medium- and long-term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Over the past several years, the HCC Committee has taken actions to reinforce these objectives, such as replacing RSUs with SARs and eliminating certain executive perquisites.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right"/>
        <w:rPr>
          <w:rFonts w:ascii="Arial;Helvetica;Sans-Serif" w:hAnsi="Arial;Helvetica;Sans-Serif"/>
          <w:b w:val="false"/>
          <w:i w:val="false"/>
          <w:caps w:val="false"/>
          <w:smallCaps w:val="false"/>
          <w:sz w:val="15"/>
        </w:rPr>
      </w:pPr>
      <w:r>
        <w:rPr>
          <w:rFonts w:ascii="Arial;Helvetica;Sans-Serif" w:hAnsi="Arial;Helvetica;Sans-Serif"/>
          <w:b/>
          <w:i w:val="false"/>
          <w:caps w:val="false"/>
          <w:smallCaps w:val="false"/>
          <w:sz w:val="15"/>
        </w:rPr>
        <w:t xml:space="preserve">RTX </w:t>
      </w:r>
      <w:r>
        <w:rPr>
          <w:rFonts w:ascii="Arial;Helvetica;Sans-Serif" w:hAnsi="Arial;Helvetica;Sans-Serif"/>
          <w:b w:val="false"/>
          <w:i w:val="false"/>
          <w:caps w:val="false"/>
          <w:smallCaps w:val="false"/>
          <w:sz w:val="15"/>
        </w:rPr>
        <w:t>2026 PROXY STATEMENT    </w:t>
      </w:r>
      <w:r>
        <w:rPr>
          <w:rFonts w:ascii="Arial;Helvetica;Sans-Serif" w:hAnsi="Arial;Helvetica;Sans-Serif"/>
          <w:b/>
          <w:i w:val="false"/>
          <w:caps w:val="false"/>
          <w:smallCaps w:val="false"/>
          <w:sz w:val="15"/>
        </w:rPr>
        <w:t>37</w:t>
      </w:r>
    </w:p>
    <w:p>
      <w:pPr>
        <w:pStyle w:val="HorizontalLine"/>
        <w:pBdr>
          <w:bottom w:val="double" w:sz="2" w:space="0" w:color="808080"/>
        </w:pBdr>
        <w:bidi w:val="0"/>
        <w:spacing w:before="0" w:after="283"/>
        <w:jc w:val="left"/>
        <w:rPr/>
      </w:pPr>
      <w:r>
        <w:rPr/>
      </w:r>
    </w:p>
    <w:p>
      <w:pPr>
        <w:pStyle w:val="TextBody"/>
        <w:bidi w:val="0"/>
        <w:spacing w:before="200" w:after="200"/>
        <w:jc w:val="left"/>
        <w:rPr/>
      </w:pPr>
      <w:hyperlink w:anchor="toc">
        <w:r>
          <w:rPr>
            <w:rStyle w:val="InternetLink"/>
            <w:rFonts w:ascii="Arial;Helvetica;Sans-Serif" w:hAnsi="Arial;Helvetica;Sans-Serif"/>
            <w:b/>
            <w:i w:val="false"/>
            <w:caps w:val="false"/>
            <w:smallCaps w:val="false"/>
            <w:sz w:val="16"/>
          </w:rPr>
          <w:t>Table of Contents</w:t>
        </w:r>
      </w:hyperlink>
    </w:p>
    <w:p>
      <w:pPr>
        <w:pStyle w:val="TextBody"/>
        <w:bidi w:val="0"/>
        <w:spacing w:before="0" w:after="0"/>
        <w:ind w:left="0" w:right="0" w:hanging="0"/>
        <w:jc w:val="left"/>
        <w:rPr>
          <w:rFonts w:ascii="Arial;Helvetica;Sans-Serif" w:hAnsi="Arial;Helvetica;Sans-Serif"/>
          <w:b/>
          <w:i w:val="false"/>
          <w:caps w:val="false"/>
          <w:smallCaps w:val="false"/>
          <w:color w:val="C12E33"/>
          <w:sz w:val="15"/>
        </w:rPr>
      </w:pPr>
      <w:r>
        <w:rPr>
          <w:rFonts w:ascii="Arial;Helvetica;Sans-Serif" w:hAnsi="Arial;Helvetica;Sans-Serif"/>
          <w:b/>
          <w:i w:val="false"/>
          <w:caps w:val="false"/>
          <w:smallCaps w:val="false"/>
          <w:color w:val="C12E33"/>
          <w:sz w:val="15"/>
        </w:rPr>
        <w:t>PROPOSAL 2: ADVISORY VOTE TO APPROVE EXECUTIVE COMPENSATION</w:t>
      </w:r>
    </w:p>
    <w:p>
      <w:pPr>
        <w:pStyle w:val="TextBody"/>
        <w:bidi w:val="0"/>
        <w:spacing w:before="0" w:after="0"/>
        <w:ind w:left="0" w:right="0" w:hanging="0"/>
        <w:jc w:val="left"/>
        <w:rPr>
          <w:caps w:val="false"/>
          <w:smallCaps w:val="false"/>
          <w:color w:val="C12E33"/>
        </w:rPr>
      </w:pPr>
      <w:r>
        <w:rPr>
          <w:caps w:val="false"/>
          <w:smallCaps w:val="false"/>
          <w:color w:val="C12E33"/>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Accordingly, the Board recommends that shareowners vote </w:t>
      </w:r>
      <w:r>
        <w:rPr>
          <w:rFonts w:ascii="Arial;Helvetica;Sans-Serif" w:hAnsi="Arial;Helvetica;Sans-Serif"/>
          <w:b/>
          <w:i w:val="false"/>
          <w:caps w:val="false"/>
          <w:smallCaps w:val="false"/>
          <w:color w:val="C12E33"/>
          <w:sz w:val="20"/>
        </w:rPr>
        <w:t>FOR</w:t>
      </w:r>
      <w:r>
        <w:rPr>
          <w:rFonts w:ascii="Arial;Helvetica;Sans-Serif" w:hAnsi="Arial;Helvetica;Sans-Serif"/>
          <w:b w:val="false"/>
          <w:i w:val="false"/>
          <w:caps w:val="false"/>
          <w:smallCaps w:val="false"/>
          <w:sz w:val="20"/>
        </w:rPr>
        <w:t xml:space="preserve"> the following resolution: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Arial;Helvetica;Sans-Serif" w:hAnsi="Arial;Helvetica;Sans-Serif"/>
          <w:b w:val="false"/>
          <w:i w:val="false"/>
          <w:caps w:val="false"/>
          <w:smallCaps w:val="false"/>
          <w:sz w:val="20"/>
        </w:rPr>
        <w:t>RESOLVED, that the compensation of RTX’s NEOs, as disclosed pursuant to the compensation disclosure rules of the Securities and Exchange Commission (the “SEC”), including the Compensation Discussion and Analysis, compensation tables and related information provided in this Proxy Statement, is hereby APPROVED on an advisory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As a matter of law, the approval or disapproval of this Proposal 2 may not be construed as overruling any decision by RTX or the Board, or as imposing any duty or obligation on RTX, the Board or any individual director.</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65"/>
        <w:gridCol w:w="9440"/>
      </w:tblGrid>
      <w:tr>
        <w:trPr/>
        <w:tc>
          <w:tcPr>
            <w:tcW w:w="765" w:type="dxa"/>
            <w:tcBorders/>
            <w:shd w:fill="EDEDEE" w:val="clear"/>
            <w:vAlign w:val="center"/>
          </w:tcPr>
          <w:p>
            <w:pPr>
              <w:pStyle w:val="TableContents"/>
              <w:bidi w:val="0"/>
              <w:spacing w:before="0" w:after="283"/>
              <w:jc w:val="center"/>
              <w:rPr/>
            </w:pPr>
            <w:r>
              <w:rPr/>
              <w:drawing>
                <wp:inline distT="0" distB="0" distL="0" distR="0">
                  <wp:extent cx="476250" cy="447675"/>
                  <wp:effectExtent l="0" t="0" r="0" b="0"/>
                  <wp:docPr id="279" name="Image1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9" name="Image189" descr=""/>
                          <pic:cNvPicPr>
                            <a:picLocks noChangeAspect="1" noChangeArrowheads="1"/>
                          </pic:cNvPicPr>
                        </pic:nvPicPr>
                        <pic:blipFill>
                          <a:blip r:embed="rId234"/>
                          <a:stretch>
                            <a:fillRect/>
                          </a:stretch>
                        </pic:blipFill>
                        <pic:spPr bwMode="auto">
                          <a:xfrm>
                            <a:off x="0" y="0"/>
                            <a:ext cx="476250" cy="447675"/>
                          </a:xfrm>
                          <a:prstGeom prst="rect">
                            <a:avLst/>
                          </a:prstGeom>
                        </pic:spPr>
                      </pic:pic>
                    </a:graphicData>
                  </a:graphic>
                </wp:inline>
              </w:drawing>
            </w:r>
          </w:p>
        </w:tc>
        <w:tc>
          <w:tcPr>
            <w:tcW w:w="9440" w:type="dxa"/>
            <w:tcBorders/>
            <w:shd w:fill="EDEDEE" w:val="clear"/>
            <w:vAlign w:val="center"/>
          </w:tcPr>
          <w:p>
            <w:pPr>
              <w:pStyle w:val="TableContents"/>
              <w:bidi w:val="0"/>
              <w:spacing w:before="0" w:after="283"/>
              <w:jc w:val="left"/>
              <w:rPr>
                <w:rFonts w:ascii="Arial;Helvetica;Sans-Serif" w:hAnsi="Arial;Helvetica;Sans-Serif"/>
                <w:b/>
                <w:i w:val="false"/>
                <w:caps w:val="false"/>
                <w:smallCaps w:val="false"/>
                <w:sz w:val="30"/>
              </w:rPr>
            </w:pPr>
            <w:r>
              <w:rPr>
                <w:rFonts w:ascii="Arial;Helvetica;Sans-Serif" w:hAnsi="Arial;Helvetica;Sans-Serif"/>
                <w:b/>
                <w:i w:val="false"/>
                <w:caps w:val="false"/>
                <w:smallCaps w:val="false"/>
                <w:sz w:val="30"/>
              </w:rPr>
              <w:t xml:space="preserve">The Board of Directors unanimously recommends a vote </w:t>
            </w:r>
            <w:r>
              <w:rPr>
                <w:rFonts w:ascii="Arial;Helvetica;Sans-Serif" w:hAnsi="Arial;Helvetica;Sans-Serif"/>
                <w:b/>
                <w:i w:val="false"/>
                <w:caps w:val="false"/>
                <w:smallCaps w:val="false"/>
                <w:color w:val="C12E33"/>
                <w:sz w:val="30"/>
              </w:rPr>
              <w:t xml:space="preserve">FOR </w:t>
            </w:r>
            <w:r>
              <w:rPr>
                <w:rFonts w:ascii="Arial;Helvetica;Sans-Serif" w:hAnsi="Arial;Helvetica;Sans-Serif"/>
                <w:b/>
                <w:i w:val="false"/>
                <w:caps w:val="false"/>
                <w:smallCaps w:val="false"/>
                <w:sz w:val="30"/>
              </w:rPr>
              <w:t>this proposal.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15"/>
        </w:rPr>
      </w:pPr>
      <w:r>
        <w:rPr>
          <w:rFonts w:ascii="Arial;Helvetica;Sans-Serif" w:hAnsi="Arial;Helvetica;Sans-Serif"/>
          <w:b/>
          <w:i w:val="false"/>
          <w:caps w:val="false"/>
          <w:smallCaps w:val="false"/>
          <w:sz w:val="15"/>
        </w:rPr>
        <w:t>38</w:t>
      </w:r>
      <w:r>
        <w:rPr>
          <w:rFonts w:ascii="Times New Roman;Times;Serif" w:hAnsi="Times New Roman;Times;Serif"/>
          <w:b w:val="false"/>
          <w:i w:val="false"/>
          <w:caps w:val="false"/>
          <w:smallCaps w:val="false"/>
          <w:sz w:val="15"/>
        </w:rPr>
        <w:t>    </w:t>
      </w:r>
      <w:r>
        <w:rPr>
          <w:rFonts w:ascii="Arial;Helvetica;Sans-Serif" w:hAnsi="Arial;Helvetica;Sans-Serif"/>
          <w:b/>
          <w:i w:val="false"/>
          <w:caps w:val="false"/>
          <w:smallCaps w:val="false"/>
          <w:sz w:val="15"/>
        </w:rPr>
        <w:t>RTX</w:t>
      </w:r>
      <w:r>
        <w:rPr>
          <w:rFonts w:ascii="Arial;Helvetica;Sans-Serif" w:hAnsi="Arial;Helvetica;Sans-Serif"/>
          <w:b w:val="false"/>
          <w:i w:val="false"/>
          <w:caps w:val="false"/>
          <w:smallCaps w:val="false"/>
          <w:sz w:val="15"/>
        </w:rPr>
        <w:t xml:space="preserve"> 2026 PROXY STATEMENT</w:t>
      </w:r>
    </w:p>
    <w:p>
      <w:pPr>
        <w:pStyle w:val="HorizontalLine"/>
        <w:pBdr>
          <w:bottom w:val="double" w:sz="2" w:space="0" w:color="808080"/>
        </w:pBdr>
        <w:bidi w:val="0"/>
        <w:spacing w:before="0" w:after="283"/>
        <w:jc w:val="left"/>
        <w:rPr/>
      </w:pPr>
      <w:r>
        <w:rPr/>
      </w:r>
    </w:p>
    <w:p>
      <w:pPr>
        <w:pStyle w:val="TextBody"/>
        <w:bidi w:val="0"/>
        <w:spacing w:before="200" w:after="200"/>
        <w:jc w:val="left"/>
        <w:rPr/>
      </w:pPr>
      <w:hyperlink w:anchor="toc">
        <w:r>
          <w:rPr>
            <w:rStyle w:val="InternetLink"/>
            <w:rFonts w:ascii="Arial;Helvetica;Sans-Serif" w:hAnsi="Arial;Helvetica;Sans-Serif"/>
            <w:b/>
            <w:i w:val="false"/>
            <w:caps w:val="false"/>
            <w:smallCaps w:val="false"/>
            <w:sz w:val="16"/>
          </w:rPr>
          <w:t>Table of Contents</w:t>
        </w:r>
      </w:hyperlink>
    </w:p>
    <w:p>
      <w:pPr>
        <w:pStyle w:val="TextBody"/>
        <w:bidi w:val="0"/>
        <w:spacing w:before="0" w:after="0"/>
        <w:ind w:left="0" w:right="0" w:hanging="0"/>
        <w:jc w:val="left"/>
        <w:rPr>
          <w:rFonts w:ascii="Arial;Helvetica;Sans-Serif" w:hAnsi="Arial;Helvetica;Sans-Serif"/>
          <w:b/>
          <w:i w:val="false"/>
          <w:caps w:val="false"/>
          <w:smallCaps w:val="false"/>
          <w:sz w:val="56"/>
        </w:rPr>
      </w:pPr>
      <w:bookmarkStart w:id="13" w:name="rtx014050a009"/>
      <w:bookmarkEnd w:id="13"/>
      <w:r>
        <w:rPr>
          <w:rFonts w:ascii="Arial;Helvetica;Sans-Serif" w:hAnsi="Arial;Helvetica;Sans-Serif"/>
          <w:b/>
          <w:i w:val="false"/>
          <w:caps w:val="false"/>
          <w:smallCaps w:val="false"/>
          <w:sz w:val="56"/>
        </w:rPr>
        <w:t>Compensation Discussion</w:t>
        <w:br/>
        <w:t>and Analysis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00" w:type="dxa"/>
          <w:left w:w="0" w:type="dxa"/>
          <w:bottom w:w="0" w:type="dxa"/>
          <w:right w:w="0" w:type="dxa"/>
        </w:tblCellMar>
      </w:tblPr>
      <w:tblGrid>
        <w:gridCol w:w="1634"/>
        <w:gridCol w:w="8571"/>
      </w:tblGrid>
      <w:tr>
        <w:trPr/>
        <w:tc>
          <w:tcPr>
            <w:tcW w:w="1634" w:type="dxa"/>
            <w:tcBorders>
              <w:top w:val="single" w:sz="12" w:space="0" w:color="C12E33"/>
            </w:tcBorders>
            <w:shd w:fill="EDEDEE" w:val="clear"/>
            <w:vAlign w:val="center"/>
          </w:tcPr>
          <w:p>
            <w:pPr>
              <w:pStyle w:val="TableContents"/>
              <w:bidi w:val="0"/>
              <w:spacing w:before="0" w:after="283"/>
              <w:jc w:val="left"/>
              <w:rPr>
                <w:rFonts w:ascii="Arial;Helvetica;Sans-Serif" w:hAnsi="Arial;Helvetica;Sans-Serif"/>
                <w:b/>
                <w:i w:val="false"/>
                <w:caps w:val="false"/>
                <w:smallCaps w:val="false"/>
                <w:color w:val="C12E33"/>
                <w:sz w:val="44"/>
              </w:rPr>
            </w:pPr>
            <w:r>
              <w:rPr>
                <w:rFonts w:ascii="Arial;Helvetica;Sans-Serif" w:hAnsi="Arial;Helvetica;Sans-Serif"/>
                <w:b/>
                <w:i w:val="false"/>
                <w:caps w:val="false"/>
                <w:smallCaps w:val="false"/>
                <w:color w:val="C12E33"/>
                <w:sz w:val="44"/>
              </w:rPr>
              <w:t xml:space="preserve">What’s </w:t>
              <w:br/>
              <w:t>in this</w:t>
              <w:br/>
              <w:t xml:space="preserve">section? </w:t>
            </w:r>
          </w:p>
        </w:tc>
        <w:tc>
          <w:tcPr>
            <w:tcW w:w="8571" w:type="dxa"/>
            <w:tcBorders>
              <w:top w:val="single" w:sz="12" w:space="0" w:color="C12E33"/>
            </w:tcBorders>
            <w:shd w:fill="EDEDEE" w:val="clear"/>
            <w:vAlign w:val="center"/>
          </w:tcPr>
          <w:p>
            <w:pPr>
              <w:pStyle w:val="TableContents"/>
              <w:bidi w:val="0"/>
              <w:spacing w:before="0" w:after="283"/>
              <w:jc w:val="left"/>
              <w:rPr>
                <w:sz w:val="20"/>
              </w:rPr>
            </w:pPr>
            <w:r>
              <w:rPr>
                <w:rFonts w:ascii="Arial;Helvetica;Sans-Serif" w:hAnsi="Arial;Helvetica;Sans-Serif"/>
                <w:b w:val="false"/>
                <w:i w:val="false"/>
                <w:caps w:val="false"/>
                <w:smallCaps w:val="false"/>
                <w:sz w:val="20"/>
              </w:rPr>
              <w:t xml:space="preserve">In this section, we discuss our </w:t>
            </w:r>
            <w:r>
              <w:rPr>
                <w:rFonts w:ascii="Arial;Helvetica;Sans-Serif" w:hAnsi="Arial;Helvetica;Sans-Serif"/>
                <w:b/>
                <w:i w:val="false"/>
                <w:caps w:val="false"/>
                <w:smallCaps w:val="false"/>
                <w:sz w:val="20"/>
              </w:rPr>
              <w:t>compensation philosophy</w:t>
            </w:r>
            <w:r>
              <w:rPr>
                <w:rFonts w:ascii="Arial;Helvetica;Sans-Serif" w:hAnsi="Arial;Helvetica;Sans-Serif"/>
                <w:b w:val="false"/>
                <w:i w:val="false"/>
                <w:caps w:val="false"/>
                <w:smallCaps w:val="false"/>
                <w:sz w:val="20"/>
              </w:rPr>
              <w:t xml:space="preserve"> and explain how our executive compensation program is structured to advance our fundamental objective of aligning our executives’ compensation with the long</w:t>
            </w:r>
            <w:r>
              <w:rPr>
                <w:sz w:val="20"/>
              </w:rPr>
              <w:t>-</w:t>
            </w:r>
            <w:r>
              <w:rPr>
                <w:rFonts w:ascii="Arial;Helvetica;Sans-Serif" w:hAnsi="Arial;Helvetica;Sans-Serif"/>
                <w:b w:val="false"/>
                <w:i w:val="false"/>
                <w:caps w:val="false"/>
                <w:smallCaps w:val="false"/>
                <w:sz w:val="20"/>
              </w:rPr>
              <w:t xml:space="preserve">term interests of RTX shareowners. We also explain how the Human Capital &amp; Compensation Committee of the Board (the “HCC Committee”) determined compensation for our NEOs listed below, as well as its </w:t>
            </w:r>
            <w:r>
              <w:rPr>
                <w:rFonts w:ascii="Arial;Helvetica;Sans-Serif" w:hAnsi="Arial;Helvetica;Sans-Serif"/>
                <w:b/>
                <w:i w:val="false"/>
                <w:caps w:val="false"/>
                <w:smallCaps w:val="false"/>
                <w:sz w:val="20"/>
              </w:rPr>
              <w:t>rationale for specific 2025 pay decisions.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br/>
        <w:t> </w:t>
      </w:r>
      <w:r>
        <mc:AlternateContent>
          <mc:Choice Requires="wps">
            <w:drawing>
              <wp:anchor behindDoc="0" distT="0" distB="0" distL="0" distR="0" simplePos="0" locked="0" layoutInCell="1" allowOverlap="1" relativeHeight="126">
                <wp:simplePos x="0" y="0"/>
                <wp:positionH relativeFrom="column">
                  <wp:align>right</wp:align>
                </wp:positionH>
                <wp:positionV relativeFrom="line">
                  <wp:posOffset>635</wp:posOffset>
                </wp:positionV>
                <wp:extent cx="3110230" cy="6833235"/>
                <wp:effectExtent l="0" t="0" r="0" b="0"/>
                <wp:wrapSquare wrapText="left"/>
                <wp:docPr id="280" name="Frame48"/>
                <a:graphic xmlns:a="http://schemas.openxmlformats.org/drawingml/2006/main">
                  <a:graphicData uri="http://schemas.microsoft.com/office/word/2010/wordprocessingShape">
                    <wps:wsp>
                      <wps:cNvSpPr txBox="1"/>
                      <wps:spPr>
                        <a:xfrm>
                          <a:off x="0" y="0"/>
                          <a:ext cx="3110230" cy="6833235"/>
                        </a:xfrm>
                        <a:prstGeom prst="rect"/>
                        <a:solidFill>
                          <a:srgbClr val="FFFFFF"/>
                        </a:solidFill>
                      </wps:spPr>
                      <wps:txbx>
                        <w:txbxContent>
                          <w:tbl>
                            <w:tblPr>
                              <w:tblW w:w="5660" w:type="dxa"/>
                              <w:jc w:val="left"/>
                              <w:tblInd w:w="0" w:type="dxa"/>
                              <w:tblLayout w:type="fixed"/>
                              <w:tblCellMar>
                                <w:top w:w="0" w:type="dxa"/>
                                <w:left w:w="0" w:type="dxa"/>
                                <w:bottom w:w="60" w:type="dxa"/>
                                <w:right w:w="0" w:type="dxa"/>
                              </w:tblCellMar>
                            </w:tblPr>
                            <w:tblGrid>
                              <w:gridCol w:w="2130"/>
                              <w:gridCol w:w="60"/>
                              <w:gridCol w:w="3470"/>
                            </w:tblGrid>
                            <w:tr>
                              <w:trPr/>
                              <w:tc>
                                <w:tcPr>
                                  <w:tcW w:w="5660" w:type="dxa"/>
                                  <w:gridSpan w:val="3"/>
                                  <w:tcBorders>
                                    <w:bottom w:val="single" w:sz="2" w:space="0" w:color="C12E33"/>
                                  </w:tcBorders>
                                  <w:vAlign w:val="center"/>
                                </w:tcPr>
                                <w:p>
                                  <w:pPr>
                                    <w:pStyle w:val="TableContents"/>
                                    <w:bidi w:val="0"/>
                                    <w:spacing w:before="0" w:after="283"/>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2025 NAMED EXECUTIVE OFFICERS (“NEOs”)</w:t>
                                  </w:r>
                                </w:p>
                              </w:tc>
                            </w:tr>
                            <w:tr>
                              <w:trPr/>
                              <w:tc>
                                <w:tcPr>
                                  <w:tcW w:w="2130" w:type="dxa"/>
                                  <w:tcBorders>
                                    <w:bottom w:val="single" w:sz="2" w:space="0" w:color="000000"/>
                                  </w:tcBorders>
                                  <w:tcMar>
                                    <w:bottom w:w="28" w:type="dxa"/>
                                  </w:tcMar>
                                  <w:vAlign w:val="center"/>
                                </w:tcPr>
                                <w:p>
                                  <w:pPr>
                                    <w:pStyle w:val="TableContents"/>
                                    <w:bidi w:val="0"/>
                                    <w:spacing w:before="0" w:after="283"/>
                                    <w:jc w:val="left"/>
                                    <w:rPr/>
                                  </w:pPr>
                                  <w:r>
                                    <w:rPr/>
                                    <w:drawing>
                                      <wp:inline distT="0" distB="0" distL="0" distR="0">
                                        <wp:extent cx="1133475" cy="904875"/>
                                        <wp:effectExtent l="0" t="0" r="0" b="0"/>
                                        <wp:docPr id="281" name="Image1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1" name="Image190" descr=""/>
                                                <pic:cNvPicPr>
                                                  <a:picLocks noChangeAspect="1" noChangeArrowheads="1"/>
                                                </pic:cNvPicPr>
                                              </pic:nvPicPr>
                                              <pic:blipFill>
                                                <a:blip r:embed="rId235"/>
                                                <a:stretch>
                                                  <a:fillRect/>
                                                </a:stretch>
                                              </pic:blipFill>
                                              <pic:spPr bwMode="auto">
                                                <a:xfrm>
                                                  <a:off x="0" y="0"/>
                                                  <a:ext cx="1133475" cy="904875"/>
                                                </a:xfrm>
                                                <a:prstGeom prst="rect">
                                                  <a:avLst/>
                                                </a:prstGeom>
                                              </pic:spPr>
                                            </pic:pic>
                                          </a:graphicData>
                                        </a:graphic>
                                      </wp:inline>
                                    </w:drawing>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3470"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 xml:space="preserve">Christopher T. Calio </w:t>
                                  </w:r>
                                  <w:r>
                                    <w:rPr>
                                      <w:rFonts w:ascii="Arial;Helvetica;Sans-Serif" w:hAnsi="Arial;Helvetica;Sans-Serif"/>
                                      <w:b w:val="false"/>
                                      <w:i w:val="false"/>
                                      <w:caps w:val="false"/>
                                      <w:smallCaps w:val="false"/>
                                      <w:color w:val="636466"/>
                                      <w:sz w:val="20"/>
                                    </w:rPr>
                                    <w:t> </w:t>
                                  </w:r>
                                </w:p>
                                <w:p>
                                  <w:pPr>
                                    <w:pStyle w:val="TableContents"/>
                                    <w:bidi w:val="0"/>
                                    <w:spacing w:before="0" w:after="0"/>
                                    <w:ind w:left="0" w:right="0" w:hanging="0"/>
                                    <w:jc w:val="left"/>
                                    <w:rPr>
                                      <w:rFonts w:ascii="Arial;Helvetica;Sans-Serif" w:hAnsi="Arial;Helvetica;Sans-Serif"/>
                                      <w:b w:val="false"/>
                                      <w:i/>
                                      <w:caps w:val="false"/>
                                      <w:smallCaps w:val="false"/>
                                      <w:sz w:val="15"/>
                                    </w:rPr>
                                  </w:pPr>
                                  <w:r>
                                    <w:rPr>
                                      <w:rFonts w:ascii="Arial;Helvetica;Sans-Serif" w:hAnsi="Arial;Helvetica;Sans-Serif"/>
                                      <w:b w:val="false"/>
                                      <w:i/>
                                      <w:caps w:val="false"/>
                                      <w:smallCaps w:val="false"/>
                                      <w:sz w:val="15"/>
                                    </w:rPr>
                                    <w:t>Chairman, President &amp; Chief Executive Officer</w:t>
                                  </w:r>
                                  <w:r>
                                    <w:rPr>
                                      <w:rFonts w:ascii="Arial;Helvetica;Sans-Serif" w:hAnsi="Arial;Helvetica;Sans-Serif"/>
                                      <w:b w:val="false"/>
                                      <w:i/>
                                      <w:caps w:val="false"/>
                                      <w:smallCaps w:val="false"/>
                                      <w:position w:val="5"/>
                                      <w:sz w:val="12"/>
                                      <w:sz w:val="15"/>
                                    </w:rPr>
                                    <w:t>(1)</w:t>
                                  </w:r>
                                </w:p>
                                <w:p>
                                  <w:pPr>
                                    <w:pStyle w:val="TableContents"/>
                                    <w:bidi w:val="0"/>
                                    <w:spacing w:before="0" w:after="0"/>
                                    <w:ind w:left="0" w:right="0" w:hanging="0"/>
                                    <w:jc w:val="left"/>
                                    <w:rPr>
                                      <w:caps w:val="false"/>
                                      <w:smallCaps w:val="false"/>
                                    </w:rPr>
                                  </w:pPr>
                                  <w:r>
                                    <w:rPr>
                                      <w:caps w:val="false"/>
                                      <w:smallCaps w:val="false"/>
                                    </w:rPr>
                                    <w:t> </w:t>
                                  </w:r>
                                </w:p>
                              </w:tc>
                            </w:tr>
                            <w:tr>
                              <w:trPr/>
                              <w:tc>
                                <w:tcPr>
                                  <w:tcW w:w="2130" w:type="dxa"/>
                                  <w:tcBorders>
                                    <w:bottom w:val="single" w:sz="2" w:space="0" w:color="000000"/>
                                  </w:tcBorders>
                                  <w:tcMar>
                                    <w:bottom w:w="28" w:type="dxa"/>
                                  </w:tcMar>
                                  <w:vAlign w:val="center"/>
                                </w:tcPr>
                                <w:p>
                                  <w:pPr>
                                    <w:pStyle w:val="TableContents"/>
                                    <w:bidi w:val="0"/>
                                    <w:spacing w:before="0" w:after="283"/>
                                    <w:jc w:val="left"/>
                                    <w:rPr/>
                                  </w:pPr>
                                  <w:r>
                                    <w:rPr/>
                                    <w:drawing>
                                      <wp:inline distT="0" distB="0" distL="0" distR="0">
                                        <wp:extent cx="1000125" cy="914400"/>
                                        <wp:effectExtent l="0" t="0" r="0" b="0"/>
                                        <wp:docPr id="282" name="Image1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 name="Image191" descr=""/>
                                                <pic:cNvPicPr>
                                                  <a:picLocks noChangeAspect="1" noChangeArrowheads="1"/>
                                                </pic:cNvPicPr>
                                              </pic:nvPicPr>
                                              <pic:blipFill>
                                                <a:blip r:embed="rId236"/>
                                                <a:stretch>
                                                  <a:fillRect/>
                                                </a:stretch>
                                              </pic:blipFill>
                                              <pic:spPr bwMode="auto">
                                                <a:xfrm>
                                                  <a:off x="0" y="0"/>
                                                  <a:ext cx="1000125" cy="914400"/>
                                                </a:xfrm>
                                                <a:prstGeom prst="rect">
                                                  <a:avLst/>
                                                </a:prstGeom>
                                              </pic:spPr>
                                            </pic:pic>
                                          </a:graphicData>
                                        </a:graphic>
                                      </wp:inline>
                                    </w:drawing>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3470"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Neil G. Mitchill, Jr.</w:t>
                                  </w:r>
                                </w:p>
                                <w:p>
                                  <w:pPr>
                                    <w:pStyle w:val="TableContents"/>
                                    <w:bidi w:val="0"/>
                                    <w:spacing w:before="0" w:after="0"/>
                                    <w:ind w:left="0" w:right="0" w:hanging="0"/>
                                    <w:jc w:val="left"/>
                                    <w:rPr>
                                      <w:rFonts w:ascii="Arial;Helvetica;Sans-Serif" w:hAnsi="Arial;Helvetica;Sans-Serif"/>
                                      <w:b w:val="false"/>
                                      <w:i/>
                                      <w:caps w:val="false"/>
                                      <w:smallCaps w:val="false"/>
                                      <w:sz w:val="15"/>
                                    </w:rPr>
                                  </w:pPr>
                                  <w:r>
                                    <w:rPr>
                                      <w:rFonts w:ascii="Arial;Helvetica;Sans-Serif" w:hAnsi="Arial;Helvetica;Sans-Serif"/>
                                      <w:b w:val="false"/>
                                      <w:i/>
                                      <w:caps w:val="false"/>
                                      <w:smallCaps w:val="false"/>
                                      <w:sz w:val="15"/>
                                    </w:rPr>
                                    <w:t>Executive Vice President &amp; Chief Financial Officer</w:t>
                                  </w:r>
                                </w:p>
                                <w:p>
                                  <w:pPr>
                                    <w:pStyle w:val="TableContents"/>
                                    <w:bidi w:val="0"/>
                                    <w:spacing w:before="0" w:after="0"/>
                                    <w:ind w:left="0" w:right="0" w:hanging="0"/>
                                    <w:jc w:val="left"/>
                                    <w:rPr>
                                      <w:caps w:val="false"/>
                                      <w:smallCaps w:val="false"/>
                                    </w:rPr>
                                  </w:pPr>
                                  <w:r>
                                    <w:rPr>
                                      <w:caps w:val="false"/>
                                      <w:smallCaps w:val="false"/>
                                    </w:rPr>
                                    <w:t> </w:t>
                                  </w:r>
                                </w:p>
                              </w:tc>
                            </w:tr>
                            <w:tr>
                              <w:trPr/>
                              <w:tc>
                                <w:tcPr>
                                  <w:tcW w:w="2130" w:type="dxa"/>
                                  <w:tcBorders>
                                    <w:bottom w:val="single" w:sz="2" w:space="0" w:color="000000"/>
                                  </w:tcBorders>
                                  <w:tcMar>
                                    <w:bottom w:w="28" w:type="dxa"/>
                                  </w:tcMar>
                                  <w:vAlign w:val="center"/>
                                </w:tcPr>
                                <w:p>
                                  <w:pPr>
                                    <w:pStyle w:val="TableContents"/>
                                    <w:bidi w:val="0"/>
                                    <w:spacing w:before="0" w:after="283"/>
                                    <w:jc w:val="left"/>
                                    <w:rPr/>
                                  </w:pPr>
                                  <w:r>
                                    <w:rPr/>
                                    <w:drawing>
                                      <wp:inline distT="0" distB="0" distL="0" distR="0">
                                        <wp:extent cx="1104900" cy="895350"/>
                                        <wp:effectExtent l="0" t="0" r="0" b="0"/>
                                        <wp:docPr id="283" name="Image1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3" name="Image192" descr=""/>
                                                <pic:cNvPicPr>
                                                  <a:picLocks noChangeAspect="1" noChangeArrowheads="1"/>
                                                </pic:cNvPicPr>
                                              </pic:nvPicPr>
                                              <pic:blipFill>
                                                <a:blip r:embed="rId237"/>
                                                <a:stretch>
                                                  <a:fillRect/>
                                                </a:stretch>
                                              </pic:blipFill>
                                              <pic:spPr bwMode="auto">
                                                <a:xfrm>
                                                  <a:off x="0" y="0"/>
                                                  <a:ext cx="1104900" cy="895350"/>
                                                </a:xfrm>
                                                <a:prstGeom prst="rect">
                                                  <a:avLst/>
                                                </a:prstGeom>
                                              </pic:spPr>
                                            </pic:pic>
                                          </a:graphicData>
                                        </a:graphic>
                                      </wp:inline>
                                    </w:drawing>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3470"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Philip J. Jasper</w:t>
                                  </w:r>
                                </w:p>
                                <w:p>
                                  <w:pPr>
                                    <w:pStyle w:val="TableContents"/>
                                    <w:bidi w:val="0"/>
                                    <w:spacing w:before="0" w:after="0"/>
                                    <w:ind w:left="0" w:right="0" w:hanging="0"/>
                                    <w:jc w:val="left"/>
                                    <w:rPr>
                                      <w:rFonts w:ascii="Arial;Helvetica;Sans-Serif" w:hAnsi="Arial;Helvetica;Sans-Serif"/>
                                      <w:b w:val="false"/>
                                      <w:i/>
                                      <w:caps w:val="false"/>
                                      <w:smallCaps w:val="false"/>
                                      <w:sz w:val="15"/>
                                    </w:rPr>
                                  </w:pPr>
                                  <w:r>
                                    <w:rPr>
                                      <w:rFonts w:ascii="Arial;Helvetica;Sans-Serif" w:hAnsi="Arial;Helvetica;Sans-Serif"/>
                                      <w:b w:val="false"/>
                                      <w:i/>
                                      <w:caps w:val="false"/>
                                      <w:smallCaps w:val="false"/>
                                      <w:sz w:val="15"/>
                                    </w:rPr>
                                    <w:t>President, Raytheon</w:t>
                                  </w:r>
                                </w:p>
                                <w:p>
                                  <w:pPr>
                                    <w:pStyle w:val="TableContents"/>
                                    <w:bidi w:val="0"/>
                                    <w:spacing w:before="0" w:after="0"/>
                                    <w:ind w:left="0" w:right="0" w:hanging="0"/>
                                    <w:jc w:val="left"/>
                                    <w:rPr>
                                      <w:caps w:val="false"/>
                                      <w:smallCaps w:val="false"/>
                                    </w:rPr>
                                  </w:pPr>
                                  <w:r>
                                    <w:rPr>
                                      <w:caps w:val="false"/>
                                      <w:smallCaps w:val="false"/>
                                    </w:rPr>
                                    <w:t> </w:t>
                                  </w:r>
                                </w:p>
                              </w:tc>
                            </w:tr>
                            <w:tr>
                              <w:trPr/>
                              <w:tc>
                                <w:tcPr>
                                  <w:tcW w:w="2130" w:type="dxa"/>
                                  <w:tcBorders>
                                    <w:bottom w:val="single" w:sz="2" w:space="0" w:color="000000"/>
                                  </w:tcBorders>
                                  <w:tcMar>
                                    <w:bottom w:w="28" w:type="dxa"/>
                                  </w:tcMar>
                                  <w:vAlign w:val="center"/>
                                </w:tcPr>
                                <w:p>
                                  <w:pPr>
                                    <w:pStyle w:val="TableContents"/>
                                    <w:bidi w:val="0"/>
                                    <w:spacing w:before="0" w:after="283"/>
                                    <w:jc w:val="left"/>
                                    <w:rPr/>
                                  </w:pPr>
                                  <w:r>
                                    <w:rPr/>
                                    <w:drawing>
                                      <wp:inline distT="0" distB="0" distL="0" distR="0">
                                        <wp:extent cx="933450" cy="914400"/>
                                        <wp:effectExtent l="0" t="0" r="0" b="0"/>
                                        <wp:docPr id="284" name="Image1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 name="Image193" descr=""/>
                                                <pic:cNvPicPr>
                                                  <a:picLocks noChangeAspect="1" noChangeArrowheads="1"/>
                                                </pic:cNvPicPr>
                                              </pic:nvPicPr>
                                              <pic:blipFill>
                                                <a:blip r:embed="rId238"/>
                                                <a:stretch>
                                                  <a:fillRect/>
                                                </a:stretch>
                                              </pic:blipFill>
                                              <pic:spPr bwMode="auto">
                                                <a:xfrm>
                                                  <a:off x="0" y="0"/>
                                                  <a:ext cx="933450" cy="914400"/>
                                                </a:xfrm>
                                                <a:prstGeom prst="rect">
                                                  <a:avLst/>
                                                </a:prstGeom>
                                              </pic:spPr>
                                            </pic:pic>
                                          </a:graphicData>
                                        </a:graphic>
                                      </wp:inline>
                                    </w:drawing>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3470"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Shane G. Eddy</w:t>
                                  </w:r>
                                </w:p>
                                <w:p>
                                  <w:pPr>
                                    <w:pStyle w:val="TableContents"/>
                                    <w:bidi w:val="0"/>
                                    <w:spacing w:before="0" w:after="0"/>
                                    <w:ind w:left="0" w:right="0" w:hanging="0"/>
                                    <w:jc w:val="left"/>
                                    <w:rPr>
                                      <w:rFonts w:ascii="Arial;Helvetica;Sans-Serif" w:hAnsi="Arial;Helvetica;Sans-Serif"/>
                                      <w:b w:val="false"/>
                                      <w:i/>
                                      <w:caps w:val="false"/>
                                      <w:smallCaps w:val="false"/>
                                      <w:sz w:val="15"/>
                                    </w:rPr>
                                  </w:pPr>
                                  <w:r>
                                    <w:rPr>
                                      <w:rFonts w:ascii="Arial;Helvetica;Sans-Serif" w:hAnsi="Arial;Helvetica;Sans-Serif"/>
                                      <w:b w:val="false"/>
                                      <w:i/>
                                      <w:caps w:val="false"/>
                                      <w:smallCaps w:val="false"/>
                                      <w:sz w:val="15"/>
                                    </w:rPr>
                                    <w:t>President, Pratt &amp; Whitney</w:t>
                                  </w:r>
                                </w:p>
                                <w:p>
                                  <w:pPr>
                                    <w:pStyle w:val="TableContents"/>
                                    <w:bidi w:val="0"/>
                                    <w:spacing w:before="0" w:after="0"/>
                                    <w:ind w:left="0" w:right="0" w:hanging="0"/>
                                    <w:jc w:val="left"/>
                                    <w:rPr>
                                      <w:caps w:val="false"/>
                                      <w:smallCaps w:val="false"/>
                                    </w:rPr>
                                  </w:pPr>
                                  <w:r>
                                    <w:rPr>
                                      <w:caps w:val="false"/>
                                      <w:smallCaps w:val="false"/>
                                    </w:rPr>
                                    <w:t> </w:t>
                                  </w:r>
                                </w:p>
                              </w:tc>
                            </w:tr>
                            <w:tr>
                              <w:trPr/>
                              <w:tc>
                                <w:tcPr>
                                  <w:tcW w:w="2130" w:type="dxa"/>
                                  <w:tcBorders>
                                    <w:bottom w:val="single" w:sz="2" w:space="0" w:color="000000"/>
                                  </w:tcBorders>
                                  <w:tcMar>
                                    <w:bottom w:w="28" w:type="dxa"/>
                                  </w:tcMar>
                                  <w:vAlign w:val="center"/>
                                </w:tcPr>
                                <w:p>
                                  <w:pPr>
                                    <w:pStyle w:val="TableContents"/>
                                    <w:bidi w:val="0"/>
                                    <w:spacing w:before="0" w:after="283"/>
                                    <w:jc w:val="left"/>
                                    <w:rPr/>
                                  </w:pPr>
                                  <w:r>
                                    <w:rPr/>
                                    <w:drawing>
                                      <wp:inline distT="0" distB="0" distL="0" distR="0">
                                        <wp:extent cx="1343025" cy="904875"/>
                                        <wp:effectExtent l="0" t="0" r="0" b="0"/>
                                        <wp:docPr id="285" name="Image1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 name="Image194" descr=""/>
                                                <pic:cNvPicPr>
                                                  <a:picLocks noChangeAspect="1" noChangeArrowheads="1"/>
                                                </pic:cNvPicPr>
                                              </pic:nvPicPr>
                                              <pic:blipFill>
                                                <a:blip r:embed="rId239"/>
                                                <a:stretch>
                                                  <a:fillRect/>
                                                </a:stretch>
                                              </pic:blipFill>
                                              <pic:spPr bwMode="auto">
                                                <a:xfrm>
                                                  <a:off x="0" y="0"/>
                                                  <a:ext cx="1343025" cy="904875"/>
                                                </a:xfrm>
                                                <a:prstGeom prst="rect">
                                                  <a:avLst/>
                                                </a:prstGeom>
                                              </pic:spPr>
                                            </pic:pic>
                                          </a:graphicData>
                                        </a:graphic>
                                      </wp:inline>
                                    </w:drawing>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3470"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Troy D. Brunk</w:t>
                                  </w:r>
                                </w:p>
                                <w:p>
                                  <w:pPr>
                                    <w:pStyle w:val="TableContents"/>
                                    <w:bidi w:val="0"/>
                                    <w:spacing w:before="0" w:after="0"/>
                                    <w:ind w:left="0" w:right="0" w:hanging="0"/>
                                    <w:jc w:val="left"/>
                                    <w:rPr>
                                      <w:rFonts w:ascii="Arial;Helvetica;Sans-Serif" w:hAnsi="Arial;Helvetica;Sans-Serif"/>
                                      <w:b w:val="false"/>
                                      <w:i/>
                                      <w:caps w:val="false"/>
                                      <w:smallCaps w:val="false"/>
                                      <w:sz w:val="15"/>
                                    </w:rPr>
                                  </w:pPr>
                                  <w:r>
                                    <w:rPr>
                                      <w:rFonts w:ascii="Arial;Helvetica;Sans-Serif" w:hAnsi="Arial;Helvetica;Sans-Serif"/>
                                      <w:b w:val="false"/>
                                      <w:i/>
                                      <w:caps w:val="false"/>
                                      <w:smallCaps w:val="false"/>
                                      <w:sz w:val="15"/>
                                    </w:rPr>
                                    <w:t>President, Collins Aerospace</w:t>
                                  </w:r>
                                </w:p>
                                <w:p>
                                  <w:pPr>
                                    <w:pStyle w:val="TableContents"/>
                                    <w:bidi w:val="0"/>
                                    <w:spacing w:before="0" w:after="0"/>
                                    <w:ind w:left="0" w:right="0" w:hanging="0"/>
                                    <w:jc w:val="left"/>
                                    <w:rPr>
                                      <w:caps w:val="false"/>
                                      <w:smallCaps w:val="false"/>
                                    </w:rPr>
                                  </w:pPr>
                                  <w:r>
                                    <w:rPr>
                                      <w:caps w:val="false"/>
                                      <w:smallCaps w:val="false"/>
                                    </w:rPr>
                                    <w:t> </w:t>
                                  </w:r>
                                </w:p>
                              </w:tc>
                            </w:tr>
                          </w:tbl>
                          <w:tbl>
                            <w:tblPr>
                              <w:tblW w:w="10205" w:type="dxa"/>
                              <w:jc w:val="left"/>
                              <w:tblInd w:w="0" w:type="dxa"/>
                              <w:tblLayout w:type="fixed"/>
                              <w:tblCellMar>
                                <w:top w:w="0" w:type="dxa"/>
                                <w:left w:w="0" w:type="dxa"/>
                                <w:bottom w:w="0" w:type="dxa"/>
                                <w:right w:w="0" w:type="dxa"/>
                              </w:tblCellMar>
                            </w:tblPr>
                            <w:tblGrid>
                              <w:gridCol w:w="202"/>
                              <w:gridCol w:w="10003"/>
                            </w:tblGrid>
                            <w:tr>
                              <w:trPr/>
                              <w:tc>
                                <w:tcPr>
                                  <w:tcW w:w="202" w:type="dxa"/>
                                  <w:tcBorders/>
                                  <w:vAlign w:val="center"/>
                                </w:tcPr>
                                <w:p>
                                  <w:pPr>
                                    <w:pStyle w:val="TableContents"/>
                                    <w:bidi w:val="0"/>
                                    <w:spacing w:before="0" w:after="283"/>
                                    <w:jc w:val="left"/>
                                    <w:rPr/>
                                  </w:pPr>
                                  <w:r>
                                    <w:rPr/>
                                    <w:t> </w:t>
                                  </w:r>
                                </w:p>
                              </w:tc>
                              <w:tc>
                                <w:tcPr>
                                  <w:tcW w:w="10003" w:type="dxa"/>
                                  <w:tcBorders/>
                                  <w:vAlign w:val="center"/>
                                </w:tcPr>
                                <w:p>
                                  <w:pPr>
                                    <w:pStyle w:val="TableContents"/>
                                    <w:bidi w:val="0"/>
                                    <w:spacing w:before="0" w:after="283"/>
                                    <w:jc w:val="left"/>
                                    <w:rPr/>
                                  </w:pPr>
                                  <w:r>
                                    <w:rPr/>
                                    <w:t> </w:t>
                                  </w:r>
                                </w:p>
                              </w:tc>
                            </w:tr>
                            <w:tr>
                              <w:trPr/>
                              <w:tc>
                                <w:tcPr>
                                  <w:tcW w:w="202" w:type="dxa"/>
                                  <w:tcBorders/>
                                  <w:vAlign w:val="center"/>
                                </w:tcPr>
                                <w:p>
                                  <w:pPr>
                                    <w:pStyle w:val="TableContents"/>
                                    <w:bidi w:val="0"/>
                                    <w:spacing w:before="0" w:after="283"/>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(1)</w:t>
                                  </w:r>
                                </w:p>
                              </w:tc>
                              <w:tc>
                                <w:tcPr>
                                  <w:tcW w:w="10003" w:type="dxa"/>
                                  <w:tcBorders/>
                                  <w:vAlign w:val="center"/>
                                </w:tcPr>
                                <w:p>
                                  <w:pPr>
                                    <w:pStyle w:val="TableContents"/>
                                    <w:bidi w:val="0"/>
                                    <w:spacing w:before="0" w:after="283"/>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Mr. Calio served as President &amp; Chief Executive Officer until April 30, 2025, at which point he assumed the role of Chairman of the Board, becoming Chairman, President &amp; Chief Executive Officer.</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538.05pt;mso-wrap-distance-left:0pt;mso-wrap-distance-right:0pt;mso-wrap-distance-top:0pt;mso-wrap-distance-bottom:0pt;margin-top:0pt;mso-position-vertical:top;mso-position-vertical-relative:text;margin-left:265.35pt;mso-position-horizontal:right;mso-position-horizontal-relative:text">
                <v:textbox>
                  <w:txbxContent>
                    <w:tbl>
                      <w:tblPr>
                        <w:tblW w:w="5660" w:type="dxa"/>
                        <w:jc w:val="left"/>
                        <w:tblInd w:w="0" w:type="dxa"/>
                        <w:tblLayout w:type="fixed"/>
                        <w:tblCellMar>
                          <w:top w:w="0" w:type="dxa"/>
                          <w:left w:w="0" w:type="dxa"/>
                          <w:bottom w:w="60" w:type="dxa"/>
                          <w:right w:w="0" w:type="dxa"/>
                        </w:tblCellMar>
                      </w:tblPr>
                      <w:tblGrid>
                        <w:gridCol w:w="2130"/>
                        <w:gridCol w:w="60"/>
                        <w:gridCol w:w="3470"/>
                      </w:tblGrid>
                      <w:tr>
                        <w:trPr/>
                        <w:tc>
                          <w:tcPr>
                            <w:tcW w:w="5660" w:type="dxa"/>
                            <w:gridSpan w:val="3"/>
                            <w:tcBorders>
                              <w:bottom w:val="single" w:sz="2" w:space="0" w:color="C12E33"/>
                            </w:tcBorders>
                            <w:vAlign w:val="center"/>
                          </w:tcPr>
                          <w:p>
                            <w:pPr>
                              <w:pStyle w:val="TableContents"/>
                              <w:bidi w:val="0"/>
                              <w:spacing w:before="0" w:after="283"/>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2025 NAMED EXECUTIVE OFFICERS (“NEOs”)</w:t>
                            </w:r>
                          </w:p>
                        </w:tc>
                      </w:tr>
                      <w:tr>
                        <w:trPr/>
                        <w:tc>
                          <w:tcPr>
                            <w:tcW w:w="2130" w:type="dxa"/>
                            <w:tcBorders>
                              <w:bottom w:val="single" w:sz="2" w:space="0" w:color="000000"/>
                            </w:tcBorders>
                            <w:tcMar>
                              <w:bottom w:w="28" w:type="dxa"/>
                            </w:tcMar>
                            <w:vAlign w:val="center"/>
                          </w:tcPr>
                          <w:p>
                            <w:pPr>
                              <w:pStyle w:val="TableContents"/>
                              <w:bidi w:val="0"/>
                              <w:spacing w:before="0" w:after="283"/>
                              <w:jc w:val="left"/>
                              <w:rPr/>
                            </w:pPr>
                            <w:r>
                              <w:rPr/>
                              <w:drawing>
                                <wp:inline distT="0" distB="0" distL="0" distR="0">
                                  <wp:extent cx="1133475" cy="904875"/>
                                  <wp:effectExtent l="0" t="0" r="0" b="0"/>
                                  <wp:docPr id="286" name="Image1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 name="Image190" descr=""/>
                                          <pic:cNvPicPr>
                                            <a:picLocks noChangeAspect="1" noChangeArrowheads="1"/>
                                          </pic:cNvPicPr>
                                        </pic:nvPicPr>
                                        <pic:blipFill>
                                          <a:blip r:embed="rId240"/>
                                          <a:stretch>
                                            <a:fillRect/>
                                          </a:stretch>
                                        </pic:blipFill>
                                        <pic:spPr bwMode="auto">
                                          <a:xfrm>
                                            <a:off x="0" y="0"/>
                                            <a:ext cx="1133475" cy="904875"/>
                                          </a:xfrm>
                                          <a:prstGeom prst="rect">
                                            <a:avLst/>
                                          </a:prstGeom>
                                        </pic:spPr>
                                      </pic:pic>
                                    </a:graphicData>
                                  </a:graphic>
                                </wp:inline>
                              </w:drawing>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3470"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 xml:space="preserve">Christopher T. Calio </w:t>
                            </w:r>
                            <w:r>
                              <w:rPr>
                                <w:rFonts w:ascii="Arial;Helvetica;Sans-Serif" w:hAnsi="Arial;Helvetica;Sans-Serif"/>
                                <w:b w:val="false"/>
                                <w:i w:val="false"/>
                                <w:caps w:val="false"/>
                                <w:smallCaps w:val="false"/>
                                <w:color w:val="636466"/>
                                <w:sz w:val="20"/>
                              </w:rPr>
                              <w:t> </w:t>
                            </w:r>
                          </w:p>
                          <w:p>
                            <w:pPr>
                              <w:pStyle w:val="TableContents"/>
                              <w:bidi w:val="0"/>
                              <w:spacing w:before="0" w:after="0"/>
                              <w:ind w:left="0" w:right="0" w:hanging="0"/>
                              <w:jc w:val="left"/>
                              <w:rPr>
                                <w:rFonts w:ascii="Arial;Helvetica;Sans-Serif" w:hAnsi="Arial;Helvetica;Sans-Serif"/>
                                <w:b w:val="false"/>
                                <w:i/>
                                <w:caps w:val="false"/>
                                <w:smallCaps w:val="false"/>
                                <w:sz w:val="15"/>
                              </w:rPr>
                            </w:pPr>
                            <w:r>
                              <w:rPr>
                                <w:rFonts w:ascii="Arial;Helvetica;Sans-Serif" w:hAnsi="Arial;Helvetica;Sans-Serif"/>
                                <w:b w:val="false"/>
                                <w:i/>
                                <w:caps w:val="false"/>
                                <w:smallCaps w:val="false"/>
                                <w:sz w:val="15"/>
                              </w:rPr>
                              <w:t>Chairman, President &amp; Chief Executive Officer</w:t>
                            </w:r>
                            <w:r>
                              <w:rPr>
                                <w:rFonts w:ascii="Arial;Helvetica;Sans-Serif" w:hAnsi="Arial;Helvetica;Sans-Serif"/>
                                <w:b w:val="false"/>
                                <w:i/>
                                <w:caps w:val="false"/>
                                <w:smallCaps w:val="false"/>
                                <w:position w:val="5"/>
                                <w:sz w:val="12"/>
                                <w:sz w:val="15"/>
                              </w:rPr>
                              <w:t>(1)</w:t>
                            </w:r>
                          </w:p>
                          <w:p>
                            <w:pPr>
                              <w:pStyle w:val="TableContents"/>
                              <w:bidi w:val="0"/>
                              <w:spacing w:before="0" w:after="0"/>
                              <w:ind w:left="0" w:right="0" w:hanging="0"/>
                              <w:jc w:val="left"/>
                              <w:rPr>
                                <w:caps w:val="false"/>
                                <w:smallCaps w:val="false"/>
                              </w:rPr>
                            </w:pPr>
                            <w:r>
                              <w:rPr>
                                <w:caps w:val="false"/>
                                <w:smallCaps w:val="false"/>
                              </w:rPr>
                              <w:t> </w:t>
                            </w:r>
                          </w:p>
                        </w:tc>
                      </w:tr>
                      <w:tr>
                        <w:trPr/>
                        <w:tc>
                          <w:tcPr>
                            <w:tcW w:w="2130" w:type="dxa"/>
                            <w:tcBorders>
                              <w:bottom w:val="single" w:sz="2" w:space="0" w:color="000000"/>
                            </w:tcBorders>
                            <w:tcMar>
                              <w:bottom w:w="28" w:type="dxa"/>
                            </w:tcMar>
                            <w:vAlign w:val="center"/>
                          </w:tcPr>
                          <w:p>
                            <w:pPr>
                              <w:pStyle w:val="TableContents"/>
                              <w:bidi w:val="0"/>
                              <w:spacing w:before="0" w:after="283"/>
                              <w:jc w:val="left"/>
                              <w:rPr/>
                            </w:pPr>
                            <w:r>
                              <w:rPr/>
                              <w:drawing>
                                <wp:inline distT="0" distB="0" distL="0" distR="0">
                                  <wp:extent cx="1000125" cy="914400"/>
                                  <wp:effectExtent l="0" t="0" r="0" b="0"/>
                                  <wp:docPr id="287" name="Image1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7" name="Image191" descr=""/>
                                          <pic:cNvPicPr>
                                            <a:picLocks noChangeAspect="1" noChangeArrowheads="1"/>
                                          </pic:cNvPicPr>
                                        </pic:nvPicPr>
                                        <pic:blipFill>
                                          <a:blip r:embed="rId241"/>
                                          <a:stretch>
                                            <a:fillRect/>
                                          </a:stretch>
                                        </pic:blipFill>
                                        <pic:spPr bwMode="auto">
                                          <a:xfrm>
                                            <a:off x="0" y="0"/>
                                            <a:ext cx="1000125" cy="914400"/>
                                          </a:xfrm>
                                          <a:prstGeom prst="rect">
                                            <a:avLst/>
                                          </a:prstGeom>
                                        </pic:spPr>
                                      </pic:pic>
                                    </a:graphicData>
                                  </a:graphic>
                                </wp:inline>
                              </w:drawing>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3470"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Neil G. Mitchill, Jr.</w:t>
                            </w:r>
                          </w:p>
                          <w:p>
                            <w:pPr>
                              <w:pStyle w:val="TableContents"/>
                              <w:bidi w:val="0"/>
                              <w:spacing w:before="0" w:after="0"/>
                              <w:ind w:left="0" w:right="0" w:hanging="0"/>
                              <w:jc w:val="left"/>
                              <w:rPr>
                                <w:rFonts w:ascii="Arial;Helvetica;Sans-Serif" w:hAnsi="Arial;Helvetica;Sans-Serif"/>
                                <w:b w:val="false"/>
                                <w:i/>
                                <w:caps w:val="false"/>
                                <w:smallCaps w:val="false"/>
                                <w:sz w:val="15"/>
                              </w:rPr>
                            </w:pPr>
                            <w:r>
                              <w:rPr>
                                <w:rFonts w:ascii="Arial;Helvetica;Sans-Serif" w:hAnsi="Arial;Helvetica;Sans-Serif"/>
                                <w:b w:val="false"/>
                                <w:i/>
                                <w:caps w:val="false"/>
                                <w:smallCaps w:val="false"/>
                                <w:sz w:val="15"/>
                              </w:rPr>
                              <w:t>Executive Vice President &amp; Chief Financial Officer</w:t>
                            </w:r>
                          </w:p>
                          <w:p>
                            <w:pPr>
                              <w:pStyle w:val="TableContents"/>
                              <w:bidi w:val="0"/>
                              <w:spacing w:before="0" w:after="0"/>
                              <w:ind w:left="0" w:right="0" w:hanging="0"/>
                              <w:jc w:val="left"/>
                              <w:rPr>
                                <w:caps w:val="false"/>
                                <w:smallCaps w:val="false"/>
                              </w:rPr>
                            </w:pPr>
                            <w:r>
                              <w:rPr>
                                <w:caps w:val="false"/>
                                <w:smallCaps w:val="false"/>
                              </w:rPr>
                              <w:t> </w:t>
                            </w:r>
                          </w:p>
                        </w:tc>
                      </w:tr>
                      <w:tr>
                        <w:trPr/>
                        <w:tc>
                          <w:tcPr>
                            <w:tcW w:w="2130" w:type="dxa"/>
                            <w:tcBorders>
                              <w:bottom w:val="single" w:sz="2" w:space="0" w:color="000000"/>
                            </w:tcBorders>
                            <w:tcMar>
                              <w:bottom w:w="28" w:type="dxa"/>
                            </w:tcMar>
                            <w:vAlign w:val="center"/>
                          </w:tcPr>
                          <w:p>
                            <w:pPr>
                              <w:pStyle w:val="TableContents"/>
                              <w:bidi w:val="0"/>
                              <w:spacing w:before="0" w:after="283"/>
                              <w:jc w:val="left"/>
                              <w:rPr/>
                            </w:pPr>
                            <w:r>
                              <w:rPr/>
                              <w:drawing>
                                <wp:inline distT="0" distB="0" distL="0" distR="0">
                                  <wp:extent cx="1104900" cy="895350"/>
                                  <wp:effectExtent l="0" t="0" r="0" b="0"/>
                                  <wp:docPr id="288" name="Image1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8" name="Image192" descr=""/>
                                          <pic:cNvPicPr>
                                            <a:picLocks noChangeAspect="1" noChangeArrowheads="1"/>
                                          </pic:cNvPicPr>
                                        </pic:nvPicPr>
                                        <pic:blipFill>
                                          <a:blip r:embed="rId242"/>
                                          <a:stretch>
                                            <a:fillRect/>
                                          </a:stretch>
                                        </pic:blipFill>
                                        <pic:spPr bwMode="auto">
                                          <a:xfrm>
                                            <a:off x="0" y="0"/>
                                            <a:ext cx="1104900" cy="895350"/>
                                          </a:xfrm>
                                          <a:prstGeom prst="rect">
                                            <a:avLst/>
                                          </a:prstGeom>
                                        </pic:spPr>
                                      </pic:pic>
                                    </a:graphicData>
                                  </a:graphic>
                                </wp:inline>
                              </w:drawing>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3470"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Philip J. Jasper</w:t>
                            </w:r>
                          </w:p>
                          <w:p>
                            <w:pPr>
                              <w:pStyle w:val="TableContents"/>
                              <w:bidi w:val="0"/>
                              <w:spacing w:before="0" w:after="0"/>
                              <w:ind w:left="0" w:right="0" w:hanging="0"/>
                              <w:jc w:val="left"/>
                              <w:rPr>
                                <w:rFonts w:ascii="Arial;Helvetica;Sans-Serif" w:hAnsi="Arial;Helvetica;Sans-Serif"/>
                                <w:b w:val="false"/>
                                <w:i/>
                                <w:caps w:val="false"/>
                                <w:smallCaps w:val="false"/>
                                <w:sz w:val="15"/>
                              </w:rPr>
                            </w:pPr>
                            <w:r>
                              <w:rPr>
                                <w:rFonts w:ascii="Arial;Helvetica;Sans-Serif" w:hAnsi="Arial;Helvetica;Sans-Serif"/>
                                <w:b w:val="false"/>
                                <w:i/>
                                <w:caps w:val="false"/>
                                <w:smallCaps w:val="false"/>
                                <w:sz w:val="15"/>
                              </w:rPr>
                              <w:t>President, Raytheon</w:t>
                            </w:r>
                          </w:p>
                          <w:p>
                            <w:pPr>
                              <w:pStyle w:val="TableContents"/>
                              <w:bidi w:val="0"/>
                              <w:spacing w:before="0" w:after="0"/>
                              <w:ind w:left="0" w:right="0" w:hanging="0"/>
                              <w:jc w:val="left"/>
                              <w:rPr>
                                <w:caps w:val="false"/>
                                <w:smallCaps w:val="false"/>
                              </w:rPr>
                            </w:pPr>
                            <w:r>
                              <w:rPr>
                                <w:caps w:val="false"/>
                                <w:smallCaps w:val="false"/>
                              </w:rPr>
                              <w:t> </w:t>
                            </w:r>
                          </w:p>
                        </w:tc>
                      </w:tr>
                      <w:tr>
                        <w:trPr/>
                        <w:tc>
                          <w:tcPr>
                            <w:tcW w:w="2130" w:type="dxa"/>
                            <w:tcBorders>
                              <w:bottom w:val="single" w:sz="2" w:space="0" w:color="000000"/>
                            </w:tcBorders>
                            <w:tcMar>
                              <w:bottom w:w="28" w:type="dxa"/>
                            </w:tcMar>
                            <w:vAlign w:val="center"/>
                          </w:tcPr>
                          <w:p>
                            <w:pPr>
                              <w:pStyle w:val="TableContents"/>
                              <w:bidi w:val="0"/>
                              <w:spacing w:before="0" w:after="283"/>
                              <w:jc w:val="left"/>
                              <w:rPr/>
                            </w:pPr>
                            <w:r>
                              <w:rPr/>
                              <w:drawing>
                                <wp:inline distT="0" distB="0" distL="0" distR="0">
                                  <wp:extent cx="933450" cy="914400"/>
                                  <wp:effectExtent l="0" t="0" r="0" b="0"/>
                                  <wp:docPr id="289" name="Image1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9" name="Image193" descr=""/>
                                          <pic:cNvPicPr>
                                            <a:picLocks noChangeAspect="1" noChangeArrowheads="1"/>
                                          </pic:cNvPicPr>
                                        </pic:nvPicPr>
                                        <pic:blipFill>
                                          <a:blip r:embed="rId243"/>
                                          <a:stretch>
                                            <a:fillRect/>
                                          </a:stretch>
                                        </pic:blipFill>
                                        <pic:spPr bwMode="auto">
                                          <a:xfrm>
                                            <a:off x="0" y="0"/>
                                            <a:ext cx="933450" cy="914400"/>
                                          </a:xfrm>
                                          <a:prstGeom prst="rect">
                                            <a:avLst/>
                                          </a:prstGeom>
                                        </pic:spPr>
                                      </pic:pic>
                                    </a:graphicData>
                                  </a:graphic>
                                </wp:inline>
                              </w:drawing>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3470"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Shane G. Eddy</w:t>
                            </w:r>
                          </w:p>
                          <w:p>
                            <w:pPr>
                              <w:pStyle w:val="TableContents"/>
                              <w:bidi w:val="0"/>
                              <w:spacing w:before="0" w:after="0"/>
                              <w:ind w:left="0" w:right="0" w:hanging="0"/>
                              <w:jc w:val="left"/>
                              <w:rPr>
                                <w:rFonts w:ascii="Arial;Helvetica;Sans-Serif" w:hAnsi="Arial;Helvetica;Sans-Serif"/>
                                <w:b w:val="false"/>
                                <w:i/>
                                <w:caps w:val="false"/>
                                <w:smallCaps w:val="false"/>
                                <w:sz w:val="15"/>
                              </w:rPr>
                            </w:pPr>
                            <w:r>
                              <w:rPr>
                                <w:rFonts w:ascii="Arial;Helvetica;Sans-Serif" w:hAnsi="Arial;Helvetica;Sans-Serif"/>
                                <w:b w:val="false"/>
                                <w:i/>
                                <w:caps w:val="false"/>
                                <w:smallCaps w:val="false"/>
                                <w:sz w:val="15"/>
                              </w:rPr>
                              <w:t>President, Pratt &amp; Whitney</w:t>
                            </w:r>
                          </w:p>
                          <w:p>
                            <w:pPr>
                              <w:pStyle w:val="TableContents"/>
                              <w:bidi w:val="0"/>
                              <w:spacing w:before="0" w:after="0"/>
                              <w:ind w:left="0" w:right="0" w:hanging="0"/>
                              <w:jc w:val="left"/>
                              <w:rPr>
                                <w:caps w:val="false"/>
                                <w:smallCaps w:val="false"/>
                              </w:rPr>
                            </w:pPr>
                            <w:r>
                              <w:rPr>
                                <w:caps w:val="false"/>
                                <w:smallCaps w:val="false"/>
                              </w:rPr>
                              <w:t> </w:t>
                            </w:r>
                          </w:p>
                        </w:tc>
                      </w:tr>
                      <w:tr>
                        <w:trPr/>
                        <w:tc>
                          <w:tcPr>
                            <w:tcW w:w="2130" w:type="dxa"/>
                            <w:tcBorders>
                              <w:bottom w:val="single" w:sz="2" w:space="0" w:color="000000"/>
                            </w:tcBorders>
                            <w:tcMar>
                              <w:bottom w:w="28" w:type="dxa"/>
                            </w:tcMar>
                            <w:vAlign w:val="center"/>
                          </w:tcPr>
                          <w:p>
                            <w:pPr>
                              <w:pStyle w:val="TableContents"/>
                              <w:bidi w:val="0"/>
                              <w:spacing w:before="0" w:after="283"/>
                              <w:jc w:val="left"/>
                              <w:rPr/>
                            </w:pPr>
                            <w:r>
                              <w:rPr/>
                              <w:drawing>
                                <wp:inline distT="0" distB="0" distL="0" distR="0">
                                  <wp:extent cx="1343025" cy="904875"/>
                                  <wp:effectExtent l="0" t="0" r="0" b="0"/>
                                  <wp:docPr id="290" name="Image1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0" name="Image194" descr=""/>
                                          <pic:cNvPicPr>
                                            <a:picLocks noChangeAspect="1" noChangeArrowheads="1"/>
                                          </pic:cNvPicPr>
                                        </pic:nvPicPr>
                                        <pic:blipFill>
                                          <a:blip r:embed="rId244"/>
                                          <a:stretch>
                                            <a:fillRect/>
                                          </a:stretch>
                                        </pic:blipFill>
                                        <pic:spPr bwMode="auto">
                                          <a:xfrm>
                                            <a:off x="0" y="0"/>
                                            <a:ext cx="1343025" cy="904875"/>
                                          </a:xfrm>
                                          <a:prstGeom prst="rect">
                                            <a:avLst/>
                                          </a:prstGeom>
                                        </pic:spPr>
                                      </pic:pic>
                                    </a:graphicData>
                                  </a:graphic>
                                </wp:inline>
                              </w:drawing>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3470"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Troy D. Brunk</w:t>
                            </w:r>
                          </w:p>
                          <w:p>
                            <w:pPr>
                              <w:pStyle w:val="TableContents"/>
                              <w:bidi w:val="0"/>
                              <w:spacing w:before="0" w:after="0"/>
                              <w:ind w:left="0" w:right="0" w:hanging="0"/>
                              <w:jc w:val="left"/>
                              <w:rPr>
                                <w:rFonts w:ascii="Arial;Helvetica;Sans-Serif" w:hAnsi="Arial;Helvetica;Sans-Serif"/>
                                <w:b w:val="false"/>
                                <w:i/>
                                <w:caps w:val="false"/>
                                <w:smallCaps w:val="false"/>
                                <w:sz w:val="15"/>
                              </w:rPr>
                            </w:pPr>
                            <w:r>
                              <w:rPr>
                                <w:rFonts w:ascii="Arial;Helvetica;Sans-Serif" w:hAnsi="Arial;Helvetica;Sans-Serif"/>
                                <w:b w:val="false"/>
                                <w:i/>
                                <w:caps w:val="false"/>
                                <w:smallCaps w:val="false"/>
                                <w:sz w:val="15"/>
                              </w:rPr>
                              <w:t>President, Collins Aerospace</w:t>
                            </w:r>
                          </w:p>
                          <w:p>
                            <w:pPr>
                              <w:pStyle w:val="TableContents"/>
                              <w:bidi w:val="0"/>
                              <w:spacing w:before="0" w:after="0"/>
                              <w:ind w:left="0" w:right="0" w:hanging="0"/>
                              <w:jc w:val="left"/>
                              <w:rPr>
                                <w:caps w:val="false"/>
                                <w:smallCaps w:val="false"/>
                              </w:rPr>
                            </w:pPr>
                            <w:r>
                              <w:rPr>
                                <w:caps w:val="false"/>
                                <w:smallCaps w:val="false"/>
                              </w:rPr>
                              <w:t> </w:t>
                            </w:r>
                          </w:p>
                        </w:tc>
                      </w:tr>
                    </w:tbl>
                    <w:tbl>
                      <w:tblPr>
                        <w:tblW w:w="10205" w:type="dxa"/>
                        <w:jc w:val="left"/>
                        <w:tblInd w:w="0" w:type="dxa"/>
                        <w:tblLayout w:type="fixed"/>
                        <w:tblCellMar>
                          <w:top w:w="0" w:type="dxa"/>
                          <w:left w:w="0" w:type="dxa"/>
                          <w:bottom w:w="0" w:type="dxa"/>
                          <w:right w:w="0" w:type="dxa"/>
                        </w:tblCellMar>
                      </w:tblPr>
                      <w:tblGrid>
                        <w:gridCol w:w="202"/>
                        <w:gridCol w:w="10003"/>
                      </w:tblGrid>
                      <w:tr>
                        <w:trPr/>
                        <w:tc>
                          <w:tcPr>
                            <w:tcW w:w="202" w:type="dxa"/>
                            <w:tcBorders/>
                            <w:vAlign w:val="center"/>
                          </w:tcPr>
                          <w:p>
                            <w:pPr>
                              <w:pStyle w:val="TableContents"/>
                              <w:bidi w:val="0"/>
                              <w:spacing w:before="0" w:after="283"/>
                              <w:jc w:val="left"/>
                              <w:rPr/>
                            </w:pPr>
                            <w:r>
                              <w:rPr/>
                              <w:t> </w:t>
                            </w:r>
                          </w:p>
                        </w:tc>
                        <w:tc>
                          <w:tcPr>
                            <w:tcW w:w="10003" w:type="dxa"/>
                            <w:tcBorders/>
                            <w:vAlign w:val="center"/>
                          </w:tcPr>
                          <w:p>
                            <w:pPr>
                              <w:pStyle w:val="TableContents"/>
                              <w:bidi w:val="0"/>
                              <w:spacing w:before="0" w:after="283"/>
                              <w:jc w:val="left"/>
                              <w:rPr/>
                            </w:pPr>
                            <w:r>
                              <w:rPr/>
                              <w:t> </w:t>
                            </w:r>
                          </w:p>
                        </w:tc>
                      </w:tr>
                      <w:tr>
                        <w:trPr/>
                        <w:tc>
                          <w:tcPr>
                            <w:tcW w:w="202" w:type="dxa"/>
                            <w:tcBorders/>
                            <w:vAlign w:val="center"/>
                          </w:tcPr>
                          <w:p>
                            <w:pPr>
                              <w:pStyle w:val="TableContents"/>
                              <w:bidi w:val="0"/>
                              <w:spacing w:before="0" w:after="283"/>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(1)</w:t>
                            </w:r>
                          </w:p>
                        </w:tc>
                        <w:tc>
                          <w:tcPr>
                            <w:tcW w:w="10003" w:type="dxa"/>
                            <w:tcBorders/>
                            <w:vAlign w:val="center"/>
                          </w:tcPr>
                          <w:p>
                            <w:pPr>
                              <w:pStyle w:val="TableContents"/>
                              <w:bidi w:val="0"/>
                              <w:spacing w:before="0" w:after="283"/>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Mr. Calio served as President &amp; Chief Executive Officer until April 30, 2025, at which point he assumed the role of Chairman of the Board, becoming Chairman, President &amp; Chief Executive Officer.</w:t>
                            </w:r>
                          </w:p>
                        </w:tc>
                      </w:tr>
                    </w:tbl>
                    <w:p>
                      <w:pPr>
                        <w:pStyle w:val="TextBody"/>
                        <w:bidi w:val="0"/>
                        <w:spacing w:before="0" w:after="283"/>
                        <w:jc w:val="left"/>
                        <w:rPr/>
                      </w:pPr>
                      <w:r>
                        <w:rPr/>
                      </w:r>
                    </w:p>
                  </w:txbxContent>
                </v:textbox>
                <w10:wrap type="square" side="left"/>
              </v:rect>
            </w:pict>
          </mc:Fallback>
        </mc:AlternateContent>
      </w:r>
      <w:r>
        <mc:AlternateContent>
          <mc:Choice Requires="wps">
            <w:drawing>
              <wp:anchor behindDoc="0" distT="0" distB="0" distL="0" distR="0" simplePos="0" locked="0" layoutInCell="1" allowOverlap="1" relativeHeight="309">
                <wp:simplePos x="0" y="0"/>
                <wp:positionH relativeFrom="column">
                  <wp:align>left</wp:align>
                </wp:positionH>
                <wp:positionV relativeFrom="line">
                  <wp:posOffset>635</wp:posOffset>
                </wp:positionV>
                <wp:extent cx="3110230" cy="8582025"/>
                <wp:effectExtent l="0" t="0" r="0" b="0"/>
                <wp:wrapSquare wrapText="right"/>
                <wp:docPr id="291" name="Frame47"/>
                <a:graphic xmlns:a="http://schemas.openxmlformats.org/drawingml/2006/main">
                  <a:graphicData uri="http://schemas.microsoft.com/office/word/2010/wordprocessingShape">
                    <wps:wsp>
                      <wps:cNvSpPr txBox="1"/>
                      <wps:spPr>
                        <a:xfrm>
                          <a:off x="0" y="0"/>
                          <a:ext cx="3110230" cy="8582025"/>
                        </a:xfrm>
                        <a:prstGeom prst="rect"/>
                        <a:solidFill>
                          <a:srgbClr val="FFFFFF"/>
                        </a:solidFill>
                      </wps:spPr>
                      <wps:txbx>
                        <w:txbxContent>
                          <w:tbl>
                            <w:tblPr>
                              <w:tblW w:w="5455" w:type="dxa"/>
                              <w:jc w:val="left"/>
                              <w:tblInd w:w="0" w:type="dxa"/>
                              <w:tblLayout w:type="fixed"/>
                              <w:tblCellMar>
                                <w:top w:w="0" w:type="dxa"/>
                                <w:left w:w="0" w:type="dxa"/>
                                <w:bottom w:w="0" w:type="dxa"/>
                                <w:right w:w="0" w:type="dxa"/>
                              </w:tblCellMar>
                            </w:tblPr>
                            <w:tblGrid>
                              <w:gridCol w:w="5210"/>
                              <w:gridCol w:w="245"/>
                            </w:tblGrid>
                            <w:tr>
                              <w:trPr/>
                              <w:tc>
                                <w:tcPr>
                                  <w:tcW w:w="5210" w:type="dxa"/>
                                  <w:tcBorders/>
                                  <w:vAlign w:val="center"/>
                                </w:tcPr>
                                <w:p>
                                  <w:pPr>
                                    <w:pStyle w:val="TableContents"/>
                                    <w:bidi w:val="0"/>
                                    <w:spacing w:before="0" w:after="283"/>
                                    <w:jc w:val="left"/>
                                    <w:rPr/>
                                  </w:pPr>
                                  <w:hyperlink w:anchor="rtx014050_def14ab001">
                                    <w:r>
                                      <w:rPr>
                                        <w:rStyle w:val="InternetLink"/>
                                        <w:rFonts w:ascii="Arial;Helvetica;Sans-Serif" w:hAnsi="Arial;Helvetica;Sans-Serif"/>
                                        <w:b/>
                                        <w:i w:val="false"/>
                                        <w:caps w:val="false"/>
                                        <w:smallCaps w:val="false"/>
                                        <w:strike w:val="false"/>
                                        <w:dstrike w:val="false"/>
                                        <w:color w:val="000000"/>
                                        <w:sz w:val="20"/>
                                        <w:u w:val="none"/>
                                        <w:effect w:val="none"/>
                                      </w:rPr>
                                      <w:t>Executive Summary</w:t>
                                    </w:r>
                                  </w:hyperlink>
                                </w:p>
                              </w:tc>
                              <w:tc>
                                <w:tcPr>
                                  <w:tcW w:w="245" w:type="dxa"/>
                                  <w:tcBorders/>
                                  <w:vAlign w:val="center"/>
                                </w:tcPr>
                                <w:p>
                                  <w:pPr>
                                    <w:pStyle w:val="TableContents"/>
                                    <w:bidi w:val="0"/>
                                    <w:spacing w:before="0" w:after="283"/>
                                    <w:jc w:val="right"/>
                                    <w:rPr/>
                                  </w:pPr>
                                  <w:hyperlink w:anchor="rtx014050_def14ab001">
                                    <w:r>
                                      <w:rPr>
                                        <w:rStyle w:val="InternetLink"/>
                                        <w:rFonts w:ascii="Arial;Helvetica;Sans-Serif" w:hAnsi="Arial;Helvetica;Sans-Serif"/>
                                        <w:b w:val="false"/>
                                        <w:i w:val="false"/>
                                        <w:caps w:val="false"/>
                                        <w:smallCaps w:val="false"/>
                                        <w:strike w:val="false"/>
                                        <w:dstrike w:val="false"/>
                                        <w:color w:val="000000"/>
                                        <w:sz w:val="20"/>
                                        <w:u w:val="none"/>
                                        <w:effect w:val="none"/>
                                      </w:rPr>
                                      <w:t>40</w:t>
                                    </w:r>
                                  </w:hyperlink>
                                </w:p>
                              </w:tc>
                            </w:tr>
                            <w:tr>
                              <w:trPr/>
                              <w:tc>
                                <w:tcPr>
                                  <w:tcW w:w="5210" w:type="dxa"/>
                                  <w:tcBorders/>
                                  <w:vAlign w:val="center"/>
                                </w:tcPr>
                                <w:p>
                                  <w:pPr>
                                    <w:pStyle w:val="TableContents"/>
                                    <w:bidi w:val="0"/>
                                    <w:spacing w:before="0" w:after="283"/>
                                    <w:jc w:val="left"/>
                                    <w:rPr/>
                                  </w:pPr>
                                  <w:hyperlink w:anchor="rtx014050_def14ab002">
                                    <w:r>
                                      <w:rPr>
                                        <w:rStyle w:val="InternetLink"/>
                                        <w:rFonts w:ascii="Arial;Helvetica;Sans-Serif" w:hAnsi="Arial;Helvetica;Sans-Serif"/>
                                        <w:b w:val="false"/>
                                        <w:i w:val="false"/>
                                        <w:caps w:val="false"/>
                                        <w:smallCaps w:val="false"/>
                                        <w:strike w:val="false"/>
                                        <w:dstrike w:val="false"/>
                                        <w:color w:val="000000"/>
                                        <w:sz w:val="20"/>
                                        <w:u w:val="none"/>
                                        <w:effect w:val="none"/>
                                      </w:rPr>
                                      <w:t>Shareowner Engagement on Compensation</w:t>
                                    </w:r>
                                  </w:hyperlink>
                                </w:p>
                              </w:tc>
                              <w:tc>
                                <w:tcPr>
                                  <w:tcW w:w="245" w:type="dxa"/>
                                  <w:tcBorders/>
                                  <w:vAlign w:val="center"/>
                                </w:tcPr>
                                <w:p>
                                  <w:pPr>
                                    <w:pStyle w:val="TableContents"/>
                                    <w:bidi w:val="0"/>
                                    <w:spacing w:before="0" w:after="283"/>
                                    <w:jc w:val="right"/>
                                    <w:rPr/>
                                  </w:pPr>
                                  <w:hyperlink w:anchor="rtx014050_def14ab002">
                                    <w:r>
                                      <w:rPr>
                                        <w:rStyle w:val="InternetLink"/>
                                        <w:rFonts w:ascii="Arial;Helvetica;Sans-Serif" w:hAnsi="Arial;Helvetica;Sans-Serif"/>
                                        <w:b w:val="false"/>
                                        <w:i w:val="false"/>
                                        <w:caps w:val="false"/>
                                        <w:smallCaps w:val="false"/>
                                        <w:strike w:val="false"/>
                                        <w:dstrike w:val="false"/>
                                        <w:color w:val="000000"/>
                                        <w:sz w:val="20"/>
                                        <w:u w:val="none"/>
                                        <w:effect w:val="none"/>
                                      </w:rPr>
                                      <w:t>40</w:t>
                                    </w:r>
                                  </w:hyperlink>
                                </w:p>
                              </w:tc>
                            </w:tr>
                            <w:tr>
                              <w:trPr/>
                              <w:tc>
                                <w:tcPr>
                                  <w:tcW w:w="5210" w:type="dxa"/>
                                  <w:tcBorders/>
                                  <w:vAlign w:val="center"/>
                                </w:tcPr>
                                <w:p>
                                  <w:pPr>
                                    <w:pStyle w:val="TableContents"/>
                                    <w:bidi w:val="0"/>
                                    <w:spacing w:before="0" w:after="283"/>
                                    <w:jc w:val="left"/>
                                    <w:rPr/>
                                  </w:pPr>
                                  <w:hyperlink w:anchor="rtx014050_def14ab003">
                                    <w:r>
                                      <w:rPr>
                                        <w:rStyle w:val="InternetLink"/>
                                        <w:rFonts w:ascii="Arial;Helvetica;Sans-Serif" w:hAnsi="Arial;Helvetica;Sans-Serif"/>
                                        <w:b w:val="false"/>
                                        <w:i w:val="false"/>
                                        <w:caps w:val="false"/>
                                        <w:smallCaps w:val="false"/>
                                        <w:strike w:val="false"/>
                                        <w:dstrike w:val="false"/>
                                        <w:color w:val="000000"/>
                                        <w:sz w:val="20"/>
                                        <w:u w:val="none"/>
                                        <w:effect w:val="none"/>
                                      </w:rPr>
                                      <w:t>2025 Performance Overview</w:t>
                                    </w:r>
                                  </w:hyperlink>
                                </w:p>
                              </w:tc>
                              <w:tc>
                                <w:tcPr>
                                  <w:tcW w:w="245" w:type="dxa"/>
                                  <w:tcBorders/>
                                  <w:vAlign w:val="center"/>
                                </w:tcPr>
                                <w:p>
                                  <w:pPr>
                                    <w:pStyle w:val="TableContents"/>
                                    <w:bidi w:val="0"/>
                                    <w:spacing w:before="0" w:after="283"/>
                                    <w:jc w:val="right"/>
                                    <w:rPr/>
                                  </w:pPr>
                                  <w:hyperlink w:anchor="rtx014050_def14ab003">
                                    <w:r>
                                      <w:rPr>
                                        <w:rStyle w:val="InternetLink"/>
                                        <w:rFonts w:ascii="Arial;Helvetica;Sans-Serif" w:hAnsi="Arial;Helvetica;Sans-Serif"/>
                                        <w:b w:val="false"/>
                                        <w:i w:val="false"/>
                                        <w:caps w:val="false"/>
                                        <w:smallCaps w:val="false"/>
                                        <w:strike w:val="false"/>
                                        <w:dstrike w:val="false"/>
                                        <w:color w:val="000000"/>
                                        <w:sz w:val="20"/>
                                        <w:u w:val="none"/>
                                        <w:effect w:val="none"/>
                                      </w:rPr>
                                      <w:t>40</w:t>
                                    </w:r>
                                  </w:hyperlink>
                                </w:p>
                              </w:tc>
                            </w:tr>
                            <w:tr>
                              <w:trPr/>
                              <w:tc>
                                <w:tcPr>
                                  <w:tcW w:w="5210" w:type="dxa"/>
                                  <w:tcBorders/>
                                  <w:vAlign w:val="center"/>
                                </w:tcPr>
                                <w:p>
                                  <w:pPr>
                                    <w:pStyle w:val="TableContents"/>
                                    <w:bidi w:val="0"/>
                                    <w:spacing w:before="0" w:after="283"/>
                                    <w:jc w:val="left"/>
                                    <w:rPr/>
                                  </w:pPr>
                                  <w:hyperlink w:anchor="rtx014050_def14ab004">
                                    <w:r>
                                      <w:rPr>
                                        <w:rStyle w:val="InternetLink"/>
                                        <w:rFonts w:ascii="Arial;Helvetica;Sans-Serif" w:hAnsi="Arial;Helvetica;Sans-Serif"/>
                                        <w:b w:val="false"/>
                                        <w:i w:val="false"/>
                                        <w:caps w:val="false"/>
                                        <w:smallCaps w:val="false"/>
                                        <w:strike w:val="false"/>
                                        <w:dstrike w:val="false"/>
                                        <w:color w:val="000000"/>
                                        <w:sz w:val="20"/>
                                        <w:u w:val="none"/>
                                        <w:effect w:val="none"/>
                                      </w:rPr>
                                      <w:t>How We Align Pay and Performance</w:t>
                                    </w:r>
                                  </w:hyperlink>
                                </w:p>
                              </w:tc>
                              <w:tc>
                                <w:tcPr>
                                  <w:tcW w:w="245" w:type="dxa"/>
                                  <w:tcBorders/>
                                  <w:vAlign w:val="center"/>
                                </w:tcPr>
                                <w:p>
                                  <w:pPr>
                                    <w:pStyle w:val="TableContents"/>
                                    <w:bidi w:val="0"/>
                                    <w:spacing w:before="0" w:after="283"/>
                                    <w:jc w:val="right"/>
                                    <w:rPr/>
                                  </w:pPr>
                                  <w:hyperlink w:anchor="rtx014050_def14ab004">
                                    <w:r>
                                      <w:rPr>
                                        <w:rStyle w:val="InternetLink"/>
                                        <w:rFonts w:ascii="Arial;Helvetica;Sans-Serif" w:hAnsi="Arial;Helvetica;Sans-Serif"/>
                                        <w:b w:val="false"/>
                                        <w:i w:val="false"/>
                                        <w:caps w:val="false"/>
                                        <w:smallCaps w:val="false"/>
                                        <w:strike w:val="false"/>
                                        <w:dstrike w:val="false"/>
                                        <w:color w:val="000000"/>
                                        <w:sz w:val="20"/>
                                        <w:u w:val="none"/>
                                        <w:effect w:val="none"/>
                                      </w:rPr>
                                      <w:t>42</w:t>
                                    </w:r>
                                  </w:hyperlink>
                                </w:p>
                              </w:tc>
                            </w:tr>
                            <w:tr>
                              <w:trPr/>
                              <w:tc>
                                <w:tcPr>
                                  <w:tcW w:w="5210" w:type="dxa"/>
                                  <w:tcBorders/>
                                  <w:vAlign w:val="center"/>
                                </w:tcPr>
                                <w:p>
                                  <w:pPr>
                                    <w:pStyle w:val="TableContents"/>
                                    <w:bidi w:val="0"/>
                                    <w:spacing w:before="0" w:after="283"/>
                                    <w:jc w:val="left"/>
                                    <w:rPr/>
                                  </w:pPr>
                                  <w:hyperlink w:anchor="rtx014050_def14ab005">
                                    <w:r>
                                      <w:rPr>
                                        <w:rStyle w:val="InternetLink"/>
                                        <w:rFonts w:ascii="Arial;Helvetica;Sans-Serif" w:hAnsi="Arial;Helvetica;Sans-Serif"/>
                                        <w:b/>
                                        <w:i w:val="false"/>
                                        <w:caps w:val="false"/>
                                        <w:smallCaps w:val="false"/>
                                        <w:strike w:val="false"/>
                                        <w:dstrike w:val="false"/>
                                        <w:color w:val="000000"/>
                                        <w:sz w:val="20"/>
                                        <w:u w:val="none"/>
                                        <w:effect w:val="none"/>
                                      </w:rPr>
                                      <w:t>How We Make Pay Decisions and Assess</w:t>
                                    </w:r>
                                  </w:hyperlink>
                                  <w:hyperlink w:anchor="rtx014050_def14ab005">
                                    <w:r>
                                      <w:rPr>
                                        <w:rStyle w:val="InternetLink"/>
                                        <w:caps w:val="false"/>
                                        <w:smallCaps w:val="false"/>
                                        <w:strike w:val="false"/>
                                        <w:dstrike w:val="false"/>
                                        <w:color w:val="000000"/>
                                        <w:sz w:val="24"/>
                                        <w:u w:val="none"/>
                                        <w:effect w:val="none"/>
                                      </w:rPr>
                                      <w:t xml:space="preserve"> </w:t>
                                    </w:r>
                                  </w:hyperlink>
                                  <w:hyperlink w:anchor="rtx014050_def14ab005">
                                    <w:r>
                                      <w:rPr>
                                        <w:rStyle w:val="InternetLink"/>
                                        <w:rFonts w:ascii="Arial;Helvetica;Sans-Serif" w:hAnsi="Arial;Helvetica;Sans-Serif"/>
                                        <w:b/>
                                        <w:i w:val="false"/>
                                        <w:caps w:val="false"/>
                                        <w:smallCaps w:val="false"/>
                                        <w:strike w:val="false"/>
                                        <w:dstrike w:val="false"/>
                                        <w:color w:val="000000"/>
                                        <w:sz w:val="20"/>
                                        <w:u w:val="none"/>
                                        <w:effect w:val="none"/>
                                      </w:rPr>
                                      <w:t>Our</w:t>
                                    </w:r>
                                  </w:hyperlink>
                                  <w:hyperlink w:anchor="rtx014050_def14ab005">
                                    <w:r>
                                      <w:rPr>
                                        <w:rStyle w:val="InternetLink"/>
                                        <w:rFonts w:ascii="Arial;Helvetica;Sans-Serif" w:hAnsi="Arial;Helvetica;Sans-Serif"/>
                                        <w:b w:val="false"/>
                                        <w:i w:val="false"/>
                                        <w:caps w:val="false"/>
                                        <w:smallCaps w:val="false"/>
                                        <w:strike w:val="false"/>
                                        <w:dstrike w:val="false"/>
                                        <w:color w:val="000000"/>
                                        <w:sz w:val="20"/>
                                        <w:u w:val="none"/>
                                        <w:effect w:val="none"/>
                                      </w:rPr>
                                      <w:t> </w:t>
                                    </w:r>
                                  </w:hyperlink>
                                  <w:hyperlink w:anchor="rtx014050_def14ab005">
                                    <w:r>
                                      <w:rPr>
                                        <w:rStyle w:val="InternetLink"/>
                                        <w:rFonts w:ascii="Arial;Helvetica;Sans-Serif" w:hAnsi="Arial;Helvetica;Sans-Serif"/>
                                        <w:b/>
                                        <w:i w:val="false"/>
                                        <w:caps w:val="false"/>
                                        <w:smallCaps w:val="false"/>
                                        <w:strike w:val="false"/>
                                        <w:dstrike w:val="false"/>
                                        <w:color w:val="000000"/>
                                        <w:sz w:val="20"/>
                                        <w:u w:val="none"/>
                                        <w:effect w:val="none"/>
                                      </w:rPr>
                                      <w:t>Programs</w:t>
                                    </w:r>
                                  </w:hyperlink>
                                </w:p>
                              </w:tc>
                              <w:tc>
                                <w:tcPr>
                                  <w:tcW w:w="245" w:type="dxa"/>
                                  <w:tcBorders/>
                                  <w:vAlign w:val="center"/>
                                </w:tcPr>
                                <w:p>
                                  <w:pPr>
                                    <w:pStyle w:val="TableContents"/>
                                    <w:bidi w:val="0"/>
                                    <w:spacing w:before="0" w:after="283"/>
                                    <w:jc w:val="right"/>
                                    <w:rPr/>
                                  </w:pPr>
                                  <w:hyperlink w:anchor="rtx014050_def14ab005">
                                    <w:r>
                                      <w:rPr>
                                        <w:rStyle w:val="InternetLink"/>
                                        <w:rFonts w:ascii="Arial;Helvetica;Sans-Serif" w:hAnsi="Arial;Helvetica;Sans-Serif"/>
                                        <w:b w:val="false"/>
                                        <w:i w:val="false"/>
                                        <w:caps w:val="false"/>
                                        <w:smallCaps w:val="false"/>
                                        <w:strike w:val="false"/>
                                        <w:dstrike w:val="false"/>
                                        <w:color w:val="000000"/>
                                        <w:sz w:val="20"/>
                                        <w:u w:val="none"/>
                                        <w:effect w:val="none"/>
                                      </w:rPr>
                                      <w:t>44</w:t>
                                    </w:r>
                                  </w:hyperlink>
                                </w:p>
                              </w:tc>
                            </w:tr>
                            <w:tr>
                              <w:trPr/>
                              <w:tc>
                                <w:tcPr>
                                  <w:tcW w:w="5210" w:type="dxa"/>
                                  <w:tcBorders/>
                                  <w:vAlign w:val="center"/>
                                </w:tcPr>
                                <w:p>
                                  <w:pPr>
                                    <w:pStyle w:val="TableContents"/>
                                    <w:bidi w:val="0"/>
                                    <w:spacing w:before="0" w:after="283"/>
                                    <w:jc w:val="left"/>
                                    <w:rPr/>
                                  </w:pPr>
                                  <w:hyperlink w:anchor="rtx014050_def14ab006">
                                    <w:r>
                                      <w:rPr>
                                        <w:rStyle w:val="InternetLink"/>
                                        <w:rFonts w:ascii="Arial;Helvetica;Sans-Serif" w:hAnsi="Arial;Helvetica;Sans-Serif"/>
                                        <w:b w:val="false"/>
                                        <w:i w:val="false"/>
                                        <w:caps w:val="false"/>
                                        <w:smallCaps w:val="false"/>
                                        <w:strike w:val="false"/>
                                        <w:dstrike w:val="false"/>
                                        <w:color w:val="000000"/>
                                        <w:sz w:val="20"/>
                                        <w:u w:val="none"/>
                                        <w:effect w:val="none"/>
                                      </w:rPr>
                                      <w:t>Roles and Responsibilities</w:t>
                                    </w:r>
                                  </w:hyperlink>
                                </w:p>
                              </w:tc>
                              <w:tc>
                                <w:tcPr>
                                  <w:tcW w:w="245" w:type="dxa"/>
                                  <w:tcBorders/>
                                  <w:vAlign w:val="center"/>
                                </w:tcPr>
                                <w:p>
                                  <w:pPr>
                                    <w:pStyle w:val="TableContents"/>
                                    <w:bidi w:val="0"/>
                                    <w:spacing w:before="0" w:after="283"/>
                                    <w:jc w:val="right"/>
                                    <w:rPr/>
                                  </w:pPr>
                                  <w:hyperlink w:anchor="rtx014050_def14ab006">
                                    <w:r>
                                      <w:rPr>
                                        <w:rStyle w:val="InternetLink"/>
                                        <w:rFonts w:ascii="Arial;Helvetica;Sans-Serif" w:hAnsi="Arial;Helvetica;Sans-Serif"/>
                                        <w:b w:val="false"/>
                                        <w:i w:val="false"/>
                                        <w:caps w:val="false"/>
                                        <w:smallCaps w:val="false"/>
                                        <w:strike w:val="false"/>
                                        <w:dstrike w:val="false"/>
                                        <w:color w:val="000000"/>
                                        <w:sz w:val="20"/>
                                        <w:u w:val="none"/>
                                        <w:effect w:val="none"/>
                                      </w:rPr>
                                      <w:t>44</w:t>
                                    </w:r>
                                  </w:hyperlink>
                                </w:p>
                              </w:tc>
                            </w:tr>
                            <w:tr>
                              <w:trPr/>
                              <w:tc>
                                <w:tcPr>
                                  <w:tcW w:w="5210" w:type="dxa"/>
                                  <w:tcBorders/>
                                  <w:vAlign w:val="center"/>
                                </w:tcPr>
                                <w:p>
                                  <w:pPr>
                                    <w:pStyle w:val="TableContents"/>
                                    <w:bidi w:val="0"/>
                                    <w:spacing w:before="0" w:after="283"/>
                                    <w:jc w:val="left"/>
                                    <w:rPr/>
                                  </w:pPr>
                                  <w:hyperlink w:anchor="rtx014050_def14ab007">
                                    <w:r>
                                      <w:rPr>
                                        <w:rStyle w:val="InternetLink"/>
                                        <w:rFonts w:ascii="Arial;Helvetica;Sans-Serif" w:hAnsi="Arial;Helvetica;Sans-Serif"/>
                                        <w:b w:val="false"/>
                                        <w:i w:val="false"/>
                                        <w:caps w:val="false"/>
                                        <w:smallCaps w:val="false"/>
                                        <w:strike w:val="false"/>
                                        <w:dstrike w:val="false"/>
                                        <w:color w:val="000000"/>
                                        <w:sz w:val="20"/>
                                        <w:u w:val="none"/>
                                        <w:effect w:val="none"/>
                                      </w:rPr>
                                      <w:t>2025 Independent Consultant Engagement</w:t>
                                    </w:r>
                                  </w:hyperlink>
                                </w:p>
                              </w:tc>
                              <w:tc>
                                <w:tcPr>
                                  <w:tcW w:w="245" w:type="dxa"/>
                                  <w:tcBorders/>
                                  <w:vAlign w:val="center"/>
                                </w:tcPr>
                                <w:p>
                                  <w:pPr>
                                    <w:pStyle w:val="TableContents"/>
                                    <w:bidi w:val="0"/>
                                    <w:spacing w:before="0" w:after="283"/>
                                    <w:jc w:val="right"/>
                                    <w:rPr/>
                                  </w:pPr>
                                  <w:hyperlink w:anchor="rtx014050_def14ab007">
                                    <w:r>
                                      <w:rPr>
                                        <w:rStyle w:val="InternetLink"/>
                                        <w:rFonts w:ascii="Arial;Helvetica;Sans-Serif" w:hAnsi="Arial;Helvetica;Sans-Serif"/>
                                        <w:b w:val="false"/>
                                        <w:i w:val="false"/>
                                        <w:caps w:val="false"/>
                                        <w:smallCaps w:val="false"/>
                                        <w:strike w:val="false"/>
                                        <w:dstrike w:val="false"/>
                                        <w:color w:val="000000"/>
                                        <w:sz w:val="20"/>
                                        <w:u w:val="none"/>
                                        <w:effect w:val="none"/>
                                      </w:rPr>
                                      <w:t>45</w:t>
                                    </w:r>
                                  </w:hyperlink>
                                </w:p>
                              </w:tc>
                            </w:tr>
                            <w:tr>
                              <w:trPr/>
                              <w:tc>
                                <w:tcPr>
                                  <w:tcW w:w="5210" w:type="dxa"/>
                                  <w:tcBorders/>
                                  <w:vAlign w:val="center"/>
                                </w:tcPr>
                                <w:p>
                                  <w:pPr>
                                    <w:pStyle w:val="TableContents"/>
                                    <w:bidi w:val="0"/>
                                    <w:spacing w:before="0" w:after="283"/>
                                    <w:jc w:val="left"/>
                                    <w:rPr/>
                                  </w:pPr>
                                  <w:hyperlink w:anchor="rtx014050_def14ab008">
                                    <w:r>
                                      <w:rPr>
                                        <w:rStyle w:val="InternetLink"/>
                                        <w:rFonts w:ascii="Arial;Helvetica;Sans-Serif" w:hAnsi="Arial;Helvetica;Sans-Serif"/>
                                        <w:b w:val="false"/>
                                        <w:i w:val="false"/>
                                        <w:caps w:val="false"/>
                                        <w:smallCaps w:val="false"/>
                                        <w:strike w:val="false"/>
                                        <w:dstrike w:val="false"/>
                                        <w:color w:val="000000"/>
                                        <w:sz w:val="20"/>
                                        <w:u w:val="none"/>
                                        <w:effect w:val="none"/>
                                      </w:rPr>
                                      <w:t>Our Compensation Peer Group and Use of Market</w:t>
                                    </w:r>
                                  </w:hyperlink>
                                  <w:hyperlink w:anchor="rtx014050_def14ab008">
                                    <w:r>
                                      <w:rPr>
                                        <w:rStyle w:val="InternetLink"/>
                                        <w:caps w:val="false"/>
                                        <w:smallCaps w:val="false"/>
                                        <w:strike w:val="false"/>
                                        <w:dstrike w:val="false"/>
                                        <w:color w:val="000000"/>
                                        <w:sz w:val="24"/>
                                        <w:u w:val="none"/>
                                        <w:effect w:val="none"/>
                                      </w:rPr>
                                      <w:t xml:space="preserve"> </w:t>
                                    </w:r>
                                  </w:hyperlink>
                                  <w:hyperlink w:anchor="rtx014050_def14ab008">
                                    <w:r>
                                      <w:rPr>
                                        <w:rStyle w:val="InternetLink"/>
                                        <w:rFonts w:ascii="Arial;Helvetica;Sans-Serif" w:hAnsi="Arial;Helvetica;Sans-Serif"/>
                                        <w:b w:val="false"/>
                                        <w:i w:val="false"/>
                                        <w:caps w:val="false"/>
                                        <w:smallCaps w:val="false"/>
                                        <w:strike w:val="false"/>
                                        <w:dstrike w:val="false"/>
                                        <w:color w:val="000000"/>
                                        <w:sz w:val="20"/>
                                        <w:u w:val="none"/>
                                        <w:effect w:val="none"/>
                                      </w:rPr>
                                      <w:t>Data</w:t>
                                    </w:r>
                                  </w:hyperlink>
                                </w:p>
                              </w:tc>
                              <w:tc>
                                <w:tcPr>
                                  <w:tcW w:w="245" w:type="dxa"/>
                                  <w:tcBorders/>
                                  <w:vAlign w:val="center"/>
                                </w:tcPr>
                                <w:p>
                                  <w:pPr>
                                    <w:pStyle w:val="TableContents"/>
                                    <w:bidi w:val="0"/>
                                    <w:spacing w:before="0" w:after="283"/>
                                    <w:jc w:val="right"/>
                                    <w:rPr/>
                                  </w:pPr>
                                  <w:hyperlink w:anchor="rtx014050_def14ab008">
                                    <w:r>
                                      <w:rPr>
                                        <w:rStyle w:val="InternetLink"/>
                                        <w:rFonts w:ascii="Arial;Helvetica;Sans-Serif" w:hAnsi="Arial;Helvetica;Sans-Serif"/>
                                        <w:b w:val="false"/>
                                        <w:i w:val="false"/>
                                        <w:caps w:val="false"/>
                                        <w:smallCaps w:val="false"/>
                                        <w:strike w:val="false"/>
                                        <w:dstrike w:val="false"/>
                                        <w:color w:val="000000"/>
                                        <w:sz w:val="20"/>
                                        <w:u w:val="none"/>
                                        <w:effect w:val="none"/>
                                      </w:rPr>
                                      <w:t>45</w:t>
                                    </w:r>
                                  </w:hyperlink>
                                </w:p>
                              </w:tc>
                            </w:tr>
                            <w:tr>
                              <w:trPr/>
                              <w:tc>
                                <w:tcPr>
                                  <w:tcW w:w="5210" w:type="dxa"/>
                                  <w:tcBorders/>
                                  <w:vAlign w:val="center"/>
                                </w:tcPr>
                                <w:p>
                                  <w:pPr>
                                    <w:pStyle w:val="TableContents"/>
                                    <w:bidi w:val="0"/>
                                    <w:spacing w:before="0" w:after="283"/>
                                    <w:jc w:val="left"/>
                                    <w:rPr/>
                                  </w:pPr>
                                  <w:hyperlink w:anchor="rtx014050_def14ab009">
                                    <w:r>
                                      <w:rPr>
                                        <w:rStyle w:val="InternetLink"/>
                                        <w:rFonts w:ascii="Arial;Helvetica;Sans-Serif" w:hAnsi="Arial;Helvetica;Sans-Serif"/>
                                        <w:b/>
                                        <w:i w:val="false"/>
                                        <w:caps w:val="false"/>
                                        <w:smallCaps w:val="false"/>
                                        <w:strike w:val="false"/>
                                        <w:dstrike w:val="false"/>
                                        <w:color w:val="000000"/>
                                        <w:sz w:val="20"/>
                                        <w:u w:val="none"/>
                                        <w:effect w:val="none"/>
                                      </w:rPr>
                                      <w:t>2025 Principal Elements of Compensation</w:t>
                                    </w:r>
                                  </w:hyperlink>
                                </w:p>
                              </w:tc>
                              <w:tc>
                                <w:tcPr>
                                  <w:tcW w:w="245" w:type="dxa"/>
                                  <w:tcBorders/>
                                  <w:vAlign w:val="center"/>
                                </w:tcPr>
                                <w:p>
                                  <w:pPr>
                                    <w:pStyle w:val="TableContents"/>
                                    <w:bidi w:val="0"/>
                                    <w:spacing w:before="0" w:after="283"/>
                                    <w:jc w:val="right"/>
                                    <w:rPr/>
                                  </w:pPr>
                                  <w:hyperlink w:anchor="rtx014050_def14ab009">
                                    <w:r>
                                      <w:rPr>
                                        <w:rStyle w:val="InternetLink"/>
                                        <w:rFonts w:ascii="Arial;Helvetica;Sans-Serif" w:hAnsi="Arial;Helvetica;Sans-Serif"/>
                                        <w:b w:val="false"/>
                                        <w:i w:val="false"/>
                                        <w:caps w:val="false"/>
                                        <w:smallCaps w:val="false"/>
                                        <w:strike w:val="false"/>
                                        <w:dstrike w:val="false"/>
                                        <w:color w:val="000000"/>
                                        <w:sz w:val="20"/>
                                        <w:u w:val="none"/>
                                        <w:effect w:val="none"/>
                                      </w:rPr>
                                      <w:t>47</w:t>
                                    </w:r>
                                  </w:hyperlink>
                                </w:p>
                              </w:tc>
                            </w:tr>
                            <w:tr>
                              <w:trPr/>
                              <w:tc>
                                <w:tcPr>
                                  <w:tcW w:w="5210" w:type="dxa"/>
                                  <w:tcBorders/>
                                  <w:vAlign w:val="center"/>
                                </w:tcPr>
                                <w:p>
                                  <w:pPr>
                                    <w:pStyle w:val="TableContents"/>
                                    <w:bidi w:val="0"/>
                                    <w:spacing w:before="0" w:after="283"/>
                                    <w:jc w:val="left"/>
                                    <w:rPr/>
                                  </w:pPr>
                                  <w:hyperlink w:anchor="rtx014050_def14ab010">
                                    <w:r>
                                      <w:rPr>
                                        <w:rStyle w:val="InternetLink"/>
                                        <w:rFonts w:ascii="Arial;Helvetica;Sans-Serif" w:hAnsi="Arial;Helvetica;Sans-Serif"/>
                                        <w:b w:val="false"/>
                                        <w:i w:val="false"/>
                                        <w:caps w:val="false"/>
                                        <w:smallCaps w:val="false"/>
                                        <w:strike w:val="false"/>
                                        <w:dstrike w:val="false"/>
                                        <w:color w:val="000000"/>
                                        <w:sz w:val="20"/>
                                        <w:u w:val="none"/>
                                        <w:effect w:val="none"/>
                                      </w:rPr>
                                      <w:t>Base Salary</w:t>
                                    </w:r>
                                  </w:hyperlink>
                                </w:p>
                              </w:tc>
                              <w:tc>
                                <w:tcPr>
                                  <w:tcW w:w="245" w:type="dxa"/>
                                  <w:tcBorders/>
                                  <w:vAlign w:val="center"/>
                                </w:tcPr>
                                <w:p>
                                  <w:pPr>
                                    <w:pStyle w:val="TableContents"/>
                                    <w:bidi w:val="0"/>
                                    <w:spacing w:before="0" w:after="283"/>
                                    <w:jc w:val="right"/>
                                    <w:rPr/>
                                  </w:pPr>
                                  <w:hyperlink w:anchor="rtx014050_def14ab010">
                                    <w:r>
                                      <w:rPr>
                                        <w:rStyle w:val="InternetLink"/>
                                        <w:rFonts w:ascii="Arial;Helvetica;Sans-Serif" w:hAnsi="Arial;Helvetica;Sans-Serif"/>
                                        <w:b w:val="false"/>
                                        <w:i w:val="false"/>
                                        <w:caps w:val="false"/>
                                        <w:smallCaps w:val="false"/>
                                        <w:strike w:val="false"/>
                                        <w:dstrike w:val="false"/>
                                        <w:color w:val="000000"/>
                                        <w:sz w:val="20"/>
                                        <w:u w:val="none"/>
                                        <w:effect w:val="none"/>
                                      </w:rPr>
                                      <w:t>47</w:t>
                                    </w:r>
                                  </w:hyperlink>
                                </w:p>
                              </w:tc>
                            </w:tr>
                            <w:tr>
                              <w:trPr/>
                              <w:tc>
                                <w:tcPr>
                                  <w:tcW w:w="5210" w:type="dxa"/>
                                  <w:tcBorders/>
                                  <w:vAlign w:val="center"/>
                                </w:tcPr>
                                <w:p>
                                  <w:pPr>
                                    <w:pStyle w:val="TableContents"/>
                                    <w:bidi w:val="0"/>
                                    <w:spacing w:before="0" w:after="283"/>
                                    <w:jc w:val="left"/>
                                    <w:rPr/>
                                  </w:pPr>
                                  <w:hyperlink w:anchor="rtx014050_def14ab011">
                                    <w:r>
                                      <w:rPr>
                                        <w:rStyle w:val="InternetLink"/>
                                        <w:rFonts w:ascii="Arial;Helvetica;Sans-Serif" w:hAnsi="Arial;Helvetica;Sans-Serif"/>
                                        <w:b w:val="false"/>
                                        <w:i w:val="false"/>
                                        <w:caps w:val="false"/>
                                        <w:smallCaps w:val="false"/>
                                        <w:strike w:val="false"/>
                                        <w:dstrike w:val="false"/>
                                        <w:color w:val="000000"/>
                                        <w:sz w:val="20"/>
                                        <w:u w:val="none"/>
                                        <w:effect w:val="none"/>
                                      </w:rPr>
                                      <w:t>Annual Incentive Awards</w:t>
                                    </w:r>
                                  </w:hyperlink>
                                </w:p>
                              </w:tc>
                              <w:tc>
                                <w:tcPr>
                                  <w:tcW w:w="245" w:type="dxa"/>
                                  <w:tcBorders/>
                                  <w:vAlign w:val="center"/>
                                </w:tcPr>
                                <w:p>
                                  <w:pPr>
                                    <w:pStyle w:val="TableContents"/>
                                    <w:bidi w:val="0"/>
                                    <w:spacing w:before="0" w:after="283"/>
                                    <w:jc w:val="right"/>
                                    <w:rPr/>
                                  </w:pPr>
                                  <w:hyperlink w:anchor="rtx014050_def14ab011">
                                    <w:r>
                                      <w:rPr>
                                        <w:rStyle w:val="InternetLink"/>
                                        <w:rFonts w:ascii="Arial;Helvetica;Sans-Serif" w:hAnsi="Arial;Helvetica;Sans-Serif"/>
                                        <w:b w:val="false"/>
                                        <w:i w:val="false"/>
                                        <w:caps w:val="false"/>
                                        <w:smallCaps w:val="false"/>
                                        <w:strike w:val="false"/>
                                        <w:dstrike w:val="false"/>
                                        <w:color w:val="000000"/>
                                        <w:sz w:val="20"/>
                                        <w:u w:val="none"/>
                                        <w:effect w:val="none"/>
                                      </w:rPr>
                                      <w:t>47</w:t>
                                    </w:r>
                                  </w:hyperlink>
                                </w:p>
                              </w:tc>
                            </w:tr>
                            <w:tr>
                              <w:trPr/>
                              <w:tc>
                                <w:tcPr>
                                  <w:tcW w:w="5210" w:type="dxa"/>
                                  <w:tcBorders/>
                                  <w:vAlign w:val="center"/>
                                </w:tcPr>
                                <w:p>
                                  <w:pPr>
                                    <w:pStyle w:val="TableContents"/>
                                    <w:bidi w:val="0"/>
                                    <w:spacing w:before="0" w:after="283"/>
                                    <w:jc w:val="left"/>
                                    <w:rPr/>
                                  </w:pPr>
                                  <w:hyperlink w:anchor="rtx014050_def14ab012">
                                    <w:r>
                                      <w:rPr>
                                        <w:rStyle w:val="InternetLink"/>
                                        <w:rFonts w:ascii="Arial;Helvetica;Sans-Serif" w:hAnsi="Arial;Helvetica;Sans-Serif"/>
                                        <w:b w:val="false"/>
                                        <w:i w:val="false"/>
                                        <w:caps w:val="false"/>
                                        <w:smallCaps w:val="false"/>
                                        <w:strike w:val="false"/>
                                        <w:dstrike w:val="false"/>
                                        <w:color w:val="000000"/>
                                        <w:sz w:val="20"/>
                                        <w:u w:val="none"/>
                                        <w:effect w:val="none"/>
                                      </w:rPr>
                                      <w:t>LTI Awards</w:t>
                                    </w:r>
                                  </w:hyperlink>
                                </w:p>
                              </w:tc>
                              <w:tc>
                                <w:tcPr>
                                  <w:tcW w:w="245" w:type="dxa"/>
                                  <w:tcBorders/>
                                  <w:vAlign w:val="center"/>
                                </w:tcPr>
                                <w:p>
                                  <w:pPr>
                                    <w:pStyle w:val="TableContents"/>
                                    <w:bidi w:val="0"/>
                                    <w:spacing w:before="0" w:after="283"/>
                                    <w:jc w:val="right"/>
                                    <w:rPr/>
                                  </w:pPr>
                                  <w:hyperlink w:anchor="rtx014050_def14ab012">
                                    <w:r>
                                      <w:rPr>
                                        <w:rStyle w:val="InternetLink"/>
                                        <w:rFonts w:ascii="Arial;Helvetica;Sans-Serif" w:hAnsi="Arial;Helvetica;Sans-Serif"/>
                                        <w:b w:val="false"/>
                                        <w:i w:val="false"/>
                                        <w:caps w:val="false"/>
                                        <w:smallCaps w:val="false"/>
                                        <w:strike w:val="false"/>
                                        <w:dstrike w:val="false"/>
                                        <w:color w:val="000000"/>
                                        <w:sz w:val="20"/>
                                        <w:u w:val="none"/>
                                        <w:effect w:val="none"/>
                                      </w:rPr>
                                      <w:t>50</w:t>
                                    </w:r>
                                  </w:hyperlink>
                                </w:p>
                              </w:tc>
                            </w:tr>
                            <w:tr>
                              <w:trPr/>
                              <w:tc>
                                <w:tcPr>
                                  <w:tcW w:w="5210" w:type="dxa"/>
                                  <w:tcBorders/>
                                  <w:vAlign w:val="center"/>
                                </w:tcPr>
                                <w:p>
                                  <w:pPr>
                                    <w:pStyle w:val="TableContents"/>
                                    <w:bidi w:val="0"/>
                                    <w:spacing w:before="0" w:after="283"/>
                                    <w:jc w:val="left"/>
                                    <w:rPr/>
                                  </w:pPr>
                                  <w:hyperlink w:anchor="rtx014050_def14ab013">
                                    <w:r>
                                      <w:rPr>
                                        <w:rStyle w:val="InternetLink"/>
                                        <w:rFonts w:ascii="Arial;Helvetica;Sans-Serif" w:hAnsi="Arial;Helvetica;Sans-Serif"/>
                                        <w:b/>
                                        <w:i w:val="false"/>
                                        <w:caps w:val="false"/>
                                        <w:smallCaps w:val="false"/>
                                        <w:strike w:val="false"/>
                                        <w:dstrike w:val="false"/>
                                        <w:color w:val="000000"/>
                                        <w:sz w:val="20"/>
                                        <w:u w:val="none"/>
                                        <w:effect w:val="none"/>
                                      </w:rPr>
                                      <w:t>2025 CEO Pay Decisions</w:t>
                                    </w:r>
                                  </w:hyperlink>
                                </w:p>
                              </w:tc>
                              <w:tc>
                                <w:tcPr>
                                  <w:tcW w:w="245" w:type="dxa"/>
                                  <w:tcBorders/>
                                  <w:vAlign w:val="center"/>
                                </w:tcPr>
                                <w:p>
                                  <w:pPr>
                                    <w:pStyle w:val="TableContents"/>
                                    <w:bidi w:val="0"/>
                                    <w:spacing w:before="0" w:after="283"/>
                                    <w:jc w:val="right"/>
                                    <w:rPr/>
                                  </w:pPr>
                                  <w:hyperlink w:anchor="rtx014050_def14ab013">
                                    <w:r>
                                      <w:rPr>
                                        <w:rStyle w:val="InternetLink"/>
                                        <w:rFonts w:ascii="Arial;Helvetica;Sans-Serif" w:hAnsi="Arial;Helvetica;Sans-Serif"/>
                                        <w:b w:val="false"/>
                                        <w:i w:val="false"/>
                                        <w:caps w:val="false"/>
                                        <w:smallCaps w:val="false"/>
                                        <w:strike w:val="false"/>
                                        <w:dstrike w:val="false"/>
                                        <w:color w:val="000000"/>
                                        <w:sz w:val="20"/>
                                        <w:u w:val="none"/>
                                        <w:effect w:val="none"/>
                                      </w:rPr>
                                      <w:t>52</w:t>
                                    </w:r>
                                  </w:hyperlink>
                                </w:p>
                              </w:tc>
                            </w:tr>
                            <w:tr>
                              <w:trPr/>
                              <w:tc>
                                <w:tcPr>
                                  <w:tcW w:w="5210" w:type="dxa"/>
                                  <w:tcBorders/>
                                  <w:vAlign w:val="center"/>
                                </w:tcPr>
                                <w:p>
                                  <w:pPr>
                                    <w:pStyle w:val="TableContents"/>
                                    <w:bidi w:val="0"/>
                                    <w:spacing w:before="0" w:after="283"/>
                                    <w:jc w:val="left"/>
                                    <w:rPr/>
                                  </w:pPr>
                                  <w:hyperlink w:anchor="rtx014050_def14ab014">
                                    <w:r>
                                      <w:rPr>
                                        <w:rStyle w:val="InternetLink"/>
                                        <w:rFonts w:ascii="Arial;Helvetica;Sans-Serif" w:hAnsi="Arial;Helvetica;Sans-Serif"/>
                                        <w:b/>
                                        <w:i w:val="false"/>
                                        <w:caps w:val="false"/>
                                        <w:smallCaps w:val="false"/>
                                        <w:strike w:val="false"/>
                                        <w:dstrike w:val="false"/>
                                        <w:color w:val="000000"/>
                                        <w:sz w:val="20"/>
                                        <w:u w:val="none"/>
                                        <w:effect w:val="none"/>
                                      </w:rPr>
                                      <w:t>2025 Pay Decisions for Other NEOs</w:t>
                                    </w:r>
                                  </w:hyperlink>
                                </w:p>
                              </w:tc>
                              <w:tc>
                                <w:tcPr>
                                  <w:tcW w:w="245" w:type="dxa"/>
                                  <w:tcBorders/>
                                  <w:vAlign w:val="center"/>
                                </w:tcPr>
                                <w:p>
                                  <w:pPr>
                                    <w:pStyle w:val="TableContents"/>
                                    <w:bidi w:val="0"/>
                                    <w:spacing w:before="0" w:after="283"/>
                                    <w:jc w:val="right"/>
                                    <w:rPr/>
                                  </w:pPr>
                                  <w:hyperlink w:anchor="rtx014050_def14ab014">
                                    <w:r>
                                      <w:rPr>
                                        <w:rStyle w:val="InternetLink"/>
                                        <w:rFonts w:ascii="Arial;Helvetica;Sans-Serif" w:hAnsi="Arial;Helvetica;Sans-Serif"/>
                                        <w:b w:val="false"/>
                                        <w:i w:val="false"/>
                                        <w:caps w:val="false"/>
                                        <w:smallCaps w:val="false"/>
                                        <w:strike w:val="false"/>
                                        <w:dstrike w:val="false"/>
                                        <w:color w:val="000000"/>
                                        <w:sz w:val="20"/>
                                        <w:u w:val="none"/>
                                        <w:effect w:val="none"/>
                                      </w:rPr>
                                      <w:t>54</w:t>
                                    </w:r>
                                  </w:hyperlink>
                                </w:p>
                              </w:tc>
                            </w:tr>
                            <w:tr>
                              <w:trPr/>
                              <w:tc>
                                <w:tcPr>
                                  <w:tcW w:w="5210" w:type="dxa"/>
                                  <w:tcBorders/>
                                  <w:vAlign w:val="center"/>
                                </w:tcPr>
                                <w:p>
                                  <w:pPr>
                                    <w:pStyle w:val="TableContents"/>
                                    <w:bidi w:val="0"/>
                                    <w:spacing w:before="0" w:after="283"/>
                                    <w:jc w:val="left"/>
                                    <w:rPr/>
                                  </w:pPr>
                                  <w:hyperlink w:anchor="rtx014050_def14ab015">
                                    <w:r>
                                      <w:rPr>
                                        <w:rStyle w:val="InternetLink"/>
                                        <w:rFonts w:ascii="Arial;Helvetica;Sans-Serif" w:hAnsi="Arial;Helvetica;Sans-Serif"/>
                                        <w:b/>
                                        <w:i w:val="false"/>
                                        <w:caps w:val="false"/>
                                        <w:smallCaps w:val="false"/>
                                        <w:strike w:val="false"/>
                                        <w:dstrike w:val="false"/>
                                        <w:color w:val="000000"/>
                                        <w:sz w:val="20"/>
                                        <w:u w:val="none"/>
                                        <w:effect w:val="none"/>
                                      </w:rPr>
                                      <w:t>Other Compensation Elements</w:t>
                                    </w:r>
                                  </w:hyperlink>
                                </w:p>
                              </w:tc>
                              <w:tc>
                                <w:tcPr>
                                  <w:tcW w:w="245" w:type="dxa"/>
                                  <w:tcBorders/>
                                  <w:vAlign w:val="center"/>
                                </w:tcPr>
                                <w:p>
                                  <w:pPr>
                                    <w:pStyle w:val="TableContents"/>
                                    <w:bidi w:val="0"/>
                                    <w:spacing w:before="0" w:after="283"/>
                                    <w:jc w:val="right"/>
                                    <w:rPr/>
                                  </w:pPr>
                                  <w:hyperlink w:anchor="rtx014050_def14ab015">
                                    <w:r>
                                      <w:rPr>
                                        <w:rStyle w:val="InternetLink"/>
                                        <w:rFonts w:ascii="Arial;Helvetica;Sans-Serif" w:hAnsi="Arial;Helvetica;Sans-Serif"/>
                                        <w:b w:val="false"/>
                                        <w:i w:val="false"/>
                                        <w:caps w:val="false"/>
                                        <w:smallCaps w:val="false"/>
                                        <w:strike w:val="false"/>
                                        <w:dstrike w:val="false"/>
                                        <w:color w:val="000000"/>
                                        <w:sz w:val="20"/>
                                        <w:u w:val="none"/>
                                        <w:effect w:val="none"/>
                                      </w:rPr>
                                      <w:t>58</w:t>
                                    </w:r>
                                  </w:hyperlink>
                                </w:p>
                              </w:tc>
                            </w:tr>
                            <w:tr>
                              <w:trPr/>
                              <w:tc>
                                <w:tcPr>
                                  <w:tcW w:w="5210" w:type="dxa"/>
                                  <w:tcBorders/>
                                  <w:vAlign w:val="center"/>
                                </w:tcPr>
                                <w:p>
                                  <w:pPr>
                                    <w:pStyle w:val="TableContents"/>
                                    <w:bidi w:val="0"/>
                                    <w:spacing w:before="0" w:after="283"/>
                                    <w:jc w:val="left"/>
                                    <w:rPr/>
                                  </w:pPr>
                                  <w:hyperlink w:anchor="rtx014050_def14ab016">
                                    <w:r>
                                      <w:rPr>
                                        <w:rStyle w:val="InternetLink"/>
                                        <w:rFonts w:ascii="Arial;Helvetica;Sans-Serif" w:hAnsi="Arial;Helvetica;Sans-Serif"/>
                                        <w:b w:val="false"/>
                                        <w:i w:val="false"/>
                                        <w:caps w:val="false"/>
                                        <w:smallCaps w:val="false"/>
                                        <w:strike w:val="false"/>
                                        <w:dstrike w:val="false"/>
                                        <w:color w:val="000000"/>
                                        <w:sz w:val="20"/>
                                        <w:u w:val="none"/>
                                        <w:effect w:val="none"/>
                                      </w:rPr>
                                      <w:t>Retirement and Deferred Compensation Benefits</w:t>
                                    </w:r>
                                  </w:hyperlink>
                                </w:p>
                              </w:tc>
                              <w:tc>
                                <w:tcPr>
                                  <w:tcW w:w="245" w:type="dxa"/>
                                  <w:tcBorders/>
                                  <w:vAlign w:val="center"/>
                                </w:tcPr>
                                <w:p>
                                  <w:pPr>
                                    <w:pStyle w:val="TableContents"/>
                                    <w:bidi w:val="0"/>
                                    <w:spacing w:before="0" w:after="283"/>
                                    <w:jc w:val="right"/>
                                    <w:rPr/>
                                  </w:pPr>
                                  <w:hyperlink w:anchor="rtx014050_def14ab016">
                                    <w:r>
                                      <w:rPr>
                                        <w:rStyle w:val="InternetLink"/>
                                        <w:rFonts w:ascii="Arial;Helvetica;Sans-Serif" w:hAnsi="Arial;Helvetica;Sans-Serif"/>
                                        <w:b w:val="false"/>
                                        <w:i w:val="false"/>
                                        <w:caps w:val="false"/>
                                        <w:smallCaps w:val="false"/>
                                        <w:strike w:val="false"/>
                                        <w:dstrike w:val="false"/>
                                        <w:color w:val="000000"/>
                                        <w:sz w:val="20"/>
                                        <w:u w:val="none"/>
                                        <w:effect w:val="none"/>
                                      </w:rPr>
                                      <w:t>58</w:t>
                                    </w:r>
                                  </w:hyperlink>
                                </w:p>
                              </w:tc>
                            </w:tr>
                            <w:tr>
                              <w:trPr/>
                              <w:tc>
                                <w:tcPr>
                                  <w:tcW w:w="5210" w:type="dxa"/>
                                  <w:tcBorders/>
                                  <w:vAlign w:val="center"/>
                                </w:tcPr>
                                <w:p>
                                  <w:pPr>
                                    <w:pStyle w:val="TableContents"/>
                                    <w:bidi w:val="0"/>
                                    <w:spacing w:before="0" w:after="283"/>
                                    <w:jc w:val="left"/>
                                    <w:rPr/>
                                  </w:pPr>
                                  <w:hyperlink w:anchor="rtx014050_def14ab017">
                                    <w:r>
                                      <w:rPr>
                                        <w:rStyle w:val="InternetLink"/>
                                        <w:rFonts w:ascii="Arial;Helvetica;Sans-Serif" w:hAnsi="Arial;Helvetica;Sans-Serif"/>
                                        <w:b w:val="false"/>
                                        <w:i w:val="false"/>
                                        <w:caps w:val="false"/>
                                        <w:smallCaps w:val="false"/>
                                        <w:strike w:val="false"/>
                                        <w:dstrike w:val="false"/>
                                        <w:color w:val="000000"/>
                                        <w:sz w:val="20"/>
                                        <w:u w:val="none"/>
                                        <w:effect w:val="none"/>
                                      </w:rPr>
                                      <w:t>Perquisites and Other Benefits</w:t>
                                    </w:r>
                                  </w:hyperlink>
                                </w:p>
                              </w:tc>
                              <w:tc>
                                <w:tcPr>
                                  <w:tcW w:w="245" w:type="dxa"/>
                                  <w:tcBorders/>
                                  <w:vAlign w:val="center"/>
                                </w:tcPr>
                                <w:p>
                                  <w:pPr>
                                    <w:pStyle w:val="TableContents"/>
                                    <w:bidi w:val="0"/>
                                    <w:spacing w:before="0" w:after="283"/>
                                    <w:jc w:val="right"/>
                                    <w:rPr/>
                                  </w:pPr>
                                  <w:hyperlink w:anchor="rtx014050_def14ab017">
                                    <w:r>
                                      <w:rPr>
                                        <w:rStyle w:val="InternetLink"/>
                                        <w:rFonts w:ascii="Arial;Helvetica;Sans-Serif" w:hAnsi="Arial;Helvetica;Sans-Serif"/>
                                        <w:b w:val="false"/>
                                        <w:i w:val="false"/>
                                        <w:caps w:val="false"/>
                                        <w:smallCaps w:val="false"/>
                                        <w:strike w:val="false"/>
                                        <w:dstrike w:val="false"/>
                                        <w:color w:val="000000"/>
                                        <w:sz w:val="20"/>
                                        <w:u w:val="none"/>
                                        <w:effect w:val="none"/>
                                      </w:rPr>
                                      <w:t>59</w:t>
                                    </w:r>
                                  </w:hyperlink>
                                </w:p>
                              </w:tc>
                            </w:tr>
                            <w:tr>
                              <w:trPr/>
                              <w:tc>
                                <w:tcPr>
                                  <w:tcW w:w="5210" w:type="dxa"/>
                                  <w:tcBorders/>
                                  <w:vAlign w:val="center"/>
                                </w:tcPr>
                                <w:p>
                                  <w:pPr>
                                    <w:pStyle w:val="TableContents"/>
                                    <w:bidi w:val="0"/>
                                    <w:spacing w:before="0" w:after="283"/>
                                    <w:jc w:val="left"/>
                                    <w:rPr/>
                                  </w:pPr>
                                  <w:hyperlink w:anchor="rtx014050_def14ab018">
                                    <w:r>
                                      <w:rPr>
                                        <w:rStyle w:val="InternetLink"/>
                                        <w:rFonts w:ascii="Arial;Helvetica;Sans-Serif" w:hAnsi="Arial;Helvetica;Sans-Serif"/>
                                        <w:b w:val="false"/>
                                        <w:i w:val="false"/>
                                        <w:caps w:val="false"/>
                                        <w:smallCaps w:val="false"/>
                                        <w:strike w:val="false"/>
                                        <w:dstrike w:val="false"/>
                                        <w:color w:val="000000"/>
                                        <w:sz w:val="20"/>
                                        <w:u w:val="none"/>
                                        <w:effect w:val="none"/>
                                      </w:rPr>
                                      <w:t>Severance and Change-in-Control Arrangements</w:t>
                                    </w:r>
                                  </w:hyperlink>
                                </w:p>
                              </w:tc>
                              <w:tc>
                                <w:tcPr>
                                  <w:tcW w:w="245" w:type="dxa"/>
                                  <w:tcBorders/>
                                  <w:vAlign w:val="center"/>
                                </w:tcPr>
                                <w:p>
                                  <w:pPr>
                                    <w:pStyle w:val="TableContents"/>
                                    <w:bidi w:val="0"/>
                                    <w:spacing w:before="0" w:after="283"/>
                                    <w:jc w:val="right"/>
                                    <w:rPr/>
                                  </w:pPr>
                                  <w:hyperlink w:anchor="rtx014050_def14ab018">
                                    <w:r>
                                      <w:rPr>
                                        <w:rStyle w:val="InternetLink"/>
                                        <w:rFonts w:ascii="Arial;Helvetica;Sans-Serif" w:hAnsi="Arial;Helvetica;Sans-Serif"/>
                                        <w:b w:val="false"/>
                                        <w:i w:val="false"/>
                                        <w:caps w:val="false"/>
                                        <w:smallCaps w:val="false"/>
                                        <w:strike w:val="false"/>
                                        <w:dstrike w:val="false"/>
                                        <w:color w:val="000000"/>
                                        <w:sz w:val="20"/>
                                        <w:u w:val="none"/>
                                        <w:effect w:val="none"/>
                                      </w:rPr>
                                      <w:t>59</w:t>
                                    </w:r>
                                  </w:hyperlink>
                                </w:p>
                              </w:tc>
                            </w:tr>
                            <w:tr>
                              <w:trPr/>
                              <w:tc>
                                <w:tcPr>
                                  <w:tcW w:w="5210" w:type="dxa"/>
                                  <w:tcBorders/>
                                  <w:vAlign w:val="center"/>
                                </w:tcPr>
                                <w:p>
                                  <w:pPr>
                                    <w:pStyle w:val="TableContents"/>
                                    <w:bidi w:val="0"/>
                                    <w:spacing w:before="0" w:after="283"/>
                                    <w:jc w:val="left"/>
                                    <w:rPr/>
                                  </w:pPr>
                                  <w:hyperlink w:anchor="rtx014050_def14ab019">
                                    <w:r>
                                      <w:rPr>
                                        <w:rStyle w:val="InternetLink"/>
                                        <w:rFonts w:ascii="Arial;Helvetica;Sans-Serif" w:hAnsi="Arial;Helvetica;Sans-Serif"/>
                                        <w:b/>
                                        <w:i w:val="false"/>
                                        <w:caps w:val="false"/>
                                        <w:smallCaps w:val="false"/>
                                        <w:strike w:val="false"/>
                                        <w:dstrike w:val="false"/>
                                        <w:color w:val="000000"/>
                                        <w:sz w:val="20"/>
                                        <w:u w:val="none"/>
                                        <w:effect w:val="none"/>
                                      </w:rPr>
                                      <w:t>Other Executive Compensation Policies and</w:t>
                                    </w:r>
                                  </w:hyperlink>
                                  <w:hyperlink w:anchor="rtx014050_def14ab019">
                                    <w:r>
                                      <w:rPr>
                                        <w:rStyle w:val="InternetLink"/>
                                        <w:caps w:val="false"/>
                                        <w:smallCaps w:val="false"/>
                                        <w:strike w:val="false"/>
                                        <w:dstrike w:val="false"/>
                                        <w:color w:val="000000"/>
                                        <w:sz w:val="24"/>
                                        <w:u w:val="none"/>
                                        <w:effect w:val="none"/>
                                      </w:rPr>
                                      <w:t xml:space="preserve"> </w:t>
                                    </w:r>
                                  </w:hyperlink>
                                  <w:hyperlink w:anchor="rtx014050_def14ab019">
                                    <w:r>
                                      <w:rPr>
                                        <w:rStyle w:val="InternetLink"/>
                                        <w:rFonts w:ascii="Arial;Helvetica;Sans-Serif" w:hAnsi="Arial;Helvetica;Sans-Serif"/>
                                        <w:b/>
                                        <w:i w:val="false"/>
                                        <w:caps w:val="false"/>
                                        <w:smallCaps w:val="false"/>
                                        <w:strike w:val="false"/>
                                        <w:dstrike w:val="false"/>
                                        <w:color w:val="000000"/>
                                        <w:sz w:val="20"/>
                                        <w:u w:val="none"/>
                                        <w:effect w:val="none"/>
                                      </w:rPr>
                                      <w:t>Practices</w:t>
                                    </w:r>
                                  </w:hyperlink>
                                </w:p>
                              </w:tc>
                              <w:tc>
                                <w:tcPr>
                                  <w:tcW w:w="245" w:type="dxa"/>
                                  <w:tcBorders/>
                                  <w:vAlign w:val="center"/>
                                </w:tcPr>
                                <w:p>
                                  <w:pPr>
                                    <w:pStyle w:val="TableContents"/>
                                    <w:bidi w:val="0"/>
                                    <w:spacing w:before="0" w:after="283"/>
                                    <w:jc w:val="right"/>
                                    <w:rPr/>
                                  </w:pPr>
                                  <w:hyperlink w:anchor="rtx014050_def14ab019">
                                    <w:r>
                                      <w:rPr>
                                        <w:rStyle w:val="InternetLink"/>
                                        <w:rFonts w:ascii="Arial;Helvetica;Sans-Serif" w:hAnsi="Arial;Helvetica;Sans-Serif"/>
                                        <w:b w:val="false"/>
                                        <w:i w:val="false"/>
                                        <w:caps w:val="false"/>
                                        <w:smallCaps w:val="false"/>
                                        <w:strike w:val="false"/>
                                        <w:dstrike w:val="false"/>
                                        <w:color w:val="000000"/>
                                        <w:sz w:val="20"/>
                                        <w:u w:val="none"/>
                                        <w:effect w:val="none"/>
                                      </w:rPr>
                                      <w:t>61</w:t>
                                    </w:r>
                                  </w:hyperlink>
                                </w:p>
                              </w:tc>
                            </w:tr>
                            <w:tr>
                              <w:trPr/>
                              <w:tc>
                                <w:tcPr>
                                  <w:tcW w:w="5210" w:type="dxa"/>
                                  <w:tcBorders/>
                                  <w:vAlign w:val="center"/>
                                </w:tcPr>
                                <w:p>
                                  <w:pPr>
                                    <w:pStyle w:val="TableContents"/>
                                    <w:bidi w:val="0"/>
                                    <w:spacing w:before="0" w:after="283"/>
                                    <w:jc w:val="left"/>
                                    <w:rPr/>
                                  </w:pPr>
                                  <w:hyperlink w:anchor="rtx014050_def14ab020">
                                    <w:r>
                                      <w:rPr>
                                        <w:rStyle w:val="InternetLink"/>
                                        <w:rFonts w:ascii="Arial;Helvetica;Sans-Serif" w:hAnsi="Arial;Helvetica;Sans-Serif"/>
                                        <w:b w:val="false"/>
                                        <w:i w:val="false"/>
                                        <w:caps w:val="false"/>
                                        <w:smallCaps w:val="false"/>
                                        <w:strike w:val="false"/>
                                        <w:dstrike w:val="false"/>
                                        <w:color w:val="000000"/>
                                        <w:sz w:val="20"/>
                                        <w:u w:val="none"/>
                                        <w:effect w:val="none"/>
                                      </w:rPr>
                                      <w:t>Post-Employment Restrictive Covenants</w:t>
                                    </w:r>
                                  </w:hyperlink>
                                </w:p>
                              </w:tc>
                              <w:tc>
                                <w:tcPr>
                                  <w:tcW w:w="245" w:type="dxa"/>
                                  <w:tcBorders/>
                                  <w:vAlign w:val="center"/>
                                </w:tcPr>
                                <w:p>
                                  <w:pPr>
                                    <w:pStyle w:val="TableContents"/>
                                    <w:bidi w:val="0"/>
                                    <w:spacing w:before="0" w:after="283"/>
                                    <w:jc w:val="right"/>
                                    <w:rPr/>
                                  </w:pPr>
                                  <w:hyperlink w:anchor="rtx014050_def14ab020">
                                    <w:r>
                                      <w:rPr>
                                        <w:rStyle w:val="InternetLink"/>
                                        <w:rFonts w:ascii="Arial;Helvetica;Sans-Serif" w:hAnsi="Arial;Helvetica;Sans-Serif"/>
                                        <w:b w:val="false"/>
                                        <w:i w:val="false"/>
                                        <w:caps w:val="false"/>
                                        <w:smallCaps w:val="false"/>
                                        <w:strike w:val="false"/>
                                        <w:dstrike w:val="false"/>
                                        <w:color w:val="000000"/>
                                        <w:sz w:val="20"/>
                                        <w:u w:val="none"/>
                                        <w:effect w:val="none"/>
                                      </w:rPr>
                                      <w:t>61</w:t>
                                    </w:r>
                                  </w:hyperlink>
                                </w:p>
                              </w:tc>
                            </w:tr>
                            <w:tr>
                              <w:trPr/>
                              <w:tc>
                                <w:tcPr>
                                  <w:tcW w:w="5210" w:type="dxa"/>
                                  <w:tcBorders/>
                                  <w:vAlign w:val="center"/>
                                </w:tcPr>
                                <w:p>
                                  <w:pPr>
                                    <w:pStyle w:val="TableContents"/>
                                    <w:bidi w:val="0"/>
                                    <w:spacing w:before="0" w:after="283"/>
                                    <w:jc w:val="left"/>
                                    <w:rPr/>
                                  </w:pPr>
                                  <w:hyperlink w:anchor="rtx014050_def14ab021">
                                    <w:r>
                                      <w:rPr>
                                        <w:rStyle w:val="InternetLink"/>
                                        <w:rFonts w:ascii="Arial;Helvetica;Sans-Serif" w:hAnsi="Arial;Helvetica;Sans-Serif"/>
                                        <w:b w:val="false"/>
                                        <w:i w:val="false"/>
                                        <w:caps w:val="false"/>
                                        <w:smallCaps w:val="false"/>
                                        <w:strike w:val="false"/>
                                        <w:dstrike w:val="false"/>
                                        <w:color w:val="000000"/>
                                        <w:sz w:val="20"/>
                                        <w:u w:val="none"/>
                                        <w:effect w:val="none"/>
                                      </w:rPr>
                                      <w:t>Clawback Policies</w:t>
                                    </w:r>
                                  </w:hyperlink>
                                </w:p>
                              </w:tc>
                              <w:tc>
                                <w:tcPr>
                                  <w:tcW w:w="245" w:type="dxa"/>
                                  <w:tcBorders/>
                                  <w:vAlign w:val="center"/>
                                </w:tcPr>
                                <w:p>
                                  <w:pPr>
                                    <w:pStyle w:val="TableContents"/>
                                    <w:bidi w:val="0"/>
                                    <w:spacing w:before="0" w:after="283"/>
                                    <w:jc w:val="right"/>
                                    <w:rPr/>
                                  </w:pPr>
                                  <w:hyperlink w:anchor="rtx014050_def14ab021">
                                    <w:r>
                                      <w:rPr>
                                        <w:rStyle w:val="InternetLink"/>
                                        <w:rFonts w:ascii="Arial;Helvetica;Sans-Serif" w:hAnsi="Arial;Helvetica;Sans-Serif"/>
                                        <w:b w:val="false"/>
                                        <w:i w:val="false"/>
                                        <w:caps w:val="false"/>
                                        <w:smallCaps w:val="false"/>
                                        <w:strike w:val="false"/>
                                        <w:dstrike w:val="false"/>
                                        <w:color w:val="000000"/>
                                        <w:sz w:val="20"/>
                                        <w:u w:val="none"/>
                                        <w:effect w:val="none"/>
                                      </w:rPr>
                                      <w:t>61</w:t>
                                    </w:r>
                                  </w:hyperlink>
                                </w:p>
                              </w:tc>
                            </w:tr>
                            <w:tr>
                              <w:trPr/>
                              <w:tc>
                                <w:tcPr>
                                  <w:tcW w:w="5210" w:type="dxa"/>
                                  <w:tcBorders/>
                                  <w:vAlign w:val="center"/>
                                </w:tcPr>
                                <w:p>
                                  <w:pPr>
                                    <w:pStyle w:val="TableContents"/>
                                    <w:bidi w:val="0"/>
                                    <w:spacing w:before="0" w:after="283"/>
                                    <w:jc w:val="left"/>
                                    <w:rPr/>
                                  </w:pPr>
                                  <w:hyperlink w:anchor="rtx014050_def14ab022">
                                    <w:r>
                                      <w:rPr>
                                        <w:rStyle w:val="InternetLink"/>
                                        <w:rFonts w:ascii="Arial;Helvetica;Sans-Serif" w:hAnsi="Arial;Helvetica;Sans-Serif"/>
                                        <w:b w:val="false"/>
                                        <w:i w:val="false"/>
                                        <w:caps w:val="false"/>
                                        <w:smallCaps w:val="false"/>
                                        <w:strike w:val="false"/>
                                        <w:dstrike w:val="false"/>
                                        <w:color w:val="000000"/>
                                        <w:sz w:val="20"/>
                                        <w:u w:val="none"/>
                                        <w:effect w:val="none"/>
                                      </w:rPr>
                                      <w:t>Equity Award Granting Policy</w:t>
                                    </w:r>
                                  </w:hyperlink>
                                </w:p>
                              </w:tc>
                              <w:tc>
                                <w:tcPr>
                                  <w:tcW w:w="245" w:type="dxa"/>
                                  <w:tcBorders/>
                                  <w:vAlign w:val="center"/>
                                </w:tcPr>
                                <w:p>
                                  <w:pPr>
                                    <w:pStyle w:val="TableContents"/>
                                    <w:bidi w:val="0"/>
                                    <w:spacing w:before="0" w:after="283"/>
                                    <w:jc w:val="right"/>
                                    <w:rPr/>
                                  </w:pPr>
                                  <w:hyperlink w:anchor="rtx014050_def14ab022">
                                    <w:r>
                                      <w:rPr>
                                        <w:rStyle w:val="InternetLink"/>
                                        <w:rFonts w:ascii="Arial;Helvetica;Sans-Serif" w:hAnsi="Arial;Helvetica;Sans-Serif"/>
                                        <w:b w:val="false"/>
                                        <w:i w:val="false"/>
                                        <w:caps w:val="false"/>
                                        <w:smallCaps w:val="false"/>
                                        <w:strike w:val="false"/>
                                        <w:dstrike w:val="false"/>
                                        <w:color w:val="000000"/>
                                        <w:sz w:val="20"/>
                                        <w:u w:val="none"/>
                                        <w:effect w:val="none"/>
                                      </w:rPr>
                                      <w:t>61</w:t>
                                    </w:r>
                                  </w:hyperlink>
                                </w:p>
                              </w:tc>
                            </w:tr>
                            <w:tr>
                              <w:trPr/>
                              <w:tc>
                                <w:tcPr>
                                  <w:tcW w:w="5210" w:type="dxa"/>
                                  <w:tcBorders/>
                                  <w:vAlign w:val="center"/>
                                </w:tcPr>
                                <w:p>
                                  <w:pPr>
                                    <w:pStyle w:val="TableContents"/>
                                    <w:bidi w:val="0"/>
                                    <w:spacing w:before="0" w:after="283"/>
                                    <w:jc w:val="left"/>
                                    <w:rPr/>
                                  </w:pPr>
                                  <w:hyperlink w:anchor="rtx014050_def14ab023">
                                    <w:r>
                                      <w:rPr>
                                        <w:rStyle w:val="InternetLink"/>
                                        <w:rFonts w:ascii="Arial;Helvetica;Sans-Serif" w:hAnsi="Arial;Helvetica;Sans-Serif"/>
                                        <w:b w:val="false"/>
                                        <w:i w:val="false"/>
                                        <w:caps w:val="false"/>
                                        <w:smallCaps w:val="false"/>
                                        <w:strike w:val="false"/>
                                        <w:dstrike w:val="false"/>
                                        <w:color w:val="000000"/>
                                        <w:sz w:val="20"/>
                                        <w:u w:val="none"/>
                                        <w:effect w:val="none"/>
                                      </w:rPr>
                                      <w:t>Prohibitions on Certain Transactions Involving</w:t>
                                    </w:r>
                                  </w:hyperlink>
                                  <w:hyperlink w:anchor="rtx014050_def14ab023">
                                    <w:r>
                                      <w:rPr>
                                        <w:rStyle w:val="InternetLink"/>
                                        <w:caps w:val="false"/>
                                        <w:smallCaps w:val="false"/>
                                        <w:strike w:val="false"/>
                                        <w:dstrike w:val="false"/>
                                        <w:color w:val="000000"/>
                                        <w:sz w:val="24"/>
                                        <w:u w:val="none"/>
                                        <w:effect w:val="none"/>
                                      </w:rPr>
                                      <w:t xml:space="preserve"> </w:t>
                                    </w:r>
                                  </w:hyperlink>
                                  <w:hyperlink w:anchor="rtx014050_def14ab023">
                                    <w:r>
                                      <w:rPr>
                                        <w:rStyle w:val="InternetLink"/>
                                        <w:rFonts w:ascii="Arial;Helvetica;Sans-Serif" w:hAnsi="Arial;Helvetica;Sans-Serif"/>
                                        <w:b w:val="false"/>
                                        <w:i w:val="false"/>
                                        <w:caps w:val="false"/>
                                        <w:smallCaps w:val="false"/>
                                        <w:strike w:val="false"/>
                                        <w:dstrike w:val="false"/>
                                        <w:color w:val="000000"/>
                                        <w:sz w:val="20"/>
                                        <w:u w:val="none"/>
                                        <w:effect w:val="none"/>
                                      </w:rPr>
                                      <w:t>RTX Stock</w:t>
                                    </w:r>
                                  </w:hyperlink>
                                </w:p>
                              </w:tc>
                              <w:tc>
                                <w:tcPr>
                                  <w:tcW w:w="245" w:type="dxa"/>
                                  <w:tcBorders/>
                                  <w:vAlign w:val="center"/>
                                </w:tcPr>
                                <w:p>
                                  <w:pPr>
                                    <w:pStyle w:val="TableContents"/>
                                    <w:bidi w:val="0"/>
                                    <w:spacing w:before="0" w:after="283"/>
                                    <w:jc w:val="right"/>
                                    <w:rPr/>
                                  </w:pPr>
                                  <w:hyperlink w:anchor="rtx014050_def14ab023">
                                    <w:r>
                                      <w:rPr>
                                        <w:rStyle w:val="InternetLink"/>
                                        <w:rFonts w:ascii="Arial;Helvetica;Sans-Serif" w:hAnsi="Arial;Helvetica;Sans-Serif"/>
                                        <w:b w:val="false"/>
                                        <w:i w:val="false"/>
                                        <w:caps w:val="false"/>
                                        <w:smallCaps w:val="false"/>
                                        <w:strike w:val="false"/>
                                        <w:dstrike w:val="false"/>
                                        <w:color w:val="000000"/>
                                        <w:sz w:val="20"/>
                                        <w:u w:val="none"/>
                                        <w:effect w:val="none"/>
                                      </w:rPr>
                                      <w:t>62</w:t>
                                    </w:r>
                                  </w:hyperlink>
                                </w:p>
                              </w:tc>
                            </w:tr>
                            <w:tr>
                              <w:trPr/>
                              <w:tc>
                                <w:tcPr>
                                  <w:tcW w:w="5210" w:type="dxa"/>
                                  <w:tcBorders/>
                                  <w:vAlign w:val="center"/>
                                </w:tcPr>
                                <w:p>
                                  <w:pPr>
                                    <w:pStyle w:val="TableContents"/>
                                    <w:bidi w:val="0"/>
                                    <w:spacing w:before="0" w:after="283"/>
                                    <w:jc w:val="left"/>
                                    <w:rPr/>
                                  </w:pPr>
                                  <w:hyperlink w:anchor="rtx014050_def14ab024">
                                    <w:r>
                                      <w:rPr>
                                        <w:rStyle w:val="InternetLink"/>
                                        <w:rFonts w:ascii="Arial;Helvetica;Sans-Serif" w:hAnsi="Arial;Helvetica;Sans-Serif"/>
                                        <w:b w:val="false"/>
                                        <w:i w:val="false"/>
                                        <w:caps w:val="false"/>
                                        <w:smallCaps w:val="false"/>
                                        <w:strike w:val="false"/>
                                        <w:dstrike w:val="false"/>
                                        <w:color w:val="000000"/>
                                        <w:sz w:val="20"/>
                                        <w:u w:val="none"/>
                                        <w:effect w:val="none"/>
                                      </w:rPr>
                                      <w:t>Employment Agreements</w:t>
                                    </w:r>
                                  </w:hyperlink>
                                </w:p>
                              </w:tc>
                              <w:tc>
                                <w:tcPr>
                                  <w:tcW w:w="245" w:type="dxa"/>
                                  <w:tcBorders/>
                                  <w:vAlign w:val="center"/>
                                </w:tcPr>
                                <w:p>
                                  <w:pPr>
                                    <w:pStyle w:val="TableContents"/>
                                    <w:bidi w:val="0"/>
                                    <w:spacing w:before="0" w:after="283"/>
                                    <w:jc w:val="right"/>
                                    <w:rPr/>
                                  </w:pPr>
                                  <w:hyperlink w:anchor="rtx014050_def14ab024">
                                    <w:r>
                                      <w:rPr>
                                        <w:rStyle w:val="InternetLink"/>
                                        <w:rFonts w:ascii="Arial;Helvetica;Sans-Serif" w:hAnsi="Arial;Helvetica;Sans-Serif"/>
                                        <w:b w:val="false"/>
                                        <w:i w:val="false"/>
                                        <w:caps w:val="false"/>
                                        <w:smallCaps w:val="false"/>
                                        <w:strike w:val="false"/>
                                        <w:dstrike w:val="false"/>
                                        <w:color w:val="000000"/>
                                        <w:sz w:val="20"/>
                                        <w:u w:val="none"/>
                                        <w:effect w:val="none"/>
                                      </w:rPr>
                                      <w:t>62</w:t>
                                    </w:r>
                                  </w:hyperlink>
                                </w:p>
                              </w:tc>
                            </w:tr>
                            <w:tr>
                              <w:trPr/>
                              <w:tc>
                                <w:tcPr>
                                  <w:tcW w:w="5210" w:type="dxa"/>
                                  <w:tcBorders/>
                                  <w:vAlign w:val="center"/>
                                </w:tcPr>
                                <w:p>
                                  <w:pPr>
                                    <w:pStyle w:val="TableContents"/>
                                    <w:bidi w:val="0"/>
                                    <w:spacing w:before="0" w:after="283"/>
                                    <w:jc w:val="left"/>
                                    <w:rPr/>
                                  </w:pPr>
                                  <w:hyperlink w:anchor="rtx014050_def14ab025">
                                    <w:r>
                                      <w:rPr>
                                        <w:rStyle w:val="InternetLink"/>
                                        <w:rFonts w:ascii="Arial;Helvetica;Sans-Serif" w:hAnsi="Arial;Helvetica;Sans-Serif"/>
                                        <w:b w:val="false"/>
                                        <w:i w:val="false"/>
                                        <w:caps w:val="false"/>
                                        <w:smallCaps w:val="false"/>
                                        <w:strike w:val="false"/>
                                        <w:dstrike w:val="false"/>
                                        <w:color w:val="000000"/>
                                        <w:sz w:val="20"/>
                                        <w:u w:val="none"/>
                                        <w:effect w:val="none"/>
                                      </w:rPr>
                                      <w:t>Tax Deductibility of Incentive Compensation</w:t>
                                    </w:r>
                                  </w:hyperlink>
                                </w:p>
                              </w:tc>
                              <w:tc>
                                <w:tcPr>
                                  <w:tcW w:w="245" w:type="dxa"/>
                                  <w:tcBorders/>
                                  <w:vAlign w:val="center"/>
                                </w:tcPr>
                                <w:p>
                                  <w:pPr>
                                    <w:pStyle w:val="TableContents"/>
                                    <w:bidi w:val="0"/>
                                    <w:spacing w:before="0" w:after="283"/>
                                    <w:jc w:val="right"/>
                                    <w:rPr/>
                                  </w:pPr>
                                  <w:hyperlink w:anchor="rtx014050_def14ab025">
                                    <w:r>
                                      <w:rPr>
                                        <w:rStyle w:val="InternetLink"/>
                                        <w:rFonts w:ascii="Arial;Helvetica;Sans-Serif" w:hAnsi="Arial;Helvetica;Sans-Serif"/>
                                        <w:b w:val="false"/>
                                        <w:i w:val="false"/>
                                        <w:caps w:val="false"/>
                                        <w:smallCaps w:val="false"/>
                                        <w:strike w:val="false"/>
                                        <w:dstrike w:val="false"/>
                                        <w:color w:val="000000"/>
                                        <w:sz w:val="20"/>
                                        <w:u w:val="none"/>
                                        <w:effect w:val="none"/>
                                      </w:rPr>
                                      <w:t>62</w:t>
                                    </w:r>
                                  </w:hyperlink>
                                </w:p>
                              </w:tc>
                            </w:tr>
                          </w:tbl>
                          <w:p>
                            <w:pPr>
                              <w:pStyle w:val="TextBody"/>
                              <w:bidi w:val="0"/>
                              <w:spacing w:before="0" w:after="283"/>
                              <w:ind w:left="0" w:right="0" w:hanging="0"/>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675.75pt;mso-wrap-distance-left:0pt;mso-wrap-distance-right:0pt;mso-wrap-distance-top:0pt;mso-wrap-distance-bottom:0pt;margin-top:0pt;mso-position-vertical:top;mso-position-vertical-relative:text;margin-left:0pt;mso-position-horizontal:left;mso-position-horizontal-relative:text">
                <v:textbox>
                  <w:txbxContent>
                    <w:tbl>
                      <w:tblPr>
                        <w:tblW w:w="5455" w:type="dxa"/>
                        <w:jc w:val="left"/>
                        <w:tblInd w:w="0" w:type="dxa"/>
                        <w:tblLayout w:type="fixed"/>
                        <w:tblCellMar>
                          <w:top w:w="0" w:type="dxa"/>
                          <w:left w:w="0" w:type="dxa"/>
                          <w:bottom w:w="0" w:type="dxa"/>
                          <w:right w:w="0" w:type="dxa"/>
                        </w:tblCellMar>
                      </w:tblPr>
                      <w:tblGrid>
                        <w:gridCol w:w="5210"/>
                        <w:gridCol w:w="245"/>
                      </w:tblGrid>
                      <w:tr>
                        <w:trPr/>
                        <w:tc>
                          <w:tcPr>
                            <w:tcW w:w="5210" w:type="dxa"/>
                            <w:tcBorders/>
                            <w:vAlign w:val="center"/>
                          </w:tcPr>
                          <w:p>
                            <w:pPr>
                              <w:pStyle w:val="TableContents"/>
                              <w:bidi w:val="0"/>
                              <w:spacing w:before="0" w:after="283"/>
                              <w:jc w:val="left"/>
                              <w:rPr/>
                            </w:pPr>
                            <w:hyperlink w:anchor="rtx014050_def14ab001">
                              <w:r>
                                <w:rPr>
                                  <w:rStyle w:val="InternetLink"/>
                                  <w:rFonts w:ascii="Arial;Helvetica;Sans-Serif" w:hAnsi="Arial;Helvetica;Sans-Serif"/>
                                  <w:b/>
                                  <w:i w:val="false"/>
                                  <w:caps w:val="false"/>
                                  <w:smallCaps w:val="false"/>
                                  <w:strike w:val="false"/>
                                  <w:dstrike w:val="false"/>
                                  <w:color w:val="000000"/>
                                  <w:sz w:val="20"/>
                                  <w:u w:val="none"/>
                                  <w:effect w:val="none"/>
                                </w:rPr>
                                <w:t>Executive Summary</w:t>
                              </w:r>
                            </w:hyperlink>
                          </w:p>
                        </w:tc>
                        <w:tc>
                          <w:tcPr>
                            <w:tcW w:w="245" w:type="dxa"/>
                            <w:tcBorders/>
                            <w:vAlign w:val="center"/>
                          </w:tcPr>
                          <w:p>
                            <w:pPr>
                              <w:pStyle w:val="TableContents"/>
                              <w:bidi w:val="0"/>
                              <w:spacing w:before="0" w:after="283"/>
                              <w:jc w:val="right"/>
                              <w:rPr/>
                            </w:pPr>
                            <w:hyperlink w:anchor="rtx014050_def14ab001">
                              <w:r>
                                <w:rPr>
                                  <w:rStyle w:val="InternetLink"/>
                                  <w:rFonts w:ascii="Arial;Helvetica;Sans-Serif" w:hAnsi="Arial;Helvetica;Sans-Serif"/>
                                  <w:b w:val="false"/>
                                  <w:i w:val="false"/>
                                  <w:caps w:val="false"/>
                                  <w:smallCaps w:val="false"/>
                                  <w:strike w:val="false"/>
                                  <w:dstrike w:val="false"/>
                                  <w:color w:val="000000"/>
                                  <w:sz w:val="20"/>
                                  <w:u w:val="none"/>
                                  <w:effect w:val="none"/>
                                </w:rPr>
                                <w:t>40</w:t>
                              </w:r>
                            </w:hyperlink>
                          </w:p>
                        </w:tc>
                      </w:tr>
                      <w:tr>
                        <w:trPr/>
                        <w:tc>
                          <w:tcPr>
                            <w:tcW w:w="5210" w:type="dxa"/>
                            <w:tcBorders/>
                            <w:vAlign w:val="center"/>
                          </w:tcPr>
                          <w:p>
                            <w:pPr>
                              <w:pStyle w:val="TableContents"/>
                              <w:bidi w:val="0"/>
                              <w:spacing w:before="0" w:after="283"/>
                              <w:jc w:val="left"/>
                              <w:rPr/>
                            </w:pPr>
                            <w:hyperlink w:anchor="rtx014050_def14ab002">
                              <w:r>
                                <w:rPr>
                                  <w:rStyle w:val="InternetLink"/>
                                  <w:rFonts w:ascii="Arial;Helvetica;Sans-Serif" w:hAnsi="Arial;Helvetica;Sans-Serif"/>
                                  <w:b w:val="false"/>
                                  <w:i w:val="false"/>
                                  <w:caps w:val="false"/>
                                  <w:smallCaps w:val="false"/>
                                  <w:strike w:val="false"/>
                                  <w:dstrike w:val="false"/>
                                  <w:color w:val="000000"/>
                                  <w:sz w:val="20"/>
                                  <w:u w:val="none"/>
                                  <w:effect w:val="none"/>
                                </w:rPr>
                                <w:t>Shareowner Engagement on Compensation</w:t>
                              </w:r>
                            </w:hyperlink>
                          </w:p>
                        </w:tc>
                        <w:tc>
                          <w:tcPr>
                            <w:tcW w:w="245" w:type="dxa"/>
                            <w:tcBorders/>
                            <w:vAlign w:val="center"/>
                          </w:tcPr>
                          <w:p>
                            <w:pPr>
                              <w:pStyle w:val="TableContents"/>
                              <w:bidi w:val="0"/>
                              <w:spacing w:before="0" w:after="283"/>
                              <w:jc w:val="right"/>
                              <w:rPr/>
                            </w:pPr>
                            <w:hyperlink w:anchor="rtx014050_def14ab002">
                              <w:r>
                                <w:rPr>
                                  <w:rStyle w:val="InternetLink"/>
                                  <w:rFonts w:ascii="Arial;Helvetica;Sans-Serif" w:hAnsi="Arial;Helvetica;Sans-Serif"/>
                                  <w:b w:val="false"/>
                                  <w:i w:val="false"/>
                                  <w:caps w:val="false"/>
                                  <w:smallCaps w:val="false"/>
                                  <w:strike w:val="false"/>
                                  <w:dstrike w:val="false"/>
                                  <w:color w:val="000000"/>
                                  <w:sz w:val="20"/>
                                  <w:u w:val="none"/>
                                  <w:effect w:val="none"/>
                                </w:rPr>
                                <w:t>40</w:t>
                              </w:r>
                            </w:hyperlink>
                          </w:p>
                        </w:tc>
                      </w:tr>
                      <w:tr>
                        <w:trPr/>
                        <w:tc>
                          <w:tcPr>
                            <w:tcW w:w="5210" w:type="dxa"/>
                            <w:tcBorders/>
                            <w:vAlign w:val="center"/>
                          </w:tcPr>
                          <w:p>
                            <w:pPr>
                              <w:pStyle w:val="TableContents"/>
                              <w:bidi w:val="0"/>
                              <w:spacing w:before="0" w:after="283"/>
                              <w:jc w:val="left"/>
                              <w:rPr/>
                            </w:pPr>
                            <w:hyperlink w:anchor="rtx014050_def14ab003">
                              <w:r>
                                <w:rPr>
                                  <w:rStyle w:val="InternetLink"/>
                                  <w:rFonts w:ascii="Arial;Helvetica;Sans-Serif" w:hAnsi="Arial;Helvetica;Sans-Serif"/>
                                  <w:b w:val="false"/>
                                  <w:i w:val="false"/>
                                  <w:caps w:val="false"/>
                                  <w:smallCaps w:val="false"/>
                                  <w:strike w:val="false"/>
                                  <w:dstrike w:val="false"/>
                                  <w:color w:val="000000"/>
                                  <w:sz w:val="20"/>
                                  <w:u w:val="none"/>
                                  <w:effect w:val="none"/>
                                </w:rPr>
                                <w:t>2025 Performance Overview</w:t>
                              </w:r>
                            </w:hyperlink>
                          </w:p>
                        </w:tc>
                        <w:tc>
                          <w:tcPr>
                            <w:tcW w:w="245" w:type="dxa"/>
                            <w:tcBorders/>
                            <w:vAlign w:val="center"/>
                          </w:tcPr>
                          <w:p>
                            <w:pPr>
                              <w:pStyle w:val="TableContents"/>
                              <w:bidi w:val="0"/>
                              <w:spacing w:before="0" w:after="283"/>
                              <w:jc w:val="right"/>
                              <w:rPr/>
                            </w:pPr>
                            <w:hyperlink w:anchor="rtx014050_def14ab003">
                              <w:r>
                                <w:rPr>
                                  <w:rStyle w:val="InternetLink"/>
                                  <w:rFonts w:ascii="Arial;Helvetica;Sans-Serif" w:hAnsi="Arial;Helvetica;Sans-Serif"/>
                                  <w:b w:val="false"/>
                                  <w:i w:val="false"/>
                                  <w:caps w:val="false"/>
                                  <w:smallCaps w:val="false"/>
                                  <w:strike w:val="false"/>
                                  <w:dstrike w:val="false"/>
                                  <w:color w:val="000000"/>
                                  <w:sz w:val="20"/>
                                  <w:u w:val="none"/>
                                  <w:effect w:val="none"/>
                                </w:rPr>
                                <w:t>40</w:t>
                              </w:r>
                            </w:hyperlink>
                          </w:p>
                        </w:tc>
                      </w:tr>
                      <w:tr>
                        <w:trPr/>
                        <w:tc>
                          <w:tcPr>
                            <w:tcW w:w="5210" w:type="dxa"/>
                            <w:tcBorders/>
                            <w:vAlign w:val="center"/>
                          </w:tcPr>
                          <w:p>
                            <w:pPr>
                              <w:pStyle w:val="TableContents"/>
                              <w:bidi w:val="0"/>
                              <w:spacing w:before="0" w:after="283"/>
                              <w:jc w:val="left"/>
                              <w:rPr/>
                            </w:pPr>
                            <w:hyperlink w:anchor="rtx014050_def14ab004">
                              <w:r>
                                <w:rPr>
                                  <w:rStyle w:val="InternetLink"/>
                                  <w:rFonts w:ascii="Arial;Helvetica;Sans-Serif" w:hAnsi="Arial;Helvetica;Sans-Serif"/>
                                  <w:b w:val="false"/>
                                  <w:i w:val="false"/>
                                  <w:caps w:val="false"/>
                                  <w:smallCaps w:val="false"/>
                                  <w:strike w:val="false"/>
                                  <w:dstrike w:val="false"/>
                                  <w:color w:val="000000"/>
                                  <w:sz w:val="20"/>
                                  <w:u w:val="none"/>
                                  <w:effect w:val="none"/>
                                </w:rPr>
                                <w:t>How We Align Pay and Performance</w:t>
                              </w:r>
                            </w:hyperlink>
                          </w:p>
                        </w:tc>
                        <w:tc>
                          <w:tcPr>
                            <w:tcW w:w="245" w:type="dxa"/>
                            <w:tcBorders/>
                            <w:vAlign w:val="center"/>
                          </w:tcPr>
                          <w:p>
                            <w:pPr>
                              <w:pStyle w:val="TableContents"/>
                              <w:bidi w:val="0"/>
                              <w:spacing w:before="0" w:after="283"/>
                              <w:jc w:val="right"/>
                              <w:rPr/>
                            </w:pPr>
                            <w:hyperlink w:anchor="rtx014050_def14ab004">
                              <w:r>
                                <w:rPr>
                                  <w:rStyle w:val="InternetLink"/>
                                  <w:rFonts w:ascii="Arial;Helvetica;Sans-Serif" w:hAnsi="Arial;Helvetica;Sans-Serif"/>
                                  <w:b w:val="false"/>
                                  <w:i w:val="false"/>
                                  <w:caps w:val="false"/>
                                  <w:smallCaps w:val="false"/>
                                  <w:strike w:val="false"/>
                                  <w:dstrike w:val="false"/>
                                  <w:color w:val="000000"/>
                                  <w:sz w:val="20"/>
                                  <w:u w:val="none"/>
                                  <w:effect w:val="none"/>
                                </w:rPr>
                                <w:t>42</w:t>
                              </w:r>
                            </w:hyperlink>
                          </w:p>
                        </w:tc>
                      </w:tr>
                      <w:tr>
                        <w:trPr/>
                        <w:tc>
                          <w:tcPr>
                            <w:tcW w:w="5210" w:type="dxa"/>
                            <w:tcBorders/>
                            <w:vAlign w:val="center"/>
                          </w:tcPr>
                          <w:p>
                            <w:pPr>
                              <w:pStyle w:val="TableContents"/>
                              <w:bidi w:val="0"/>
                              <w:spacing w:before="0" w:after="283"/>
                              <w:jc w:val="left"/>
                              <w:rPr/>
                            </w:pPr>
                            <w:hyperlink w:anchor="rtx014050_def14ab005">
                              <w:r>
                                <w:rPr>
                                  <w:rStyle w:val="InternetLink"/>
                                  <w:rFonts w:ascii="Arial;Helvetica;Sans-Serif" w:hAnsi="Arial;Helvetica;Sans-Serif"/>
                                  <w:b/>
                                  <w:i w:val="false"/>
                                  <w:caps w:val="false"/>
                                  <w:smallCaps w:val="false"/>
                                  <w:strike w:val="false"/>
                                  <w:dstrike w:val="false"/>
                                  <w:color w:val="000000"/>
                                  <w:sz w:val="20"/>
                                  <w:u w:val="none"/>
                                  <w:effect w:val="none"/>
                                </w:rPr>
                                <w:t>How We Make Pay Decisions and Assess</w:t>
                              </w:r>
                            </w:hyperlink>
                            <w:hyperlink w:anchor="rtx014050_def14ab005">
                              <w:r>
                                <w:rPr>
                                  <w:rStyle w:val="InternetLink"/>
                                  <w:caps w:val="false"/>
                                  <w:smallCaps w:val="false"/>
                                  <w:strike w:val="false"/>
                                  <w:dstrike w:val="false"/>
                                  <w:color w:val="000000"/>
                                  <w:sz w:val="24"/>
                                  <w:u w:val="none"/>
                                  <w:effect w:val="none"/>
                                </w:rPr>
                                <w:t xml:space="preserve"> </w:t>
                              </w:r>
                            </w:hyperlink>
                            <w:hyperlink w:anchor="rtx014050_def14ab005">
                              <w:r>
                                <w:rPr>
                                  <w:rStyle w:val="InternetLink"/>
                                  <w:rFonts w:ascii="Arial;Helvetica;Sans-Serif" w:hAnsi="Arial;Helvetica;Sans-Serif"/>
                                  <w:b/>
                                  <w:i w:val="false"/>
                                  <w:caps w:val="false"/>
                                  <w:smallCaps w:val="false"/>
                                  <w:strike w:val="false"/>
                                  <w:dstrike w:val="false"/>
                                  <w:color w:val="000000"/>
                                  <w:sz w:val="20"/>
                                  <w:u w:val="none"/>
                                  <w:effect w:val="none"/>
                                </w:rPr>
                                <w:t>Our</w:t>
                              </w:r>
                            </w:hyperlink>
                            <w:hyperlink w:anchor="rtx014050_def14ab005">
                              <w:r>
                                <w:rPr>
                                  <w:rStyle w:val="InternetLink"/>
                                  <w:rFonts w:ascii="Arial;Helvetica;Sans-Serif" w:hAnsi="Arial;Helvetica;Sans-Serif"/>
                                  <w:b w:val="false"/>
                                  <w:i w:val="false"/>
                                  <w:caps w:val="false"/>
                                  <w:smallCaps w:val="false"/>
                                  <w:strike w:val="false"/>
                                  <w:dstrike w:val="false"/>
                                  <w:color w:val="000000"/>
                                  <w:sz w:val="20"/>
                                  <w:u w:val="none"/>
                                  <w:effect w:val="none"/>
                                </w:rPr>
                                <w:t> </w:t>
                              </w:r>
                            </w:hyperlink>
                            <w:hyperlink w:anchor="rtx014050_def14ab005">
                              <w:r>
                                <w:rPr>
                                  <w:rStyle w:val="InternetLink"/>
                                  <w:rFonts w:ascii="Arial;Helvetica;Sans-Serif" w:hAnsi="Arial;Helvetica;Sans-Serif"/>
                                  <w:b/>
                                  <w:i w:val="false"/>
                                  <w:caps w:val="false"/>
                                  <w:smallCaps w:val="false"/>
                                  <w:strike w:val="false"/>
                                  <w:dstrike w:val="false"/>
                                  <w:color w:val="000000"/>
                                  <w:sz w:val="20"/>
                                  <w:u w:val="none"/>
                                  <w:effect w:val="none"/>
                                </w:rPr>
                                <w:t>Programs</w:t>
                              </w:r>
                            </w:hyperlink>
                          </w:p>
                        </w:tc>
                        <w:tc>
                          <w:tcPr>
                            <w:tcW w:w="245" w:type="dxa"/>
                            <w:tcBorders/>
                            <w:vAlign w:val="center"/>
                          </w:tcPr>
                          <w:p>
                            <w:pPr>
                              <w:pStyle w:val="TableContents"/>
                              <w:bidi w:val="0"/>
                              <w:spacing w:before="0" w:after="283"/>
                              <w:jc w:val="right"/>
                              <w:rPr/>
                            </w:pPr>
                            <w:hyperlink w:anchor="rtx014050_def14ab005">
                              <w:r>
                                <w:rPr>
                                  <w:rStyle w:val="InternetLink"/>
                                  <w:rFonts w:ascii="Arial;Helvetica;Sans-Serif" w:hAnsi="Arial;Helvetica;Sans-Serif"/>
                                  <w:b w:val="false"/>
                                  <w:i w:val="false"/>
                                  <w:caps w:val="false"/>
                                  <w:smallCaps w:val="false"/>
                                  <w:strike w:val="false"/>
                                  <w:dstrike w:val="false"/>
                                  <w:color w:val="000000"/>
                                  <w:sz w:val="20"/>
                                  <w:u w:val="none"/>
                                  <w:effect w:val="none"/>
                                </w:rPr>
                                <w:t>44</w:t>
                              </w:r>
                            </w:hyperlink>
                          </w:p>
                        </w:tc>
                      </w:tr>
                      <w:tr>
                        <w:trPr/>
                        <w:tc>
                          <w:tcPr>
                            <w:tcW w:w="5210" w:type="dxa"/>
                            <w:tcBorders/>
                            <w:vAlign w:val="center"/>
                          </w:tcPr>
                          <w:p>
                            <w:pPr>
                              <w:pStyle w:val="TableContents"/>
                              <w:bidi w:val="0"/>
                              <w:spacing w:before="0" w:after="283"/>
                              <w:jc w:val="left"/>
                              <w:rPr/>
                            </w:pPr>
                            <w:hyperlink w:anchor="rtx014050_def14ab006">
                              <w:r>
                                <w:rPr>
                                  <w:rStyle w:val="InternetLink"/>
                                  <w:rFonts w:ascii="Arial;Helvetica;Sans-Serif" w:hAnsi="Arial;Helvetica;Sans-Serif"/>
                                  <w:b w:val="false"/>
                                  <w:i w:val="false"/>
                                  <w:caps w:val="false"/>
                                  <w:smallCaps w:val="false"/>
                                  <w:strike w:val="false"/>
                                  <w:dstrike w:val="false"/>
                                  <w:color w:val="000000"/>
                                  <w:sz w:val="20"/>
                                  <w:u w:val="none"/>
                                  <w:effect w:val="none"/>
                                </w:rPr>
                                <w:t>Roles and Responsibilities</w:t>
                              </w:r>
                            </w:hyperlink>
                          </w:p>
                        </w:tc>
                        <w:tc>
                          <w:tcPr>
                            <w:tcW w:w="245" w:type="dxa"/>
                            <w:tcBorders/>
                            <w:vAlign w:val="center"/>
                          </w:tcPr>
                          <w:p>
                            <w:pPr>
                              <w:pStyle w:val="TableContents"/>
                              <w:bidi w:val="0"/>
                              <w:spacing w:before="0" w:after="283"/>
                              <w:jc w:val="right"/>
                              <w:rPr/>
                            </w:pPr>
                            <w:hyperlink w:anchor="rtx014050_def14ab006">
                              <w:r>
                                <w:rPr>
                                  <w:rStyle w:val="InternetLink"/>
                                  <w:rFonts w:ascii="Arial;Helvetica;Sans-Serif" w:hAnsi="Arial;Helvetica;Sans-Serif"/>
                                  <w:b w:val="false"/>
                                  <w:i w:val="false"/>
                                  <w:caps w:val="false"/>
                                  <w:smallCaps w:val="false"/>
                                  <w:strike w:val="false"/>
                                  <w:dstrike w:val="false"/>
                                  <w:color w:val="000000"/>
                                  <w:sz w:val="20"/>
                                  <w:u w:val="none"/>
                                  <w:effect w:val="none"/>
                                </w:rPr>
                                <w:t>44</w:t>
                              </w:r>
                            </w:hyperlink>
                          </w:p>
                        </w:tc>
                      </w:tr>
                      <w:tr>
                        <w:trPr/>
                        <w:tc>
                          <w:tcPr>
                            <w:tcW w:w="5210" w:type="dxa"/>
                            <w:tcBorders/>
                            <w:vAlign w:val="center"/>
                          </w:tcPr>
                          <w:p>
                            <w:pPr>
                              <w:pStyle w:val="TableContents"/>
                              <w:bidi w:val="0"/>
                              <w:spacing w:before="0" w:after="283"/>
                              <w:jc w:val="left"/>
                              <w:rPr/>
                            </w:pPr>
                            <w:hyperlink w:anchor="rtx014050_def14ab007">
                              <w:r>
                                <w:rPr>
                                  <w:rStyle w:val="InternetLink"/>
                                  <w:rFonts w:ascii="Arial;Helvetica;Sans-Serif" w:hAnsi="Arial;Helvetica;Sans-Serif"/>
                                  <w:b w:val="false"/>
                                  <w:i w:val="false"/>
                                  <w:caps w:val="false"/>
                                  <w:smallCaps w:val="false"/>
                                  <w:strike w:val="false"/>
                                  <w:dstrike w:val="false"/>
                                  <w:color w:val="000000"/>
                                  <w:sz w:val="20"/>
                                  <w:u w:val="none"/>
                                  <w:effect w:val="none"/>
                                </w:rPr>
                                <w:t>2025 Independent Consultant Engagement</w:t>
                              </w:r>
                            </w:hyperlink>
                          </w:p>
                        </w:tc>
                        <w:tc>
                          <w:tcPr>
                            <w:tcW w:w="245" w:type="dxa"/>
                            <w:tcBorders/>
                            <w:vAlign w:val="center"/>
                          </w:tcPr>
                          <w:p>
                            <w:pPr>
                              <w:pStyle w:val="TableContents"/>
                              <w:bidi w:val="0"/>
                              <w:spacing w:before="0" w:after="283"/>
                              <w:jc w:val="right"/>
                              <w:rPr/>
                            </w:pPr>
                            <w:hyperlink w:anchor="rtx014050_def14ab007">
                              <w:r>
                                <w:rPr>
                                  <w:rStyle w:val="InternetLink"/>
                                  <w:rFonts w:ascii="Arial;Helvetica;Sans-Serif" w:hAnsi="Arial;Helvetica;Sans-Serif"/>
                                  <w:b w:val="false"/>
                                  <w:i w:val="false"/>
                                  <w:caps w:val="false"/>
                                  <w:smallCaps w:val="false"/>
                                  <w:strike w:val="false"/>
                                  <w:dstrike w:val="false"/>
                                  <w:color w:val="000000"/>
                                  <w:sz w:val="20"/>
                                  <w:u w:val="none"/>
                                  <w:effect w:val="none"/>
                                </w:rPr>
                                <w:t>45</w:t>
                              </w:r>
                            </w:hyperlink>
                          </w:p>
                        </w:tc>
                      </w:tr>
                      <w:tr>
                        <w:trPr/>
                        <w:tc>
                          <w:tcPr>
                            <w:tcW w:w="5210" w:type="dxa"/>
                            <w:tcBorders/>
                            <w:vAlign w:val="center"/>
                          </w:tcPr>
                          <w:p>
                            <w:pPr>
                              <w:pStyle w:val="TableContents"/>
                              <w:bidi w:val="0"/>
                              <w:spacing w:before="0" w:after="283"/>
                              <w:jc w:val="left"/>
                              <w:rPr/>
                            </w:pPr>
                            <w:hyperlink w:anchor="rtx014050_def14ab008">
                              <w:r>
                                <w:rPr>
                                  <w:rStyle w:val="InternetLink"/>
                                  <w:rFonts w:ascii="Arial;Helvetica;Sans-Serif" w:hAnsi="Arial;Helvetica;Sans-Serif"/>
                                  <w:b w:val="false"/>
                                  <w:i w:val="false"/>
                                  <w:caps w:val="false"/>
                                  <w:smallCaps w:val="false"/>
                                  <w:strike w:val="false"/>
                                  <w:dstrike w:val="false"/>
                                  <w:color w:val="000000"/>
                                  <w:sz w:val="20"/>
                                  <w:u w:val="none"/>
                                  <w:effect w:val="none"/>
                                </w:rPr>
                                <w:t>Our Compensation Peer Group and Use of Market</w:t>
                              </w:r>
                            </w:hyperlink>
                            <w:hyperlink w:anchor="rtx014050_def14ab008">
                              <w:r>
                                <w:rPr>
                                  <w:rStyle w:val="InternetLink"/>
                                  <w:caps w:val="false"/>
                                  <w:smallCaps w:val="false"/>
                                  <w:strike w:val="false"/>
                                  <w:dstrike w:val="false"/>
                                  <w:color w:val="000000"/>
                                  <w:sz w:val="24"/>
                                  <w:u w:val="none"/>
                                  <w:effect w:val="none"/>
                                </w:rPr>
                                <w:t xml:space="preserve"> </w:t>
                              </w:r>
                            </w:hyperlink>
                            <w:hyperlink w:anchor="rtx014050_def14ab008">
                              <w:r>
                                <w:rPr>
                                  <w:rStyle w:val="InternetLink"/>
                                  <w:rFonts w:ascii="Arial;Helvetica;Sans-Serif" w:hAnsi="Arial;Helvetica;Sans-Serif"/>
                                  <w:b w:val="false"/>
                                  <w:i w:val="false"/>
                                  <w:caps w:val="false"/>
                                  <w:smallCaps w:val="false"/>
                                  <w:strike w:val="false"/>
                                  <w:dstrike w:val="false"/>
                                  <w:color w:val="000000"/>
                                  <w:sz w:val="20"/>
                                  <w:u w:val="none"/>
                                  <w:effect w:val="none"/>
                                </w:rPr>
                                <w:t>Data</w:t>
                              </w:r>
                            </w:hyperlink>
                          </w:p>
                        </w:tc>
                        <w:tc>
                          <w:tcPr>
                            <w:tcW w:w="245" w:type="dxa"/>
                            <w:tcBorders/>
                            <w:vAlign w:val="center"/>
                          </w:tcPr>
                          <w:p>
                            <w:pPr>
                              <w:pStyle w:val="TableContents"/>
                              <w:bidi w:val="0"/>
                              <w:spacing w:before="0" w:after="283"/>
                              <w:jc w:val="right"/>
                              <w:rPr/>
                            </w:pPr>
                            <w:hyperlink w:anchor="rtx014050_def14ab008">
                              <w:r>
                                <w:rPr>
                                  <w:rStyle w:val="InternetLink"/>
                                  <w:rFonts w:ascii="Arial;Helvetica;Sans-Serif" w:hAnsi="Arial;Helvetica;Sans-Serif"/>
                                  <w:b w:val="false"/>
                                  <w:i w:val="false"/>
                                  <w:caps w:val="false"/>
                                  <w:smallCaps w:val="false"/>
                                  <w:strike w:val="false"/>
                                  <w:dstrike w:val="false"/>
                                  <w:color w:val="000000"/>
                                  <w:sz w:val="20"/>
                                  <w:u w:val="none"/>
                                  <w:effect w:val="none"/>
                                </w:rPr>
                                <w:t>45</w:t>
                              </w:r>
                            </w:hyperlink>
                          </w:p>
                        </w:tc>
                      </w:tr>
                      <w:tr>
                        <w:trPr/>
                        <w:tc>
                          <w:tcPr>
                            <w:tcW w:w="5210" w:type="dxa"/>
                            <w:tcBorders/>
                            <w:vAlign w:val="center"/>
                          </w:tcPr>
                          <w:p>
                            <w:pPr>
                              <w:pStyle w:val="TableContents"/>
                              <w:bidi w:val="0"/>
                              <w:spacing w:before="0" w:after="283"/>
                              <w:jc w:val="left"/>
                              <w:rPr/>
                            </w:pPr>
                            <w:hyperlink w:anchor="rtx014050_def14ab009">
                              <w:r>
                                <w:rPr>
                                  <w:rStyle w:val="InternetLink"/>
                                  <w:rFonts w:ascii="Arial;Helvetica;Sans-Serif" w:hAnsi="Arial;Helvetica;Sans-Serif"/>
                                  <w:b/>
                                  <w:i w:val="false"/>
                                  <w:caps w:val="false"/>
                                  <w:smallCaps w:val="false"/>
                                  <w:strike w:val="false"/>
                                  <w:dstrike w:val="false"/>
                                  <w:color w:val="000000"/>
                                  <w:sz w:val="20"/>
                                  <w:u w:val="none"/>
                                  <w:effect w:val="none"/>
                                </w:rPr>
                                <w:t>2025 Principal Elements of Compensation</w:t>
                              </w:r>
                            </w:hyperlink>
                          </w:p>
                        </w:tc>
                        <w:tc>
                          <w:tcPr>
                            <w:tcW w:w="245" w:type="dxa"/>
                            <w:tcBorders/>
                            <w:vAlign w:val="center"/>
                          </w:tcPr>
                          <w:p>
                            <w:pPr>
                              <w:pStyle w:val="TableContents"/>
                              <w:bidi w:val="0"/>
                              <w:spacing w:before="0" w:after="283"/>
                              <w:jc w:val="right"/>
                              <w:rPr/>
                            </w:pPr>
                            <w:hyperlink w:anchor="rtx014050_def14ab009">
                              <w:r>
                                <w:rPr>
                                  <w:rStyle w:val="InternetLink"/>
                                  <w:rFonts w:ascii="Arial;Helvetica;Sans-Serif" w:hAnsi="Arial;Helvetica;Sans-Serif"/>
                                  <w:b w:val="false"/>
                                  <w:i w:val="false"/>
                                  <w:caps w:val="false"/>
                                  <w:smallCaps w:val="false"/>
                                  <w:strike w:val="false"/>
                                  <w:dstrike w:val="false"/>
                                  <w:color w:val="000000"/>
                                  <w:sz w:val="20"/>
                                  <w:u w:val="none"/>
                                  <w:effect w:val="none"/>
                                </w:rPr>
                                <w:t>47</w:t>
                              </w:r>
                            </w:hyperlink>
                          </w:p>
                        </w:tc>
                      </w:tr>
                      <w:tr>
                        <w:trPr/>
                        <w:tc>
                          <w:tcPr>
                            <w:tcW w:w="5210" w:type="dxa"/>
                            <w:tcBorders/>
                            <w:vAlign w:val="center"/>
                          </w:tcPr>
                          <w:p>
                            <w:pPr>
                              <w:pStyle w:val="TableContents"/>
                              <w:bidi w:val="0"/>
                              <w:spacing w:before="0" w:after="283"/>
                              <w:jc w:val="left"/>
                              <w:rPr/>
                            </w:pPr>
                            <w:hyperlink w:anchor="rtx014050_def14ab010">
                              <w:r>
                                <w:rPr>
                                  <w:rStyle w:val="InternetLink"/>
                                  <w:rFonts w:ascii="Arial;Helvetica;Sans-Serif" w:hAnsi="Arial;Helvetica;Sans-Serif"/>
                                  <w:b w:val="false"/>
                                  <w:i w:val="false"/>
                                  <w:caps w:val="false"/>
                                  <w:smallCaps w:val="false"/>
                                  <w:strike w:val="false"/>
                                  <w:dstrike w:val="false"/>
                                  <w:color w:val="000000"/>
                                  <w:sz w:val="20"/>
                                  <w:u w:val="none"/>
                                  <w:effect w:val="none"/>
                                </w:rPr>
                                <w:t>Base Salary</w:t>
                              </w:r>
                            </w:hyperlink>
                          </w:p>
                        </w:tc>
                        <w:tc>
                          <w:tcPr>
                            <w:tcW w:w="245" w:type="dxa"/>
                            <w:tcBorders/>
                            <w:vAlign w:val="center"/>
                          </w:tcPr>
                          <w:p>
                            <w:pPr>
                              <w:pStyle w:val="TableContents"/>
                              <w:bidi w:val="0"/>
                              <w:spacing w:before="0" w:after="283"/>
                              <w:jc w:val="right"/>
                              <w:rPr/>
                            </w:pPr>
                            <w:hyperlink w:anchor="rtx014050_def14ab010">
                              <w:r>
                                <w:rPr>
                                  <w:rStyle w:val="InternetLink"/>
                                  <w:rFonts w:ascii="Arial;Helvetica;Sans-Serif" w:hAnsi="Arial;Helvetica;Sans-Serif"/>
                                  <w:b w:val="false"/>
                                  <w:i w:val="false"/>
                                  <w:caps w:val="false"/>
                                  <w:smallCaps w:val="false"/>
                                  <w:strike w:val="false"/>
                                  <w:dstrike w:val="false"/>
                                  <w:color w:val="000000"/>
                                  <w:sz w:val="20"/>
                                  <w:u w:val="none"/>
                                  <w:effect w:val="none"/>
                                </w:rPr>
                                <w:t>47</w:t>
                              </w:r>
                            </w:hyperlink>
                          </w:p>
                        </w:tc>
                      </w:tr>
                      <w:tr>
                        <w:trPr/>
                        <w:tc>
                          <w:tcPr>
                            <w:tcW w:w="5210" w:type="dxa"/>
                            <w:tcBorders/>
                            <w:vAlign w:val="center"/>
                          </w:tcPr>
                          <w:p>
                            <w:pPr>
                              <w:pStyle w:val="TableContents"/>
                              <w:bidi w:val="0"/>
                              <w:spacing w:before="0" w:after="283"/>
                              <w:jc w:val="left"/>
                              <w:rPr/>
                            </w:pPr>
                            <w:hyperlink w:anchor="rtx014050_def14ab011">
                              <w:r>
                                <w:rPr>
                                  <w:rStyle w:val="InternetLink"/>
                                  <w:rFonts w:ascii="Arial;Helvetica;Sans-Serif" w:hAnsi="Arial;Helvetica;Sans-Serif"/>
                                  <w:b w:val="false"/>
                                  <w:i w:val="false"/>
                                  <w:caps w:val="false"/>
                                  <w:smallCaps w:val="false"/>
                                  <w:strike w:val="false"/>
                                  <w:dstrike w:val="false"/>
                                  <w:color w:val="000000"/>
                                  <w:sz w:val="20"/>
                                  <w:u w:val="none"/>
                                  <w:effect w:val="none"/>
                                </w:rPr>
                                <w:t>Annual Incentive Awards</w:t>
                              </w:r>
                            </w:hyperlink>
                          </w:p>
                        </w:tc>
                        <w:tc>
                          <w:tcPr>
                            <w:tcW w:w="245" w:type="dxa"/>
                            <w:tcBorders/>
                            <w:vAlign w:val="center"/>
                          </w:tcPr>
                          <w:p>
                            <w:pPr>
                              <w:pStyle w:val="TableContents"/>
                              <w:bidi w:val="0"/>
                              <w:spacing w:before="0" w:after="283"/>
                              <w:jc w:val="right"/>
                              <w:rPr/>
                            </w:pPr>
                            <w:hyperlink w:anchor="rtx014050_def14ab011">
                              <w:r>
                                <w:rPr>
                                  <w:rStyle w:val="InternetLink"/>
                                  <w:rFonts w:ascii="Arial;Helvetica;Sans-Serif" w:hAnsi="Arial;Helvetica;Sans-Serif"/>
                                  <w:b w:val="false"/>
                                  <w:i w:val="false"/>
                                  <w:caps w:val="false"/>
                                  <w:smallCaps w:val="false"/>
                                  <w:strike w:val="false"/>
                                  <w:dstrike w:val="false"/>
                                  <w:color w:val="000000"/>
                                  <w:sz w:val="20"/>
                                  <w:u w:val="none"/>
                                  <w:effect w:val="none"/>
                                </w:rPr>
                                <w:t>47</w:t>
                              </w:r>
                            </w:hyperlink>
                          </w:p>
                        </w:tc>
                      </w:tr>
                      <w:tr>
                        <w:trPr/>
                        <w:tc>
                          <w:tcPr>
                            <w:tcW w:w="5210" w:type="dxa"/>
                            <w:tcBorders/>
                            <w:vAlign w:val="center"/>
                          </w:tcPr>
                          <w:p>
                            <w:pPr>
                              <w:pStyle w:val="TableContents"/>
                              <w:bidi w:val="0"/>
                              <w:spacing w:before="0" w:after="283"/>
                              <w:jc w:val="left"/>
                              <w:rPr/>
                            </w:pPr>
                            <w:hyperlink w:anchor="rtx014050_def14ab012">
                              <w:r>
                                <w:rPr>
                                  <w:rStyle w:val="InternetLink"/>
                                  <w:rFonts w:ascii="Arial;Helvetica;Sans-Serif" w:hAnsi="Arial;Helvetica;Sans-Serif"/>
                                  <w:b w:val="false"/>
                                  <w:i w:val="false"/>
                                  <w:caps w:val="false"/>
                                  <w:smallCaps w:val="false"/>
                                  <w:strike w:val="false"/>
                                  <w:dstrike w:val="false"/>
                                  <w:color w:val="000000"/>
                                  <w:sz w:val="20"/>
                                  <w:u w:val="none"/>
                                  <w:effect w:val="none"/>
                                </w:rPr>
                                <w:t>LTI Awards</w:t>
                              </w:r>
                            </w:hyperlink>
                          </w:p>
                        </w:tc>
                        <w:tc>
                          <w:tcPr>
                            <w:tcW w:w="245" w:type="dxa"/>
                            <w:tcBorders/>
                            <w:vAlign w:val="center"/>
                          </w:tcPr>
                          <w:p>
                            <w:pPr>
                              <w:pStyle w:val="TableContents"/>
                              <w:bidi w:val="0"/>
                              <w:spacing w:before="0" w:after="283"/>
                              <w:jc w:val="right"/>
                              <w:rPr/>
                            </w:pPr>
                            <w:hyperlink w:anchor="rtx014050_def14ab012">
                              <w:r>
                                <w:rPr>
                                  <w:rStyle w:val="InternetLink"/>
                                  <w:rFonts w:ascii="Arial;Helvetica;Sans-Serif" w:hAnsi="Arial;Helvetica;Sans-Serif"/>
                                  <w:b w:val="false"/>
                                  <w:i w:val="false"/>
                                  <w:caps w:val="false"/>
                                  <w:smallCaps w:val="false"/>
                                  <w:strike w:val="false"/>
                                  <w:dstrike w:val="false"/>
                                  <w:color w:val="000000"/>
                                  <w:sz w:val="20"/>
                                  <w:u w:val="none"/>
                                  <w:effect w:val="none"/>
                                </w:rPr>
                                <w:t>50</w:t>
                              </w:r>
                            </w:hyperlink>
                          </w:p>
                        </w:tc>
                      </w:tr>
                      <w:tr>
                        <w:trPr/>
                        <w:tc>
                          <w:tcPr>
                            <w:tcW w:w="5210" w:type="dxa"/>
                            <w:tcBorders/>
                            <w:vAlign w:val="center"/>
                          </w:tcPr>
                          <w:p>
                            <w:pPr>
                              <w:pStyle w:val="TableContents"/>
                              <w:bidi w:val="0"/>
                              <w:spacing w:before="0" w:after="283"/>
                              <w:jc w:val="left"/>
                              <w:rPr/>
                            </w:pPr>
                            <w:hyperlink w:anchor="rtx014050_def14ab013">
                              <w:r>
                                <w:rPr>
                                  <w:rStyle w:val="InternetLink"/>
                                  <w:rFonts w:ascii="Arial;Helvetica;Sans-Serif" w:hAnsi="Arial;Helvetica;Sans-Serif"/>
                                  <w:b/>
                                  <w:i w:val="false"/>
                                  <w:caps w:val="false"/>
                                  <w:smallCaps w:val="false"/>
                                  <w:strike w:val="false"/>
                                  <w:dstrike w:val="false"/>
                                  <w:color w:val="000000"/>
                                  <w:sz w:val="20"/>
                                  <w:u w:val="none"/>
                                  <w:effect w:val="none"/>
                                </w:rPr>
                                <w:t>2025 CEO Pay Decisions</w:t>
                              </w:r>
                            </w:hyperlink>
                          </w:p>
                        </w:tc>
                        <w:tc>
                          <w:tcPr>
                            <w:tcW w:w="245" w:type="dxa"/>
                            <w:tcBorders/>
                            <w:vAlign w:val="center"/>
                          </w:tcPr>
                          <w:p>
                            <w:pPr>
                              <w:pStyle w:val="TableContents"/>
                              <w:bidi w:val="0"/>
                              <w:spacing w:before="0" w:after="283"/>
                              <w:jc w:val="right"/>
                              <w:rPr/>
                            </w:pPr>
                            <w:hyperlink w:anchor="rtx014050_def14ab013">
                              <w:r>
                                <w:rPr>
                                  <w:rStyle w:val="InternetLink"/>
                                  <w:rFonts w:ascii="Arial;Helvetica;Sans-Serif" w:hAnsi="Arial;Helvetica;Sans-Serif"/>
                                  <w:b w:val="false"/>
                                  <w:i w:val="false"/>
                                  <w:caps w:val="false"/>
                                  <w:smallCaps w:val="false"/>
                                  <w:strike w:val="false"/>
                                  <w:dstrike w:val="false"/>
                                  <w:color w:val="000000"/>
                                  <w:sz w:val="20"/>
                                  <w:u w:val="none"/>
                                  <w:effect w:val="none"/>
                                </w:rPr>
                                <w:t>52</w:t>
                              </w:r>
                            </w:hyperlink>
                          </w:p>
                        </w:tc>
                      </w:tr>
                      <w:tr>
                        <w:trPr/>
                        <w:tc>
                          <w:tcPr>
                            <w:tcW w:w="5210" w:type="dxa"/>
                            <w:tcBorders/>
                            <w:vAlign w:val="center"/>
                          </w:tcPr>
                          <w:p>
                            <w:pPr>
                              <w:pStyle w:val="TableContents"/>
                              <w:bidi w:val="0"/>
                              <w:spacing w:before="0" w:after="283"/>
                              <w:jc w:val="left"/>
                              <w:rPr/>
                            </w:pPr>
                            <w:hyperlink w:anchor="rtx014050_def14ab014">
                              <w:r>
                                <w:rPr>
                                  <w:rStyle w:val="InternetLink"/>
                                  <w:rFonts w:ascii="Arial;Helvetica;Sans-Serif" w:hAnsi="Arial;Helvetica;Sans-Serif"/>
                                  <w:b/>
                                  <w:i w:val="false"/>
                                  <w:caps w:val="false"/>
                                  <w:smallCaps w:val="false"/>
                                  <w:strike w:val="false"/>
                                  <w:dstrike w:val="false"/>
                                  <w:color w:val="000000"/>
                                  <w:sz w:val="20"/>
                                  <w:u w:val="none"/>
                                  <w:effect w:val="none"/>
                                </w:rPr>
                                <w:t>2025 Pay Decisions for Other NEOs</w:t>
                              </w:r>
                            </w:hyperlink>
                          </w:p>
                        </w:tc>
                        <w:tc>
                          <w:tcPr>
                            <w:tcW w:w="245" w:type="dxa"/>
                            <w:tcBorders/>
                            <w:vAlign w:val="center"/>
                          </w:tcPr>
                          <w:p>
                            <w:pPr>
                              <w:pStyle w:val="TableContents"/>
                              <w:bidi w:val="0"/>
                              <w:spacing w:before="0" w:after="283"/>
                              <w:jc w:val="right"/>
                              <w:rPr/>
                            </w:pPr>
                            <w:hyperlink w:anchor="rtx014050_def14ab014">
                              <w:r>
                                <w:rPr>
                                  <w:rStyle w:val="InternetLink"/>
                                  <w:rFonts w:ascii="Arial;Helvetica;Sans-Serif" w:hAnsi="Arial;Helvetica;Sans-Serif"/>
                                  <w:b w:val="false"/>
                                  <w:i w:val="false"/>
                                  <w:caps w:val="false"/>
                                  <w:smallCaps w:val="false"/>
                                  <w:strike w:val="false"/>
                                  <w:dstrike w:val="false"/>
                                  <w:color w:val="000000"/>
                                  <w:sz w:val="20"/>
                                  <w:u w:val="none"/>
                                  <w:effect w:val="none"/>
                                </w:rPr>
                                <w:t>54</w:t>
                              </w:r>
                            </w:hyperlink>
                          </w:p>
                        </w:tc>
                      </w:tr>
                      <w:tr>
                        <w:trPr/>
                        <w:tc>
                          <w:tcPr>
                            <w:tcW w:w="5210" w:type="dxa"/>
                            <w:tcBorders/>
                            <w:vAlign w:val="center"/>
                          </w:tcPr>
                          <w:p>
                            <w:pPr>
                              <w:pStyle w:val="TableContents"/>
                              <w:bidi w:val="0"/>
                              <w:spacing w:before="0" w:after="283"/>
                              <w:jc w:val="left"/>
                              <w:rPr/>
                            </w:pPr>
                            <w:hyperlink w:anchor="rtx014050_def14ab015">
                              <w:r>
                                <w:rPr>
                                  <w:rStyle w:val="InternetLink"/>
                                  <w:rFonts w:ascii="Arial;Helvetica;Sans-Serif" w:hAnsi="Arial;Helvetica;Sans-Serif"/>
                                  <w:b/>
                                  <w:i w:val="false"/>
                                  <w:caps w:val="false"/>
                                  <w:smallCaps w:val="false"/>
                                  <w:strike w:val="false"/>
                                  <w:dstrike w:val="false"/>
                                  <w:color w:val="000000"/>
                                  <w:sz w:val="20"/>
                                  <w:u w:val="none"/>
                                  <w:effect w:val="none"/>
                                </w:rPr>
                                <w:t>Other Compensation Elements</w:t>
                              </w:r>
                            </w:hyperlink>
                          </w:p>
                        </w:tc>
                        <w:tc>
                          <w:tcPr>
                            <w:tcW w:w="245" w:type="dxa"/>
                            <w:tcBorders/>
                            <w:vAlign w:val="center"/>
                          </w:tcPr>
                          <w:p>
                            <w:pPr>
                              <w:pStyle w:val="TableContents"/>
                              <w:bidi w:val="0"/>
                              <w:spacing w:before="0" w:after="283"/>
                              <w:jc w:val="right"/>
                              <w:rPr/>
                            </w:pPr>
                            <w:hyperlink w:anchor="rtx014050_def14ab015">
                              <w:r>
                                <w:rPr>
                                  <w:rStyle w:val="InternetLink"/>
                                  <w:rFonts w:ascii="Arial;Helvetica;Sans-Serif" w:hAnsi="Arial;Helvetica;Sans-Serif"/>
                                  <w:b w:val="false"/>
                                  <w:i w:val="false"/>
                                  <w:caps w:val="false"/>
                                  <w:smallCaps w:val="false"/>
                                  <w:strike w:val="false"/>
                                  <w:dstrike w:val="false"/>
                                  <w:color w:val="000000"/>
                                  <w:sz w:val="20"/>
                                  <w:u w:val="none"/>
                                  <w:effect w:val="none"/>
                                </w:rPr>
                                <w:t>58</w:t>
                              </w:r>
                            </w:hyperlink>
                          </w:p>
                        </w:tc>
                      </w:tr>
                      <w:tr>
                        <w:trPr/>
                        <w:tc>
                          <w:tcPr>
                            <w:tcW w:w="5210" w:type="dxa"/>
                            <w:tcBorders/>
                            <w:vAlign w:val="center"/>
                          </w:tcPr>
                          <w:p>
                            <w:pPr>
                              <w:pStyle w:val="TableContents"/>
                              <w:bidi w:val="0"/>
                              <w:spacing w:before="0" w:after="283"/>
                              <w:jc w:val="left"/>
                              <w:rPr/>
                            </w:pPr>
                            <w:hyperlink w:anchor="rtx014050_def14ab016">
                              <w:r>
                                <w:rPr>
                                  <w:rStyle w:val="InternetLink"/>
                                  <w:rFonts w:ascii="Arial;Helvetica;Sans-Serif" w:hAnsi="Arial;Helvetica;Sans-Serif"/>
                                  <w:b w:val="false"/>
                                  <w:i w:val="false"/>
                                  <w:caps w:val="false"/>
                                  <w:smallCaps w:val="false"/>
                                  <w:strike w:val="false"/>
                                  <w:dstrike w:val="false"/>
                                  <w:color w:val="000000"/>
                                  <w:sz w:val="20"/>
                                  <w:u w:val="none"/>
                                  <w:effect w:val="none"/>
                                </w:rPr>
                                <w:t>Retirement and Deferred Compensation Benefits</w:t>
                              </w:r>
                            </w:hyperlink>
                          </w:p>
                        </w:tc>
                        <w:tc>
                          <w:tcPr>
                            <w:tcW w:w="245" w:type="dxa"/>
                            <w:tcBorders/>
                            <w:vAlign w:val="center"/>
                          </w:tcPr>
                          <w:p>
                            <w:pPr>
                              <w:pStyle w:val="TableContents"/>
                              <w:bidi w:val="0"/>
                              <w:spacing w:before="0" w:after="283"/>
                              <w:jc w:val="right"/>
                              <w:rPr/>
                            </w:pPr>
                            <w:hyperlink w:anchor="rtx014050_def14ab016">
                              <w:r>
                                <w:rPr>
                                  <w:rStyle w:val="InternetLink"/>
                                  <w:rFonts w:ascii="Arial;Helvetica;Sans-Serif" w:hAnsi="Arial;Helvetica;Sans-Serif"/>
                                  <w:b w:val="false"/>
                                  <w:i w:val="false"/>
                                  <w:caps w:val="false"/>
                                  <w:smallCaps w:val="false"/>
                                  <w:strike w:val="false"/>
                                  <w:dstrike w:val="false"/>
                                  <w:color w:val="000000"/>
                                  <w:sz w:val="20"/>
                                  <w:u w:val="none"/>
                                  <w:effect w:val="none"/>
                                </w:rPr>
                                <w:t>58</w:t>
                              </w:r>
                            </w:hyperlink>
                          </w:p>
                        </w:tc>
                      </w:tr>
                      <w:tr>
                        <w:trPr/>
                        <w:tc>
                          <w:tcPr>
                            <w:tcW w:w="5210" w:type="dxa"/>
                            <w:tcBorders/>
                            <w:vAlign w:val="center"/>
                          </w:tcPr>
                          <w:p>
                            <w:pPr>
                              <w:pStyle w:val="TableContents"/>
                              <w:bidi w:val="0"/>
                              <w:spacing w:before="0" w:after="283"/>
                              <w:jc w:val="left"/>
                              <w:rPr/>
                            </w:pPr>
                            <w:hyperlink w:anchor="rtx014050_def14ab017">
                              <w:r>
                                <w:rPr>
                                  <w:rStyle w:val="InternetLink"/>
                                  <w:rFonts w:ascii="Arial;Helvetica;Sans-Serif" w:hAnsi="Arial;Helvetica;Sans-Serif"/>
                                  <w:b w:val="false"/>
                                  <w:i w:val="false"/>
                                  <w:caps w:val="false"/>
                                  <w:smallCaps w:val="false"/>
                                  <w:strike w:val="false"/>
                                  <w:dstrike w:val="false"/>
                                  <w:color w:val="000000"/>
                                  <w:sz w:val="20"/>
                                  <w:u w:val="none"/>
                                  <w:effect w:val="none"/>
                                </w:rPr>
                                <w:t>Perquisites and Other Benefits</w:t>
                              </w:r>
                            </w:hyperlink>
                          </w:p>
                        </w:tc>
                        <w:tc>
                          <w:tcPr>
                            <w:tcW w:w="245" w:type="dxa"/>
                            <w:tcBorders/>
                            <w:vAlign w:val="center"/>
                          </w:tcPr>
                          <w:p>
                            <w:pPr>
                              <w:pStyle w:val="TableContents"/>
                              <w:bidi w:val="0"/>
                              <w:spacing w:before="0" w:after="283"/>
                              <w:jc w:val="right"/>
                              <w:rPr/>
                            </w:pPr>
                            <w:hyperlink w:anchor="rtx014050_def14ab017">
                              <w:r>
                                <w:rPr>
                                  <w:rStyle w:val="InternetLink"/>
                                  <w:rFonts w:ascii="Arial;Helvetica;Sans-Serif" w:hAnsi="Arial;Helvetica;Sans-Serif"/>
                                  <w:b w:val="false"/>
                                  <w:i w:val="false"/>
                                  <w:caps w:val="false"/>
                                  <w:smallCaps w:val="false"/>
                                  <w:strike w:val="false"/>
                                  <w:dstrike w:val="false"/>
                                  <w:color w:val="000000"/>
                                  <w:sz w:val="20"/>
                                  <w:u w:val="none"/>
                                  <w:effect w:val="none"/>
                                </w:rPr>
                                <w:t>59</w:t>
                              </w:r>
                            </w:hyperlink>
                          </w:p>
                        </w:tc>
                      </w:tr>
                      <w:tr>
                        <w:trPr/>
                        <w:tc>
                          <w:tcPr>
                            <w:tcW w:w="5210" w:type="dxa"/>
                            <w:tcBorders/>
                            <w:vAlign w:val="center"/>
                          </w:tcPr>
                          <w:p>
                            <w:pPr>
                              <w:pStyle w:val="TableContents"/>
                              <w:bidi w:val="0"/>
                              <w:spacing w:before="0" w:after="283"/>
                              <w:jc w:val="left"/>
                              <w:rPr/>
                            </w:pPr>
                            <w:hyperlink w:anchor="rtx014050_def14ab018">
                              <w:r>
                                <w:rPr>
                                  <w:rStyle w:val="InternetLink"/>
                                  <w:rFonts w:ascii="Arial;Helvetica;Sans-Serif" w:hAnsi="Arial;Helvetica;Sans-Serif"/>
                                  <w:b w:val="false"/>
                                  <w:i w:val="false"/>
                                  <w:caps w:val="false"/>
                                  <w:smallCaps w:val="false"/>
                                  <w:strike w:val="false"/>
                                  <w:dstrike w:val="false"/>
                                  <w:color w:val="000000"/>
                                  <w:sz w:val="20"/>
                                  <w:u w:val="none"/>
                                  <w:effect w:val="none"/>
                                </w:rPr>
                                <w:t>Severance and Change-in-Control Arrangements</w:t>
                              </w:r>
                            </w:hyperlink>
                          </w:p>
                        </w:tc>
                        <w:tc>
                          <w:tcPr>
                            <w:tcW w:w="245" w:type="dxa"/>
                            <w:tcBorders/>
                            <w:vAlign w:val="center"/>
                          </w:tcPr>
                          <w:p>
                            <w:pPr>
                              <w:pStyle w:val="TableContents"/>
                              <w:bidi w:val="0"/>
                              <w:spacing w:before="0" w:after="283"/>
                              <w:jc w:val="right"/>
                              <w:rPr/>
                            </w:pPr>
                            <w:hyperlink w:anchor="rtx014050_def14ab018">
                              <w:r>
                                <w:rPr>
                                  <w:rStyle w:val="InternetLink"/>
                                  <w:rFonts w:ascii="Arial;Helvetica;Sans-Serif" w:hAnsi="Arial;Helvetica;Sans-Serif"/>
                                  <w:b w:val="false"/>
                                  <w:i w:val="false"/>
                                  <w:caps w:val="false"/>
                                  <w:smallCaps w:val="false"/>
                                  <w:strike w:val="false"/>
                                  <w:dstrike w:val="false"/>
                                  <w:color w:val="000000"/>
                                  <w:sz w:val="20"/>
                                  <w:u w:val="none"/>
                                  <w:effect w:val="none"/>
                                </w:rPr>
                                <w:t>59</w:t>
                              </w:r>
                            </w:hyperlink>
                          </w:p>
                        </w:tc>
                      </w:tr>
                      <w:tr>
                        <w:trPr/>
                        <w:tc>
                          <w:tcPr>
                            <w:tcW w:w="5210" w:type="dxa"/>
                            <w:tcBorders/>
                            <w:vAlign w:val="center"/>
                          </w:tcPr>
                          <w:p>
                            <w:pPr>
                              <w:pStyle w:val="TableContents"/>
                              <w:bidi w:val="0"/>
                              <w:spacing w:before="0" w:after="283"/>
                              <w:jc w:val="left"/>
                              <w:rPr/>
                            </w:pPr>
                            <w:hyperlink w:anchor="rtx014050_def14ab019">
                              <w:r>
                                <w:rPr>
                                  <w:rStyle w:val="InternetLink"/>
                                  <w:rFonts w:ascii="Arial;Helvetica;Sans-Serif" w:hAnsi="Arial;Helvetica;Sans-Serif"/>
                                  <w:b/>
                                  <w:i w:val="false"/>
                                  <w:caps w:val="false"/>
                                  <w:smallCaps w:val="false"/>
                                  <w:strike w:val="false"/>
                                  <w:dstrike w:val="false"/>
                                  <w:color w:val="000000"/>
                                  <w:sz w:val="20"/>
                                  <w:u w:val="none"/>
                                  <w:effect w:val="none"/>
                                </w:rPr>
                                <w:t>Other Executive Compensation Policies and</w:t>
                              </w:r>
                            </w:hyperlink>
                            <w:hyperlink w:anchor="rtx014050_def14ab019">
                              <w:r>
                                <w:rPr>
                                  <w:rStyle w:val="InternetLink"/>
                                  <w:caps w:val="false"/>
                                  <w:smallCaps w:val="false"/>
                                  <w:strike w:val="false"/>
                                  <w:dstrike w:val="false"/>
                                  <w:color w:val="000000"/>
                                  <w:sz w:val="24"/>
                                  <w:u w:val="none"/>
                                  <w:effect w:val="none"/>
                                </w:rPr>
                                <w:t xml:space="preserve"> </w:t>
                              </w:r>
                            </w:hyperlink>
                            <w:hyperlink w:anchor="rtx014050_def14ab019">
                              <w:r>
                                <w:rPr>
                                  <w:rStyle w:val="InternetLink"/>
                                  <w:rFonts w:ascii="Arial;Helvetica;Sans-Serif" w:hAnsi="Arial;Helvetica;Sans-Serif"/>
                                  <w:b/>
                                  <w:i w:val="false"/>
                                  <w:caps w:val="false"/>
                                  <w:smallCaps w:val="false"/>
                                  <w:strike w:val="false"/>
                                  <w:dstrike w:val="false"/>
                                  <w:color w:val="000000"/>
                                  <w:sz w:val="20"/>
                                  <w:u w:val="none"/>
                                  <w:effect w:val="none"/>
                                </w:rPr>
                                <w:t>Practices</w:t>
                              </w:r>
                            </w:hyperlink>
                          </w:p>
                        </w:tc>
                        <w:tc>
                          <w:tcPr>
                            <w:tcW w:w="245" w:type="dxa"/>
                            <w:tcBorders/>
                            <w:vAlign w:val="center"/>
                          </w:tcPr>
                          <w:p>
                            <w:pPr>
                              <w:pStyle w:val="TableContents"/>
                              <w:bidi w:val="0"/>
                              <w:spacing w:before="0" w:after="283"/>
                              <w:jc w:val="right"/>
                              <w:rPr/>
                            </w:pPr>
                            <w:hyperlink w:anchor="rtx014050_def14ab019">
                              <w:r>
                                <w:rPr>
                                  <w:rStyle w:val="InternetLink"/>
                                  <w:rFonts w:ascii="Arial;Helvetica;Sans-Serif" w:hAnsi="Arial;Helvetica;Sans-Serif"/>
                                  <w:b w:val="false"/>
                                  <w:i w:val="false"/>
                                  <w:caps w:val="false"/>
                                  <w:smallCaps w:val="false"/>
                                  <w:strike w:val="false"/>
                                  <w:dstrike w:val="false"/>
                                  <w:color w:val="000000"/>
                                  <w:sz w:val="20"/>
                                  <w:u w:val="none"/>
                                  <w:effect w:val="none"/>
                                </w:rPr>
                                <w:t>61</w:t>
                              </w:r>
                            </w:hyperlink>
                          </w:p>
                        </w:tc>
                      </w:tr>
                      <w:tr>
                        <w:trPr/>
                        <w:tc>
                          <w:tcPr>
                            <w:tcW w:w="5210" w:type="dxa"/>
                            <w:tcBorders/>
                            <w:vAlign w:val="center"/>
                          </w:tcPr>
                          <w:p>
                            <w:pPr>
                              <w:pStyle w:val="TableContents"/>
                              <w:bidi w:val="0"/>
                              <w:spacing w:before="0" w:after="283"/>
                              <w:jc w:val="left"/>
                              <w:rPr/>
                            </w:pPr>
                            <w:hyperlink w:anchor="rtx014050_def14ab020">
                              <w:r>
                                <w:rPr>
                                  <w:rStyle w:val="InternetLink"/>
                                  <w:rFonts w:ascii="Arial;Helvetica;Sans-Serif" w:hAnsi="Arial;Helvetica;Sans-Serif"/>
                                  <w:b w:val="false"/>
                                  <w:i w:val="false"/>
                                  <w:caps w:val="false"/>
                                  <w:smallCaps w:val="false"/>
                                  <w:strike w:val="false"/>
                                  <w:dstrike w:val="false"/>
                                  <w:color w:val="000000"/>
                                  <w:sz w:val="20"/>
                                  <w:u w:val="none"/>
                                  <w:effect w:val="none"/>
                                </w:rPr>
                                <w:t>Post-Employment Restrictive Covenants</w:t>
                              </w:r>
                            </w:hyperlink>
                          </w:p>
                        </w:tc>
                        <w:tc>
                          <w:tcPr>
                            <w:tcW w:w="245" w:type="dxa"/>
                            <w:tcBorders/>
                            <w:vAlign w:val="center"/>
                          </w:tcPr>
                          <w:p>
                            <w:pPr>
                              <w:pStyle w:val="TableContents"/>
                              <w:bidi w:val="0"/>
                              <w:spacing w:before="0" w:after="283"/>
                              <w:jc w:val="right"/>
                              <w:rPr/>
                            </w:pPr>
                            <w:hyperlink w:anchor="rtx014050_def14ab020">
                              <w:r>
                                <w:rPr>
                                  <w:rStyle w:val="InternetLink"/>
                                  <w:rFonts w:ascii="Arial;Helvetica;Sans-Serif" w:hAnsi="Arial;Helvetica;Sans-Serif"/>
                                  <w:b w:val="false"/>
                                  <w:i w:val="false"/>
                                  <w:caps w:val="false"/>
                                  <w:smallCaps w:val="false"/>
                                  <w:strike w:val="false"/>
                                  <w:dstrike w:val="false"/>
                                  <w:color w:val="000000"/>
                                  <w:sz w:val="20"/>
                                  <w:u w:val="none"/>
                                  <w:effect w:val="none"/>
                                </w:rPr>
                                <w:t>61</w:t>
                              </w:r>
                            </w:hyperlink>
                          </w:p>
                        </w:tc>
                      </w:tr>
                      <w:tr>
                        <w:trPr/>
                        <w:tc>
                          <w:tcPr>
                            <w:tcW w:w="5210" w:type="dxa"/>
                            <w:tcBorders/>
                            <w:vAlign w:val="center"/>
                          </w:tcPr>
                          <w:p>
                            <w:pPr>
                              <w:pStyle w:val="TableContents"/>
                              <w:bidi w:val="0"/>
                              <w:spacing w:before="0" w:after="283"/>
                              <w:jc w:val="left"/>
                              <w:rPr/>
                            </w:pPr>
                            <w:hyperlink w:anchor="rtx014050_def14ab021">
                              <w:r>
                                <w:rPr>
                                  <w:rStyle w:val="InternetLink"/>
                                  <w:rFonts w:ascii="Arial;Helvetica;Sans-Serif" w:hAnsi="Arial;Helvetica;Sans-Serif"/>
                                  <w:b w:val="false"/>
                                  <w:i w:val="false"/>
                                  <w:caps w:val="false"/>
                                  <w:smallCaps w:val="false"/>
                                  <w:strike w:val="false"/>
                                  <w:dstrike w:val="false"/>
                                  <w:color w:val="000000"/>
                                  <w:sz w:val="20"/>
                                  <w:u w:val="none"/>
                                  <w:effect w:val="none"/>
                                </w:rPr>
                                <w:t>Clawback Policies</w:t>
                              </w:r>
                            </w:hyperlink>
                          </w:p>
                        </w:tc>
                        <w:tc>
                          <w:tcPr>
                            <w:tcW w:w="245" w:type="dxa"/>
                            <w:tcBorders/>
                            <w:vAlign w:val="center"/>
                          </w:tcPr>
                          <w:p>
                            <w:pPr>
                              <w:pStyle w:val="TableContents"/>
                              <w:bidi w:val="0"/>
                              <w:spacing w:before="0" w:after="283"/>
                              <w:jc w:val="right"/>
                              <w:rPr/>
                            </w:pPr>
                            <w:hyperlink w:anchor="rtx014050_def14ab021">
                              <w:r>
                                <w:rPr>
                                  <w:rStyle w:val="InternetLink"/>
                                  <w:rFonts w:ascii="Arial;Helvetica;Sans-Serif" w:hAnsi="Arial;Helvetica;Sans-Serif"/>
                                  <w:b w:val="false"/>
                                  <w:i w:val="false"/>
                                  <w:caps w:val="false"/>
                                  <w:smallCaps w:val="false"/>
                                  <w:strike w:val="false"/>
                                  <w:dstrike w:val="false"/>
                                  <w:color w:val="000000"/>
                                  <w:sz w:val="20"/>
                                  <w:u w:val="none"/>
                                  <w:effect w:val="none"/>
                                </w:rPr>
                                <w:t>61</w:t>
                              </w:r>
                            </w:hyperlink>
                          </w:p>
                        </w:tc>
                      </w:tr>
                      <w:tr>
                        <w:trPr/>
                        <w:tc>
                          <w:tcPr>
                            <w:tcW w:w="5210" w:type="dxa"/>
                            <w:tcBorders/>
                            <w:vAlign w:val="center"/>
                          </w:tcPr>
                          <w:p>
                            <w:pPr>
                              <w:pStyle w:val="TableContents"/>
                              <w:bidi w:val="0"/>
                              <w:spacing w:before="0" w:after="283"/>
                              <w:jc w:val="left"/>
                              <w:rPr/>
                            </w:pPr>
                            <w:hyperlink w:anchor="rtx014050_def14ab022">
                              <w:r>
                                <w:rPr>
                                  <w:rStyle w:val="InternetLink"/>
                                  <w:rFonts w:ascii="Arial;Helvetica;Sans-Serif" w:hAnsi="Arial;Helvetica;Sans-Serif"/>
                                  <w:b w:val="false"/>
                                  <w:i w:val="false"/>
                                  <w:caps w:val="false"/>
                                  <w:smallCaps w:val="false"/>
                                  <w:strike w:val="false"/>
                                  <w:dstrike w:val="false"/>
                                  <w:color w:val="000000"/>
                                  <w:sz w:val="20"/>
                                  <w:u w:val="none"/>
                                  <w:effect w:val="none"/>
                                </w:rPr>
                                <w:t>Equity Award Granting Policy</w:t>
                              </w:r>
                            </w:hyperlink>
                          </w:p>
                        </w:tc>
                        <w:tc>
                          <w:tcPr>
                            <w:tcW w:w="245" w:type="dxa"/>
                            <w:tcBorders/>
                            <w:vAlign w:val="center"/>
                          </w:tcPr>
                          <w:p>
                            <w:pPr>
                              <w:pStyle w:val="TableContents"/>
                              <w:bidi w:val="0"/>
                              <w:spacing w:before="0" w:after="283"/>
                              <w:jc w:val="right"/>
                              <w:rPr/>
                            </w:pPr>
                            <w:hyperlink w:anchor="rtx014050_def14ab022">
                              <w:r>
                                <w:rPr>
                                  <w:rStyle w:val="InternetLink"/>
                                  <w:rFonts w:ascii="Arial;Helvetica;Sans-Serif" w:hAnsi="Arial;Helvetica;Sans-Serif"/>
                                  <w:b w:val="false"/>
                                  <w:i w:val="false"/>
                                  <w:caps w:val="false"/>
                                  <w:smallCaps w:val="false"/>
                                  <w:strike w:val="false"/>
                                  <w:dstrike w:val="false"/>
                                  <w:color w:val="000000"/>
                                  <w:sz w:val="20"/>
                                  <w:u w:val="none"/>
                                  <w:effect w:val="none"/>
                                </w:rPr>
                                <w:t>61</w:t>
                              </w:r>
                            </w:hyperlink>
                          </w:p>
                        </w:tc>
                      </w:tr>
                      <w:tr>
                        <w:trPr/>
                        <w:tc>
                          <w:tcPr>
                            <w:tcW w:w="5210" w:type="dxa"/>
                            <w:tcBorders/>
                            <w:vAlign w:val="center"/>
                          </w:tcPr>
                          <w:p>
                            <w:pPr>
                              <w:pStyle w:val="TableContents"/>
                              <w:bidi w:val="0"/>
                              <w:spacing w:before="0" w:after="283"/>
                              <w:jc w:val="left"/>
                              <w:rPr/>
                            </w:pPr>
                            <w:hyperlink w:anchor="rtx014050_def14ab023">
                              <w:r>
                                <w:rPr>
                                  <w:rStyle w:val="InternetLink"/>
                                  <w:rFonts w:ascii="Arial;Helvetica;Sans-Serif" w:hAnsi="Arial;Helvetica;Sans-Serif"/>
                                  <w:b w:val="false"/>
                                  <w:i w:val="false"/>
                                  <w:caps w:val="false"/>
                                  <w:smallCaps w:val="false"/>
                                  <w:strike w:val="false"/>
                                  <w:dstrike w:val="false"/>
                                  <w:color w:val="000000"/>
                                  <w:sz w:val="20"/>
                                  <w:u w:val="none"/>
                                  <w:effect w:val="none"/>
                                </w:rPr>
                                <w:t>Prohibitions on Certain Transactions Involving</w:t>
                              </w:r>
                            </w:hyperlink>
                            <w:hyperlink w:anchor="rtx014050_def14ab023">
                              <w:r>
                                <w:rPr>
                                  <w:rStyle w:val="InternetLink"/>
                                  <w:caps w:val="false"/>
                                  <w:smallCaps w:val="false"/>
                                  <w:strike w:val="false"/>
                                  <w:dstrike w:val="false"/>
                                  <w:color w:val="000000"/>
                                  <w:sz w:val="24"/>
                                  <w:u w:val="none"/>
                                  <w:effect w:val="none"/>
                                </w:rPr>
                                <w:t xml:space="preserve"> </w:t>
                              </w:r>
                            </w:hyperlink>
                            <w:hyperlink w:anchor="rtx014050_def14ab023">
                              <w:r>
                                <w:rPr>
                                  <w:rStyle w:val="InternetLink"/>
                                  <w:rFonts w:ascii="Arial;Helvetica;Sans-Serif" w:hAnsi="Arial;Helvetica;Sans-Serif"/>
                                  <w:b w:val="false"/>
                                  <w:i w:val="false"/>
                                  <w:caps w:val="false"/>
                                  <w:smallCaps w:val="false"/>
                                  <w:strike w:val="false"/>
                                  <w:dstrike w:val="false"/>
                                  <w:color w:val="000000"/>
                                  <w:sz w:val="20"/>
                                  <w:u w:val="none"/>
                                  <w:effect w:val="none"/>
                                </w:rPr>
                                <w:t>RTX Stock</w:t>
                              </w:r>
                            </w:hyperlink>
                          </w:p>
                        </w:tc>
                        <w:tc>
                          <w:tcPr>
                            <w:tcW w:w="245" w:type="dxa"/>
                            <w:tcBorders/>
                            <w:vAlign w:val="center"/>
                          </w:tcPr>
                          <w:p>
                            <w:pPr>
                              <w:pStyle w:val="TableContents"/>
                              <w:bidi w:val="0"/>
                              <w:spacing w:before="0" w:after="283"/>
                              <w:jc w:val="right"/>
                              <w:rPr/>
                            </w:pPr>
                            <w:hyperlink w:anchor="rtx014050_def14ab023">
                              <w:r>
                                <w:rPr>
                                  <w:rStyle w:val="InternetLink"/>
                                  <w:rFonts w:ascii="Arial;Helvetica;Sans-Serif" w:hAnsi="Arial;Helvetica;Sans-Serif"/>
                                  <w:b w:val="false"/>
                                  <w:i w:val="false"/>
                                  <w:caps w:val="false"/>
                                  <w:smallCaps w:val="false"/>
                                  <w:strike w:val="false"/>
                                  <w:dstrike w:val="false"/>
                                  <w:color w:val="000000"/>
                                  <w:sz w:val="20"/>
                                  <w:u w:val="none"/>
                                  <w:effect w:val="none"/>
                                </w:rPr>
                                <w:t>62</w:t>
                              </w:r>
                            </w:hyperlink>
                          </w:p>
                        </w:tc>
                      </w:tr>
                      <w:tr>
                        <w:trPr/>
                        <w:tc>
                          <w:tcPr>
                            <w:tcW w:w="5210" w:type="dxa"/>
                            <w:tcBorders/>
                            <w:vAlign w:val="center"/>
                          </w:tcPr>
                          <w:p>
                            <w:pPr>
                              <w:pStyle w:val="TableContents"/>
                              <w:bidi w:val="0"/>
                              <w:spacing w:before="0" w:after="283"/>
                              <w:jc w:val="left"/>
                              <w:rPr/>
                            </w:pPr>
                            <w:hyperlink w:anchor="rtx014050_def14ab024">
                              <w:r>
                                <w:rPr>
                                  <w:rStyle w:val="InternetLink"/>
                                  <w:rFonts w:ascii="Arial;Helvetica;Sans-Serif" w:hAnsi="Arial;Helvetica;Sans-Serif"/>
                                  <w:b w:val="false"/>
                                  <w:i w:val="false"/>
                                  <w:caps w:val="false"/>
                                  <w:smallCaps w:val="false"/>
                                  <w:strike w:val="false"/>
                                  <w:dstrike w:val="false"/>
                                  <w:color w:val="000000"/>
                                  <w:sz w:val="20"/>
                                  <w:u w:val="none"/>
                                  <w:effect w:val="none"/>
                                </w:rPr>
                                <w:t>Employment Agreements</w:t>
                              </w:r>
                            </w:hyperlink>
                          </w:p>
                        </w:tc>
                        <w:tc>
                          <w:tcPr>
                            <w:tcW w:w="245" w:type="dxa"/>
                            <w:tcBorders/>
                            <w:vAlign w:val="center"/>
                          </w:tcPr>
                          <w:p>
                            <w:pPr>
                              <w:pStyle w:val="TableContents"/>
                              <w:bidi w:val="0"/>
                              <w:spacing w:before="0" w:after="283"/>
                              <w:jc w:val="right"/>
                              <w:rPr/>
                            </w:pPr>
                            <w:hyperlink w:anchor="rtx014050_def14ab024">
                              <w:r>
                                <w:rPr>
                                  <w:rStyle w:val="InternetLink"/>
                                  <w:rFonts w:ascii="Arial;Helvetica;Sans-Serif" w:hAnsi="Arial;Helvetica;Sans-Serif"/>
                                  <w:b w:val="false"/>
                                  <w:i w:val="false"/>
                                  <w:caps w:val="false"/>
                                  <w:smallCaps w:val="false"/>
                                  <w:strike w:val="false"/>
                                  <w:dstrike w:val="false"/>
                                  <w:color w:val="000000"/>
                                  <w:sz w:val="20"/>
                                  <w:u w:val="none"/>
                                  <w:effect w:val="none"/>
                                </w:rPr>
                                <w:t>62</w:t>
                              </w:r>
                            </w:hyperlink>
                          </w:p>
                        </w:tc>
                      </w:tr>
                      <w:tr>
                        <w:trPr/>
                        <w:tc>
                          <w:tcPr>
                            <w:tcW w:w="5210" w:type="dxa"/>
                            <w:tcBorders/>
                            <w:vAlign w:val="center"/>
                          </w:tcPr>
                          <w:p>
                            <w:pPr>
                              <w:pStyle w:val="TableContents"/>
                              <w:bidi w:val="0"/>
                              <w:spacing w:before="0" w:after="283"/>
                              <w:jc w:val="left"/>
                              <w:rPr/>
                            </w:pPr>
                            <w:hyperlink w:anchor="rtx014050_def14ab025">
                              <w:r>
                                <w:rPr>
                                  <w:rStyle w:val="InternetLink"/>
                                  <w:rFonts w:ascii="Arial;Helvetica;Sans-Serif" w:hAnsi="Arial;Helvetica;Sans-Serif"/>
                                  <w:b w:val="false"/>
                                  <w:i w:val="false"/>
                                  <w:caps w:val="false"/>
                                  <w:smallCaps w:val="false"/>
                                  <w:strike w:val="false"/>
                                  <w:dstrike w:val="false"/>
                                  <w:color w:val="000000"/>
                                  <w:sz w:val="20"/>
                                  <w:u w:val="none"/>
                                  <w:effect w:val="none"/>
                                </w:rPr>
                                <w:t>Tax Deductibility of Incentive Compensation</w:t>
                              </w:r>
                            </w:hyperlink>
                          </w:p>
                        </w:tc>
                        <w:tc>
                          <w:tcPr>
                            <w:tcW w:w="245" w:type="dxa"/>
                            <w:tcBorders/>
                            <w:vAlign w:val="center"/>
                          </w:tcPr>
                          <w:p>
                            <w:pPr>
                              <w:pStyle w:val="TableContents"/>
                              <w:bidi w:val="0"/>
                              <w:spacing w:before="0" w:after="283"/>
                              <w:jc w:val="right"/>
                              <w:rPr/>
                            </w:pPr>
                            <w:hyperlink w:anchor="rtx014050_def14ab025">
                              <w:r>
                                <w:rPr>
                                  <w:rStyle w:val="InternetLink"/>
                                  <w:rFonts w:ascii="Arial;Helvetica;Sans-Serif" w:hAnsi="Arial;Helvetica;Sans-Serif"/>
                                  <w:b w:val="false"/>
                                  <w:i w:val="false"/>
                                  <w:caps w:val="false"/>
                                  <w:smallCaps w:val="false"/>
                                  <w:strike w:val="false"/>
                                  <w:dstrike w:val="false"/>
                                  <w:color w:val="000000"/>
                                  <w:sz w:val="20"/>
                                  <w:u w:val="none"/>
                                  <w:effect w:val="none"/>
                                </w:rPr>
                                <w:t>62</w:t>
                              </w:r>
                            </w:hyperlink>
                          </w:p>
                        </w:tc>
                      </w:tr>
                    </w:tbl>
                    <w:p>
                      <w:pPr>
                        <w:pStyle w:val="TextBody"/>
                        <w:bidi w:val="0"/>
                        <w:spacing w:before="0" w:after="283"/>
                        <w:ind w:left="0" w:right="0" w:hanging="0"/>
                        <w:jc w:val="left"/>
                        <w:rPr/>
                      </w:pPr>
                      <w:r>
                        <w:rPr/>
                      </w:r>
                    </w:p>
                  </w:txbxContent>
                </v:textbox>
                <w10:wrap type="square" side="right"/>
              </v:rect>
            </w:pict>
          </mc:Fallback>
        </mc:AlternateContent>
      </w:r>
    </w:p>
    <w:p>
      <w:pPr>
        <w:pStyle w:val="TextBody"/>
        <w:bidi w:val="0"/>
        <w:spacing w:before="0" w:after="0"/>
        <w:ind w:left="0" w:right="0" w:hanging="0"/>
        <w:jc w:val="right"/>
        <w:rPr>
          <w:rFonts w:ascii="Arial;Helvetica;Sans-Serif" w:hAnsi="Arial;Helvetica;Sans-Serif"/>
          <w:b w:val="false"/>
          <w:i w:val="false"/>
          <w:caps w:val="false"/>
          <w:smallCaps w:val="false"/>
          <w:sz w:val="15"/>
        </w:rPr>
      </w:pPr>
      <w:r>
        <w:rPr>
          <w:rFonts w:ascii="Arial;Helvetica;Sans-Serif" w:hAnsi="Arial;Helvetica;Sans-Serif"/>
          <w:b/>
          <w:i w:val="false"/>
          <w:caps w:val="false"/>
          <w:smallCaps w:val="false"/>
          <w:sz w:val="15"/>
        </w:rPr>
        <w:t>RTX</w:t>
      </w:r>
      <w:r>
        <w:rPr>
          <w:rFonts w:ascii="Arial;Helvetica;Sans-Serif" w:hAnsi="Arial;Helvetica;Sans-Serif"/>
          <w:b w:val="false"/>
          <w:i w:val="false"/>
          <w:caps w:val="false"/>
          <w:smallCaps w:val="false"/>
          <w:sz w:val="15"/>
        </w:rPr>
        <w:t xml:space="preserve"> 2026 PROXY STATEMENT    </w:t>
      </w:r>
      <w:r>
        <w:rPr>
          <w:rFonts w:ascii="Arial;Helvetica;Sans-Serif" w:hAnsi="Arial;Helvetica;Sans-Serif"/>
          <w:b/>
          <w:i w:val="false"/>
          <w:caps w:val="false"/>
          <w:smallCaps w:val="false"/>
          <w:sz w:val="15"/>
        </w:rPr>
        <w:t>39</w:t>
      </w:r>
    </w:p>
    <w:p>
      <w:pPr>
        <w:pStyle w:val="HorizontalLine"/>
        <w:pBdr>
          <w:bottom w:val="double" w:sz="2" w:space="0" w:color="808080"/>
        </w:pBdr>
        <w:bidi w:val="0"/>
        <w:spacing w:before="0" w:after="283"/>
        <w:jc w:val="left"/>
        <w:rPr/>
      </w:pPr>
      <w:r>
        <w:rPr/>
      </w:r>
    </w:p>
    <w:p>
      <w:pPr>
        <w:pStyle w:val="TextBody"/>
        <w:bidi w:val="0"/>
        <w:spacing w:before="200" w:after="200"/>
        <w:jc w:val="left"/>
        <w:rPr/>
      </w:pPr>
      <w:hyperlink w:anchor="toc">
        <w:r>
          <w:rPr>
            <w:rStyle w:val="InternetLink"/>
            <w:rFonts w:ascii="Arial;Helvetica;Sans-Serif" w:hAnsi="Arial;Helvetica;Sans-Serif"/>
            <w:b/>
            <w:i w:val="false"/>
            <w:caps w:val="false"/>
            <w:smallCaps w:val="false"/>
            <w:sz w:val="16"/>
          </w:rPr>
          <w:t>Table of Contents</w:t>
        </w:r>
      </w:hyperlink>
    </w:p>
    <w:p>
      <w:pPr>
        <w:pStyle w:val="TextBody"/>
        <w:bidi w:val="0"/>
        <w:spacing w:before="0" w:after="0"/>
        <w:ind w:left="0" w:right="0" w:hanging="0"/>
        <w:jc w:val="left"/>
        <w:rPr>
          <w:rFonts w:ascii="Arial;Helvetica;Sans-Serif" w:hAnsi="Arial;Helvetica;Sans-Serif"/>
          <w:b/>
          <w:i w:val="false"/>
          <w:caps w:val="false"/>
          <w:smallCaps w:val="false"/>
          <w:color w:val="C12E33"/>
          <w:sz w:val="15"/>
        </w:rPr>
      </w:pPr>
      <w:r>
        <w:rPr>
          <w:rFonts w:ascii="Arial;Helvetica;Sans-Serif" w:hAnsi="Arial;Helvetica;Sans-Serif"/>
          <w:b/>
          <w:i w:val="false"/>
          <w:caps w:val="false"/>
          <w:smallCaps w:val="false"/>
          <w:color w:val="C12E33"/>
          <w:sz w:val="15"/>
        </w:rPr>
        <w:t>COMPENSATION DISCUSSION AND ANALYSIS</w:t>
      </w:r>
    </w:p>
    <w:p>
      <w:pPr>
        <w:pStyle w:val="TextBody"/>
        <w:bidi w:val="0"/>
        <w:spacing w:before="0" w:after="0"/>
        <w:ind w:left="0" w:right="0" w:hanging="0"/>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EXECUTIVE SUMMARY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44"/>
        </w:rPr>
      </w:pPr>
      <w:bookmarkStart w:id="14" w:name="rtx014050_def14ab001"/>
      <w:bookmarkStart w:id="15" w:name="rtx014050a010"/>
      <w:bookmarkEnd w:id="14"/>
      <w:bookmarkEnd w:id="15"/>
      <w:r>
        <w:rPr>
          <w:rFonts w:ascii="Arial;Helvetica;Sans-Serif" w:hAnsi="Arial;Helvetica;Sans-Serif"/>
          <w:b/>
          <w:i w:val="false"/>
          <w:caps w:val="false"/>
          <w:smallCaps w:val="false"/>
          <w:sz w:val="44"/>
        </w:rPr>
        <w:t>Executive Summary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34"/>
        </w:rPr>
      </w:pPr>
      <w:bookmarkStart w:id="16" w:name="rtx014050_def14ab002"/>
      <w:bookmarkEnd w:id="16"/>
      <w:r>
        <w:rPr>
          <w:rFonts w:ascii="Arial;Helvetica;Sans-Serif" w:hAnsi="Arial;Helvetica;Sans-Serif"/>
          <w:b/>
          <w:i w:val="false"/>
          <w:caps w:val="false"/>
          <w:smallCaps w:val="false"/>
          <w:sz w:val="34"/>
        </w:rPr>
        <w:t>Shareowner Engagement on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We actively seek—and highly value—feedback from our shareowners and their advisors. The HCC Committee considers this feedback as part of its ongoing assessment of our program’s effectiveness.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300" w:type="dxa"/>
          <w:left w:w="0" w:type="dxa"/>
          <w:bottom w:w="0" w:type="dxa"/>
          <w:right w:w="0" w:type="dxa"/>
        </w:tblCellMar>
      </w:tblPr>
      <w:tblGrid>
        <w:gridCol w:w="7490"/>
        <w:gridCol w:w="60"/>
        <w:gridCol w:w="2655"/>
      </w:tblGrid>
      <w:tr>
        <w:trPr/>
        <w:tc>
          <w:tcPr>
            <w:tcW w:w="7490" w:type="dxa"/>
            <w:tcBorders>
              <w:top w:val="single" w:sz="12" w:space="0" w:color="C12E33"/>
            </w:tcBorders>
            <w:shd w:fill="EDEDEE" w:val="clear"/>
            <w:vAlign w:val="center"/>
          </w:tcPr>
          <w:p>
            <w:pPr>
              <w:pStyle w:val="TableContents"/>
              <w:bidi w:val="0"/>
              <w:spacing w:before="0" w:after="0"/>
              <w:ind w:left="0" w:right="0" w:hanging="0"/>
              <w:jc w:val="left"/>
              <w:rPr>
                <w:rFonts w:ascii="Arial;Helvetica;Sans-Serif" w:hAnsi="Arial;Helvetica;Sans-Serif"/>
                <w:b/>
                <w:i w:val="false"/>
                <w:caps w:val="false"/>
                <w:smallCaps w:val="false"/>
                <w:color w:val="C12E33"/>
                <w:sz w:val="24"/>
              </w:rPr>
            </w:pPr>
            <w:r>
              <w:rPr>
                <w:rFonts w:ascii="Arial;Helvetica;Sans-Serif" w:hAnsi="Arial;Helvetica;Sans-Serif"/>
                <w:b/>
                <w:i w:val="false"/>
                <w:caps w:val="false"/>
                <w:smallCaps w:val="false"/>
                <w:color w:val="C12E33"/>
                <w:sz w:val="24"/>
              </w:rPr>
              <w:t>Our 2025 Say-on-Pay Vote</w:t>
            </w:r>
          </w:p>
          <w:p>
            <w:pPr>
              <w:pStyle w:val="TableContents"/>
              <w:bidi w:val="0"/>
              <w:spacing w:before="0" w:after="0"/>
              <w:ind w:left="0" w:right="0" w:hanging="0"/>
              <w:jc w:val="left"/>
              <w:rPr>
                <w:caps w:val="false"/>
                <w:smallCaps w:val="false"/>
                <w:color w:val="C12E33"/>
              </w:rPr>
            </w:pPr>
            <w:r>
              <w:rPr>
                <w:caps w:val="false"/>
                <w:smallCaps w:val="false"/>
                <w:color w:val="C12E33"/>
              </w:rPr>
              <w:t> </w:t>
            </w:r>
          </w:p>
          <w:p>
            <w:pPr>
              <w:pStyle w:val="TableContents"/>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Each year, we consider the results of our advisory vote on executive compensation (“Say-on-Pay”) from the prior year.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At our 2025 Annual Meeting of Shareowners, approximately 96% of the votes cast were in favor of the HCC Committee’s 2024 executive compensation decisions.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interpreted this as an endorsement of our compensation program’s design and direction.</w:t>
            </w:r>
          </w:p>
          <w:p>
            <w:pPr>
              <w:pStyle w:val="TableContents"/>
              <w:bidi w:val="0"/>
              <w:spacing w:before="0" w:after="0"/>
              <w:ind w:left="0" w:right="0" w:hanging="0"/>
              <w:jc w:val="left"/>
              <w:rPr>
                <w:caps w:val="false"/>
                <w:smallCaps w:val="false"/>
              </w:rPr>
            </w:pPr>
            <w:r>
              <w:rPr>
                <w:caps w:val="false"/>
                <w:smallCaps w:val="false"/>
              </w:rPr>
              <w:t> </w:t>
            </w:r>
          </w:p>
        </w:tc>
        <w:tc>
          <w:tcPr>
            <w:tcW w:w="60" w:type="dxa"/>
            <w:tcBorders>
              <w:top w:val="single" w:sz="12" w:space="0" w:color="C12E33"/>
            </w:tcBorders>
            <w:shd w:fill="EDEDEE" w:val="clear"/>
            <w:vAlign w:val="center"/>
          </w:tcPr>
          <w:p>
            <w:pPr>
              <w:pStyle w:val="TableContents"/>
              <w:bidi w:val="0"/>
              <w:spacing w:before="0" w:after="283"/>
              <w:jc w:val="left"/>
              <w:rPr/>
            </w:pPr>
            <w:r>
              <w:rPr/>
              <w:t> </w:t>
            </w:r>
          </w:p>
        </w:tc>
        <w:tc>
          <w:tcPr>
            <w:tcW w:w="2655" w:type="dxa"/>
            <w:tcBorders>
              <w:top w:val="single" w:sz="12" w:space="0" w:color="C12E33"/>
            </w:tcBorders>
            <w:shd w:fill="EDEDEE" w:val="clear"/>
            <w:vAlign w:val="center"/>
          </w:tcPr>
          <w:p>
            <w:pPr>
              <w:pStyle w:val="TableContents"/>
              <w:bidi w:val="0"/>
              <w:spacing w:before="0" w:after="283"/>
              <w:jc w:val="center"/>
              <w:rPr/>
            </w:pPr>
            <w:r>
              <w:rPr/>
              <w:drawing>
                <wp:inline distT="0" distB="0" distL="0" distR="0">
                  <wp:extent cx="1676400" cy="1638300"/>
                  <wp:effectExtent l="0" t="0" r="0" b="0"/>
                  <wp:docPr id="292" name="Image1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2" name="Image195" descr=""/>
                          <pic:cNvPicPr>
                            <a:picLocks noChangeAspect="1" noChangeArrowheads="1"/>
                          </pic:cNvPicPr>
                        </pic:nvPicPr>
                        <pic:blipFill>
                          <a:blip r:embed="rId245"/>
                          <a:stretch>
                            <a:fillRect/>
                          </a:stretch>
                        </pic:blipFill>
                        <pic:spPr bwMode="auto">
                          <a:xfrm>
                            <a:off x="0" y="0"/>
                            <a:ext cx="1676400" cy="1638300"/>
                          </a:xfrm>
                          <a:prstGeom prst="rect">
                            <a:avLst/>
                          </a:prstGeom>
                        </pic:spPr>
                      </pic:pic>
                    </a:graphicData>
                  </a:graphic>
                </wp:inline>
              </w:drawing>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4"/>
          <w:bdr w:val="single" w:sz="2" w:space="1" w:color="C12E33"/>
        </w:rPr>
      </w:pPr>
      <w:r>
        <w:rPr>
          <w:rFonts w:ascii="Arial;Helvetica;Sans-Serif" w:hAnsi="Arial;Helvetica;Sans-Serif"/>
          <w:b/>
          <w:i w:val="false"/>
          <w:caps w:val="false"/>
          <w:smallCaps w:val="false"/>
          <w:sz w:val="24"/>
          <w:bdr w:val="single" w:sz="2" w:space="1" w:color="C12E33"/>
        </w:rPr>
        <w:t>Investor Outreach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 2025, our shareowner outreach efforts focused on the HCC Committee’s pay decisions for our NEOs and how we can continue to enhance our proxy disclosure to ensure it is clear and concise. Overall, investors were supportive of our current executive compensation program design. The feedback we received on our proxy disclosure in response to these outreach efforts has been incorporated into this year’s disclosure. For more information on our shareowner engagement, see page 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34"/>
        </w:rPr>
      </w:pPr>
      <w:bookmarkStart w:id="17" w:name="rtx014050_def14ab003"/>
      <w:bookmarkEnd w:id="17"/>
      <w:r>
        <w:rPr>
          <w:rFonts w:ascii="Arial;Helvetica;Sans-Serif" w:hAnsi="Arial;Helvetica;Sans-Serif"/>
          <w:b/>
          <w:i w:val="false"/>
          <w:caps w:val="false"/>
          <w:smallCaps w:val="false"/>
          <w:sz w:val="34"/>
        </w:rPr>
        <w:t>2025 Performance 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In 2025, we built upon our solid foundation by capitalizing on the robust demand across aerospace and defense markets to deliver strong operational and financial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Through continued operational discipline, each of our businesses—Collins Aerospace, Pratt &amp; Whitney and Raytheon—achieved organic sales growth and improved adjusted segment margins. Despite significant headwinds from unplanned tariffs, we surpassed the adjusted net sales, adjusted EPS and free cash flow expectations we communicated to investors for the year. We also generated meaningful returns for our shareowners, closing the year with a total shareowner return (“TSR”) of 61%, outpacing the S&amp;P 500 Index’s 18% TSR. Momentum for the future remains strong. With more than $138 billion in new bookings, our backlog reached a record $268 billion.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Looking ahead, we remain focused on our mission to connect and protect our world. By meeting sustained demand with disciplined execution and strategic investments, we are advancing the future of flight, delivering smarter defense systems and developing transformative technologies that shape global progress. At RTX, we are well positioned to drive long-term growth and create lasting value for our shareowners, while helping our customers achieve their most critical missions.</w:t>
      </w:r>
    </w:p>
    <w:p>
      <w:pPr>
        <w:pStyle w:val="TextBody"/>
        <w:bidi w:val="0"/>
        <w:spacing w:before="0" w:after="0"/>
        <w:ind w:left="0" w:right="0" w:hanging="0"/>
        <w:jc w:val="left"/>
        <w:rPr>
          <w:caps w:val="false"/>
          <w:smallCaps w:val="false"/>
        </w:rPr>
      </w:pPr>
      <w:r>
        <w:rPr>
          <w:caps w:val="false"/>
          <w:smallCaps w:val="false"/>
        </w:rPr>
        <w:t> </w:t>
      </w:r>
    </w:p>
    <w:tbl>
      <w:tblPr>
        <w:tblW w:w="8150" w:type="dxa"/>
        <w:jc w:val="left"/>
        <w:tblInd w:w="0" w:type="dxa"/>
        <w:tblLayout w:type="fixed"/>
        <w:tblCellMar>
          <w:top w:w="100" w:type="dxa"/>
          <w:left w:w="0" w:type="dxa"/>
          <w:bottom w:w="0" w:type="dxa"/>
          <w:right w:w="0" w:type="dxa"/>
        </w:tblCellMar>
      </w:tblPr>
      <w:tblGrid>
        <w:gridCol w:w="1970"/>
        <w:gridCol w:w="2285"/>
        <w:gridCol w:w="1940"/>
        <w:gridCol w:w="1955"/>
      </w:tblGrid>
      <w:tr>
        <w:trPr/>
        <w:tc>
          <w:tcPr>
            <w:tcW w:w="1970" w:type="dxa"/>
            <w:tcBorders>
              <w:top w:val="single" w:sz="12" w:space="0" w:color="C12E33"/>
            </w:tcBorders>
            <w:shd w:fill="EDEDEE" w:val="clear"/>
            <w:vAlign w:val="center"/>
          </w:tcPr>
          <w:p>
            <w:pPr>
              <w:pStyle w:val="TableContents"/>
              <w:bidi w:val="0"/>
              <w:spacing w:before="0" w:after="283"/>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2025 HIGHLIGHTS</w:t>
            </w:r>
          </w:p>
        </w:tc>
        <w:tc>
          <w:tcPr>
            <w:tcW w:w="2285" w:type="dxa"/>
            <w:tcBorders>
              <w:top w:val="single" w:sz="12" w:space="0" w:color="C12E33"/>
            </w:tcBorders>
            <w:shd w:fill="EDEDEE" w:val="clear"/>
            <w:vAlign w:val="center"/>
          </w:tcPr>
          <w:p>
            <w:pPr>
              <w:pStyle w:val="TableContents"/>
              <w:bidi w:val="0"/>
              <w:spacing w:before="0" w:after="283"/>
              <w:jc w:val="left"/>
              <w:rPr/>
            </w:pPr>
            <w:r>
              <w:rPr/>
              <w:t> </w:t>
            </w:r>
          </w:p>
        </w:tc>
        <w:tc>
          <w:tcPr>
            <w:tcW w:w="1940" w:type="dxa"/>
            <w:tcBorders>
              <w:top w:val="single" w:sz="12" w:space="0" w:color="C12E33"/>
            </w:tcBorders>
            <w:shd w:fill="EDEDEE" w:val="clear"/>
            <w:vAlign w:val="center"/>
          </w:tcPr>
          <w:p>
            <w:pPr>
              <w:pStyle w:val="TableContents"/>
              <w:bidi w:val="0"/>
              <w:spacing w:before="0" w:after="283"/>
              <w:jc w:val="left"/>
              <w:rPr/>
            </w:pPr>
            <w:r>
              <w:rPr/>
              <w:t> </w:t>
            </w:r>
          </w:p>
        </w:tc>
        <w:tc>
          <w:tcPr>
            <w:tcW w:w="1955" w:type="dxa"/>
            <w:tcBorders>
              <w:top w:val="single" w:sz="12" w:space="0" w:color="C12E33"/>
            </w:tcBorders>
            <w:shd w:fill="EDEDEE" w:val="clear"/>
            <w:vAlign w:val="center"/>
          </w:tcPr>
          <w:p>
            <w:pPr>
              <w:pStyle w:val="TableContents"/>
              <w:bidi w:val="0"/>
              <w:spacing w:before="0" w:after="283"/>
              <w:jc w:val="left"/>
              <w:rPr/>
            </w:pPr>
            <w:r>
              <w:rPr/>
              <w:t> </w:t>
            </w:r>
          </w:p>
        </w:tc>
      </w:tr>
      <w:tr>
        <w:trPr/>
        <w:tc>
          <w:tcPr>
            <w:tcW w:w="1970" w:type="dxa"/>
            <w:tcBorders/>
            <w:shd w:fill="EDEDEE" w:val="clear"/>
            <w:tcMar>
              <w:top w:w="0" w:type="dxa"/>
            </w:tcMar>
            <w:vAlign w:val="center"/>
          </w:tcPr>
          <w:p>
            <w:pPr>
              <w:pStyle w:val="TableContents"/>
              <w:bidi w:val="0"/>
              <w:spacing w:before="0" w:after="283"/>
              <w:jc w:val="left"/>
              <w:rPr>
                <w:sz w:val="24"/>
              </w:rPr>
            </w:pPr>
            <w:r>
              <w:rPr>
                <w:rFonts w:ascii="Arial;Helvetica;Sans-Serif" w:hAnsi="Arial;Helvetica;Sans-Serif"/>
                <w:b/>
                <w:i w:val="false"/>
                <w:caps w:val="false"/>
                <w:smallCaps w:val="false"/>
                <w:sz w:val="40"/>
              </w:rPr>
              <w:t xml:space="preserve">1.56 </w:t>
            </w:r>
            <w:r>
              <w:rPr>
                <w:sz w:val="24"/>
              </w:rPr>
              <w:br/>
            </w:r>
            <w:r>
              <w:rPr>
                <w:rFonts w:ascii="Arial;Helvetica;Sans-Serif" w:hAnsi="Arial;Helvetica;Sans-Serif"/>
                <w:b/>
                <w:i w:val="false"/>
                <w:caps w:val="false"/>
                <w:smallCaps w:val="false"/>
                <w:sz w:val="15"/>
              </w:rPr>
              <w:t>book-to-bill ratio</w:t>
            </w:r>
          </w:p>
        </w:tc>
        <w:tc>
          <w:tcPr>
            <w:tcW w:w="2285" w:type="dxa"/>
            <w:tcBorders/>
            <w:shd w:fill="EDEDEE" w:val="clear"/>
            <w:tcMar>
              <w:top w:w="0" w:type="dxa"/>
            </w:tcMar>
            <w:vAlign w:val="center"/>
          </w:tcPr>
          <w:p>
            <w:pPr>
              <w:pStyle w:val="TableContents"/>
              <w:bidi w:val="0"/>
              <w:spacing w:before="0" w:after="283"/>
              <w:jc w:val="left"/>
              <w:rPr>
                <w:sz w:val="24"/>
              </w:rPr>
            </w:pPr>
            <w:r>
              <w:rPr>
                <w:rFonts w:ascii="Arial;Helvetica;Sans-Serif" w:hAnsi="Arial;Helvetica;Sans-Serif"/>
                <w:b/>
                <w:i w:val="false"/>
                <w:caps w:val="false"/>
                <w:smallCaps w:val="false"/>
                <w:sz w:val="40"/>
              </w:rPr>
              <w:t xml:space="preserve">7.9% </w:t>
            </w:r>
            <w:r>
              <w:rPr>
                <w:rFonts w:ascii="Arial;Helvetica;Sans-Serif" w:hAnsi="Arial;Helvetica;Sans-Serif"/>
                <w:b/>
                <w:i w:val="false"/>
                <w:caps w:val="false"/>
                <w:smallCaps w:val="false"/>
                <w:sz w:val="30"/>
              </w:rPr>
              <w:t>increase</w:t>
            </w:r>
            <w:r>
              <w:rPr>
                <w:sz w:val="24"/>
              </w:rPr>
              <w:br/>
            </w:r>
            <w:r>
              <w:rPr>
                <w:rFonts w:ascii="Arial;Helvetica;Sans-Serif" w:hAnsi="Arial;Helvetica;Sans-Serif"/>
                <w:b/>
                <w:i w:val="false"/>
                <w:caps w:val="false"/>
                <w:smallCaps w:val="false"/>
                <w:sz w:val="15"/>
              </w:rPr>
              <w:t>in dividend per share</w:t>
            </w:r>
          </w:p>
        </w:tc>
        <w:tc>
          <w:tcPr>
            <w:tcW w:w="1940" w:type="dxa"/>
            <w:tcBorders/>
            <w:shd w:fill="EDEDEE" w:val="clear"/>
            <w:tcMar>
              <w:top w:w="0" w:type="dxa"/>
            </w:tcMar>
            <w:vAlign w:val="center"/>
          </w:tcPr>
          <w:p>
            <w:pPr>
              <w:pStyle w:val="TableContents"/>
              <w:bidi w:val="0"/>
              <w:spacing w:before="0" w:after="283"/>
              <w:jc w:val="left"/>
              <w:rPr>
                <w:sz w:val="24"/>
              </w:rPr>
            </w:pPr>
            <w:r>
              <w:rPr>
                <w:rFonts w:ascii="Arial;Helvetica;Sans-Serif" w:hAnsi="Arial;Helvetica;Sans-Serif"/>
                <w:b/>
                <w:i w:val="false"/>
                <w:caps w:val="false"/>
                <w:smallCaps w:val="false"/>
                <w:sz w:val="40"/>
              </w:rPr>
              <w:t xml:space="preserve">$161 </w:t>
            </w:r>
            <w:r>
              <w:rPr>
                <w:rFonts w:ascii="Arial;Helvetica;Sans-Serif" w:hAnsi="Arial;Helvetica;Sans-Serif"/>
                <w:b/>
                <w:i w:val="false"/>
                <w:caps w:val="false"/>
                <w:smallCaps w:val="false"/>
                <w:sz w:val="30"/>
              </w:rPr>
              <w:t>billion</w:t>
            </w:r>
            <w:r>
              <w:rPr>
                <w:sz w:val="24"/>
              </w:rPr>
              <w:br/>
            </w:r>
            <w:r>
              <w:rPr>
                <w:rFonts w:ascii="Arial;Helvetica;Sans-Serif" w:hAnsi="Arial;Helvetica;Sans-Serif"/>
                <w:b/>
                <w:i w:val="false"/>
                <w:caps w:val="false"/>
                <w:smallCaps w:val="false"/>
                <w:sz w:val="15"/>
              </w:rPr>
              <w:t>commercial aerospace</w:t>
            </w:r>
            <w:r>
              <w:rPr>
                <w:sz w:val="24"/>
              </w:rPr>
              <w:br/>
            </w:r>
            <w:r>
              <w:rPr>
                <w:rFonts w:ascii="Arial;Helvetica;Sans-Serif" w:hAnsi="Arial;Helvetica;Sans-Serif"/>
                <w:b/>
                <w:i w:val="false"/>
                <w:caps w:val="false"/>
                <w:smallCaps w:val="false"/>
                <w:sz w:val="15"/>
              </w:rPr>
              <w:t>backlog at year-end</w:t>
            </w:r>
          </w:p>
        </w:tc>
        <w:tc>
          <w:tcPr>
            <w:tcW w:w="1955" w:type="dxa"/>
            <w:tcBorders/>
            <w:shd w:fill="EDEDEE" w:val="clear"/>
            <w:tcMar>
              <w:top w:w="0" w:type="dxa"/>
            </w:tcMar>
            <w:vAlign w:val="center"/>
          </w:tcPr>
          <w:p>
            <w:pPr>
              <w:pStyle w:val="TableContents"/>
              <w:bidi w:val="0"/>
              <w:spacing w:before="0" w:after="283"/>
              <w:jc w:val="left"/>
              <w:rPr>
                <w:sz w:val="24"/>
              </w:rPr>
            </w:pPr>
            <w:r>
              <w:rPr>
                <w:rFonts w:ascii="Arial;Helvetica;Sans-Serif" w:hAnsi="Arial;Helvetica;Sans-Serif"/>
                <w:b/>
                <w:i w:val="false"/>
                <w:caps w:val="false"/>
                <w:smallCaps w:val="false"/>
                <w:sz w:val="40"/>
              </w:rPr>
              <w:t xml:space="preserve">$107 </w:t>
            </w:r>
            <w:r>
              <w:rPr>
                <w:rFonts w:ascii="Arial;Helvetica;Sans-Serif" w:hAnsi="Arial;Helvetica;Sans-Serif"/>
                <w:b/>
                <w:i w:val="false"/>
                <w:caps w:val="false"/>
                <w:smallCaps w:val="false"/>
                <w:sz w:val="30"/>
              </w:rPr>
              <w:t>billion</w:t>
            </w:r>
            <w:r>
              <w:rPr>
                <w:sz w:val="24"/>
              </w:rPr>
              <w:br/>
            </w:r>
            <w:r>
              <w:rPr>
                <w:rFonts w:ascii="Arial;Helvetica;Sans-Serif" w:hAnsi="Arial;Helvetica;Sans-Serif"/>
                <w:b/>
                <w:i w:val="false"/>
                <w:caps w:val="false"/>
                <w:smallCaps w:val="false"/>
                <w:sz w:val="15"/>
              </w:rPr>
              <w:t>defense backlog</w:t>
            </w:r>
            <w:r>
              <w:rPr>
                <w:sz w:val="24"/>
              </w:rPr>
              <w:br/>
            </w:r>
            <w:r>
              <w:rPr>
                <w:rFonts w:ascii="Arial;Helvetica;Sans-Serif" w:hAnsi="Arial;Helvetica;Sans-Serif"/>
                <w:b/>
                <w:i w:val="false"/>
                <w:caps w:val="false"/>
                <w:smallCaps w:val="false"/>
                <w:sz w:val="15"/>
              </w:rPr>
              <w:t>at year-end</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15"/>
        </w:rPr>
      </w:pPr>
      <w:r>
        <w:rPr>
          <w:rFonts w:ascii="Arial;Helvetica;Sans-Serif" w:hAnsi="Arial;Helvetica;Sans-Serif"/>
          <w:b/>
          <w:i w:val="false"/>
          <w:caps w:val="false"/>
          <w:smallCaps w:val="false"/>
          <w:sz w:val="15"/>
        </w:rPr>
        <w:t>40</w:t>
      </w:r>
      <w:r>
        <w:rPr>
          <w:rFonts w:ascii="Times New Roman;Times;Serif" w:hAnsi="Times New Roman;Times;Serif"/>
          <w:b w:val="false"/>
          <w:i w:val="false"/>
          <w:caps w:val="false"/>
          <w:smallCaps w:val="false"/>
          <w:sz w:val="15"/>
        </w:rPr>
        <w:t>   </w:t>
      </w:r>
      <w:r>
        <w:rPr>
          <w:rFonts w:ascii="Arial;Helvetica;Sans-Serif" w:hAnsi="Arial;Helvetica;Sans-Serif"/>
          <w:b/>
          <w:i w:val="false"/>
          <w:caps w:val="false"/>
          <w:smallCaps w:val="false"/>
          <w:sz w:val="15"/>
        </w:rPr>
        <w:t>RTX</w:t>
      </w:r>
      <w:r>
        <w:rPr>
          <w:rFonts w:ascii="Arial;Helvetica;Sans-Serif" w:hAnsi="Arial;Helvetica;Sans-Serif"/>
          <w:b w:val="false"/>
          <w:i w:val="false"/>
          <w:caps w:val="false"/>
          <w:smallCaps w:val="false"/>
          <w:sz w:val="15"/>
        </w:rPr>
        <w:t xml:space="preserve"> 2026 PROXY STATEMENT</w:t>
      </w:r>
    </w:p>
    <w:p>
      <w:pPr>
        <w:pStyle w:val="HorizontalLine"/>
        <w:pBdr>
          <w:bottom w:val="double" w:sz="2" w:space="0" w:color="808080"/>
        </w:pBdr>
        <w:bidi w:val="0"/>
        <w:spacing w:before="0" w:after="283"/>
        <w:jc w:val="left"/>
        <w:rPr/>
      </w:pPr>
      <w:r>
        <w:rPr/>
      </w:r>
    </w:p>
    <w:p>
      <w:pPr>
        <w:pStyle w:val="TextBody"/>
        <w:bidi w:val="0"/>
        <w:spacing w:before="200" w:after="200"/>
        <w:jc w:val="left"/>
        <w:rPr/>
      </w:pPr>
      <w:hyperlink w:anchor="toc">
        <w:r>
          <w:rPr>
            <w:rStyle w:val="InternetLink"/>
            <w:rFonts w:ascii="Arial;Helvetica;Sans-Serif" w:hAnsi="Arial;Helvetica;Sans-Serif"/>
            <w:b/>
            <w:i w:val="false"/>
            <w:caps w:val="false"/>
            <w:smallCaps w:val="false"/>
            <w:sz w:val="16"/>
          </w:rPr>
          <w:t>Table of Contents</w:t>
        </w:r>
      </w:hyperlink>
    </w:p>
    <w:p>
      <w:pPr>
        <w:pStyle w:val="TextBody"/>
        <w:bidi w:val="0"/>
        <w:spacing w:before="0" w:after="0"/>
        <w:ind w:left="0" w:right="0" w:hanging="0"/>
        <w:jc w:val="right"/>
        <w:rPr>
          <w:rFonts w:ascii="Arial;Helvetica;Sans-Serif" w:hAnsi="Arial;Helvetica;Sans-Serif"/>
          <w:b/>
          <w:i w:val="false"/>
          <w:caps w:val="false"/>
          <w:smallCaps w:val="false"/>
          <w:color w:val="C12E33"/>
          <w:sz w:val="15"/>
        </w:rPr>
      </w:pPr>
      <w:r>
        <w:rPr>
          <w:rFonts w:ascii="Arial;Helvetica;Sans-Serif" w:hAnsi="Arial;Helvetica;Sans-Serif"/>
          <w:b/>
          <w:i w:val="false"/>
          <w:caps w:val="false"/>
          <w:smallCaps w:val="false"/>
          <w:color w:val="C12E33"/>
          <w:sz w:val="15"/>
        </w:rPr>
        <w:t>COMPENSATION DISCUSSION AND ANALYSIS</w:t>
      </w:r>
    </w:p>
    <w:p>
      <w:pPr>
        <w:pStyle w:val="TextBody"/>
        <w:bidi w:val="0"/>
        <w:spacing w:before="0" w:after="0"/>
        <w:ind w:left="0" w:right="0" w:hanging="0"/>
        <w:jc w:val="righ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EXECUTIVE SUMMARY</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2025 FINANCIAL HIGHLIGHTS</w:t>
      </w:r>
    </w:p>
    <w:p>
      <w:pPr>
        <w:pStyle w:val="TextBody"/>
        <w:bidi w:val="0"/>
        <w:spacing w:before="0" w:after="0"/>
        <w:ind w:left="0" w:right="0" w:hanging="0"/>
        <w:jc w:val="left"/>
        <w:rPr>
          <w:caps w:val="false"/>
          <w:smallCaps w:val="false"/>
        </w:rPr>
      </w:pPr>
      <w:r>
        <w:rPr>
          <w:caps w:val="false"/>
          <w:smallCaps w:val="false"/>
        </w:rPr>
        <w:t> </w:t>
      </w:r>
    </w:p>
    <w:tbl>
      <w:tblPr>
        <w:tblW w:w="11340" w:type="dxa"/>
        <w:jc w:val="left"/>
        <w:tblInd w:w="0" w:type="dxa"/>
        <w:tblLayout w:type="fixed"/>
        <w:tblCellMar>
          <w:top w:w="0" w:type="dxa"/>
          <w:left w:w="0" w:type="dxa"/>
          <w:bottom w:w="0" w:type="dxa"/>
          <w:right w:w="0" w:type="dxa"/>
        </w:tblCellMar>
      </w:tblPr>
      <w:tblGrid>
        <w:gridCol w:w="5265"/>
        <w:gridCol w:w="360"/>
        <w:gridCol w:w="5715"/>
      </w:tblGrid>
      <w:tr>
        <w:trPr/>
        <w:tc>
          <w:tcPr>
            <w:tcW w:w="5265" w:type="dxa"/>
            <w:tcBorders/>
            <w:vAlign w:val="center"/>
          </w:tcPr>
          <w:p>
            <w:pPr>
              <w:pStyle w:val="TableContents"/>
              <w:bidi w:val="0"/>
              <w:spacing w:before="0" w:after="283"/>
              <w:jc w:val="left"/>
              <w:rPr/>
            </w:pPr>
            <w:r>
              <w:rPr>
                <w:rFonts w:ascii="Arial;Helvetica;Sans-Serif" w:hAnsi="Arial;Helvetica;Sans-Serif"/>
                <w:b/>
                <w:i w:val="false"/>
                <w:caps w:val="false"/>
                <w:smallCaps w:val="false"/>
                <w:color w:val="C12E33"/>
                <w:sz w:val="20"/>
              </w:rPr>
              <w:t>DILUTED EARNINGS PER SHARE</w:t>
            </w:r>
            <w:r>
              <w:rPr/>
              <w:br/>
            </w:r>
            <w:r>
              <w:rPr>
                <w:rFonts w:ascii="Arial;Helvetica;Sans-Serif" w:hAnsi="Arial;Helvetica;Sans-Serif"/>
                <w:b w:val="false"/>
                <w:i w:val="false"/>
                <w:caps w:val="false"/>
                <w:smallCaps w:val="false"/>
                <w:sz w:val="15"/>
              </w:rPr>
              <w:t>($ per share)</w:t>
            </w:r>
          </w:p>
        </w:tc>
        <w:tc>
          <w:tcPr>
            <w:tcW w:w="360" w:type="dxa"/>
            <w:tcBorders/>
            <w:vAlign w:val="center"/>
          </w:tcPr>
          <w:p>
            <w:pPr>
              <w:pStyle w:val="TableContents"/>
              <w:bidi w:val="0"/>
              <w:spacing w:before="0" w:after="283"/>
              <w:jc w:val="left"/>
              <w:rPr/>
            </w:pPr>
            <w:r>
              <w:rPr/>
              <w:t>      </w:t>
            </w:r>
          </w:p>
        </w:tc>
        <w:tc>
          <w:tcPr>
            <w:tcW w:w="5715" w:type="dxa"/>
            <w:tcBorders/>
            <w:vAlign w:val="center"/>
          </w:tcPr>
          <w:p>
            <w:pPr>
              <w:pStyle w:val="TableContents"/>
              <w:bidi w:val="0"/>
              <w:spacing w:before="0" w:after="283"/>
              <w:jc w:val="left"/>
              <w:rPr/>
            </w:pPr>
            <w:r>
              <w:rPr>
                <w:rFonts w:ascii="Arial;Helvetica;Sans-Serif" w:hAnsi="Arial;Helvetica;Sans-Serif"/>
                <w:b/>
                <w:i w:val="false"/>
                <w:caps w:val="false"/>
                <w:smallCaps w:val="false"/>
                <w:color w:val="C12E33"/>
                <w:sz w:val="20"/>
              </w:rPr>
              <w:t>CASH FLOW</w:t>
            </w:r>
            <w:r>
              <w:rPr/>
              <w:br/>
            </w:r>
            <w:r>
              <w:rPr>
                <w:rFonts w:ascii="Arial;Helvetica;Sans-Serif" w:hAnsi="Arial;Helvetica;Sans-Serif"/>
                <w:b w:val="false"/>
                <w:i w:val="false"/>
                <w:caps w:val="false"/>
                <w:smallCaps w:val="false"/>
                <w:sz w:val="15"/>
              </w:rPr>
              <w:t>(in billions)</w:t>
            </w:r>
          </w:p>
        </w:tc>
      </w:tr>
      <w:tr>
        <w:trPr/>
        <w:tc>
          <w:tcPr>
            <w:tcW w:w="5265" w:type="dxa"/>
            <w:tcBorders/>
            <w:vAlign w:val="center"/>
          </w:tcPr>
          <w:p>
            <w:pPr>
              <w:pStyle w:val="TableContents"/>
              <w:bidi w:val="0"/>
              <w:spacing w:before="0" w:after="283"/>
              <w:jc w:val="left"/>
              <w:rPr/>
            </w:pPr>
            <w:r>
              <w:rPr/>
              <w:drawing>
                <wp:inline distT="0" distB="0" distL="0" distR="0">
                  <wp:extent cx="3333750" cy="723900"/>
                  <wp:effectExtent l="0" t="0" r="0" b="0"/>
                  <wp:docPr id="293" name="Image1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3" name="Image196" descr=""/>
                          <pic:cNvPicPr>
                            <a:picLocks noChangeAspect="1" noChangeArrowheads="1"/>
                          </pic:cNvPicPr>
                        </pic:nvPicPr>
                        <pic:blipFill>
                          <a:blip r:embed="rId246"/>
                          <a:stretch>
                            <a:fillRect/>
                          </a:stretch>
                        </pic:blipFill>
                        <pic:spPr bwMode="auto">
                          <a:xfrm>
                            <a:off x="0" y="0"/>
                            <a:ext cx="3333750" cy="723900"/>
                          </a:xfrm>
                          <a:prstGeom prst="rect">
                            <a:avLst/>
                          </a:prstGeom>
                        </pic:spPr>
                      </pic:pic>
                    </a:graphicData>
                  </a:graphic>
                </wp:inline>
              </w:drawing>
            </w:r>
          </w:p>
        </w:tc>
        <w:tc>
          <w:tcPr>
            <w:tcW w:w="360" w:type="dxa"/>
            <w:tcBorders/>
            <w:vAlign w:val="center"/>
          </w:tcPr>
          <w:p>
            <w:pPr>
              <w:pStyle w:val="TableContents"/>
              <w:bidi w:val="0"/>
              <w:spacing w:before="0" w:after="283"/>
              <w:jc w:val="left"/>
              <w:rPr/>
            </w:pPr>
            <w:r>
              <w:rPr/>
              <w:t> </w:t>
            </w:r>
          </w:p>
        </w:tc>
        <w:tc>
          <w:tcPr>
            <w:tcW w:w="5715" w:type="dxa"/>
            <w:tcBorders/>
            <w:vAlign w:val="center"/>
          </w:tcPr>
          <w:p>
            <w:pPr>
              <w:pStyle w:val="TableContents"/>
              <w:bidi w:val="0"/>
              <w:spacing w:before="0" w:after="283"/>
              <w:jc w:val="left"/>
              <w:rPr/>
            </w:pPr>
            <w:r>
              <w:rPr/>
              <w:drawing>
                <wp:inline distT="0" distB="0" distL="0" distR="0">
                  <wp:extent cx="3619500" cy="685800"/>
                  <wp:effectExtent l="0" t="0" r="0" b="0"/>
                  <wp:docPr id="294" name="Image1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 name="Image197" descr=""/>
                          <pic:cNvPicPr>
                            <a:picLocks noChangeAspect="1" noChangeArrowheads="1"/>
                          </pic:cNvPicPr>
                        </pic:nvPicPr>
                        <pic:blipFill>
                          <a:blip r:embed="rId247"/>
                          <a:stretch>
                            <a:fillRect/>
                          </a:stretch>
                        </pic:blipFill>
                        <pic:spPr bwMode="auto">
                          <a:xfrm>
                            <a:off x="0" y="0"/>
                            <a:ext cx="3619500" cy="685800"/>
                          </a:xfrm>
                          <a:prstGeom prst="rect">
                            <a:avLst/>
                          </a:prstGeom>
                        </pic:spPr>
                      </pic:pic>
                    </a:graphicData>
                  </a:graphic>
                </wp:inline>
              </w:drawing>
            </w:r>
          </w:p>
        </w:tc>
      </w:tr>
      <w:tr>
        <w:trPr/>
        <w:tc>
          <w:tcPr>
            <w:tcW w:w="5265" w:type="dxa"/>
            <w:tcBorders/>
            <w:vAlign w:val="center"/>
          </w:tcPr>
          <w:p>
            <w:pPr>
              <w:pStyle w:val="TableContents"/>
              <w:bidi w:val="0"/>
              <w:spacing w:before="0" w:after="283"/>
              <w:jc w:val="left"/>
              <w:rPr/>
            </w:pPr>
            <w:r>
              <w:rPr/>
              <w:t> </w:t>
            </w:r>
          </w:p>
        </w:tc>
        <w:tc>
          <w:tcPr>
            <w:tcW w:w="360" w:type="dxa"/>
            <w:tcBorders/>
            <w:vAlign w:val="center"/>
          </w:tcPr>
          <w:p>
            <w:pPr>
              <w:pStyle w:val="TableContents"/>
              <w:bidi w:val="0"/>
              <w:spacing w:before="0" w:after="283"/>
              <w:jc w:val="left"/>
              <w:rPr/>
            </w:pPr>
            <w:r>
              <w:rPr/>
              <w:t> </w:t>
            </w:r>
          </w:p>
        </w:tc>
        <w:tc>
          <w:tcPr>
            <w:tcW w:w="5715" w:type="dxa"/>
            <w:tcBorders/>
            <w:vAlign w:val="center"/>
          </w:tcPr>
          <w:p>
            <w:pPr>
              <w:pStyle w:val="TableContents"/>
              <w:bidi w:val="0"/>
              <w:spacing w:before="0" w:after="283"/>
              <w:jc w:val="left"/>
              <w:rPr/>
            </w:pPr>
            <w:r>
              <w:rPr/>
              <w:t> </w:t>
            </w:r>
          </w:p>
        </w:tc>
      </w:tr>
      <w:tr>
        <w:trPr/>
        <w:tc>
          <w:tcPr>
            <w:tcW w:w="5265" w:type="dxa"/>
            <w:tcBorders/>
            <w:vAlign w:val="center"/>
          </w:tcPr>
          <w:p>
            <w:pPr>
              <w:pStyle w:val="TableContents"/>
              <w:bidi w:val="0"/>
              <w:spacing w:before="0" w:after="283"/>
              <w:jc w:val="left"/>
              <w:rPr/>
            </w:pPr>
            <w:r>
              <w:rPr>
                <w:rFonts w:ascii="Arial;Helvetica;Sans-Serif" w:hAnsi="Arial;Helvetica;Sans-Serif"/>
                <w:b/>
                <w:i w:val="false"/>
                <w:caps w:val="false"/>
                <w:smallCaps w:val="false"/>
                <w:color w:val="C12E33"/>
                <w:sz w:val="20"/>
              </w:rPr>
              <w:t>NET INCOME</w:t>
            </w:r>
            <w:r>
              <w:rPr/>
              <w:br/>
            </w:r>
            <w:r>
              <w:rPr>
                <w:rFonts w:ascii="Arial;Helvetica;Sans-Serif" w:hAnsi="Arial;Helvetica;Sans-Serif"/>
                <w:b w:val="false"/>
                <w:i w:val="false"/>
                <w:caps w:val="false"/>
                <w:smallCaps w:val="false"/>
                <w:sz w:val="15"/>
              </w:rPr>
              <w:t>(in billions)</w:t>
            </w:r>
          </w:p>
        </w:tc>
        <w:tc>
          <w:tcPr>
            <w:tcW w:w="360" w:type="dxa"/>
            <w:tcBorders/>
            <w:vAlign w:val="center"/>
          </w:tcPr>
          <w:p>
            <w:pPr>
              <w:pStyle w:val="TableContents"/>
              <w:bidi w:val="0"/>
              <w:spacing w:before="0" w:after="283"/>
              <w:jc w:val="left"/>
              <w:rPr/>
            </w:pPr>
            <w:r>
              <w:rPr/>
              <w:t> </w:t>
            </w:r>
          </w:p>
        </w:tc>
        <w:tc>
          <w:tcPr>
            <w:tcW w:w="5715" w:type="dxa"/>
            <w:tcBorders/>
            <w:vAlign w:val="center"/>
          </w:tcPr>
          <w:p>
            <w:pPr>
              <w:pStyle w:val="TableContents"/>
              <w:bidi w:val="0"/>
              <w:spacing w:before="0" w:after="283"/>
              <w:jc w:val="left"/>
              <w:rPr/>
            </w:pPr>
            <w:r>
              <w:rPr>
                <w:rFonts w:ascii="Arial;Helvetica;Sans-Serif" w:hAnsi="Arial;Helvetica;Sans-Serif"/>
                <w:b/>
                <w:i w:val="false"/>
                <w:caps w:val="false"/>
                <w:smallCaps w:val="false"/>
                <w:color w:val="C12E33"/>
                <w:sz w:val="20"/>
              </w:rPr>
              <w:t>NET SALES</w:t>
            </w:r>
            <w:r>
              <w:rPr/>
              <w:br/>
            </w:r>
            <w:r>
              <w:rPr>
                <w:rFonts w:ascii="Arial;Helvetica;Sans-Serif" w:hAnsi="Arial;Helvetica;Sans-Serif"/>
                <w:b w:val="false"/>
                <w:i w:val="false"/>
                <w:caps w:val="false"/>
                <w:smallCaps w:val="false"/>
                <w:sz w:val="15"/>
              </w:rPr>
              <w:t>(in billions)</w:t>
            </w:r>
          </w:p>
        </w:tc>
      </w:tr>
      <w:tr>
        <w:trPr/>
        <w:tc>
          <w:tcPr>
            <w:tcW w:w="5265" w:type="dxa"/>
            <w:tcBorders/>
            <w:vAlign w:val="center"/>
          </w:tcPr>
          <w:p>
            <w:pPr>
              <w:pStyle w:val="TableContents"/>
              <w:bidi w:val="0"/>
              <w:spacing w:before="0" w:after="283"/>
              <w:jc w:val="left"/>
              <w:rPr/>
            </w:pPr>
            <w:r>
              <w:rPr/>
              <w:drawing>
                <wp:inline distT="0" distB="0" distL="0" distR="0">
                  <wp:extent cx="3238500" cy="1009650"/>
                  <wp:effectExtent l="0" t="0" r="0" b="0"/>
                  <wp:docPr id="295" name="Image1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5" name="Image198" descr=""/>
                          <pic:cNvPicPr>
                            <a:picLocks noChangeAspect="1" noChangeArrowheads="1"/>
                          </pic:cNvPicPr>
                        </pic:nvPicPr>
                        <pic:blipFill>
                          <a:blip r:embed="rId248"/>
                          <a:stretch>
                            <a:fillRect/>
                          </a:stretch>
                        </pic:blipFill>
                        <pic:spPr bwMode="auto">
                          <a:xfrm>
                            <a:off x="0" y="0"/>
                            <a:ext cx="3238500" cy="1009650"/>
                          </a:xfrm>
                          <a:prstGeom prst="rect">
                            <a:avLst/>
                          </a:prstGeom>
                        </pic:spPr>
                      </pic:pic>
                    </a:graphicData>
                  </a:graphic>
                </wp:inline>
              </w:drawing>
            </w:r>
          </w:p>
        </w:tc>
        <w:tc>
          <w:tcPr>
            <w:tcW w:w="360" w:type="dxa"/>
            <w:tcBorders/>
            <w:vAlign w:val="center"/>
          </w:tcPr>
          <w:p>
            <w:pPr>
              <w:pStyle w:val="TableContents"/>
              <w:bidi w:val="0"/>
              <w:spacing w:before="0" w:after="283"/>
              <w:jc w:val="left"/>
              <w:rPr/>
            </w:pPr>
            <w:r>
              <w:rPr/>
              <w:t> </w:t>
            </w:r>
          </w:p>
        </w:tc>
        <w:tc>
          <w:tcPr>
            <w:tcW w:w="5715" w:type="dxa"/>
            <w:tcBorders/>
            <w:vAlign w:val="center"/>
          </w:tcPr>
          <w:p>
            <w:pPr>
              <w:pStyle w:val="TableContents"/>
              <w:bidi w:val="0"/>
              <w:spacing w:before="0" w:after="283"/>
              <w:jc w:val="left"/>
              <w:rPr/>
            </w:pPr>
            <w:r>
              <w:rPr/>
              <w:drawing>
                <wp:inline distT="0" distB="0" distL="0" distR="0">
                  <wp:extent cx="3619500" cy="685800"/>
                  <wp:effectExtent l="0" t="0" r="0" b="0"/>
                  <wp:docPr id="296" name="Image1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 name="Image199" descr=""/>
                          <pic:cNvPicPr>
                            <a:picLocks noChangeAspect="1" noChangeArrowheads="1"/>
                          </pic:cNvPicPr>
                        </pic:nvPicPr>
                        <pic:blipFill>
                          <a:blip r:embed="rId249"/>
                          <a:stretch>
                            <a:fillRect/>
                          </a:stretch>
                        </pic:blipFill>
                        <pic:spPr bwMode="auto">
                          <a:xfrm>
                            <a:off x="0" y="0"/>
                            <a:ext cx="3619500" cy="685800"/>
                          </a:xfrm>
                          <a:prstGeom prst="rect">
                            <a:avLst/>
                          </a:prstGeom>
                        </pic:spPr>
                      </pic:pic>
                    </a:graphicData>
                  </a:graphic>
                </wp:inline>
              </w:drawing>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vAlign w:val="center"/>
          </w:tcPr>
          <w:p>
            <w:pPr>
              <w:pStyle w:val="TableContents"/>
              <w:bidi w:val="0"/>
              <w:spacing w:before="0" w:after="283"/>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(1)</w:t>
            </w:r>
          </w:p>
        </w:tc>
        <w:tc>
          <w:tcPr>
            <w:tcW w:w="9994" w:type="dxa"/>
            <w:tcBorders/>
            <w:vAlign w:val="center"/>
          </w:tcPr>
          <w:p>
            <w:pPr>
              <w:pStyle w:val="TableContents"/>
              <w:bidi w:val="0"/>
              <w:spacing w:before="0" w:after="283"/>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Adjusted EPS, FCF, adjusted net income and adjusted net sales are non-GAAP financial measures. See Appendix A on pages 99-101 for more information.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2"/>
        </w:rPr>
      </w:pPr>
      <w:r>
        <w:rPr>
          <w:rFonts w:ascii="Arial;Helvetica;Sans-Serif" w:hAnsi="Arial;Helvetica;Sans-Serif"/>
          <w:b/>
          <w:i w:val="false"/>
          <w:caps w:val="false"/>
          <w:smallCaps w:val="false"/>
          <w:sz w:val="20"/>
        </w:rPr>
        <w:t xml:space="preserve">2025 </w:t>
      </w:r>
      <w:r>
        <w:rPr>
          <w:rFonts w:ascii="Arial;Helvetica;Sans-Serif" w:hAnsi="Arial;Helvetica;Sans-Serif"/>
          <w:b/>
          <w:i w:val="false"/>
          <w:caps w:val="false"/>
          <w:smallCaps w:val="false"/>
          <w:sz w:val="22"/>
        </w:rPr>
        <w:t xml:space="preserve">STRATEGIC </w:t>
      </w:r>
      <w:r>
        <w:rPr>
          <w:rFonts w:ascii="Arial;Helvetica;Sans-Serif" w:hAnsi="Arial;Helvetica;Sans-Serif"/>
          <w:b/>
          <w:i w:val="false"/>
          <w:caps w:val="false"/>
          <w:smallCaps w:val="false"/>
          <w:sz w:val="20"/>
        </w:rPr>
        <w:t>HIGHLIGHTS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In 2025, we advanced our key strategic priorities with a focus on the following: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60" w:type="dxa"/>
          <w:right w:w="0" w:type="dxa"/>
        </w:tblCellMar>
      </w:tblPr>
      <w:tblGrid>
        <w:gridCol w:w="3655"/>
        <w:gridCol w:w="60"/>
        <w:gridCol w:w="3287"/>
        <w:gridCol w:w="60"/>
        <w:gridCol w:w="3143"/>
      </w:tblGrid>
      <w:tr>
        <w:trPr/>
        <w:tc>
          <w:tcPr>
            <w:tcW w:w="3655" w:type="dxa"/>
            <w:tcBorders>
              <w:bottom w:val="single" w:sz="2" w:space="0" w:color="C12E3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Executing on our customer commitments</w:t>
            </w:r>
          </w:p>
        </w:tc>
        <w:tc>
          <w:tcPr>
            <w:tcW w:w="60" w:type="dxa"/>
            <w:tcBorders/>
            <w:tcMar>
              <w:bottom w:w="0" w:type="dxa"/>
            </w:tcMar>
            <w:vAlign w:val="center"/>
          </w:tcPr>
          <w:p>
            <w:pPr>
              <w:pStyle w:val="TableContents"/>
              <w:bidi w:val="0"/>
              <w:spacing w:before="0" w:after="283"/>
              <w:jc w:val="left"/>
              <w:rPr/>
            </w:pPr>
            <w:r>
              <w:rPr/>
              <w:t> </w:t>
            </w:r>
          </w:p>
        </w:tc>
        <w:tc>
          <w:tcPr>
            <w:tcW w:w="3287" w:type="dxa"/>
            <w:tcBorders>
              <w:bottom w:val="single" w:sz="2" w:space="0" w:color="C12E3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Innovating for future growth</w:t>
            </w:r>
          </w:p>
        </w:tc>
        <w:tc>
          <w:tcPr>
            <w:tcW w:w="60" w:type="dxa"/>
            <w:tcBorders/>
            <w:tcMar>
              <w:bottom w:w="0" w:type="dxa"/>
            </w:tcMar>
            <w:vAlign w:val="center"/>
          </w:tcPr>
          <w:p>
            <w:pPr>
              <w:pStyle w:val="TableContents"/>
              <w:bidi w:val="0"/>
              <w:spacing w:before="0" w:after="283"/>
              <w:jc w:val="left"/>
              <w:rPr/>
            </w:pPr>
            <w:r>
              <w:rPr/>
              <w:t> </w:t>
            </w:r>
          </w:p>
        </w:tc>
        <w:tc>
          <w:tcPr>
            <w:tcW w:w="3143" w:type="dxa"/>
            <w:tcBorders>
              <w:bottom w:val="single" w:sz="2" w:space="0" w:color="C12E3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Leveraging our breadth and scale</w:t>
            </w:r>
          </w:p>
        </w:tc>
      </w:tr>
      <w:tr>
        <w:trPr/>
        <w:tc>
          <w:tcPr>
            <w:tcW w:w="3655" w:type="dxa"/>
            <w:tcBorders/>
            <w:tcMar>
              <w:bottom w:w="0" w:type="dxa"/>
            </w:tcMar>
            <w:vAlign w:val="center"/>
          </w:tcPr>
          <w:p>
            <w:pPr>
              <w:pStyle w:val="TableContents"/>
              <w:bidi w:val="0"/>
              <w:jc w:val="left"/>
              <w:rPr>
                <w:rFonts w:ascii="Arial;Helvetica;Sans-Serif" w:hAnsi="Arial;Helvetica;Sans-Serif"/>
                <w:sz w:val="20"/>
              </w:rPr>
            </w:pPr>
            <w:r>
              <w:rPr>
                <w:rFonts w:ascii="Arial;Helvetica;Sans-Serif" w:hAnsi="Arial;Helvetica;Sans-Serif"/>
                <w:sz w:val="20"/>
              </w:rPr>
              <w:t>During the year, we capitalized on the powerful demand for our products and services, and strategically deployed over $2.6 billion in capital expenditures to expand our manufacturing capacity and to drive measurable efficiency gains across the enterprise. Examples include:</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120"/>
              <w:ind w:left="300" w:right="0" w:hanging="280"/>
              <w:jc w:val="left"/>
              <w:rPr>
                <w:caps w:val="false"/>
                <w:smallCaps w:val="false"/>
              </w:rPr>
            </w:pPr>
            <w:r>
              <w:rPr>
                <w:caps w:val="false"/>
                <w:smallCaps w:val="false"/>
              </w:rPr>
              <w:t>●</w:t>
            </w:r>
          </w:p>
          <w:p>
            <w:pPr>
              <w:pStyle w:val="TableContents"/>
              <w:bidi w:val="0"/>
              <w:spacing w:before="0" w:after="120"/>
              <w:ind w:left="28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Raytheon increased capacity at its Redstone Missile Integration Facility by 50% and designed, developed and tested a new StormBreaker variant in just 50 days.</w:t>
            </w:r>
          </w:p>
          <w:p>
            <w:pPr>
              <w:pStyle w:val="TableContents"/>
              <w:bidi w:val="0"/>
              <w:spacing w:before="0" w:after="120"/>
              <w:ind w:left="300" w:right="0" w:hanging="280"/>
              <w:jc w:val="left"/>
              <w:rPr/>
            </w:pPr>
            <w:r>
              <w:rPr/>
              <w:t>●</w:t>
            </w:r>
          </w:p>
          <w:p>
            <w:pPr>
              <w:pStyle w:val="TableContents"/>
              <w:bidi w:val="0"/>
              <w:spacing w:before="0" w:after="120"/>
              <w:ind w:left="280" w:right="0" w:hanging="0"/>
              <w:jc w:val="left"/>
              <w:rPr>
                <w:rFonts w:ascii="Arial;Helvetica;Sans-Serif" w:hAnsi="Arial;Helvetica;Sans-Serif"/>
                <w:sz w:val="20"/>
              </w:rPr>
            </w:pPr>
            <w:r>
              <w:rPr>
                <w:rFonts w:ascii="Arial;Helvetica;Sans-Serif" w:hAnsi="Arial;Helvetica;Sans-Serif"/>
                <w:sz w:val="20"/>
              </w:rPr>
              <w:t>Pratt &amp; Whitney doubled airfoil production at its Asheville, North Carolina, facility, and raised its prior year Isothermal Forging output by 13%.</w:t>
            </w:r>
          </w:p>
          <w:p>
            <w:pPr>
              <w:pStyle w:val="TableContents"/>
              <w:bidi w:val="0"/>
              <w:spacing w:before="0" w:after="120"/>
              <w:ind w:left="300" w:right="0" w:hanging="280"/>
              <w:jc w:val="left"/>
              <w:rPr/>
            </w:pPr>
            <w:r>
              <w:rPr/>
              <w:t>●</w:t>
            </w:r>
          </w:p>
          <w:p>
            <w:pPr>
              <w:pStyle w:val="TableContents"/>
              <w:bidi w:val="0"/>
              <w:spacing w:before="0" w:after="120"/>
              <w:ind w:left="280" w:right="0" w:hanging="0"/>
              <w:jc w:val="left"/>
              <w:rPr>
                <w:rFonts w:ascii="Arial;Helvetica;Sans-Serif" w:hAnsi="Arial;Helvetica;Sans-Serif"/>
                <w:sz w:val="20"/>
              </w:rPr>
            </w:pPr>
            <w:r>
              <w:rPr>
                <w:rFonts w:ascii="Arial;Helvetica;Sans-Serif" w:hAnsi="Arial;Helvetica;Sans-Serif"/>
                <w:sz w:val="20"/>
              </w:rPr>
              <w:t>Collins Aerospace increased aircraft production rates across commercial platforms.</w:t>
            </w:r>
          </w:p>
        </w:tc>
        <w:tc>
          <w:tcPr>
            <w:tcW w:w="60" w:type="dxa"/>
            <w:tcBorders/>
            <w:tcMar>
              <w:bottom w:w="0" w:type="dxa"/>
            </w:tcMar>
            <w:vAlign w:val="center"/>
          </w:tcPr>
          <w:p>
            <w:pPr>
              <w:pStyle w:val="TableContents"/>
              <w:bidi w:val="0"/>
              <w:spacing w:before="0" w:after="283"/>
              <w:jc w:val="left"/>
              <w:rPr/>
            </w:pPr>
            <w:r>
              <w:rPr/>
              <w:t> </w:t>
            </w:r>
          </w:p>
        </w:tc>
        <w:tc>
          <w:tcPr>
            <w:tcW w:w="3287" w:type="dxa"/>
            <w:tcBorders/>
            <w:tcMar>
              <w:bottom w:w="0" w:type="dxa"/>
            </w:tcMar>
            <w:vAlign w:val="center"/>
          </w:tcPr>
          <w:p>
            <w:pPr>
              <w:pStyle w:val="TableContents"/>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remain focused on shaping the future of flight and defense through transformative technologies that deliver long-term shareowner value and meet the critical needs of our customers.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 2025, we achieved key milestones and made several advancements in our innovation journey. Examples include:</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120"/>
              <w:ind w:left="300" w:right="0" w:hanging="280"/>
              <w:jc w:val="left"/>
              <w:rPr>
                <w:caps w:val="false"/>
                <w:smallCaps w:val="false"/>
              </w:rPr>
            </w:pPr>
            <w:r>
              <w:rPr>
                <w:caps w:val="false"/>
                <w:smallCaps w:val="false"/>
              </w:rPr>
              <w:t>●</w:t>
            </w:r>
          </w:p>
          <w:p>
            <w:pPr>
              <w:pStyle w:val="TableContents"/>
              <w:bidi w:val="0"/>
              <w:spacing w:before="0" w:after="120"/>
              <w:ind w:left="28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Raytheon transitioned its Lower Tier Air and Missile Defense Sensor program from prototype to production in five years.</w:t>
            </w:r>
          </w:p>
          <w:p>
            <w:pPr>
              <w:pStyle w:val="TableContents"/>
              <w:bidi w:val="0"/>
              <w:spacing w:before="0" w:after="120"/>
              <w:ind w:left="300" w:right="0" w:hanging="280"/>
              <w:jc w:val="left"/>
              <w:rPr/>
            </w:pPr>
            <w:r>
              <w:rPr/>
              <w:t>●</w:t>
            </w:r>
          </w:p>
          <w:p>
            <w:pPr>
              <w:pStyle w:val="TableContents"/>
              <w:bidi w:val="0"/>
              <w:spacing w:before="0" w:after="120"/>
              <w:ind w:left="280" w:right="0" w:hanging="0"/>
              <w:jc w:val="left"/>
              <w:rPr>
                <w:rFonts w:ascii="Arial;Helvetica;Sans-Serif" w:hAnsi="Arial;Helvetica;Sans-Serif"/>
                <w:sz w:val="20"/>
              </w:rPr>
            </w:pPr>
            <w:r>
              <w:rPr>
                <w:rFonts w:ascii="Arial;Helvetica;Sans-Serif" w:hAnsi="Arial;Helvetica;Sans-Serif"/>
                <w:sz w:val="20"/>
              </w:rPr>
              <w:t>Pratt &amp; Whitney continued to advance the development of hybrid-electric propulsion for regional aircraft by integrating a 250-kilowatt motor and advancing propeller technology from Collins Aerospace, targeting 20% fuel efficiency gains.</w:t>
            </w:r>
          </w:p>
          <w:p>
            <w:pPr>
              <w:pStyle w:val="TableContents"/>
              <w:bidi w:val="0"/>
              <w:spacing w:before="0" w:after="120"/>
              <w:ind w:left="300" w:right="0" w:hanging="280"/>
              <w:jc w:val="left"/>
              <w:rPr/>
            </w:pPr>
            <w:r>
              <w:rPr/>
              <w:t>●</w:t>
            </w:r>
          </w:p>
          <w:p>
            <w:pPr>
              <w:pStyle w:val="TableContents"/>
              <w:bidi w:val="0"/>
              <w:spacing w:before="0" w:after="120"/>
              <w:ind w:left="280" w:right="0" w:hanging="0"/>
              <w:jc w:val="left"/>
              <w:rPr>
                <w:rFonts w:ascii="Arial;Helvetica;Sans-Serif" w:hAnsi="Arial;Helvetica;Sans-Serif"/>
                <w:sz w:val="20"/>
              </w:rPr>
            </w:pPr>
            <w:r>
              <w:rPr>
                <w:rFonts w:ascii="Arial;Helvetica;Sans-Serif" w:hAnsi="Arial;Helvetica;Sans-Serif"/>
                <w:sz w:val="20"/>
              </w:rPr>
              <w:t>We partnered with non-traditional A&amp;D companies to integrate advanced artificial intelligence into select products.</w:t>
            </w:r>
          </w:p>
        </w:tc>
        <w:tc>
          <w:tcPr>
            <w:tcW w:w="60" w:type="dxa"/>
            <w:tcBorders/>
            <w:tcMar>
              <w:bottom w:w="0" w:type="dxa"/>
            </w:tcMar>
            <w:vAlign w:val="center"/>
          </w:tcPr>
          <w:p>
            <w:pPr>
              <w:pStyle w:val="TableContents"/>
              <w:bidi w:val="0"/>
              <w:spacing w:before="0" w:after="283"/>
              <w:jc w:val="left"/>
              <w:rPr/>
            </w:pPr>
            <w:r>
              <w:rPr/>
              <w:t> </w:t>
            </w:r>
          </w:p>
        </w:tc>
        <w:tc>
          <w:tcPr>
            <w:tcW w:w="3143" w:type="dxa"/>
            <w:tcBorders/>
            <w:tcMar>
              <w:bottom w:w="0" w:type="dxa"/>
            </w:tcMar>
            <w:vAlign w:val="center"/>
          </w:tcPr>
          <w:p>
            <w:pPr>
              <w:pStyle w:val="TableContents"/>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Guided by CORE, our enterprise operating system, we implemented continuous improvement initiatives to optimize our cost structure, enhance productivity and strengthen collaboration across business segments.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Through centralization of our supply chain processes, we contained product inflation and achieved net-product savings.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also continued to invest in digital infrastructure, AI-enabled analytics and connected systems to transform data into actionable insights—advancing operational efficiency and creating a foundation for sustained innovation.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right"/>
        <w:rPr>
          <w:rFonts w:ascii="Times New Roman;Times;Serif" w:hAnsi="Times New Roman;Times;Serif"/>
          <w:b w:val="false"/>
          <w:i w:val="false"/>
          <w:caps w:val="false"/>
          <w:smallCaps w:val="false"/>
          <w:sz w:val="15"/>
        </w:rPr>
      </w:pPr>
      <w:r>
        <w:rPr>
          <w:rFonts w:ascii="Arial;Helvetica;Sans-Serif" w:hAnsi="Arial;Helvetica;Sans-Serif"/>
          <w:b/>
          <w:i w:val="false"/>
          <w:caps w:val="false"/>
          <w:smallCaps w:val="false"/>
          <w:sz w:val="15"/>
        </w:rPr>
        <w:t>RTX</w:t>
      </w:r>
      <w:r>
        <w:rPr>
          <w:rFonts w:ascii="Arial;Helvetica;Sans-Serif" w:hAnsi="Arial;Helvetica;Sans-Serif"/>
          <w:b w:val="false"/>
          <w:i w:val="false"/>
          <w:caps w:val="false"/>
          <w:smallCaps w:val="false"/>
          <w:sz w:val="15"/>
        </w:rPr>
        <w:t xml:space="preserve"> 2026 PROXY STATEMENT   </w:t>
      </w:r>
      <w:r>
        <w:rPr>
          <w:rFonts w:ascii="Arial;Helvetica;Sans-Serif" w:hAnsi="Arial;Helvetica;Sans-Serif"/>
          <w:b/>
          <w:i w:val="false"/>
          <w:caps w:val="false"/>
          <w:smallCaps w:val="false"/>
          <w:sz w:val="15"/>
        </w:rPr>
        <w:t>41</w:t>
      </w:r>
    </w:p>
    <w:p>
      <w:pPr>
        <w:pStyle w:val="HorizontalLine"/>
        <w:pBdr>
          <w:bottom w:val="double" w:sz="2" w:space="0" w:color="808080"/>
        </w:pBdr>
        <w:bidi w:val="0"/>
        <w:spacing w:before="0" w:after="283"/>
        <w:jc w:val="left"/>
        <w:rPr/>
      </w:pPr>
      <w:r>
        <w:rPr/>
      </w:r>
    </w:p>
    <w:p>
      <w:pPr>
        <w:pStyle w:val="TextBody"/>
        <w:bidi w:val="0"/>
        <w:spacing w:before="200" w:after="200"/>
        <w:jc w:val="left"/>
        <w:rPr/>
      </w:pPr>
      <w:hyperlink w:anchor="toc">
        <w:r>
          <w:rPr>
            <w:rStyle w:val="InternetLink"/>
            <w:rFonts w:ascii="Arial;Helvetica;Sans-Serif" w:hAnsi="Arial;Helvetica;Sans-Serif"/>
            <w:b/>
            <w:i w:val="false"/>
            <w:caps w:val="false"/>
            <w:smallCaps w:val="false"/>
            <w:sz w:val="16"/>
          </w:rPr>
          <w:t>Table of Contents</w:t>
        </w:r>
      </w:hyperlink>
    </w:p>
    <w:p>
      <w:pPr>
        <w:pStyle w:val="TextBody"/>
        <w:bidi w:val="0"/>
        <w:spacing w:before="0" w:after="0"/>
        <w:ind w:left="0" w:right="0" w:hanging="0"/>
        <w:jc w:val="left"/>
        <w:rPr>
          <w:rFonts w:ascii="Arial;Helvetica;Sans-Serif" w:hAnsi="Arial;Helvetica;Sans-Serif"/>
          <w:b/>
          <w:i w:val="false"/>
          <w:caps w:val="false"/>
          <w:smallCaps w:val="false"/>
          <w:color w:val="C12E33"/>
          <w:sz w:val="15"/>
        </w:rPr>
      </w:pPr>
      <w:r>
        <w:rPr>
          <w:rFonts w:ascii="Arial;Helvetica;Sans-Serif" w:hAnsi="Arial;Helvetica;Sans-Serif"/>
          <w:b/>
          <w:i w:val="false"/>
          <w:caps w:val="false"/>
          <w:smallCaps w:val="false"/>
          <w:color w:val="C12E33"/>
          <w:sz w:val="15"/>
        </w:rPr>
        <w:t>COMPENSATION DISCUSSION AND ANALYSIS</w:t>
      </w:r>
    </w:p>
    <w:p>
      <w:pPr>
        <w:pStyle w:val="TextBody"/>
        <w:bidi w:val="0"/>
        <w:spacing w:before="0" w:after="0"/>
        <w:ind w:left="0" w:right="0" w:hanging="0"/>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EXECUTIVE SUMMARY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34"/>
        </w:rPr>
      </w:pPr>
      <w:bookmarkStart w:id="18" w:name="rtx014050_def14ab004"/>
      <w:bookmarkEnd w:id="18"/>
      <w:r>
        <w:rPr>
          <w:rFonts w:ascii="Arial;Helvetica;Sans-Serif" w:hAnsi="Arial;Helvetica;Sans-Serif"/>
          <w:b/>
          <w:i w:val="false"/>
          <w:caps w:val="false"/>
          <w:smallCaps w:val="false"/>
          <w:sz w:val="34"/>
        </w:rPr>
        <w:t>How We Align Pay and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Our executive compensation program is structured to advance our fundamental objective: aligning our executives’ compensation with the long-term interests of our shareowners.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HCC Committee’s primary goal is to reward and recognize strong financial and operating performance and effective strategic leadership, which it believes drives long-term, sustainable shareowner value. This pay-for-performance philosophy is embedded in a set of Guiding Principles that underpin how the HCC Committee approaches the design of our executive compensation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OUR GUIDING PRINCIPLES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615"/>
        <w:gridCol w:w="60"/>
        <w:gridCol w:w="4530"/>
      </w:tblGrid>
      <w:tr>
        <w:trPr/>
        <w:tc>
          <w:tcPr>
            <w:tcW w:w="5615" w:type="dxa"/>
            <w:tcBorders/>
            <w:shd w:fill="EDEDEE" w:val="clear"/>
            <w:vAlign w:val="center"/>
          </w:tcPr>
          <w:p>
            <w:pPr>
              <w:pStyle w:val="TableContents"/>
              <w:bidi w:val="0"/>
              <w:spacing w:before="0" w:after="0"/>
              <w:ind w:left="0" w:right="0" w:hanging="0"/>
              <w:jc w:val="left"/>
              <w:rPr>
                <w:rFonts w:ascii="Arial;Helvetica;Sans-Serif" w:hAnsi="Arial;Helvetica;Sans-Serif"/>
                <w:b/>
                <w:i w:val="false"/>
                <w:caps w:val="false"/>
                <w:smallCaps w:val="false"/>
                <w:sz w:val="22"/>
                <w:bdr w:val="single" w:sz="2" w:space="1" w:color="C12E33"/>
              </w:rPr>
            </w:pPr>
            <w:r>
              <w:rPr>
                <w:rFonts w:ascii="Arial;Helvetica;Sans-Serif" w:hAnsi="Arial;Helvetica;Sans-Serif"/>
                <w:b/>
                <w:i w:val="false"/>
                <w:caps w:val="false"/>
                <w:smallCaps w:val="false"/>
                <w:sz w:val="22"/>
                <w:bdr w:val="single" w:sz="2" w:space="1" w:color="C12E33"/>
              </w:rPr>
              <w:t>Competitive</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Total compensation should be sufficiently competitive to attract, retain and motivate a leadership team capable of maximizing RTX’s performance. Each element should be benchmarked relative to peers.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Arial;Helvetica;Sans-Serif" w:hAnsi="Arial;Helvetica;Sans-Serif"/>
                <w:b/>
                <w:i w:val="false"/>
                <w:caps w:val="false"/>
                <w:smallCaps w:val="false"/>
                <w:sz w:val="22"/>
                <w:bdr w:val="single" w:sz="2" w:space="1" w:color="C12E33"/>
              </w:rPr>
            </w:pPr>
            <w:r>
              <w:rPr>
                <w:rFonts w:ascii="Arial;Helvetica;Sans-Serif" w:hAnsi="Arial;Helvetica;Sans-Serif"/>
                <w:b/>
                <w:i w:val="false"/>
                <w:caps w:val="false"/>
                <w:smallCaps w:val="false"/>
                <w:sz w:val="22"/>
                <w:bdr w:val="single" w:sz="2" w:space="1" w:color="C12E33"/>
              </w:rPr>
              <w:t>Balance</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Annual and long-term incentive opportunities should reward the appropriate balance of short-, medium- and long-term financial, strategic and operational business results.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Arial;Helvetica;Sans-Serif" w:hAnsi="Arial;Helvetica;Sans-Serif"/>
                <w:b/>
                <w:i w:val="false"/>
                <w:caps w:val="false"/>
                <w:smallCaps w:val="false"/>
                <w:sz w:val="22"/>
                <w:bdr w:val="single" w:sz="2" w:space="1" w:color="C12E33"/>
              </w:rPr>
            </w:pPr>
            <w:r>
              <w:rPr>
                <w:rFonts w:ascii="Arial;Helvetica;Sans-Serif" w:hAnsi="Arial;Helvetica;Sans-Serif"/>
                <w:b/>
                <w:i w:val="false"/>
                <w:caps w:val="false"/>
                <w:smallCaps w:val="false"/>
                <w:sz w:val="22"/>
                <w:bdr w:val="single" w:sz="2" w:space="1" w:color="C12E33"/>
              </w:rPr>
              <w:t>Responsibility</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 complete commitment to ethical and corporate responsibility is fundamental to our compensation program. Compensation should take into account each executive’s responsibility to act at all times in accordance with our Code of Conduct, our environmental, health, safety and other corporate responsibility objectives, and our compliance requirements. Financial, strategic and operational performance must not compromise these values.</w:t>
            </w:r>
          </w:p>
          <w:p>
            <w:pPr>
              <w:pStyle w:val="TableContents"/>
              <w:bidi w:val="0"/>
              <w:spacing w:before="0" w:after="0"/>
              <w:ind w:left="0" w:right="0" w:hanging="0"/>
              <w:jc w:val="left"/>
              <w:rPr>
                <w:caps w:val="false"/>
                <w:smallCaps w:val="false"/>
              </w:rPr>
            </w:pPr>
            <w:r>
              <w:rPr>
                <w:caps w:val="false"/>
                <w:smallCaps w:val="false"/>
              </w:rPr>
              <w:t> </w:t>
            </w:r>
          </w:p>
        </w:tc>
        <w:tc>
          <w:tcPr>
            <w:tcW w:w="60" w:type="dxa"/>
            <w:tcBorders/>
            <w:shd w:fill="EDEDEE" w:val="clear"/>
            <w:vAlign w:val="center"/>
          </w:tcPr>
          <w:p>
            <w:pPr>
              <w:pStyle w:val="TableContents"/>
              <w:bidi w:val="0"/>
              <w:spacing w:before="0" w:after="283"/>
              <w:jc w:val="left"/>
              <w:rPr/>
            </w:pPr>
            <w:r>
              <w:rPr/>
              <w:t> </w:t>
            </w:r>
          </w:p>
        </w:tc>
        <w:tc>
          <w:tcPr>
            <w:tcW w:w="4530" w:type="dxa"/>
            <w:tcBorders/>
            <w:shd w:fill="EDEDEE" w:val="clear"/>
            <w:vAlign w:val="center"/>
          </w:tcPr>
          <w:p>
            <w:pPr>
              <w:pStyle w:val="TableContents"/>
              <w:bidi w:val="0"/>
              <w:spacing w:before="0" w:after="0"/>
              <w:ind w:left="0" w:right="0" w:hanging="0"/>
              <w:jc w:val="left"/>
              <w:rPr>
                <w:rFonts w:ascii="Arial;Helvetica;Sans-Serif" w:hAnsi="Arial;Helvetica;Sans-Serif"/>
                <w:b/>
                <w:i w:val="false"/>
                <w:caps w:val="false"/>
                <w:smallCaps w:val="false"/>
                <w:sz w:val="22"/>
                <w:bdr w:val="single" w:sz="2" w:space="1" w:color="C12E33"/>
              </w:rPr>
            </w:pPr>
            <w:r>
              <w:rPr>
                <w:rFonts w:ascii="Arial;Helvetica;Sans-Serif" w:hAnsi="Arial;Helvetica;Sans-Serif"/>
                <w:b/>
                <w:i w:val="false"/>
                <w:caps w:val="false"/>
                <w:smallCaps w:val="false"/>
                <w:sz w:val="22"/>
                <w:bdr w:val="single" w:sz="2" w:space="1" w:color="C12E33"/>
              </w:rPr>
              <w:t>Long-Term Focus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For our most senior executives, long-term, stock-based compensation opportunities should significantly outweigh short-term, cash-based opportunities. Annual objectives should complement sustainable, long-term performance.</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Arial;Helvetica;Sans-Serif" w:hAnsi="Arial;Helvetica;Sans-Serif"/>
                <w:b/>
                <w:i w:val="false"/>
                <w:caps w:val="false"/>
                <w:smallCaps w:val="false"/>
                <w:sz w:val="22"/>
                <w:bdr w:val="single" w:sz="2" w:space="1" w:color="C12E33"/>
              </w:rPr>
            </w:pPr>
            <w:r>
              <w:rPr>
                <w:rFonts w:ascii="Arial;Helvetica;Sans-Serif" w:hAnsi="Arial;Helvetica;Sans-Serif"/>
                <w:b/>
                <w:i w:val="false"/>
                <w:caps w:val="false"/>
                <w:smallCaps w:val="false"/>
                <w:sz w:val="22"/>
                <w:bdr w:val="single" w:sz="2" w:space="1" w:color="C12E33"/>
              </w:rPr>
              <w:t>Pay-for-Performance</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 substantial portion of compensation should be variable, contingent and directly linked to Company, business unit and individual performance. The portion of total compensation contingent on performance should increase with an executive’s level of responsibility.</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Arial;Helvetica;Sans-Serif" w:hAnsi="Arial;Helvetica;Sans-Serif"/>
                <w:b/>
                <w:i w:val="false"/>
                <w:caps w:val="false"/>
                <w:smallCaps w:val="false"/>
                <w:sz w:val="22"/>
                <w:bdr w:val="single" w:sz="2" w:space="1" w:color="C12E33"/>
              </w:rPr>
            </w:pPr>
            <w:r>
              <w:rPr>
                <w:rFonts w:ascii="Arial;Helvetica;Sans-Serif" w:hAnsi="Arial;Helvetica;Sans-Serif"/>
                <w:b/>
                <w:i w:val="false"/>
                <w:caps w:val="false"/>
                <w:smallCaps w:val="false"/>
                <w:sz w:val="22"/>
                <w:bdr w:val="single" w:sz="2" w:space="1" w:color="C12E33"/>
              </w:rPr>
              <w:t>Shareowner Alignment</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financial interests of executives should be aligned with the long-term interests of our shareowners through stock-based compensation and performance metrics that correlate with long-term shareowner value.</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Arial;Helvetica;Sans-Serif" w:hAnsi="Arial;Helvetica;Sans-Serif"/>
                <w:b/>
                <w:i w:val="false"/>
                <w:caps w:val="false"/>
                <w:smallCaps w:val="false"/>
                <w:sz w:val="22"/>
                <w:bdr w:val="single" w:sz="2" w:space="1" w:color="C12E33"/>
              </w:rPr>
            </w:pPr>
            <w:r>
              <w:rPr>
                <w:rFonts w:ascii="Arial;Helvetica;Sans-Serif" w:hAnsi="Arial;Helvetica;Sans-Serif"/>
                <w:b/>
                <w:i w:val="false"/>
                <w:caps w:val="false"/>
                <w:smallCaps w:val="false"/>
                <w:sz w:val="22"/>
                <w:bdr w:val="single" w:sz="2" w:space="1" w:color="C12E33"/>
              </w:rPr>
              <w:t>Fair and Equitable</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Compensation programs should be designed to deliver fair and equitable pay to executives of comparable experience and performance who perform similar work.</w:t>
            </w:r>
          </w:p>
          <w:p>
            <w:pPr>
              <w:pStyle w:val="TableContents"/>
              <w:bidi w:val="0"/>
              <w:spacing w:before="0" w:after="0"/>
              <w:ind w:left="0" w:right="0" w:hanging="0"/>
              <w:jc w:val="left"/>
              <w:rPr>
                <w:caps w:val="false"/>
                <w:smallCaps w:val="false"/>
              </w:rPr>
            </w:pPr>
            <w:r>
              <w:rPr>
                <w:caps w:val="false"/>
                <w:smallCaps w:val="false"/>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15"/>
        </w:rPr>
      </w:pPr>
      <w:r>
        <w:rPr>
          <w:rFonts w:ascii="Arial;Helvetica;Sans-Serif" w:hAnsi="Arial;Helvetica;Sans-Serif"/>
          <w:b/>
          <w:i w:val="false"/>
          <w:caps w:val="false"/>
          <w:smallCaps w:val="false"/>
          <w:sz w:val="15"/>
        </w:rPr>
        <w:t>42</w:t>
      </w:r>
      <w:r>
        <w:rPr>
          <w:rFonts w:ascii="Times New Roman;Times;Serif" w:hAnsi="Times New Roman;Times;Serif"/>
          <w:b w:val="false"/>
          <w:i w:val="false"/>
          <w:caps w:val="false"/>
          <w:smallCaps w:val="false"/>
          <w:sz w:val="15"/>
        </w:rPr>
        <w:t>    </w:t>
      </w:r>
      <w:r>
        <w:rPr>
          <w:rFonts w:ascii="Arial;Helvetica;Sans-Serif" w:hAnsi="Arial;Helvetica;Sans-Serif"/>
          <w:b/>
          <w:i w:val="false"/>
          <w:caps w:val="false"/>
          <w:smallCaps w:val="false"/>
          <w:sz w:val="15"/>
        </w:rPr>
        <w:t>RTX</w:t>
      </w:r>
      <w:r>
        <w:rPr>
          <w:rFonts w:ascii="Arial;Helvetica;Sans-Serif" w:hAnsi="Arial;Helvetica;Sans-Serif"/>
          <w:b w:val="false"/>
          <w:i w:val="false"/>
          <w:caps w:val="false"/>
          <w:smallCaps w:val="false"/>
          <w:sz w:val="15"/>
        </w:rPr>
        <w:t xml:space="preserve"> 2026 PROXY STATEMENT</w:t>
      </w:r>
    </w:p>
    <w:p>
      <w:pPr>
        <w:pStyle w:val="HorizontalLine"/>
        <w:pBdr>
          <w:bottom w:val="double" w:sz="2" w:space="0" w:color="808080"/>
        </w:pBdr>
        <w:bidi w:val="0"/>
        <w:spacing w:before="0" w:after="283"/>
        <w:jc w:val="left"/>
        <w:rPr/>
      </w:pPr>
      <w:r>
        <w:rPr/>
      </w:r>
    </w:p>
    <w:p>
      <w:pPr>
        <w:pStyle w:val="TextBody"/>
        <w:bidi w:val="0"/>
        <w:spacing w:before="200" w:after="200"/>
        <w:jc w:val="left"/>
        <w:rPr/>
      </w:pPr>
      <w:hyperlink w:anchor="toc">
        <w:r>
          <w:rPr>
            <w:rStyle w:val="InternetLink"/>
            <w:rFonts w:ascii="Arial;Helvetica;Sans-Serif" w:hAnsi="Arial;Helvetica;Sans-Serif"/>
            <w:b/>
            <w:i w:val="false"/>
            <w:caps w:val="false"/>
            <w:smallCaps w:val="false"/>
            <w:sz w:val="16"/>
          </w:rPr>
          <w:t>Table of Contents</w:t>
        </w:r>
      </w:hyperlink>
    </w:p>
    <w:p>
      <w:pPr>
        <w:pStyle w:val="TextBody"/>
        <w:bidi w:val="0"/>
        <w:spacing w:before="0" w:after="0"/>
        <w:ind w:left="0" w:right="0" w:hanging="0"/>
        <w:jc w:val="right"/>
        <w:rPr>
          <w:rFonts w:ascii="Arial;Helvetica;Sans-Serif" w:hAnsi="Arial;Helvetica;Sans-Serif"/>
          <w:b/>
          <w:i w:val="false"/>
          <w:caps w:val="false"/>
          <w:smallCaps w:val="false"/>
          <w:color w:val="C12E33"/>
          <w:sz w:val="15"/>
        </w:rPr>
      </w:pPr>
      <w:r>
        <w:rPr>
          <w:rFonts w:ascii="Arial;Helvetica;Sans-Serif" w:hAnsi="Arial;Helvetica;Sans-Serif"/>
          <w:b/>
          <w:i w:val="false"/>
          <w:caps w:val="false"/>
          <w:smallCaps w:val="false"/>
          <w:color w:val="C12E33"/>
          <w:sz w:val="15"/>
        </w:rPr>
        <w:t>COMPENSATION DISCUSSION AND ANALYSIS</w:t>
      </w:r>
    </w:p>
    <w:p>
      <w:pPr>
        <w:pStyle w:val="TextBody"/>
        <w:bidi w:val="0"/>
        <w:spacing w:before="0" w:after="0"/>
        <w:ind w:left="0" w:right="0" w:hanging="0"/>
        <w:jc w:val="righ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EXECUTIVE SUMMARY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OVERVIEW OF 2025 PAY DECISIONS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color w:val="C12E33"/>
          <w:sz w:val="22"/>
        </w:rPr>
      </w:pPr>
      <w:r>
        <w:rPr>
          <w:rFonts w:ascii="Arial;Helvetica;Sans-Serif" w:hAnsi="Arial;Helvetica;Sans-Serif"/>
          <w:b/>
          <w:i w:val="false"/>
          <w:caps w:val="false"/>
          <w:smallCaps w:val="false"/>
          <w:color w:val="C12E33"/>
          <w:sz w:val="22"/>
        </w:rPr>
        <w:t>2025 Pay Mix</w:t>
      </w:r>
    </w:p>
    <w:p>
      <w:pPr>
        <w:pStyle w:val="TextBody"/>
        <w:bidi w:val="0"/>
        <w:spacing w:before="0" w:after="0"/>
        <w:ind w:left="0" w:right="0" w:hanging="0"/>
        <w:jc w:val="left"/>
        <w:rPr>
          <w:caps w:val="false"/>
          <w:smallCaps w:val="false"/>
          <w:color w:val="C12E33"/>
        </w:rPr>
      </w:pPr>
      <w:r>
        <w:rPr>
          <w:caps w:val="false"/>
          <w:smallCaps w:val="false"/>
          <w:color w:val="C12E33"/>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Consistent with our Guiding Principles, the largest portion of compensation for our NEOs in 2025 was “at-risk” compensation—annual and LTI awards that are contingent on Company performance relative to our key metrics and stock price performance. See pages 5 and 48-50 for details on the metrics we use in our compensation program and why they were chosen.</w:t>
      </w:r>
    </w:p>
    <w:p>
      <w:pPr>
        <w:pStyle w:val="TextBody"/>
        <w:bidi w:val="0"/>
        <w:spacing w:before="0" w:after="0"/>
        <w:ind w:left="0" w:right="0" w:hanging="0"/>
        <w:jc w:val="left"/>
        <w:rPr>
          <w:caps w:val="false"/>
          <w:smallCaps w:val="false"/>
        </w:rPr>
      </w:pPr>
      <w:r>
        <w:rPr>
          <w:caps w:val="false"/>
          <w:smallCaps w:val="false"/>
        </w:rPr>
        <w:t> </w:t>
      </w:r>
    </w:p>
    <w:tbl>
      <w:tblPr>
        <w:tblW w:w="10590" w:type="dxa"/>
        <w:jc w:val="left"/>
        <w:tblInd w:w="0" w:type="dxa"/>
        <w:tblLayout w:type="fixed"/>
        <w:tblCellMar>
          <w:top w:w="0" w:type="dxa"/>
          <w:left w:w="0" w:type="dxa"/>
          <w:bottom w:w="0" w:type="dxa"/>
          <w:right w:w="0" w:type="dxa"/>
        </w:tblCellMar>
      </w:tblPr>
      <w:tblGrid>
        <w:gridCol w:w="5265"/>
        <w:gridCol w:w="60"/>
        <w:gridCol w:w="5265"/>
      </w:tblGrid>
      <w:tr>
        <w:trPr/>
        <w:tc>
          <w:tcPr>
            <w:tcW w:w="5265" w:type="dxa"/>
            <w:tcBorders/>
            <w:shd w:fill="EDEDEE" w:val="clear"/>
            <w:vAlign w:val="center"/>
          </w:tcPr>
          <w:p>
            <w:pPr>
              <w:pStyle w:val="TableContents"/>
              <w:bidi w:val="0"/>
              <w:spacing w:before="0" w:after="283"/>
              <w:jc w:val="center"/>
              <w:rPr/>
            </w:pPr>
            <w:r>
              <w:rPr/>
              <w:drawing>
                <wp:inline distT="0" distB="0" distL="0" distR="0">
                  <wp:extent cx="3333750" cy="1914525"/>
                  <wp:effectExtent l="0" t="0" r="0" b="0"/>
                  <wp:docPr id="297" name="Image2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7" name="Image200" descr=""/>
                          <pic:cNvPicPr>
                            <a:picLocks noChangeAspect="1" noChangeArrowheads="1"/>
                          </pic:cNvPicPr>
                        </pic:nvPicPr>
                        <pic:blipFill>
                          <a:blip r:embed="rId250"/>
                          <a:stretch>
                            <a:fillRect/>
                          </a:stretch>
                        </pic:blipFill>
                        <pic:spPr bwMode="auto">
                          <a:xfrm>
                            <a:off x="0" y="0"/>
                            <a:ext cx="3333750" cy="1914525"/>
                          </a:xfrm>
                          <a:prstGeom prst="rect">
                            <a:avLst/>
                          </a:prstGeom>
                        </pic:spPr>
                      </pic:pic>
                    </a:graphicData>
                  </a:graphic>
                </wp:inline>
              </w:drawing>
            </w:r>
          </w:p>
        </w:tc>
        <w:tc>
          <w:tcPr>
            <w:tcW w:w="60" w:type="dxa"/>
            <w:tcBorders/>
            <w:vAlign w:val="center"/>
          </w:tcPr>
          <w:p>
            <w:pPr>
              <w:pStyle w:val="TableContents"/>
              <w:bidi w:val="0"/>
              <w:spacing w:before="0" w:after="283"/>
              <w:jc w:val="left"/>
              <w:rPr/>
            </w:pPr>
            <w:r>
              <w:rPr/>
              <w:t> </w:t>
            </w:r>
          </w:p>
        </w:tc>
        <w:tc>
          <w:tcPr>
            <w:tcW w:w="5265" w:type="dxa"/>
            <w:tcBorders/>
            <w:shd w:fill="EDEDEE" w:val="clear"/>
            <w:vAlign w:val="center"/>
          </w:tcPr>
          <w:p>
            <w:pPr>
              <w:pStyle w:val="TableContents"/>
              <w:bidi w:val="0"/>
              <w:spacing w:before="0" w:after="283"/>
              <w:jc w:val="center"/>
              <w:rPr/>
            </w:pPr>
            <w:r>
              <w:rPr/>
              <w:drawing>
                <wp:inline distT="0" distB="0" distL="0" distR="0">
                  <wp:extent cx="3333750" cy="1743075"/>
                  <wp:effectExtent l="0" t="0" r="0" b="0"/>
                  <wp:docPr id="298" name="Image2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8" name="Image201" descr=""/>
                          <pic:cNvPicPr>
                            <a:picLocks noChangeAspect="1" noChangeArrowheads="1"/>
                          </pic:cNvPicPr>
                        </pic:nvPicPr>
                        <pic:blipFill>
                          <a:blip r:embed="rId251"/>
                          <a:stretch>
                            <a:fillRect/>
                          </a:stretch>
                        </pic:blipFill>
                        <pic:spPr bwMode="auto">
                          <a:xfrm>
                            <a:off x="0" y="0"/>
                            <a:ext cx="3333750" cy="1743075"/>
                          </a:xfrm>
                          <a:prstGeom prst="rect">
                            <a:avLst/>
                          </a:prstGeom>
                        </pic:spPr>
                      </pic:pic>
                    </a:graphicData>
                  </a:graphic>
                </wp:inline>
              </w:drawing>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8"/>
        <w:gridCol w:w="9997"/>
      </w:tblGrid>
      <w:tr>
        <w:trPr/>
        <w:tc>
          <w:tcPr>
            <w:tcW w:w="208" w:type="dxa"/>
            <w:tcBorders/>
            <w:vAlign w:val="center"/>
          </w:tcPr>
          <w:p>
            <w:pPr>
              <w:pStyle w:val="TableContents"/>
              <w:bidi w:val="0"/>
              <w:spacing w:before="0" w:after="283"/>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(1)</w:t>
            </w:r>
          </w:p>
        </w:tc>
        <w:tc>
          <w:tcPr>
            <w:tcW w:w="9997" w:type="dxa"/>
            <w:tcBorders/>
            <w:vAlign w:val="center"/>
          </w:tcPr>
          <w:p>
            <w:pPr>
              <w:pStyle w:val="TableContents"/>
              <w:bidi w:val="0"/>
              <w:spacing w:before="0" w:after="283"/>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Percentages calculated based on 2025 total direct compensation, as shown in the table below. NEO average represents the average of all NEOs other than the CEO.</w:t>
            </w:r>
          </w:p>
        </w:tc>
      </w:tr>
    </w:tbl>
    <w:p>
      <w:pPr>
        <w:pStyle w:val="TextBody"/>
        <w:bidi w:val="0"/>
        <w:spacing w:before="0" w:after="0"/>
        <w:ind w:left="0" w:right="0" w:hanging="0"/>
        <w:jc w:val="left"/>
        <w:rPr>
          <w:caps w:val="false"/>
          <w:smallCaps w:val="false"/>
          <w:color w:val="C12E33"/>
        </w:rPr>
      </w:pPr>
      <w:r>
        <w:rPr>
          <w:caps w:val="false"/>
          <w:smallCaps w:val="false"/>
          <w:color w:val="C12E33"/>
        </w:rPr>
        <w:t> </w:t>
      </w:r>
    </w:p>
    <w:p>
      <w:pPr>
        <w:pStyle w:val="TextBody"/>
        <w:bidi w:val="0"/>
        <w:spacing w:before="0" w:after="0"/>
        <w:ind w:left="0" w:right="0" w:hanging="0"/>
        <w:jc w:val="left"/>
        <w:rPr>
          <w:rFonts w:ascii="Arial;Helvetica;Sans-Serif" w:hAnsi="Arial;Helvetica;Sans-Serif"/>
          <w:b/>
          <w:i w:val="false"/>
          <w:caps w:val="false"/>
          <w:smallCaps w:val="false"/>
          <w:color w:val="C12E33"/>
          <w:sz w:val="22"/>
        </w:rPr>
      </w:pPr>
      <w:r>
        <w:rPr>
          <w:rFonts w:ascii="Arial;Helvetica;Sans-Serif" w:hAnsi="Arial;Helvetica;Sans-Serif"/>
          <w:b/>
          <w:i w:val="false"/>
          <w:caps w:val="false"/>
          <w:smallCaps w:val="false"/>
          <w:color w:val="C12E33"/>
          <w:sz w:val="22"/>
        </w:rPr>
        <w:t>2025 Total Direct Compensation</w:t>
      </w:r>
    </w:p>
    <w:p>
      <w:pPr>
        <w:pStyle w:val="TextBody"/>
        <w:bidi w:val="0"/>
        <w:spacing w:before="0" w:after="0"/>
        <w:ind w:left="0" w:right="0" w:hanging="0"/>
        <w:jc w:val="left"/>
        <w:rPr>
          <w:caps w:val="false"/>
          <w:smallCaps w:val="false"/>
          <w:color w:val="C12E33"/>
        </w:rPr>
      </w:pPr>
      <w:r>
        <w:rPr>
          <w:caps w:val="false"/>
          <w:smallCaps w:val="false"/>
          <w:color w:val="C12E33"/>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 making annual pay decisions, the HCC Committee focuses primarily on “total direct compensation,” which includes our three principal elements of executive compensation: base salary, annual incentives and long-term incentives (“LTI”). These elements are discussed in detail on pages 47-51.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Total direct compensation is set each year to reflect the HCC Committee’s assessment of Company, business unit and individual performance for the year. 2025 total direct compensation includes 2025 base salary, 2025 annual incentives paid in the first quarter of 2026 and the February 2026 LTI grant values approved by the HCC Committee, which were based on its assessment of 2025 performance and the competitive market pay for each NEO’s role. These LTI grant values differ from the February 2025 LTI award grant date fair values (accounting values at the time of grant) shown in the Summary Compensation Table on page 64, which were based on the HCC Committee’s assessment of 2024 performance and the competitive market pay for each NEO’s role at that time. For more details on total direct compensation, see page 53.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following chart shows the 2025 total direct compensation of our NEOs:</w:t>
      </w:r>
    </w:p>
    <w:p>
      <w:pPr>
        <w:pStyle w:val="TextBody"/>
        <w:bidi w:val="0"/>
        <w:spacing w:before="0" w:after="0"/>
        <w:ind w:left="0" w:right="0" w:hanging="0"/>
        <w:jc w:val="left"/>
        <w:rPr>
          <w:caps w:val="false"/>
          <w:smallCaps w:val="false"/>
        </w:rPr>
      </w:pPr>
      <w:r>
        <w:rPr>
          <w:caps w:val="false"/>
          <w:smallCaps w:val="false"/>
        </w:rPr>
        <w:t> </w:t>
      </w:r>
    </w:p>
    <w:tbl>
      <w:tblPr>
        <w:tblW w:w="7165" w:type="dxa"/>
        <w:jc w:val="left"/>
        <w:tblInd w:w="0" w:type="dxa"/>
        <w:tblLayout w:type="fixed"/>
        <w:tblCellMar>
          <w:top w:w="0" w:type="dxa"/>
          <w:left w:w="0" w:type="dxa"/>
          <w:bottom w:w="40" w:type="dxa"/>
          <w:right w:w="0" w:type="dxa"/>
        </w:tblCellMar>
      </w:tblPr>
      <w:tblGrid>
        <w:gridCol w:w="2165"/>
        <w:gridCol w:w="60"/>
        <w:gridCol w:w="1340"/>
        <w:gridCol w:w="60"/>
        <w:gridCol w:w="1355"/>
        <w:gridCol w:w="60"/>
        <w:gridCol w:w="800"/>
        <w:gridCol w:w="60"/>
        <w:gridCol w:w="1265"/>
      </w:tblGrid>
      <w:tr>
        <w:trPr/>
        <w:tc>
          <w:tcPr>
            <w:tcW w:w="2165" w:type="dxa"/>
            <w:tcBorders>
              <w:bottom w:val="single" w:sz="12" w:space="0" w:color="C12E33"/>
            </w:tcBorders>
            <w:vAlign w:val="center"/>
          </w:tcPr>
          <w:p>
            <w:pPr>
              <w:pStyle w:val="TableContents"/>
              <w:bidi w:val="0"/>
              <w:spacing w:before="0" w:after="283"/>
              <w:jc w:val="left"/>
              <w:rPr/>
            </w:pPr>
            <w:r>
              <w:rPr/>
              <w:t> </w:t>
            </w:r>
          </w:p>
        </w:tc>
        <w:tc>
          <w:tcPr>
            <w:tcW w:w="60" w:type="dxa"/>
            <w:tcBorders>
              <w:bottom w:val="single" w:sz="12" w:space="0" w:color="C12E33"/>
            </w:tcBorders>
            <w:vAlign w:val="center"/>
          </w:tcPr>
          <w:p>
            <w:pPr>
              <w:pStyle w:val="TableContents"/>
              <w:bidi w:val="0"/>
              <w:spacing w:before="0" w:after="283"/>
              <w:jc w:val="left"/>
              <w:rPr>
                <w:color w:val="636466"/>
              </w:rPr>
            </w:pPr>
            <w:r>
              <w:rPr>
                <w:color w:val="636466"/>
              </w:rPr>
              <w:t> </w:t>
            </w:r>
          </w:p>
        </w:tc>
        <w:tc>
          <w:tcPr>
            <w:tcW w:w="1340" w:type="dxa"/>
            <w:tcBorders>
              <w:bottom w:val="single" w:sz="12" w:space="0" w:color="C12E33"/>
            </w:tcBorders>
            <w:vAlign w:val="center"/>
          </w:tcPr>
          <w:p>
            <w:pPr>
              <w:pStyle w:val="TableContents"/>
              <w:bidi w:val="0"/>
              <w:spacing w:before="0" w:after="283"/>
              <w:jc w:val="right"/>
              <w:rPr>
                <w:rFonts w:ascii="Arial;Helvetica;Sans-Serif" w:hAnsi="Arial;Helvetica;Sans-Serif"/>
                <w:b w:val="false"/>
                <w:i w:val="false"/>
                <w:caps w:val="false"/>
                <w:smallCaps w:val="false"/>
                <w:color w:val="636466"/>
                <w:sz w:val="15"/>
              </w:rPr>
            </w:pPr>
            <w:r>
              <w:rPr>
                <w:rFonts w:ascii="Arial;Helvetica;Sans-Serif" w:hAnsi="Arial;Helvetica;Sans-Serif"/>
                <w:b w:val="false"/>
                <w:i w:val="false"/>
                <w:caps w:val="false"/>
                <w:smallCaps w:val="false"/>
                <w:color w:val="636466"/>
                <w:sz w:val="15"/>
              </w:rPr>
              <w:t>Base Salary ($K)</w:t>
            </w:r>
            <w:r>
              <w:rPr>
                <w:rFonts w:ascii="Arial;Helvetica;Sans-Serif" w:hAnsi="Arial;Helvetica;Sans-Serif"/>
                <w:b w:val="false"/>
                <w:i w:val="false"/>
                <w:caps w:val="false"/>
                <w:smallCaps w:val="false"/>
                <w:color w:val="636466"/>
                <w:position w:val="5"/>
                <w:sz w:val="12"/>
                <w:sz w:val="15"/>
              </w:rPr>
              <w:t>(1)</w:t>
            </w:r>
          </w:p>
        </w:tc>
        <w:tc>
          <w:tcPr>
            <w:tcW w:w="60" w:type="dxa"/>
            <w:tcBorders>
              <w:bottom w:val="single" w:sz="12" w:space="0" w:color="C12E33"/>
            </w:tcBorders>
            <w:vAlign w:val="center"/>
          </w:tcPr>
          <w:p>
            <w:pPr>
              <w:pStyle w:val="TableContents"/>
              <w:bidi w:val="0"/>
              <w:spacing w:before="0" w:after="283"/>
              <w:jc w:val="left"/>
              <w:rPr>
                <w:color w:val="636466"/>
              </w:rPr>
            </w:pPr>
            <w:r>
              <w:rPr>
                <w:color w:val="636466"/>
              </w:rPr>
              <w:t> </w:t>
            </w:r>
          </w:p>
        </w:tc>
        <w:tc>
          <w:tcPr>
            <w:tcW w:w="1355" w:type="dxa"/>
            <w:tcBorders>
              <w:bottom w:val="single" w:sz="12" w:space="0" w:color="C12E33"/>
            </w:tcBorders>
            <w:vAlign w:val="center"/>
          </w:tcPr>
          <w:p>
            <w:pPr>
              <w:pStyle w:val="TableContents"/>
              <w:bidi w:val="0"/>
              <w:spacing w:before="0" w:after="283"/>
              <w:jc w:val="right"/>
              <w:rPr>
                <w:color w:val="636466"/>
                <w:sz w:val="15"/>
              </w:rPr>
            </w:pPr>
            <w:r>
              <w:rPr>
                <w:color w:val="636466"/>
                <w:sz w:val="15"/>
              </w:rPr>
              <w:t>Annual Incentive ($K)</w:t>
            </w:r>
          </w:p>
        </w:tc>
        <w:tc>
          <w:tcPr>
            <w:tcW w:w="60" w:type="dxa"/>
            <w:tcBorders>
              <w:bottom w:val="single" w:sz="12" w:space="0" w:color="C12E33"/>
            </w:tcBorders>
            <w:vAlign w:val="center"/>
          </w:tcPr>
          <w:p>
            <w:pPr>
              <w:pStyle w:val="TableContents"/>
              <w:bidi w:val="0"/>
              <w:spacing w:before="0" w:after="283"/>
              <w:jc w:val="left"/>
              <w:rPr>
                <w:color w:val="636466"/>
              </w:rPr>
            </w:pPr>
            <w:r>
              <w:rPr>
                <w:color w:val="636466"/>
              </w:rPr>
              <w:t> </w:t>
            </w:r>
          </w:p>
        </w:tc>
        <w:tc>
          <w:tcPr>
            <w:tcW w:w="800" w:type="dxa"/>
            <w:tcBorders>
              <w:bottom w:val="single" w:sz="12" w:space="0" w:color="C12E33"/>
            </w:tcBorders>
            <w:vAlign w:val="center"/>
          </w:tcPr>
          <w:p>
            <w:pPr>
              <w:pStyle w:val="TableContents"/>
              <w:bidi w:val="0"/>
              <w:spacing w:before="0" w:after="283"/>
              <w:jc w:val="right"/>
              <w:rPr>
                <w:rFonts w:ascii="Arial;Helvetica;Sans-Serif" w:hAnsi="Arial;Helvetica;Sans-Serif"/>
                <w:b w:val="false"/>
                <w:i w:val="false"/>
                <w:caps w:val="false"/>
                <w:smallCaps w:val="false"/>
                <w:color w:val="636466"/>
                <w:sz w:val="15"/>
              </w:rPr>
            </w:pPr>
            <w:r>
              <w:rPr>
                <w:rFonts w:ascii="Arial;Helvetica;Sans-Serif" w:hAnsi="Arial;Helvetica;Sans-Serif"/>
                <w:b w:val="false"/>
                <w:i w:val="false"/>
                <w:caps w:val="false"/>
                <w:smallCaps w:val="false"/>
                <w:color w:val="636466"/>
                <w:sz w:val="15"/>
              </w:rPr>
              <w:t>LTI ($K)</w:t>
            </w:r>
            <w:r>
              <w:rPr>
                <w:rFonts w:ascii="Arial;Helvetica;Sans-Serif" w:hAnsi="Arial;Helvetica;Sans-Serif"/>
                <w:b w:val="false"/>
                <w:i w:val="false"/>
                <w:caps w:val="false"/>
                <w:smallCaps w:val="false"/>
                <w:color w:val="636466"/>
                <w:position w:val="5"/>
                <w:sz w:val="12"/>
                <w:sz w:val="15"/>
              </w:rPr>
              <w:t>(2)</w:t>
            </w:r>
          </w:p>
        </w:tc>
        <w:tc>
          <w:tcPr>
            <w:tcW w:w="60" w:type="dxa"/>
            <w:tcBorders>
              <w:bottom w:val="single" w:sz="12" w:space="0" w:color="C12E33"/>
            </w:tcBorders>
            <w:vAlign w:val="center"/>
          </w:tcPr>
          <w:p>
            <w:pPr>
              <w:pStyle w:val="TableContents"/>
              <w:bidi w:val="0"/>
              <w:spacing w:before="0" w:after="283"/>
              <w:jc w:val="left"/>
              <w:rPr>
                <w:color w:val="636466"/>
              </w:rPr>
            </w:pPr>
            <w:r>
              <w:rPr>
                <w:color w:val="636466"/>
              </w:rPr>
              <w:t> </w:t>
            </w:r>
          </w:p>
        </w:tc>
        <w:tc>
          <w:tcPr>
            <w:tcW w:w="1265" w:type="dxa"/>
            <w:tcBorders>
              <w:bottom w:val="single" w:sz="12" w:space="0" w:color="C12E33"/>
            </w:tcBorders>
            <w:vAlign w:val="center"/>
          </w:tcPr>
          <w:p>
            <w:pPr>
              <w:pStyle w:val="TableContents"/>
              <w:bidi w:val="0"/>
              <w:spacing w:before="0" w:after="283"/>
              <w:jc w:val="right"/>
              <w:rPr>
                <w:color w:val="636466"/>
                <w:sz w:val="15"/>
              </w:rPr>
            </w:pPr>
            <w:r>
              <w:rPr>
                <w:color w:val="636466"/>
                <w:sz w:val="15"/>
              </w:rPr>
              <w:t>Total Direct</w:t>
              <w:br/>
              <w:t> Compensation ($K)</w:t>
            </w:r>
          </w:p>
        </w:tc>
      </w:tr>
      <w:tr>
        <w:trPr/>
        <w:tc>
          <w:tcPr>
            <w:tcW w:w="2165" w:type="dxa"/>
            <w:tcBorders>
              <w:bottom w:val="single" w:sz="2" w:space="0" w:color="000000"/>
            </w:tcBorders>
            <w:vAlign w:val="center"/>
          </w:tcPr>
          <w:p>
            <w:pPr>
              <w:pStyle w:val="TableContents"/>
              <w:bidi w:val="0"/>
              <w:spacing w:before="0" w:after="283"/>
              <w:jc w:val="left"/>
              <w:rPr>
                <w:b/>
              </w:rPr>
            </w:pPr>
            <w:r>
              <w:rPr>
                <w:b/>
              </w:rPr>
              <w:t>Christopher T. Calio</w:t>
            </w:r>
          </w:p>
        </w:tc>
        <w:tc>
          <w:tcPr>
            <w:tcW w:w="60" w:type="dxa"/>
            <w:tcBorders>
              <w:bottom w:val="single" w:sz="2" w:space="0" w:color="000000"/>
            </w:tcBorders>
            <w:vAlign w:val="center"/>
          </w:tcPr>
          <w:p>
            <w:pPr>
              <w:pStyle w:val="TableContents"/>
              <w:bidi w:val="0"/>
              <w:spacing w:before="0" w:after="283"/>
              <w:jc w:val="left"/>
              <w:rPr/>
            </w:pPr>
            <w:r>
              <w:rPr/>
              <w:t> </w:t>
            </w:r>
          </w:p>
        </w:tc>
        <w:tc>
          <w:tcPr>
            <w:tcW w:w="1340" w:type="dxa"/>
            <w:tcBorders>
              <w:bottom w:val="single" w:sz="2" w:space="0" w:color="000000"/>
            </w:tcBorders>
            <w:vAlign w:val="center"/>
          </w:tcPr>
          <w:p>
            <w:pPr>
              <w:pStyle w:val="TableContents"/>
              <w:bidi w:val="0"/>
              <w:spacing w:before="0" w:after="283"/>
              <w:jc w:val="right"/>
              <w:rPr/>
            </w:pPr>
            <w:r>
              <w:rPr/>
              <w:t>$1,550</w:t>
            </w:r>
          </w:p>
        </w:tc>
        <w:tc>
          <w:tcPr>
            <w:tcW w:w="60" w:type="dxa"/>
            <w:tcBorders>
              <w:bottom w:val="single" w:sz="2" w:space="0" w:color="000000"/>
            </w:tcBorders>
            <w:vAlign w:val="center"/>
          </w:tcPr>
          <w:p>
            <w:pPr>
              <w:pStyle w:val="TableContents"/>
              <w:bidi w:val="0"/>
              <w:spacing w:before="0" w:after="283"/>
              <w:jc w:val="left"/>
              <w:rPr/>
            </w:pPr>
            <w:r>
              <w:rPr/>
              <w:t> </w:t>
            </w:r>
          </w:p>
        </w:tc>
        <w:tc>
          <w:tcPr>
            <w:tcW w:w="1355" w:type="dxa"/>
            <w:tcBorders>
              <w:bottom w:val="single" w:sz="2" w:space="0" w:color="000000"/>
            </w:tcBorders>
            <w:vAlign w:val="center"/>
          </w:tcPr>
          <w:p>
            <w:pPr>
              <w:pStyle w:val="TableContents"/>
              <w:bidi w:val="0"/>
              <w:spacing w:before="0" w:after="283"/>
              <w:jc w:val="right"/>
              <w:rPr/>
            </w:pPr>
            <w:r>
              <w:rPr/>
              <w:t>$5,100</w:t>
            </w:r>
          </w:p>
        </w:tc>
        <w:tc>
          <w:tcPr>
            <w:tcW w:w="60" w:type="dxa"/>
            <w:tcBorders>
              <w:bottom w:val="single" w:sz="2" w:space="0" w:color="000000"/>
            </w:tcBorders>
            <w:vAlign w:val="center"/>
          </w:tcPr>
          <w:p>
            <w:pPr>
              <w:pStyle w:val="TableContents"/>
              <w:bidi w:val="0"/>
              <w:spacing w:before="0" w:after="283"/>
              <w:jc w:val="left"/>
              <w:rPr/>
            </w:pPr>
            <w:r>
              <w:rPr/>
              <w:t> </w:t>
            </w:r>
          </w:p>
        </w:tc>
        <w:tc>
          <w:tcPr>
            <w:tcW w:w="800" w:type="dxa"/>
            <w:tcBorders>
              <w:bottom w:val="single" w:sz="2" w:space="0" w:color="000000"/>
            </w:tcBorders>
            <w:vAlign w:val="center"/>
          </w:tcPr>
          <w:p>
            <w:pPr>
              <w:pStyle w:val="TableContents"/>
              <w:bidi w:val="0"/>
              <w:spacing w:before="0" w:after="283"/>
              <w:jc w:val="right"/>
              <w:rPr/>
            </w:pPr>
            <w:r>
              <w:rPr/>
              <w:t>$21,000</w:t>
            </w:r>
          </w:p>
        </w:tc>
        <w:tc>
          <w:tcPr>
            <w:tcW w:w="60" w:type="dxa"/>
            <w:tcBorders>
              <w:bottom w:val="single" w:sz="2" w:space="0" w:color="000000"/>
            </w:tcBorders>
            <w:vAlign w:val="center"/>
          </w:tcPr>
          <w:p>
            <w:pPr>
              <w:pStyle w:val="TableContents"/>
              <w:bidi w:val="0"/>
              <w:spacing w:before="0" w:after="283"/>
              <w:jc w:val="left"/>
              <w:rPr/>
            </w:pPr>
            <w:r>
              <w:rPr/>
              <w:t> </w:t>
            </w:r>
          </w:p>
        </w:tc>
        <w:tc>
          <w:tcPr>
            <w:tcW w:w="1265" w:type="dxa"/>
            <w:tcBorders>
              <w:bottom w:val="single" w:sz="2" w:space="0" w:color="000000"/>
            </w:tcBorders>
            <w:vAlign w:val="center"/>
          </w:tcPr>
          <w:p>
            <w:pPr>
              <w:pStyle w:val="TableContents"/>
              <w:bidi w:val="0"/>
              <w:spacing w:before="0" w:after="283"/>
              <w:jc w:val="right"/>
              <w:rPr>
                <w:b/>
              </w:rPr>
            </w:pPr>
            <w:r>
              <w:rPr>
                <w:b/>
              </w:rPr>
              <w:t>$27,650</w:t>
            </w:r>
          </w:p>
        </w:tc>
      </w:tr>
      <w:tr>
        <w:trPr/>
        <w:tc>
          <w:tcPr>
            <w:tcW w:w="2165" w:type="dxa"/>
            <w:tcBorders>
              <w:bottom w:val="single" w:sz="2" w:space="0" w:color="000000"/>
            </w:tcBorders>
            <w:vAlign w:val="center"/>
          </w:tcPr>
          <w:p>
            <w:pPr>
              <w:pStyle w:val="TableContents"/>
              <w:bidi w:val="0"/>
              <w:spacing w:before="0" w:after="283"/>
              <w:jc w:val="left"/>
              <w:rPr>
                <w:b/>
              </w:rPr>
            </w:pPr>
            <w:r>
              <w:rPr>
                <w:b/>
              </w:rPr>
              <w:t>Neil G. Mitchill, Jr.</w:t>
            </w:r>
          </w:p>
        </w:tc>
        <w:tc>
          <w:tcPr>
            <w:tcW w:w="60" w:type="dxa"/>
            <w:tcBorders>
              <w:bottom w:val="single" w:sz="2" w:space="0" w:color="000000"/>
            </w:tcBorders>
            <w:vAlign w:val="center"/>
          </w:tcPr>
          <w:p>
            <w:pPr>
              <w:pStyle w:val="TableContents"/>
              <w:bidi w:val="0"/>
              <w:spacing w:before="0" w:after="283"/>
              <w:jc w:val="left"/>
              <w:rPr/>
            </w:pPr>
            <w:r>
              <w:rPr/>
              <w:t> </w:t>
            </w:r>
          </w:p>
        </w:tc>
        <w:tc>
          <w:tcPr>
            <w:tcW w:w="1340" w:type="dxa"/>
            <w:tcBorders>
              <w:bottom w:val="single" w:sz="2" w:space="0" w:color="000000"/>
            </w:tcBorders>
            <w:vAlign w:val="center"/>
          </w:tcPr>
          <w:p>
            <w:pPr>
              <w:pStyle w:val="TableContents"/>
              <w:bidi w:val="0"/>
              <w:spacing w:before="0" w:after="283"/>
              <w:jc w:val="right"/>
              <w:rPr/>
            </w:pPr>
            <w:r>
              <w:rPr/>
              <w:t>$1,100</w:t>
            </w:r>
          </w:p>
        </w:tc>
        <w:tc>
          <w:tcPr>
            <w:tcW w:w="60" w:type="dxa"/>
            <w:tcBorders>
              <w:bottom w:val="single" w:sz="2" w:space="0" w:color="000000"/>
            </w:tcBorders>
            <w:vAlign w:val="center"/>
          </w:tcPr>
          <w:p>
            <w:pPr>
              <w:pStyle w:val="TableContents"/>
              <w:bidi w:val="0"/>
              <w:spacing w:before="0" w:after="283"/>
              <w:jc w:val="left"/>
              <w:rPr/>
            </w:pPr>
            <w:r>
              <w:rPr/>
              <w:t> </w:t>
            </w:r>
          </w:p>
        </w:tc>
        <w:tc>
          <w:tcPr>
            <w:tcW w:w="1355" w:type="dxa"/>
            <w:tcBorders>
              <w:bottom w:val="single" w:sz="2" w:space="0" w:color="000000"/>
            </w:tcBorders>
            <w:vAlign w:val="center"/>
          </w:tcPr>
          <w:p>
            <w:pPr>
              <w:pStyle w:val="TableContents"/>
              <w:bidi w:val="0"/>
              <w:spacing w:before="0" w:after="283"/>
              <w:jc w:val="right"/>
              <w:rPr/>
            </w:pPr>
            <w:r>
              <w:rPr/>
              <w:t>$2,525</w:t>
            </w:r>
          </w:p>
        </w:tc>
        <w:tc>
          <w:tcPr>
            <w:tcW w:w="60" w:type="dxa"/>
            <w:tcBorders>
              <w:bottom w:val="single" w:sz="2" w:space="0" w:color="000000"/>
            </w:tcBorders>
            <w:vAlign w:val="center"/>
          </w:tcPr>
          <w:p>
            <w:pPr>
              <w:pStyle w:val="TableContents"/>
              <w:bidi w:val="0"/>
              <w:spacing w:before="0" w:after="283"/>
              <w:jc w:val="left"/>
              <w:rPr/>
            </w:pPr>
            <w:r>
              <w:rPr/>
              <w:t> </w:t>
            </w:r>
          </w:p>
        </w:tc>
        <w:tc>
          <w:tcPr>
            <w:tcW w:w="800" w:type="dxa"/>
            <w:tcBorders>
              <w:bottom w:val="single" w:sz="2" w:space="0" w:color="000000"/>
            </w:tcBorders>
            <w:vAlign w:val="center"/>
          </w:tcPr>
          <w:p>
            <w:pPr>
              <w:pStyle w:val="TableContents"/>
              <w:bidi w:val="0"/>
              <w:spacing w:before="0" w:after="283"/>
              <w:jc w:val="right"/>
              <w:rPr/>
            </w:pPr>
            <w:r>
              <w:rPr/>
              <w:t>$7,500</w:t>
            </w:r>
          </w:p>
        </w:tc>
        <w:tc>
          <w:tcPr>
            <w:tcW w:w="60" w:type="dxa"/>
            <w:tcBorders>
              <w:bottom w:val="single" w:sz="2" w:space="0" w:color="000000"/>
            </w:tcBorders>
            <w:vAlign w:val="center"/>
          </w:tcPr>
          <w:p>
            <w:pPr>
              <w:pStyle w:val="TableContents"/>
              <w:bidi w:val="0"/>
              <w:spacing w:before="0" w:after="283"/>
              <w:jc w:val="left"/>
              <w:rPr/>
            </w:pPr>
            <w:r>
              <w:rPr/>
              <w:t> </w:t>
            </w:r>
          </w:p>
        </w:tc>
        <w:tc>
          <w:tcPr>
            <w:tcW w:w="1265" w:type="dxa"/>
            <w:tcBorders>
              <w:bottom w:val="single" w:sz="2" w:space="0" w:color="000000"/>
            </w:tcBorders>
            <w:vAlign w:val="center"/>
          </w:tcPr>
          <w:p>
            <w:pPr>
              <w:pStyle w:val="TableContents"/>
              <w:bidi w:val="0"/>
              <w:spacing w:before="0" w:after="283"/>
              <w:jc w:val="right"/>
              <w:rPr>
                <w:b/>
              </w:rPr>
            </w:pPr>
            <w:r>
              <w:rPr>
                <w:b/>
              </w:rPr>
              <w:t>$11,125</w:t>
            </w:r>
          </w:p>
        </w:tc>
      </w:tr>
      <w:tr>
        <w:trPr/>
        <w:tc>
          <w:tcPr>
            <w:tcW w:w="2165" w:type="dxa"/>
            <w:tcBorders>
              <w:bottom w:val="single" w:sz="2" w:space="0" w:color="000000"/>
            </w:tcBorders>
            <w:vAlign w:val="center"/>
          </w:tcPr>
          <w:p>
            <w:pPr>
              <w:pStyle w:val="TableContents"/>
              <w:bidi w:val="0"/>
              <w:spacing w:before="0" w:after="283"/>
              <w:jc w:val="left"/>
              <w:rPr>
                <w:b/>
              </w:rPr>
            </w:pPr>
            <w:r>
              <w:rPr>
                <w:b/>
              </w:rPr>
              <w:t>Philip J. Jasper</w:t>
            </w:r>
          </w:p>
        </w:tc>
        <w:tc>
          <w:tcPr>
            <w:tcW w:w="60" w:type="dxa"/>
            <w:tcBorders>
              <w:bottom w:val="single" w:sz="2" w:space="0" w:color="000000"/>
            </w:tcBorders>
            <w:vAlign w:val="center"/>
          </w:tcPr>
          <w:p>
            <w:pPr>
              <w:pStyle w:val="TableContents"/>
              <w:bidi w:val="0"/>
              <w:spacing w:before="0" w:after="283"/>
              <w:jc w:val="left"/>
              <w:rPr/>
            </w:pPr>
            <w:r>
              <w:rPr/>
              <w:t> </w:t>
            </w:r>
          </w:p>
        </w:tc>
        <w:tc>
          <w:tcPr>
            <w:tcW w:w="1340" w:type="dxa"/>
            <w:tcBorders>
              <w:bottom w:val="single" w:sz="2" w:space="0" w:color="000000"/>
            </w:tcBorders>
            <w:vAlign w:val="center"/>
          </w:tcPr>
          <w:p>
            <w:pPr>
              <w:pStyle w:val="TableContents"/>
              <w:bidi w:val="0"/>
              <w:spacing w:before="0" w:after="283"/>
              <w:jc w:val="right"/>
              <w:rPr/>
            </w:pPr>
            <w:r>
              <w:rPr/>
              <w:t>$835</w:t>
            </w:r>
          </w:p>
        </w:tc>
        <w:tc>
          <w:tcPr>
            <w:tcW w:w="60" w:type="dxa"/>
            <w:tcBorders>
              <w:bottom w:val="single" w:sz="2" w:space="0" w:color="000000"/>
            </w:tcBorders>
            <w:vAlign w:val="center"/>
          </w:tcPr>
          <w:p>
            <w:pPr>
              <w:pStyle w:val="TableContents"/>
              <w:bidi w:val="0"/>
              <w:spacing w:before="0" w:after="283"/>
              <w:jc w:val="left"/>
              <w:rPr/>
            </w:pPr>
            <w:r>
              <w:rPr/>
              <w:t> </w:t>
            </w:r>
          </w:p>
        </w:tc>
        <w:tc>
          <w:tcPr>
            <w:tcW w:w="1355" w:type="dxa"/>
            <w:tcBorders>
              <w:bottom w:val="single" w:sz="2" w:space="0" w:color="000000"/>
            </w:tcBorders>
            <w:vAlign w:val="center"/>
          </w:tcPr>
          <w:p>
            <w:pPr>
              <w:pStyle w:val="TableContents"/>
              <w:bidi w:val="0"/>
              <w:spacing w:before="0" w:after="283"/>
              <w:jc w:val="right"/>
              <w:rPr/>
            </w:pPr>
            <w:r>
              <w:rPr/>
              <w:t>$1,540</w:t>
            </w:r>
          </w:p>
        </w:tc>
        <w:tc>
          <w:tcPr>
            <w:tcW w:w="60" w:type="dxa"/>
            <w:tcBorders>
              <w:bottom w:val="single" w:sz="2" w:space="0" w:color="000000"/>
            </w:tcBorders>
            <w:vAlign w:val="center"/>
          </w:tcPr>
          <w:p>
            <w:pPr>
              <w:pStyle w:val="TableContents"/>
              <w:bidi w:val="0"/>
              <w:spacing w:before="0" w:after="283"/>
              <w:jc w:val="left"/>
              <w:rPr/>
            </w:pPr>
            <w:r>
              <w:rPr/>
              <w:t> </w:t>
            </w:r>
          </w:p>
        </w:tc>
        <w:tc>
          <w:tcPr>
            <w:tcW w:w="800" w:type="dxa"/>
            <w:tcBorders>
              <w:bottom w:val="single" w:sz="2" w:space="0" w:color="000000"/>
            </w:tcBorders>
            <w:vAlign w:val="center"/>
          </w:tcPr>
          <w:p>
            <w:pPr>
              <w:pStyle w:val="TableContents"/>
              <w:bidi w:val="0"/>
              <w:spacing w:before="0" w:after="283"/>
              <w:jc w:val="right"/>
              <w:rPr/>
            </w:pPr>
            <w:r>
              <w:rPr/>
              <w:t>$4,750</w:t>
            </w:r>
          </w:p>
        </w:tc>
        <w:tc>
          <w:tcPr>
            <w:tcW w:w="60" w:type="dxa"/>
            <w:tcBorders>
              <w:bottom w:val="single" w:sz="2" w:space="0" w:color="000000"/>
            </w:tcBorders>
            <w:vAlign w:val="center"/>
          </w:tcPr>
          <w:p>
            <w:pPr>
              <w:pStyle w:val="TableContents"/>
              <w:bidi w:val="0"/>
              <w:spacing w:before="0" w:after="283"/>
              <w:jc w:val="left"/>
              <w:rPr/>
            </w:pPr>
            <w:r>
              <w:rPr/>
              <w:t> </w:t>
            </w:r>
          </w:p>
        </w:tc>
        <w:tc>
          <w:tcPr>
            <w:tcW w:w="1265" w:type="dxa"/>
            <w:tcBorders>
              <w:bottom w:val="single" w:sz="2" w:space="0" w:color="000000"/>
            </w:tcBorders>
            <w:vAlign w:val="center"/>
          </w:tcPr>
          <w:p>
            <w:pPr>
              <w:pStyle w:val="TableContents"/>
              <w:bidi w:val="0"/>
              <w:spacing w:before="0" w:after="283"/>
              <w:jc w:val="right"/>
              <w:rPr>
                <w:b/>
              </w:rPr>
            </w:pPr>
            <w:r>
              <w:rPr>
                <w:b/>
              </w:rPr>
              <w:t>$7,125</w:t>
            </w:r>
          </w:p>
        </w:tc>
      </w:tr>
      <w:tr>
        <w:trPr/>
        <w:tc>
          <w:tcPr>
            <w:tcW w:w="2165" w:type="dxa"/>
            <w:tcBorders>
              <w:bottom w:val="single" w:sz="2" w:space="0" w:color="000000"/>
            </w:tcBorders>
            <w:vAlign w:val="center"/>
          </w:tcPr>
          <w:p>
            <w:pPr>
              <w:pStyle w:val="TableContents"/>
              <w:bidi w:val="0"/>
              <w:spacing w:before="0" w:after="283"/>
              <w:jc w:val="left"/>
              <w:rPr>
                <w:b/>
              </w:rPr>
            </w:pPr>
            <w:r>
              <w:rPr>
                <w:b/>
              </w:rPr>
              <w:t>Shane G. Eddy</w:t>
            </w:r>
          </w:p>
        </w:tc>
        <w:tc>
          <w:tcPr>
            <w:tcW w:w="60" w:type="dxa"/>
            <w:tcBorders>
              <w:bottom w:val="single" w:sz="2" w:space="0" w:color="000000"/>
            </w:tcBorders>
            <w:vAlign w:val="center"/>
          </w:tcPr>
          <w:p>
            <w:pPr>
              <w:pStyle w:val="TableContents"/>
              <w:bidi w:val="0"/>
              <w:spacing w:before="0" w:after="283"/>
              <w:jc w:val="left"/>
              <w:rPr/>
            </w:pPr>
            <w:r>
              <w:rPr/>
              <w:t> </w:t>
            </w:r>
          </w:p>
        </w:tc>
        <w:tc>
          <w:tcPr>
            <w:tcW w:w="1340" w:type="dxa"/>
            <w:tcBorders>
              <w:bottom w:val="single" w:sz="2" w:space="0" w:color="000000"/>
            </w:tcBorders>
            <w:vAlign w:val="center"/>
          </w:tcPr>
          <w:p>
            <w:pPr>
              <w:pStyle w:val="TableContents"/>
              <w:bidi w:val="0"/>
              <w:spacing w:before="0" w:after="283"/>
              <w:jc w:val="right"/>
              <w:rPr/>
            </w:pPr>
            <w:r>
              <w:rPr/>
              <w:t>$840</w:t>
            </w:r>
          </w:p>
        </w:tc>
        <w:tc>
          <w:tcPr>
            <w:tcW w:w="60" w:type="dxa"/>
            <w:tcBorders>
              <w:bottom w:val="single" w:sz="2" w:space="0" w:color="000000"/>
            </w:tcBorders>
            <w:vAlign w:val="center"/>
          </w:tcPr>
          <w:p>
            <w:pPr>
              <w:pStyle w:val="TableContents"/>
              <w:bidi w:val="0"/>
              <w:spacing w:before="0" w:after="283"/>
              <w:jc w:val="left"/>
              <w:rPr/>
            </w:pPr>
            <w:r>
              <w:rPr/>
              <w:t> </w:t>
            </w:r>
          </w:p>
        </w:tc>
        <w:tc>
          <w:tcPr>
            <w:tcW w:w="1355" w:type="dxa"/>
            <w:tcBorders>
              <w:bottom w:val="single" w:sz="2" w:space="0" w:color="000000"/>
            </w:tcBorders>
            <w:vAlign w:val="center"/>
          </w:tcPr>
          <w:p>
            <w:pPr>
              <w:pStyle w:val="TableContents"/>
              <w:bidi w:val="0"/>
              <w:spacing w:before="0" w:after="283"/>
              <w:jc w:val="right"/>
              <w:rPr/>
            </w:pPr>
            <w:r>
              <w:rPr/>
              <w:t>$1,425</w:t>
            </w:r>
          </w:p>
        </w:tc>
        <w:tc>
          <w:tcPr>
            <w:tcW w:w="60" w:type="dxa"/>
            <w:tcBorders>
              <w:bottom w:val="single" w:sz="2" w:space="0" w:color="000000"/>
            </w:tcBorders>
            <w:vAlign w:val="center"/>
          </w:tcPr>
          <w:p>
            <w:pPr>
              <w:pStyle w:val="TableContents"/>
              <w:bidi w:val="0"/>
              <w:spacing w:before="0" w:after="283"/>
              <w:jc w:val="left"/>
              <w:rPr/>
            </w:pPr>
            <w:r>
              <w:rPr/>
              <w:t> </w:t>
            </w:r>
          </w:p>
        </w:tc>
        <w:tc>
          <w:tcPr>
            <w:tcW w:w="800" w:type="dxa"/>
            <w:tcBorders>
              <w:bottom w:val="single" w:sz="2" w:space="0" w:color="000000"/>
            </w:tcBorders>
            <w:vAlign w:val="center"/>
          </w:tcPr>
          <w:p>
            <w:pPr>
              <w:pStyle w:val="TableContents"/>
              <w:bidi w:val="0"/>
              <w:spacing w:before="0" w:after="283"/>
              <w:jc w:val="right"/>
              <w:rPr/>
            </w:pPr>
            <w:r>
              <w:rPr/>
              <w:t>$4,500</w:t>
            </w:r>
          </w:p>
        </w:tc>
        <w:tc>
          <w:tcPr>
            <w:tcW w:w="60" w:type="dxa"/>
            <w:tcBorders>
              <w:bottom w:val="single" w:sz="2" w:space="0" w:color="000000"/>
            </w:tcBorders>
            <w:vAlign w:val="center"/>
          </w:tcPr>
          <w:p>
            <w:pPr>
              <w:pStyle w:val="TableContents"/>
              <w:bidi w:val="0"/>
              <w:spacing w:before="0" w:after="283"/>
              <w:jc w:val="left"/>
              <w:rPr/>
            </w:pPr>
            <w:r>
              <w:rPr/>
              <w:t> </w:t>
            </w:r>
          </w:p>
        </w:tc>
        <w:tc>
          <w:tcPr>
            <w:tcW w:w="1265" w:type="dxa"/>
            <w:tcBorders>
              <w:bottom w:val="single" w:sz="2" w:space="0" w:color="000000"/>
            </w:tcBorders>
            <w:vAlign w:val="center"/>
          </w:tcPr>
          <w:p>
            <w:pPr>
              <w:pStyle w:val="TableContents"/>
              <w:bidi w:val="0"/>
              <w:spacing w:before="0" w:after="283"/>
              <w:jc w:val="right"/>
              <w:rPr>
                <w:b/>
              </w:rPr>
            </w:pPr>
            <w:r>
              <w:rPr>
                <w:b/>
              </w:rPr>
              <w:t>$6,765</w:t>
            </w:r>
          </w:p>
        </w:tc>
      </w:tr>
      <w:tr>
        <w:trPr/>
        <w:tc>
          <w:tcPr>
            <w:tcW w:w="2165" w:type="dxa"/>
            <w:tcBorders>
              <w:bottom w:val="single" w:sz="12" w:space="0" w:color="636466"/>
            </w:tcBorders>
            <w:vAlign w:val="center"/>
          </w:tcPr>
          <w:p>
            <w:pPr>
              <w:pStyle w:val="TableContents"/>
              <w:bidi w:val="0"/>
              <w:spacing w:before="0" w:after="283"/>
              <w:jc w:val="left"/>
              <w:rPr>
                <w:b/>
              </w:rPr>
            </w:pPr>
            <w:r>
              <w:rPr>
                <w:b/>
              </w:rPr>
              <w:t>Troy D. Brunk</w:t>
            </w:r>
          </w:p>
        </w:tc>
        <w:tc>
          <w:tcPr>
            <w:tcW w:w="60" w:type="dxa"/>
            <w:tcBorders>
              <w:bottom w:val="single" w:sz="12" w:space="0" w:color="636466"/>
            </w:tcBorders>
            <w:vAlign w:val="center"/>
          </w:tcPr>
          <w:p>
            <w:pPr>
              <w:pStyle w:val="TableContents"/>
              <w:bidi w:val="0"/>
              <w:spacing w:before="0" w:after="283"/>
              <w:jc w:val="left"/>
              <w:rPr/>
            </w:pPr>
            <w:r>
              <w:rPr/>
              <w:t> </w:t>
            </w:r>
          </w:p>
        </w:tc>
        <w:tc>
          <w:tcPr>
            <w:tcW w:w="1340" w:type="dxa"/>
            <w:tcBorders>
              <w:bottom w:val="single" w:sz="12" w:space="0" w:color="636466"/>
            </w:tcBorders>
            <w:vAlign w:val="center"/>
          </w:tcPr>
          <w:p>
            <w:pPr>
              <w:pStyle w:val="TableContents"/>
              <w:bidi w:val="0"/>
              <w:spacing w:before="0" w:after="283"/>
              <w:jc w:val="right"/>
              <w:rPr/>
            </w:pPr>
            <w:r>
              <w:rPr/>
              <w:t>$790</w:t>
            </w:r>
          </w:p>
        </w:tc>
        <w:tc>
          <w:tcPr>
            <w:tcW w:w="60" w:type="dxa"/>
            <w:tcBorders>
              <w:bottom w:val="single" w:sz="12" w:space="0" w:color="636466"/>
            </w:tcBorders>
            <w:vAlign w:val="center"/>
          </w:tcPr>
          <w:p>
            <w:pPr>
              <w:pStyle w:val="TableContents"/>
              <w:bidi w:val="0"/>
              <w:spacing w:before="0" w:after="283"/>
              <w:jc w:val="left"/>
              <w:rPr/>
            </w:pPr>
            <w:r>
              <w:rPr/>
              <w:t> </w:t>
            </w:r>
          </w:p>
        </w:tc>
        <w:tc>
          <w:tcPr>
            <w:tcW w:w="1355" w:type="dxa"/>
            <w:tcBorders>
              <w:bottom w:val="single" w:sz="12" w:space="0" w:color="636466"/>
            </w:tcBorders>
            <w:vAlign w:val="center"/>
          </w:tcPr>
          <w:p>
            <w:pPr>
              <w:pStyle w:val="TableContents"/>
              <w:bidi w:val="0"/>
              <w:spacing w:before="0" w:after="283"/>
              <w:jc w:val="right"/>
              <w:rPr/>
            </w:pPr>
            <w:r>
              <w:rPr/>
              <w:t>$1,320</w:t>
            </w:r>
          </w:p>
        </w:tc>
        <w:tc>
          <w:tcPr>
            <w:tcW w:w="60" w:type="dxa"/>
            <w:tcBorders>
              <w:bottom w:val="single" w:sz="12" w:space="0" w:color="636466"/>
            </w:tcBorders>
            <w:vAlign w:val="center"/>
          </w:tcPr>
          <w:p>
            <w:pPr>
              <w:pStyle w:val="TableContents"/>
              <w:bidi w:val="0"/>
              <w:spacing w:before="0" w:after="283"/>
              <w:jc w:val="left"/>
              <w:rPr/>
            </w:pPr>
            <w:r>
              <w:rPr/>
              <w:t> </w:t>
            </w:r>
          </w:p>
        </w:tc>
        <w:tc>
          <w:tcPr>
            <w:tcW w:w="800" w:type="dxa"/>
            <w:tcBorders>
              <w:bottom w:val="single" w:sz="12" w:space="0" w:color="636466"/>
            </w:tcBorders>
            <w:vAlign w:val="center"/>
          </w:tcPr>
          <w:p>
            <w:pPr>
              <w:pStyle w:val="TableContents"/>
              <w:bidi w:val="0"/>
              <w:spacing w:before="0" w:after="283"/>
              <w:jc w:val="right"/>
              <w:rPr/>
            </w:pPr>
            <w:r>
              <w:rPr/>
              <w:t>$4,500</w:t>
            </w:r>
          </w:p>
        </w:tc>
        <w:tc>
          <w:tcPr>
            <w:tcW w:w="60" w:type="dxa"/>
            <w:tcBorders>
              <w:bottom w:val="single" w:sz="12" w:space="0" w:color="636466"/>
            </w:tcBorders>
            <w:vAlign w:val="center"/>
          </w:tcPr>
          <w:p>
            <w:pPr>
              <w:pStyle w:val="TableContents"/>
              <w:bidi w:val="0"/>
              <w:spacing w:before="0" w:after="283"/>
              <w:jc w:val="left"/>
              <w:rPr/>
            </w:pPr>
            <w:r>
              <w:rPr/>
              <w:t> </w:t>
            </w:r>
          </w:p>
        </w:tc>
        <w:tc>
          <w:tcPr>
            <w:tcW w:w="1265" w:type="dxa"/>
            <w:tcBorders>
              <w:bottom w:val="single" w:sz="12" w:space="0" w:color="636466"/>
            </w:tcBorders>
            <w:vAlign w:val="center"/>
          </w:tcPr>
          <w:p>
            <w:pPr>
              <w:pStyle w:val="TableContents"/>
              <w:bidi w:val="0"/>
              <w:spacing w:before="0" w:after="283"/>
              <w:jc w:val="right"/>
              <w:rPr>
                <w:b/>
              </w:rPr>
            </w:pPr>
            <w:r>
              <w:rPr>
                <w:b/>
              </w:rPr>
              <w:t>$6,610</w:t>
            </w:r>
          </w:p>
        </w:tc>
      </w:tr>
    </w:tbl>
    <w:tbl>
      <w:tblPr>
        <w:tblW w:w="10205" w:type="dxa"/>
        <w:jc w:val="left"/>
        <w:tblInd w:w="0" w:type="dxa"/>
        <w:tblLayout w:type="fixed"/>
        <w:tblCellMar>
          <w:top w:w="0" w:type="dxa"/>
          <w:left w:w="0" w:type="dxa"/>
          <w:bottom w:w="0" w:type="dxa"/>
          <w:right w:w="0" w:type="dxa"/>
        </w:tblCellMar>
      </w:tblPr>
      <w:tblGrid>
        <w:gridCol w:w="190"/>
        <w:gridCol w:w="10015"/>
      </w:tblGrid>
      <w:tr>
        <w:trPr/>
        <w:tc>
          <w:tcPr>
            <w:tcW w:w="190" w:type="dxa"/>
            <w:tcBorders/>
            <w:vAlign w:val="center"/>
          </w:tcPr>
          <w:p>
            <w:pPr>
              <w:pStyle w:val="TableContents"/>
              <w:bidi w:val="0"/>
              <w:spacing w:before="0" w:after="283"/>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(1)</w:t>
            </w:r>
          </w:p>
        </w:tc>
        <w:tc>
          <w:tcPr>
            <w:tcW w:w="10015" w:type="dxa"/>
            <w:tcBorders/>
            <w:vAlign w:val="center"/>
          </w:tcPr>
          <w:p>
            <w:pPr>
              <w:pStyle w:val="TableContents"/>
              <w:bidi w:val="0"/>
              <w:spacing w:before="0" w:after="283"/>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Reflects base salary in effect for each NEO as of December 31, 2025. These amounts differ from those in the Summary Compensation Table on page 64, which reflect salary adjustments (if any) made during the year.</w:t>
            </w:r>
          </w:p>
        </w:tc>
      </w:tr>
      <w:tr>
        <w:trPr/>
        <w:tc>
          <w:tcPr>
            <w:tcW w:w="190" w:type="dxa"/>
            <w:tcBorders/>
            <w:vAlign w:val="center"/>
          </w:tcPr>
          <w:p>
            <w:pPr>
              <w:pStyle w:val="TableContents"/>
              <w:bidi w:val="0"/>
              <w:spacing w:before="0" w:after="283"/>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(2)</w:t>
            </w:r>
          </w:p>
        </w:tc>
        <w:tc>
          <w:tcPr>
            <w:tcW w:w="10015" w:type="dxa"/>
            <w:tcBorders/>
            <w:vAlign w:val="center"/>
          </w:tcPr>
          <w:p>
            <w:pPr>
              <w:pStyle w:val="TableContents"/>
              <w:bidi w:val="0"/>
              <w:spacing w:before="0" w:after="283"/>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Reflects values approved by the HCC Committee for the LTI award granted on February 11, 2026. These differ from the values that will be reported in the Summary Compensation Table in 2027, which will be calculated in accordance with FASB ASC Topic 718, Compensation—Stock Compensation.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Arial;Helvetica;Sans-Serif" w:hAnsi="Arial;Helvetica;Sans-Serif"/>
          <w:b w:val="false"/>
          <w:i w:val="false"/>
          <w:caps w:val="false"/>
          <w:smallCaps w:val="false"/>
          <w:sz w:val="15"/>
        </w:rPr>
      </w:pPr>
      <w:r>
        <w:rPr>
          <w:rFonts w:ascii="Arial;Helvetica;Sans-Serif" w:hAnsi="Arial;Helvetica;Sans-Serif"/>
          <w:b/>
          <w:i w:val="false"/>
          <w:caps w:val="false"/>
          <w:smallCaps w:val="false"/>
          <w:sz w:val="15"/>
        </w:rPr>
        <w:t>RTX</w:t>
      </w:r>
      <w:r>
        <w:rPr>
          <w:rFonts w:ascii="Arial;Helvetica;Sans-Serif" w:hAnsi="Arial;Helvetica;Sans-Serif"/>
          <w:b w:val="false"/>
          <w:i w:val="false"/>
          <w:caps w:val="false"/>
          <w:smallCaps w:val="false"/>
          <w:sz w:val="15"/>
        </w:rPr>
        <w:t xml:space="preserve"> 2026 PROXY STATEMENT    </w:t>
      </w:r>
      <w:r>
        <w:rPr>
          <w:rFonts w:ascii="Arial;Helvetica;Sans-Serif" w:hAnsi="Arial;Helvetica;Sans-Serif"/>
          <w:b/>
          <w:i w:val="false"/>
          <w:caps w:val="false"/>
          <w:smallCaps w:val="false"/>
          <w:sz w:val="15"/>
        </w:rPr>
        <w:t>43</w:t>
      </w:r>
    </w:p>
    <w:p>
      <w:pPr>
        <w:pStyle w:val="HorizontalLine"/>
        <w:pBdr>
          <w:bottom w:val="double" w:sz="2" w:space="0" w:color="808080"/>
        </w:pBdr>
        <w:bidi w:val="0"/>
        <w:spacing w:before="0" w:after="283"/>
        <w:jc w:val="left"/>
        <w:rPr/>
      </w:pPr>
      <w:r>
        <w:rPr/>
      </w:r>
    </w:p>
    <w:p>
      <w:pPr>
        <w:pStyle w:val="TextBody"/>
        <w:bidi w:val="0"/>
        <w:spacing w:before="200" w:after="200"/>
        <w:jc w:val="left"/>
        <w:rPr/>
      </w:pPr>
      <w:hyperlink w:anchor="toc">
        <w:r>
          <w:rPr>
            <w:rStyle w:val="InternetLink"/>
            <w:rFonts w:ascii="Arial;Helvetica;Sans-Serif" w:hAnsi="Arial;Helvetica;Sans-Serif"/>
            <w:b/>
            <w:i w:val="false"/>
            <w:caps w:val="false"/>
            <w:smallCaps w:val="false"/>
            <w:sz w:val="16"/>
          </w:rPr>
          <w:t>Table of Contents</w:t>
        </w:r>
      </w:hyperlink>
    </w:p>
    <w:p>
      <w:pPr>
        <w:pStyle w:val="TextBody"/>
        <w:bidi w:val="0"/>
        <w:spacing w:before="0" w:after="0"/>
        <w:ind w:left="0" w:right="0" w:hanging="0"/>
        <w:jc w:val="left"/>
        <w:rPr>
          <w:rFonts w:ascii="Arial;Helvetica;Sans-Serif" w:hAnsi="Arial;Helvetica;Sans-Serif"/>
          <w:b/>
          <w:i w:val="false"/>
          <w:caps w:val="false"/>
          <w:smallCaps w:val="false"/>
          <w:color w:val="C12E33"/>
          <w:sz w:val="15"/>
        </w:rPr>
      </w:pPr>
      <w:r>
        <w:rPr>
          <w:rFonts w:ascii="Arial;Helvetica;Sans-Serif" w:hAnsi="Arial;Helvetica;Sans-Serif"/>
          <w:b/>
          <w:i w:val="false"/>
          <w:caps w:val="false"/>
          <w:smallCaps w:val="false"/>
          <w:color w:val="C12E33"/>
          <w:sz w:val="15"/>
        </w:rPr>
        <w:t>COMPENSATION DISCUSSION AND ANALYSIS</w:t>
      </w:r>
    </w:p>
    <w:p>
      <w:pPr>
        <w:pStyle w:val="TextBody"/>
        <w:bidi w:val="0"/>
        <w:spacing w:before="0" w:after="0"/>
        <w:ind w:left="0" w:right="0" w:hanging="0"/>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HOW WE MAKE PAY DECISIONS AND ASSESS OUR PROGRAMS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color w:val="C12E33"/>
          <w:sz w:val="36"/>
        </w:rPr>
      </w:pPr>
      <w:bookmarkStart w:id="19" w:name="rtx014050_def14ab005"/>
      <w:bookmarkStart w:id="20" w:name="rtx014050a011"/>
      <w:bookmarkEnd w:id="19"/>
      <w:bookmarkEnd w:id="20"/>
      <w:r>
        <w:rPr>
          <w:rFonts w:ascii="Arial;Helvetica;Sans-Serif" w:hAnsi="Arial;Helvetica;Sans-Serif"/>
          <w:b/>
          <w:i w:val="false"/>
          <w:caps w:val="false"/>
          <w:smallCaps w:val="false"/>
          <w:color w:val="C12E33"/>
          <w:sz w:val="36"/>
        </w:rPr>
        <w:t>How We Make Pay Decisions and Assess Our Programs</w:t>
      </w:r>
    </w:p>
    <w:p>
      <w:pPr>
        <w:pStyle w:val="TextBody"/>
        <w:bidi w:val="0"/>
        <w:spacing w:before="0" w:after="0"/>
        <w:ind w:left="0" w:right="0" w:hanging="0"/>
        <w:jc w:val="left"/>
        <w:rPr>
          <w:caps w:val="false"/>
          <w:smallCaps w:val="false"/>
          <w:color w:val="C12E33"/>
        </w:rPr>
      </w:pPr>
      <w:r>
        <w:rPr>
          <w:caps w:val="false"/>
          <w:smallCaps w:val="false"/>
          <w:color w:val="C12E33"/>
        </w:rPr>
        <w:t> </w:t>
      </w:r>
    </w:p>
    <w:p>
      <w:pPr>
        <w:pStyle w:val="TextBody"/>
        <w:bidi w:val="0"/>
        <w:spacing w:before="0" w:after="0"/>
        <w:ind w:left="0" w:right="0" w:hanging="0"/>
        <w:jc w:val="left"/>
        <w:rPr>
          <w:rFonts w:ascii="Arial;Helvetica;Sans-Serif" w:hAnsi="Arial;Helvetica;Sans-Serif"/>
          <w:b/>
          <w:i w:val="false"/>
          <w:caps w:val="false"/>
          <w:smallCaps w:val="false"/>
          <w:sz w:val="34"/>
        </w:rPr>
      </w:pPr>
      <w:bookmarkStart w:id="21" w:name="rtx014050_def14ab006"/>
      <w:bookmarkEnd w:id="21"/>
      <w:r>
        <w:rPr>
          <w:rFonts w:ascii="Arial;Helvetica;Sans-Serif" w:hAnsi="Arial;Helvetica;Sans-Serif"/>
          <w:b/>
          <w:i w:val="false"/>
          <w:caps w:val="false"/>
          <w:smallCaps w:val="false"/>
          <w:sz w:val="34"/>
        </w:rPr>
        <w:t>Roles and Responsibilities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0205" w:type="dxa"/>
            <w:gridSpan w:val="2"/>
            <w:tcBorders/>
            <w:shd w:fill="EDEDEE" w:val="clear"/>
            <w:vAlign w:val="center"/>
          </w:tcPr>
          <w:p>
            <w:pPr>
              <w:pStyle w:val="TableContents"/>
              <w:bidi w:val="0"/>
              <w:spacing w:before="0" w:after="0"/>
              <w:ind w:left="0" w:right="0" w:hanging="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Human Capital &amp; Compensation Committee</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Oversees our programs</w:t>
            </w:r>
          </w:p>
          <w:p>
            <w:pPr>
              <w:pStyle w:val="TableContents"/>
              <w:bidi w:val="0"/>
              <w:spacing w:before="0" w:after="0"/>
              <w:ind w:left="0" w:right="0" w:hanging="0"/>
              <w:jc w:val="left"/>
              <w:rPr>
                <w:caps w:val="false"/>
                <w:smallCaps w:val="false"/>
              </w:rPr>
            </w:pPr>
            <w:r>
              <w:rPr>
                <w:caps w:val="false"/>
                <w:smallCaps w:val="false"/>
              </w:rPr>
              <w:t> </w:t>
            </w:r>
          </w:p>
        </w:tc>
      </w:tr>
      <w:tr>
        <w:trPr/>
        <w:tc>
          <w:tcPr>
            <w:tcW w:w="185" w:type="dxa"/>
            <w:tcBorders/>
            <w:shd w:fill="EDEDEE"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EDEDEE" w:val="cle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Sets the financial, strategic and operational goals and objectives for the Company, our business units, and the Chairman &amp; CEO, as they relate to the Company’s annual and long-term incentive programs.</w:t>
            </w:r>
          </w:p>
        </w:tc>
      </w:tr>
      <w:tr>
        <w:trPr/>
        <w:tc>
          <w:tcPr>
            <w:tcW w:w="185" w:type="dxa"/>
            <w:tcBorders/>
            <w:shd w:fill="EDEDEE"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EDEDEE" w:val="cle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Assesses Company, business unit and NEO performance relative to the preestablished goals and objectives set for the year.</w:t>
            </w:r>
          </w:p>
        </w:tc>
      </w:tr>
      <w:tr>
        <w:trPr/>
        <w:tc>
          <w:tcPr>
            <w:tcW w:w="185" w:type="dxa"/>
            <w:tcBorders/>
            <w:shd w:fill="EDEDEE"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EDEDEE" w:val="cle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Evaluates the competitiveness of officers’ compensation and approves compensation adjustments, as appropriate.</w:t>
            </w:r>
          </w:p>
        </w:tc>
      </w:tr>
      <w:tr>
        <w:trPr/>
        <w:tc>
          <w:tcPr>
            <w:tcW w:w="185" w:type="dxa"/>
            <w:tcBorders/>
            <w:shd w:fill="EDEDEE"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EDEDEE" w:val="cle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Approves program design for executive severance, change-in-control, supplemental benefit arrangements and the Company’s Executive Leadership Group (“ELG”) program.</w:t>
            </w:r>
          </w:p>
        </w:tc>
      </w:tr>
      <w:tr>
        <w:trPr/>
        <w:tc>
          <w:tcPr>
            <w:tcW w:w="185" w:type="dxa"/>
            <w:tcBorders/>
            <w:shd w:fill="EDEDEE"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EDEDEE" w:val="cle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Appoints executives to the ELG.</w:t>
            </w:r>
          </w:p>
        </w:tc>
      </w:tr>
      <w:tr>
        <w:trPr/>
        <w:tc>
          <w:tcPr>
            <w:tcW w:w="185" w:type="dxa"/>
            <w:tcBorders/>
            <w:shd w:fill="EDEDEE"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EDEDEE" w:val="cle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Reviews risk assessments as they relate to RTX’s compensation plans, policies and practices.</w:t>
            </w:r>
          </w:p>
        </w:tc>
      </w:tr>
      <w:tr>
        <w:trPr/>
        <w:tc>
          <w:tcPr>
            <w:tcW w:w="185" w:type="dxa"/>
            <w:tcBorders/>
            <w:shd w:fill="EDEDEE"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EDEDEE" w:val="cle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Considers shareowner input regarding executive compensation decisions and policies.</w:t>
            </w:r>
          </w:p>
        </w:tc>
      </w:tr>
      <w:tr>
        <w:trPr/>
        <w:tc>
          <w:tcPr>
            <w:tcW w:w="185" w:type="dxa"/>
            <w:tcBorders/>
            <w:shd w:fill="EDEDEE"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EDEDEE" w:val="cle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Reviews the Company’s human capital management initiatives.</w:t>
            </w:r>
          </w:p>
        </w:tc>
      </w:tr>
      <w:tr>
        <w:trPr/>
        <w:tc>
          <w:tcPr>
            <w:tcW w:w="185" w:type="dxa"/>
            <w:tcBorders/>
            <w:shd w:fill="EDEDEE"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EDEDEE" w:val="cle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Engages an independent consultant, including approving the consultant’s compensation, determining the nature and scope of its services, evaluating its performance, terminating the engagement and replacing or adding consultants as needed.</w:t>
            </w:r>
          </w:p>
        </w:tc>
      </w:tr>
      <w:tr>
        <w:trPr/>
        <w:tc>
          <w:tcPr>
            <w:tcW w:w="185" w:type="dxa"/>
            <w:tcBorders/>
            <w:shd w:fill="EDEDEE" w:val="clear"/>
            <w:vAlign w:val="center"/>
          </w:tcPr>
          <w:p>
            <w:pPr>
              <w:pStyle w:val="TableContents"/>
              <w:bidi w:val="0"/>
              <w:spacing w:before="0" w:after="283"/>
              <w:jc w:val="left"/>
              <w:rPr/>
            </w:pPr>
            <w:r>
              <w:rPr/>
              <w:t> </w:t>
            </w:r>
          </w:p>
        </w:tc>
        <w:tc>
          <w:tcPr>
            <w:tcW w:w="10020" w:type="dxa"/>
            <w:tcBorders/>
            <w:shd w:fill="EDEDEE"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0205" w:type="dxa"/>
            <w:gridSpan w:val="2"/>
            <w:tcBorders/>
            <w:shd w:fill="EDEDEE" w:val="clear"/>
            <w:vAlign w:val="center"/>
          </w:tcPr>
          <w:p>
            <w:pPr>
              <w:pStyle w:val="TableContents"/>
              <w:bidi w:val="0"/>
              <w:spacing w:before="0" w:after="0"/>
              <w:ind w:left="0" w:right="0" w:hanging="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Management</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CEO provides input to the HCC Committee</w:t>
            </w:r>
          </w:p>
          <w:p>
            <w:pPr>
              <w:pStyle w:val="TableContents"/>
              <w:bidi w:val="0"/>
              <w:spacing w:before="0" w:after="0"/>
              <w:ind w:left="0" w:right="0" w:hanging="0"/>
              <w:jc w:val="left"/>
              <w:rPr>
                <w:caps w:val="false"/>
                <w:smallCaps w:val="false"/>
              </w:rPr>
            </w:pPr>
            <w:r>
              <w:rPr>
                <w:caps w:val="false"/>
                <w:smallCaps w:val="false"/>
              </w:rPr>
              <w:t> </w:t>
            </w:r>
          </w:p>
        </w:tc>
      </w:tr>
      <w:tr>
        <w:trPr/>
        <w:tc>
          <w:tcPr>
            <w:tcW w:w="185" w:type="dxa"/>
            <w:tcBorders/>
            <w:shd w:fill="EDEDEE"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EDEDEE" w:val="cle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Presents the HCC Committee with recommendations for each principal element of compensation for officers other than himself.</w:t>
            </w:r>
          </w:p>
        </w:tc>
      </w:tr>
      <w:tr>
        <w:trPr/>
        <w:tc>
          <w:tcPr>
            <w:tcW w:w="185" w:type="dxa"/>
            <w:tcBorders/>
            <w:shd w:fill="EDEDEE"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EDEDEE" w:val="cle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Considers the performance of each officer, their business unit and/or function, market benchmarks, internal equity and retention risk when making such recommendations.</w:t>
            </w:r>
          </w:p>
        </w:tc>
      </w:tr>
      <w:tr>
        <w:trPr/>
        <w:tc>
          <w:tcPr>
            <w:tcW w:w="185" w:type="dxa"/>
            <w:tcBorders/>
            <w:shd w:fill="EDEDEE"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EDEDEE" w:val="cle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Has no role in the performance evaluation or compensation decisions for himself. </w:t>
            </w:r>
          </w:p>
        </w:tc>
      </w:tr>
      <w:tr>
        <w:trPr/>
        <w:tc>
          <w:tcPr>
            <w:tcW w:w="10205" w:type="dxa"/>
            <w:gridSpan w:val="2"/>
            <w:tcBorders/>
            <w:shd w:fill="EDEDEE" w:val="clear"/>
            <w:vAlign w:val="center"/>
          </w:tcPr>
          <w:p>
            <w:pPr>
              <w:pStyle w:val="TableContents"/>
              <w:bidi w:val="0"/>
              <w:spacing w:before="0" w:after="0"/>
              <w:ind w:left="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Other executives provide insight and assistance</w:t>
            </w:r>
          </w:p>
          <w:p>
            <w:pPr>
              <w:pStyle w:val="TableContents"/>
              <w:bidi w:val="0"/>
              <w:spacing w:before="0" w:after="0"/>
              <w:ind w:left="0" w:right="0" w:hanging="0"/>
              <w:jc w:val="left"/>
              <w:rPr>
                <w:caps w:val="false"/>
                <w:smallCaps w:val="false"/>
              </w:rPr>
            </w:pPr>
            <w:r>
              <w:rPr>
                <w:caps w:val="false"/>
                <w:smallCaps w:val="false"/>
              </w:rPr>
              <w:t> </w:t>
            </w:r>
          </w:p>
        </w:tc>
      </w:tr>
      <w:tr>
        <w:trPr/>
        <w:tc>
          <w:tcPr>
            <w:tcW w:w="185" w:type="dxa"/>
            <w:tcBorders/>
            <w:shd w:fill="EDEDEE"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EDEDEE" w:val="cle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Executive Vice President &amp; Chief Human Resources Officer, along with RTX’s Human Resources staff, provide insight on program design and gather compensation market data to assist the HCC Committee with its decision-making process.</w:t>
            </w:r>
          </w:p>
        </w:tc>
      </w:tr>
      <w:tr>
        <w:trPr/>
        <w:tc>
          <w:tcPr>
            <w:tcW w:w="185" w:type="dxa"/>
            <w:tcBorders/>
            <w:shd w:fill="EDEDEE"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EDEDEE" w:val="cle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Management also has the responsibility, delegated to it by the HCC Committee, for the administration of executive compensation plans for RTX employees who are not officers.</w:t>
            </w:r>
          </w:p>
        </w:tc>
      </w:tr>
      <w:tr>
        <w:trPr/>
        <w:tc>
          <w:tcPr>
            <w:tcW w:w="185" w:type="dxa"/>
            <w:tcBorders/>
            <w:shd w:fill="EDEDEE" w:val="clear"/>
            <w:vAlign w:val="center"/>
          </w:tcPr>
          <w:p>
            <w:pPr>
              <w:pStyle w:val="TableContents"/>
              <w:bidi w:val="0"/>
              <w:spacing w:before="0" w:after="283"/>
              <w:jc w:val="left"/>
              <w:rPr/>
            </w:pPr>
            <w:r>
              <w:rPr/>
              <w:t> </w:t>
            </w:r>
          </w:p>
        </w:tc>
        <w:tc>
          <w:tcPr>
            <w:tcW w:w="10020" w:type="dxa"/>
            <w:tcBorders/>
            <w:shd w:fill="EDEDEE"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0205" w:type="dxa"/>
            <w:gridSpan w:val="2"/>
            <w:tcBorders/>
            <w:shd w:fill="EDEDEE" w:val="clear"/>
            <w:vAlign w:val="center"/>
          </w:tcPr>
          <w:p>
            <w:pPr>
              <w:pStyle w:val="TableContents"/>
              <w:bidi w:val="0"/>
              <w:spacing w:before="0" w:after="0"/>
              <w:ind w:left="0" w:right="0" w:hanging="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Independent Consultant</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Provides an independent perspective and assessment</w:t>
            </w:r>
          </w:p>
          <w:p>
            <w:pPr>
              <w:pStyle w:val="TableContents"/>
              <w:bidi w:val="0"/>
              <w:spacing w:before="0" w:after="0"/>
              <w:ind w:left="0" w:right="0" w:hanging="0"/>
              <w:jc w:val="left"/>
              <w:rPr>
                <w:caps w:val="false"/>
                <w:smallCaps w:val="false"/>
              </w:rPr>
            </w:pPr>
            <w:r>
              <w:rPr>
                <w:caps w:val="false"/>
                <w:smallCaps w:val="false"/>
              </w:rPr>
              <w:t> </w:t>
            </w:r>
          </w:p>
        </w:tc>
      </w:tr>
      <w:tr>
        <w:trPr/>
        <w:tc>
          <w:tcPr>
            <w:tcW w:w="185" w:type="dxa"/>
            <w:tcBorders/>
            <w:shd w:fill="EDEDEE"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EDEDEE" w:val="cle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Advises the HCC Committee on a variety of subjects, including compensation plan design and trends, pay-for-performance analytics, benchmarking data, setting performance goals, governance and risk assessment.</w:t>
            </w:r>
          </w:p>
        </w:tc>
      </w:tr>
      <w:tr>
        <w:trPr/>
        <w:tc>
          <w:tcPr>
            <w:tcW w:w="185" w:type="dxa"/>
            <w:tcBorders/>
            <w:shd w:fill="EDEDEE"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EDEDEE" w:val="cle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Reports directly to the HCC Committee, participates in meetings as requested and communicates with the HCC Committee Chair between meetings as necessary.</w:t>
            </w:r>
          </w:p>
        </w:tc>
      </w:tr>
      <w:tr>
        <w:trPr/>
        <w:tc>
          <w:tcPr>
            <w:tcW w:w="185" w:type="dxa"/>
            <w:tcBorders/>
            <w:shd w:fill="EDEDEE" w:val="clear"/>
            <w:vAlign w:val="center"/>
          </w:tcPr>
          <w:p>
            <w:pPr>
              <w:pStyle w:val="TableContents"/>
              <w:bidi w:val="0"/>
              <w:spacing w:before="0" w:after="283"/>
              <w:jc w:val="left"/>
              <w:rPr/>
            </w:pPr>
            <w:r>
              <w:rPr/>
              <w:t> </w:t>
            </w:r>
          </w:p>
        </w:tc>
        <w:tc>
          <w:tcPr>
            <w:tcW w:w="10020" w:type="dxa"/>
            <w:tcBorders/>
            <w:shd w:fill="EDEDEE"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shd w:fill="EDEDEE" w:val="clear"/>
            <w:vAlign w:val="center"/>
          </w:tcPr>
          <w:p>
            <w:pPr>
              <w:pStyle w:val="TableContents"/>
              <w:bidi w:val="0"/>
              <w:spacing w:before="0" w:after="0"/>
              <w:ind w:left="0" w:right="0" w:hanging="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Shareowners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Provide feedback on our programs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 assessing our programs each year, the HCC Committee considers feedback we receive from shareowners. Together with other factors, this helps the HCC Committee in its decision-making process and its ongoing assessment of program effectiveness.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15"/>
        </w:rPr>
      </w:pPr>
      <w:r>
        <w:rPr>
          <w:rFonts w:ascii="Arial;Helvetica;Sans-Serif" w:hAnsi="Arial;Helvetica;Sans-Serif"/>
          <w:b/>
          <w:i w:val="false"/>
          <w:caps w:val="false"/>
          <w:smallCaps w:val="false"/>
          <w:sz w:val="15"/>
        </w:rPr>
        <w:t>44</w:t>
      </w:r>
      <w:r>
        <w:rPr>
          <w:rFonts w:ascii="Times New Roman;Times;Serif" w:hAnsi="Times New Roman;Times;Serif"/>
          <w:b w:val="false"/>
          <w:i w:val="false"/>
          <w:caps w:val="false"/>
          <w:smallCaps w:val="false"/>
          <w:sz w:val="15"/>
        </w:rPr>
        <w:t>    </w:t>
      </w:r>
      <w:r>
        <w:rPr>
          <w:rFonts w:ascii="Arial;Helvetica;Sans-Serif" w:hAnsi="Arial;Helvetica;Sans-Serif"/>
          <w:b/>
          <w:i w:val="false"/>
          <w:caps w:val="false"/>
          <w:smallCaps w:val="false"/>
          <w:sz w:val="15"/>
        </w:rPr>
        <w:t>RTX</w:t>
      </w:r>
      <w:r>
        <w:rPr>
          <w:rFonts w:ascii="Arial;Helvetica;Sans-Serif" w:hAnsi="Arial;Helvetica;Sans-Serif"/>
          <w:b w:val="false"/>
          <w:i w:val="false"/>
          <w:caps w:val="false"/>
          <w:smallCaps w:val="false"/>
          <w:sz w:val="15"/>
        </w:rPr>
        <w:t xml:space="preserve"> 2026 PROXY STATEMENT</w:t>
      </w:r>
    </w:p>
    <w:p>
      <w:pPr>
        <w:pStyle w:val="HorizontalLine"/>
        <w:pBdr>
          <w:bottom w:val="double" w:sz="2" w:space="0" w:color="808080"/>
        </w:pBdr>
        <w:bidi w:val="0"/>
        <w:spacing w:before="0" w:after="283"/>
        <w:jc w:val="left"/>
        <w:rPr/>
      </w:pPr>
      <w:r>
        <w:rPr/>
      </w:r>
    </w:p>
    <w:p>
      <w:pPr>
        <w:pStyle w:val="TextBody"/>
        <w:bidi w:val="0"/>
        <w:spacing w:before="200" w:after="200"/>
        <w:jc w:val="left"/>
        <w:rPr/>
      </w:pPr>
      <w:hyperlink w:anchor="toc">
        <w:r>
          <w:rPr>
            <w:rStyle w:val="InternetLink"/>
            <w:rFonts w:ascii="Arial;Helvetica;Sans-Serif" w:hAnsi="Arial;Helvetica;Sans-Serif"/>
            <w:b/>
            <w:i w:val="false"/>
            <w:caps w:val="false"/>
            <w:smallCaps w:val="false"/>
            <w:sz w:val="16"/>
          </w:rPr>
          <w:t>Table of Contents</w:t>
        </w:r>
      </w:hyperlink>
    </w:p>
    <w:p>
      <w:pPr>
        <w:pStyle w:val="TextBody"/>
        <w:bidi w:val="0"/>
        <w:spacing w:before="0" w:after="0"/>
        <w:ind w:left="0" w:right="0" w:hanging="0"/>
        <w:jc w:val="right"/>
        <w:rPr>
          <w:rFonts w:ascii="Arial;Helvetica;Sans-Serif" w:hAnsi="Arial;Helvetica;Sans-Serif"/>
          <w:b/>
          <w:i w:val="false"/>
          <w:caps w:val="false"/>
          <w:smallCaps w:val="false"/>
          <w:color w:val="C12E33"/>
          <w:sz w:val="15"/>
        </w:rPr>
      </w:pPr>
      <w:r>
        <w:rPr>
          <w:rFonts w:ascii="Arial;Helvetica;Sans-Serif" w:hAnsi="Arial;Helvetica;Sans-Serif"/>
          <w:b/>
          <w:i w:val="false"/>
          <w:caps w:val="false"/>
          <w:smallCaps w:val="false"/>
          <w:color w:val="C12E33"/>
          <w:sz w:val="15"/>
        </w:rPr>
        <w:t>COMPENSATION DISCUSSION AND ANALYSIS</w:t>
      </w:r>
    </w:p>
    <w:p>
      <w:pPr>
        <w:pStyle w:val="TextBody"/>
        <w:bidi w:val="0"/>
        <w:spacing w:before="0" w:after="0"/>
        <w:ind w:left="0" w:right="0" w:hanging="0"/>
        <w:jc w:val="righ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HOW WE MAKE PAY DECISIONS AND ASSESS OUR PROGRAMS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34"/>
        </w:rPr>
      </w:pPr>
      <w:bookmarkStart w:id="22" w:name="rtx014050_def14ab007"/>
      <w:bookmarkEnd w:id="22"/>
      <w:r>
        <w:rPr>
          <w:rFonts w:ascii="Arial;Helvetica;Sans-Serif" w:hAnsi="Arial;Helvetica;Sans-Serif"/>
          <w:b/>
          <w:i w:val="false"/>
          <w:caps w:val="false"/>
          <w:smallCaps w:val="false"/>
          <w:sz w:val="34"/>
        </w:rPr>
        <w:t>2025 Independent Consultant Engagement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 early 2025, the HCC Committee again engaged FW Cook as its independent consultant for the year. Prior to the engagement, it reviewed the firm’s qualifications, independence and any potential conflicts of interest. FW Cook did not perform other services for or receive other fees from the Company. As a result, the HCC Committee determined that FW Cook qualified as an independent consultant. During 2025, FW Cook representatives attended all HCC Committee meetings.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No other consulting firm made recommendations to the HCC Committee on RTX’s peer group composition or on the form, amount or design of executive compensation in 2025. However, the Company did obtain market data from other compensation consulting firms for various purposes, including benchmarking. Generally, such data is also available to other consulting clients of these firms.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34"/>
        </w:rPr>
      </w:pPr>
      <w:bookmarkStart w:id="23" w:name="rtx014050_def14ab008"/>
      <w:bookmarkEnd w:id="23"/>
      <w:r>
        <w:rPr>
          <w:rFonts w:ascii="Arial;Helvetica;Sans-Serif" w:hAnsi="Arial;Helvetica;Sans-Serif"/>
          <w:b/>
          <w:i w:val="false"/>
          <w:caps w:val="false"/>
          <w:smallCaps w:val="false"/>
          <w:sz w:val="34"/>
        </w:rPr>
        <w:t>Our Compensation Peer Group and Use of Market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How We Use Peer Group Data.</w:t>
      </w:r>
      <w:r>
        <w:rPr>
          <w:rFonts w:ascii="Arial;Helvetica;Sans-Serif" w:hAnsi="Arial;Helvetica;Sans-Serif"/>
          <w:b w:val="false"/>
          <w:i w:val="false"/>
          <w:caps w:val="false"/>
          <w:smallCaps w:val="false"/>
          <w:sz w:val="20"/>
        </w:rPr>
        <w:t> The HCC Committee believes that to keep our executive compensation program sufficiently competitive, the target total direct compensation should approximate the market median of the companies RTX views as competitors for senior executive talent. For this reason, we compare our executive compensation program to the programs of companies within our Compensation Peer Group (“CPG”). In addition, we use market data from the aerospace and defense sector, the Fortune 100 and a broader group of companies to gain insight into general compensation trends and to supplement CPG market data for benchmarking when the HCC Committee finds it necessary or appropriate.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HCC Committee annually evaluates each compensation element relative to the market for each officer’s role and makes adjustments as appropriate. Individual compensation may vary from market median benchmarks based on the Committee’s assessment of other factors that it considers relevant, including Company, business unit, function and/or individual performance, as well as job scope, retention risk, internal pay equity and sustained performance over time.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935"/>
        <w:gridCol w:w="2270"/>
      </w:tblGrid>
      <w:tr>
        <w:trPr/>
        <w:tc>
          <w:tcPr>
            <w:tcW w:w="7935" w:type="dxa"/>
            <w:tcBorders/>
            <w:vAlign w:val="center"/>
          </w:tcPr>
          <w:p>
            <w:pPr>
              <w:pStyle w:val="TableContents"/>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How Our Compensation Peer Group is Constructed.</w:t>
            </w:r>
            <w:r>
              <w:rPr>
                <w:rFonts w:ascii="Arial;Helvetica;Sans-Serif" w:hAnsi="Arial;Helvetica;Sans-Serif"/>
                <w:b w:val="false"/>
                <w:i w:val="false"/>
                <w:caps w:val="false"/>
                <w:smallCaps w:val="false"/>
                <w:sz w:val="20"/>
              </w:rPr>
              <w:t> The CPG is composed of a mix of industry and non-industry peers. As part of its ongoing process, the HCC Committee regularly reviews each company included in the CPG and its overall composition. The previous CPG was established in 2020 following the merger of United Technologies Corporation and Raytheon Company. Since then, RTX has grown in size, while several CPG companies have sold or spun-off portions of their businesses. During its 2025 review, the HCC Committee made several changes to the CPG. These changes were made to ensure the CPG reflects an appropriate composite of companies comparable to RTX in size and complexity, while also keeping our pay programs competitive for the high-technology talent we need for future success.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HCC Committee believes the 21 companies in our CPG (see page 46) provide a relevant comparison based on their similarity to RTX in size, geographic footprint and operational complexity, taking into account factors such as revenue, market capitalization, global scope of operations, manufacturing footprint, research and development activities, and technology and engineering focus. As competitors for executive talent, the CPG is used solely for the purpose of benchmarking executive compensation, and not as a part of the performance metrics in our incentive compensation programs.</w:t>
            </w:r>
          </w:p>
        </w:tc>
        <w:tc>
          <w:tcPr>
            <w:tcW w:w="2270" w:type="dxa"/>
            <w:tcBorders/>
            <w:vAlign w:val="center"/>
          </w:tcPr>
          <w:p>
            <w:pPr>
              <w:pStyle w:val="TableContents"/>
              <w:bidi w:val="0"/>
              <w:spacing w:before="0" w:after="0"/>
              <w:ind w:left="0" w:right="0" w:hanging="0"/>
              <w:jc w:val="left"/>
              <w:rPr>
                <w:rFonts w:ascii="Arial;Helvetica;Sans-Serif" w:hAnsi="Arial;Helvetica;Sans-Serif"/>
                <w:b/>
                <w:i w:val="false"/>
                <w:caps w:val="false"/>
                <w:smallCaps w:val="false"/>
                <w:sz w:val="22"/>
                <w:bdr w:val="single" w:sz="12" w:space="10" w:color="C12E33"/>
                <w:shd w:fill="EDEDEE" w:val="clear"/>
              </w:rPr>
            </w:pPr>
            <w:r>
              <w:rPr>
                <w:rFonts w:ascii="Arial;Helvetica;Sans-Serif" w:hAnsi="Arial;Helvetica;Sans-Serif"/>
                <w:b/>
                <w:i w:val="false"/>
                <w:caps w:val="false"/>
                <w:smallCaps w:val="false"/>
                <w:sz w:val="22"/>
                <w:bdr w:val="single" w:sz="12" w:space="10" w:color="C12E33"/>
                <w:shd w:fill="EDEDEE" w:val="clear"/>
              </w:rPr>
              <w:t>Companies Added</w:t>
            </w:r>
          </w:p>
          <w:p>
            <w:pPr>
              <w:pStyle w:val="TableContents"/>
              <w:bidi w:val="0"/>
              <w:spacing w:before="0" w:after="0"/>
              <w:ind w:left="0" w:right="0" w:hanging="0"/>
              <w:jc w:val="left"/>
              <w:rPr>
                <w:caps w:val="false"/>
                <w:smallCaps w:val="false"/>
                <w:bdr w:val="single" w:sz="12" w:space="10" w:color="C12E33"/>
                <w:shd w:fill="EDEDEE" w:val="clear"/>
              </w:rPr>
            </w:pPr>
            <w:r>
              <w:rPr>
                <w:caps w:val="false"/>
                <w:smallCaps w:val="false"/>
                <w:bdr w:val="single" w:sz="12" w:space="10" w:color="C12E33"/>
                <w:shd w:fill="EDEDEE" w:val="clear"/>
              </w:rPr>
              <w:t> </w:t>
            </w:r>
          </w:p>
          <w:p>
            <w:pPr>
              <w:pStyle w:val="TableContents"/>
              <w:bidi w:val="0"/>
              <w:spacing w:before="0" w:after="0"/>
              <w:ind w:left="0" w:right="0" w:hanging="0"/>
              <w:jc w:val="left"/>
              <w:rPr>
                <w:rFonts w:ascii="Arial;Helvetica;Sans-Serif" w:hAnsi="Arial;Helvetica;Sans-Serif"/>
                <w:b w:val="false"/>
                <w:i w:val="false"/>
                <w:caps w:val="false"/>
                <w:smallCaps w:val="false"/>
                <w:sz w:val="20"/>
                <w:bdr w:val="single" w:sz="12" w:space="10" w:color="C12E33"/>
                <w:shd w:fill="EDEDEE" w:val="clear"/>
              </w:rPr>
            </w:pPr>
            <w:r>
              <w:rPr>
                <w:rFonts w:ascii="Arial;Helvetica;Sans-Serif" w:hAnsi="Arial;Helvetica;Sans-Serif"/>
                <w:b w:val="false"/>
                <w:i w:val="false"/>
                <w:caps w:val="false"/>
                <w:smallCaps w:val="false"/>
                <w:sz w:val="20"/>
                <w:bdr w:val="single" w:sz="12" w:space="10" w:color="C12E33"/>
                <w:shd w:fill="EDEDEE" w:val="clear"/>
              </w:rPr>
              <w:t>+ Ford Motor Company</w:t>
            </w:r>
          </w:p>
          <w:p>
            <w:pPr>
              <w:pStyle w:val="TableContents"/>
              <w:bidi w:val="0"/>
              <w:spacing w:before="0" w:after="0"/>
              <w:ind w:left="0" w:right="0" w:hanging="0"/>
              <w:jc w:val="left"/>
              <w:rPr>
                <w:rFonts w:ascii="Arial;Helvetica;Sans-Serif" w:hAnsi="Arial;Helvetica;Sans-Serif"/>
                <w:b w:val="false"/>
                <w:i w:val="false"/>
                <w:caps w:val="false"/>
                <w:smallCaps w:val="false"/>
                <w:sz w:val="20"/>
                <w:bdr w:val="single" w:sz="12" w:space="10" w:color="C12E33"/>
                <w:shd w:fill="EDEDEE" w:val="clear"/>
              </w:rPr>
            </w:pPr>
            <w:r>
              <w:rPr>
                <w:rFonts w:ascii="Arial;Helvetica;Sans-Serif" w:hAnsi="Arial;Helvetica;Sans-Serif"/>
                <w:b w:val="false"/>
                <w:i w:val="false"/>
                <w:caps w:val="false"/>
                <w:smallCaps w:val="false"/>
                <w:sz w:val="20"/>
                <w:bdr w:val="single" w:sz="12" w:space="10" w:color="C12E33"/>
                <w:shd w:fill="EDEDEE" w:val="clear"/>
              </w:rPr>
              <w:t>+ Microsoft Corporation</w:t>
            </w:r>
          </w:p>
          <w:p>
            <w:pPr>
              <w:pStyle w:val="TableContents"/>
              <w:bidi w:val="0"/>
              <w:spacing w:before="0" w:after="0"/>
              <w:ind w:left="0" w:right="0" w:hanging="0"/>
              <w:jc w:val="left"/>
              <w:rPr>
                <w:rFonts w:ascii="Arial;Helvetica;Sans-Serif" w:hAnsi="Arial;Helvetica;Sans-Serif"/>
                <w:b w:val="false"/>
                <w:i w:val="false"/>
                <w:caps w:val="false"/>
                <w:smallCaps w:val="false"/>
                <w:sz w:val="20"/>
                <w:bdr w:val="single" w:sz="12" w:space="10" w:color="C12E33"/>
                <w:shd w:fill="EDEDEE" w:val="clear"/>
              </w:rPr>
            </w:pPr>
            <w:r>
              <w:rPr>
                <w:rFonts w:ascii="Arial;Helvetica;Sans-Serif" w:hAnsi="Arial;Helvetica;Sans-Serif"/>
                <w:b w:val="false"/>
                <w:i w:val="false"/>
                <w:caps w:val="false"/>
                <w:smallCaps w:val="false"/>
                <w:sz w:val="20"/>
                <w:bdr w:val="single" w:sz="12" w:space="10" w:color="C12E33"/>
                <w:shd w:fill="EDEDEE" w:val="clear"/>
              </w:rPr>
              <w:t>+ Nvidia Corporation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Arial;Helvetica;Sans-Serif" w:hAnsi="Arial;Helvetica;Sans-Serif"/>
                <w:b/>
                <w:i w:val="false"/>
                <w:caps w:val="false"/>
                <w:smallCaps w:val="false"/>
                <w:sz w:val="22"/>
                <w:bdr w:val="single" w:sz="12" w:space="10" w:color="C12E33"/>
                <w:shd w:fill="EDEDEE" w:val="clear"/>
              </w:rPr>
            </w:pPr>
            <w:r>
              <w:rPr>
                <w:rFonts w:ascii="Arial;Helvetica;Sans-Serif" w:hAnsi="Arial;Helvetica;Sans-Serif"/>
                <w:b/>
                <w:i w:val="false"/>
                <w:caps w:val="false"/>
                <w:smallCaps w:val="false"/>
                <w:sz w:val="22"/>
                <w:bdr w:val="single" w:sz="12" w:space="10" w:color="C12E33"/>
                <w:shd w:fill="EDEDEE" w:val="clear"/>
              </w:rPr>
              <w:t>Companies Removed</w:t>
            </w:r>
          </w:p>
          <w:p>
            <w:pPr>
              <w:pStyle w:val="TableContents"/>
              <w:bidi w:val="0"/>
              <w:spacing w:before="0" w:after="0"/>
              <w:ind w:left="0" w:right="0" w:hanging="0"/>
              <w:jc w:val="left"/>
              <w:rPr>
                <w:caps w:val="false"/>
                <w:smallCaps w:val="false"/>
                <w:bdr w:val="single" w:sz="12" w:space="10" w:color="C12E33"/>
                <w:shd w:fill="EDEDEE" w:val="clear"/>
              </w:rPr>
            </w:pPr>
            <w:r>
              <w:rPr>
                <w:caps w:val="false"/>
                <w:smallCaps w:val="false"/>
                <w:bdr w:val="single" w:sz="12" w:space="10" w:color="C12E33"/>
                <w:shd w:fill="EDEDEE" w:val="clear"/>
              </w:rPr>
              <w:t> </w:t>
            </w:r>
          </w:p>
          <w:p>
            <w:pPr>
              <w:pStyle w:val="TableContents"/>
              <w:bidi w:val="0"/>
              <w:spacing w:before="0" w:after="0"/>
              <w:ind w:left="0" w:right="0" w:hanging="0"/>
              <w:jc w:val="left"/>
              <w:rPr>
                <w:rFonts w:ascii="Arial;Helvetica;Sans-Serif" w:hAnsi="Arial;Helvetica;Sans-Serif"/>
                <w:b w:val="false"/>
                <w:i w:val="false"/>
                <w:caps w:val="false"/>
                <w:smallCaps w:val="false"/>
                <w:sz w:val="20"/>
                <w:bdr w:val="single" w:sz="12" w:space="10" w:color="C12E33"/>
                <w:shd w:fill="EDEDEE" w:val="clear"/>
              </w:rPr>
            </w:pPr>
            <w:r>
              <w:rPr>
                <w:rFonts w:ascii="Arial;Helvetica;Sans-Serif" w:hAnsi="Arial;Helvetica;Sans-Serif"/>
                <w:b w:val="false"/>
                <w:i w:val="false"/>
                <w:caps w:val="false"/>
                <w:smallCaps w:val="false"/>
                <w:sz w:val="20"/>
                <w:bdr w:val="single" w:sz="12" w:space="10" w:color="C12E33"/>
                <w:shd w:fill="EDEDEE" w:val="clear"/>
              </w:rPr>
              <w:t>- 3M</w:t>
            </w:r>
          </w:p>
          <w:p>
            <w:pPr>
              <w:pStyle w:val="TableContents"/>
              <w:bidi w:val="0"/>
              <w:spacing w:before="0" w:after="0"/>
              <w:ind w:left="0" w:right="0" w:hanging="0"/>
              <w:jc w:val="left"/>
              <w:rPr>
                <w:rFonts w:ascii="Arial;Helvetica;Sans-Serif" w:hAnsi="Arial;Helvetica;Sans-Serif"/>
                <w:b w:val="false"/>
                <w:i w:val="false"/>
                <w:caps w:val="false"/>
                <w:smallCaps w:val="false"/>
                <w:sz w:val="20"/>
                <w:bdr w:val="single" w:sz="12" w:space="10" w:color="C12E33"/>
                <w:shd w:fill="EDEDEE" w:val="clear"/>
              </w:rPr>
            </w:pPr>
            <w:r>
              <w:rPr>
                <w:rFonts w:ascii="Arial;Helvetica;Sans-Serif" w:hAnsi="Arial;Helvetica;Sans-Serif"/>
                <w:b w:val="false"/>
                <w:i w:val="false"/>
                <w:caps w:val="false"/>
                <w:smallCaps w:val="false"/>
                <w:sz w:val="20"/>
                <w:bdr w:val="single" w:sz="12" w:space="10" w:color="C12E33"/>
                <w:shd w:fill="EDEDEE" w:val="clear"/>
              </w:rPr>
              <w:t>- L3Harris Technologies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right"/>
        <w:rPr>
          <w:rFonts w:ascii="Times New Roman;Times;Serif" w:hAnsi="Times New Roman;Times;Serif"/>
          <w:b w:val="false"/>
          <w:i w:val="false"/>
          <w:caps w:val="false"/>
          <w:smallCaps w:val="false"/>
          <w:sz w:val="15"/>
        </w:rPr>
      </w:pPr>
      <w:r>
        <w:rPr>
          <w:rFonts w:ascii="Arial;Helvetica;Sans-Serif" w:hAnsi="Arial;Helvetica;Sans-Serif"/>
          <w:b/>
          <w:i w:val="false"/>
          <w:caps w:val="false"/>
          <w:smallCaps w:val="false"/>
          <w:sz w:val="15"/>
        </w:rPr>
        <w:t>RTX</w:t>
      </w:r>
      <w:r>
        <w:rPr>
          <w:rFonts w:ascii="Arial;Helvetica;Sans-Serif" w:hAnsi="Arial;Helvetica;Sans-Serif"/>
          <w:b w:val="false"/>
          <w:i w:val="false"/>
          <w:caps w:val="false"/>
          <w:smallCaps w:val="false"/>
          <w:sz w:val="15"/>
        </w:rPr>
        <w:t xml:space="preserve"> 2026 PROXY STATEMENT    </w:t>
      </w:r>
      <w:r>
        <w:rPr>
          <w:rFonts w:ascii="Arial;Helvetica;Sans-Serif" w:hAnsi="Arial;Helvetica;Sans-Serif"/>
          <w:b/>
          <w:i w:val="false"/>
          <w:caps w:val="false"/>
          <w:smallCaps w:val="false"/>
          <w:sz w:val="15"/>
        </w:rPr>
        <w:t>45</w:t>
      </w:r>
    </w:p>
    <w:p>
      <w:pPr>
        <w:pStyle w:val="HorizontalLine"/>
        <w:pBdr>
          <w:bottom w:val="double" w:sz="2" w:space="0" w:color="808080"/>
        </w:pBdr>
        <w:bidi w:val="0"/>
        <w:spacing w:before="0" w:after="283"/>
        <w:jc w:val="left"/>
        <w:rPr/>
      </w:pPr>
      <w:r>
        <w:rPr/>
      </w:r>
    </w:p>
    <w:p>
      <w:pPr>
        <w:pStyle w:val="TextBody"/>
        <w:bidi w:val="0"/>
        <w:spacing w:before="200" w:after="200"/>
        <w:jc w:val="left"/>
        <w:rPr/>
      </w:pPr>
      <w:hyperlink w:anchor="toc">
        <w:r>
          <w:rPr>
            <w:rStyle w:val="InternetLink"/>
            <w:rFonts w:ascii="Arial;Helvetica;Sans-Serif" w:hAnsi="Arial;Helvetica;Sans-Serif"/>
            <w:b/>
            <w:i w:val="false"/>
            <w:caps w:val="false"/>
            <w:smallCaps w:val="false"/>
            <w:sz w:val="16"/>
          </w:rPr>
          <w:t>Table of Contents</w:t>
        </w:r>
      </w:hyperlink>
    </w:p>
    <w:p>
      <w:pPr>
        <w:pStyle w:val="TextBody"/>
        <w:bidi w:val="0"/>
        <w:spacing w:before="0" w:after="0"/>
        <w:ind w:left="0" w:right="0" w:hanging="0"/>
        <w:jc w:val="left"/>
        <w:rPr>
          <w:rFonts w:ascii="Arial;Helvetica;Sans-Serif" w:hAnsi="Arial;Helvetica;Sans-Serif"/>
          <w:b/>
          <w:i w:val="false"/>
          <w:caps w:val="false"/>
          <w:smallCaps w:val="false"/>
          <w:color w:val="C12E33"/>
          <w:sz w:val="15"/>
        </w:rPr>
      </w:pPr>
      <w:r>
        <w:rPr>
          <w:rFonts w:ascii="Arial;Helvetica;Sans-Serif" w:hAnsi="Arial;Helvetica;Sans-Serif"/>
          <w:b/>
          <w:i w:val="false"/>
          <w:caps w:val="false"/>
          <w:smallCaps w:val="false"/>
          <w:color w:val="C12E33"/>
          <w:sz w:val="15"/>
        </w:rPr>
        <w:t>COMPENSATION DISCUSSION AND ANALYSIS</w:t>
      </w:r>
    </w:p>
    <w:p>
      <w:pPr>
        <w:pStyle w:val="TextBody"/>
        <w:bidi w:val="0"/>
        <w:spacing w:before="0" w:after="0"/>
        <w:ind w:left="0" w:right="0" w:hanging="0"/>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HOW WE MAKE PAY DECISIONS AND ASSESS OUR PROGRAMS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color w:val="C12E33"/>
          <w:sz w:val="20"/>
        </w:rPr>
      </w:pPr>
      <w:r>
        <w:rPr>
          <w:rFonts w:ascii="Arial;Helvetica;Sans-Serif" w:hAnsi="Arial;Helvetica;Sans-Serif"/>
          <w:b/>
          <w:i w:val="false"/>
          <w:caps w:val="false"/>
          <w:smallCaps w:val="false"/>
          <w:color w:val="C12E33"/>
          <w:sz w:val="20"/>
        </w:rPr>
        <w:t>OUR COMPENSATION PEER GROUP (CPG)</w:t>
      </w:r>
    </w:p>
    <w:p>
      <w:pPr>
        <w:pStyle w:val="TextBody"/>
        <w:bidi w:val="0"/>
        <w:spacing w:before="0" w:after="0"/>
        <w:ind w:left="0" w:right="0" w:hanging="0"/>
        <w:jc w:val="left"/>
        <w:rPr>
          <w:caps w:val="false"/>
          <w:smallCaps w:val="false"/>
          <w:color w:val="C12E33"/>
        </w:rPr>
      </w:pPr>
      <w:r>
        <w:rPr>
          <w:caps w:val="false"/>
          <w:smallCaps w:val="false"/>
          <w:color w:val="C12E33"/>
        </w:rPr>
        <w:t> </w:t>
      </w:r>
    </w:p>
    <w:tbl>
      <w:tblPr>
        <w:tblW w:w="8884" w:type="dxa"/>
        <w:jc w:val="left"/>
        <w:tblInd w:w="0" w:type="dxa"/>
        <w:tblLayout w:type="fixed"/>
        <w:tblCellMar>
          <w:top w:w="0" w:type="dxa"/>
          <w:left w:w="0" w:type="dxa"/>
          <w:bottom w:w="0" w:type="dxa"/>
          <w:right w:w="0" w:type="dxa"/>
        </w:tblCellMar>
      </w:tblPr>
      <w:tblGrid>
        <w:gridCol w:w="2060"/>
        <w:gridCol w:w="2255"/>
        <w:gridCol w:w="1668"/>
        <w:gridCol w:w="1096"/>
        <w:gridCol w:w="1805"/>
      </w:tblGrid>
      <w:tr>
        <w:trPr/>
        <w:tc>
          <w:tcPr>
            <w:tcW w:w="2060" w:type="dxa"/>
            <w:tcBorders/>
            <w:vAlign w:val="center"/>
          </w:tcPr>
          <w:p>
            <w:pPr>
              <w:pStyle w:val="TableContents"/>
              <w:bidi w:val="0"/>
              <w:spacing w:before="0" w:after="283"/>
              <w:jc w:val="left"/>
              <w:rPr/>
            </w:pPr>
            <w:r>
              <w:rPr/>
              <w:drawing>
                <wp:inline distT="0" distB="0" distL="0" distR="0">
                  <wp:extent cx="523875" cy="457200"/>
                  <wp:effectExtent l="0" t="0" r="0" b="0"/>
                  <wp:docPr id="299" name="Image2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9" name="Image202" descr=""/>
                          <pic:cNvPicPr>
                            <a:picLocks noChangeAspect="1" noChangeArrowheads="1"/>
                          </pic:cNvPicPr>
                        </pic:nvPicPr>
                        <pic:blipFill>
                          <a:blip r:embed="rId252"/>
                          <a:stretch>
                            <a:fillRect/>
                          </a:stretch>
                        </pic:blipFill>
                        <pic:spPr bwMode="auto">
                          <a:xfrm>
                            <a:off x="0" y="0"/>
                            <a:ext cx="523875" cy="457200"/>
                          </a:xfrm>
                          <a:prstGeom prst="rect">
                            <a:avLst/>
                          </a:prstGeom>
                        </pic:spPr>
                      </pic:pic>
                    </a:graphicData>
                  </a:graphic>
                </wp:inline>
              </w:drawing>
            </w:r>
            <w:r>
              <w:rPr/>
              <w:t> </w:t>
            </w:r>
          </w:p>
        </w:tc>
        <w:tc>
          <w:tcPr>
            <w:tcW w:w="2255" w:type="dxa"/>
            <w:tcBorders/>
            <w:vAlign w:val="center"/>
          </w:tcPr>
          <w:p>
            <w:pPr>
              <w:pStyle w:val="TableContents"/>
              <w:bidi w:val="0"/>
              <w:spacing w:before="0" w:after="283"/>
              <w:jc w:val="left"/>
              <w:rPr/>
            </w:pPr>
            <w:r>
              <w:rPr/>
              <w:drawing>
                <wp:inline distT="0" distB="0" distL="0" distR="0">
                  <wp:extent cx="495300" cy="466725"/>
                  <wp:effectExtent l="0" t="0" r="0" b="0"/>
                  <wp:docPr id="300" name="Image2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 name="Image203" descr=""/>
                          <pic:cNvPicPr>
                            <a:picLocks noChangeAspect="1" noChangeArrowheads="1"/>
                          </pic:cNvPicPr>
                        </pic:nvPicPr>
                        <pic:blipFill>
                          <a:blip r:embed="rId253"/>
                          <a:stretch>
                            <a:fillRect/>
                          </a:stretch>
                        </pic:blipFill>
                        <pic:spPr bwMode="auto">
                          <a:xfrm>
                            <a:off x="0" y="0"/>
                            <a:ext cx="495300" cy="466725"/>
                          </a:xfrm>
                          <a:prstGeom prst="rect">
                            <a:avLst/>
                          </a:prstGeom>
                        </pic:spPr>
                      </pic:pic>
                    </a:graphicData>
                  </a:graphic>
                </wp:inline>
              </w:drawing>
            </w:r>
            <w:r>
              <w:rPr/>
              <w:t> </w:t>
            </w:r>
          </w:p>
        </w:tc>
        <w:tc>
          <w:tcPr>
            <w:tcW w:w="2764" w:type="dxa"/>
            <w:gridSpan w:val="2"/>
            <w:tcBorders/>
            <w:vAlign w:val="center"/>
          </w:tcPr>
          <w:p>
            <w:pPr>
              <w:pStyle w:val="TableContents"/>
              <w:bidi w:val="0"/>
              <w:spacing w:before="0" w:after="283"/>
              <w:jc w:val="left"/>
              <w:rPr/>
            </w:pPr>
            <w:r>
              <w:rPr/>
              <w:drawing>
                <wp:inline distT="0" distB="0" distL="0" distR="0">
                  <wp:extent cx="381000" cy="447675"/>
                  <wp:effectExtent l="0" t="0" r="0" b="0"/>
                  <wp:docPr id="301" name="Image2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 name="Image204" descr=""/>
                          <pic:cNvPicPr>
                            <a:picLocks noChangeAspect="1" noChangeArrowheads="1"/>
                          </pic:cNvPicPr>
                        </pic:nvPicPr>
                        <pic:blipFill>
                          <a:blip r:embed="rId254"/>
                          <a:stretch>
                            <a:fillRect/>
                          </a:stretch>
                        </pic:blipFill>
                        <pic:spPr bwMode="auto">
                          <a:xfrm>
                            <a:off x="0" y="0"/>
                            <a:ext cx="381000" cy="447675"/>
                          </a:xfrm>
                          <a:prstGeom prst="rect">
                            <a:avLst/>
                          </a:prstGeom>
                        </pic:spPr>
                      </pic:pic>
                    </a:graphicData>
                  </a:graphic>
                </wp:inline>
              </w:drawing>
            </w:r>
            <w:r>
              <w:rPr/>
              <w:t> </w:t>
            </w:r>
          </w:p>
        </w:tc>
        <w:tc>
          <w:tcPr>
            <w:tcW w:w="1805" w:type="dxa"/>
            <w:tcBorders/>
            <w:vAlign w:val="center"/>
          </w:tcPr>
          <w:p>
            <w:pPr>
              <w:pStyle w:val="TableContents"/>
              <w:bidi w:val="0"/>
              <w:spacing w:before="0" w:after="283"/>
              <w:jc w:val="left"/>
              <w:rPr/>
            </w:pPr>
            <w:r>
              <w:rPr/>
              <w:drawing>
                <wp:inline distT="0" distB="0" distL="0" distR="0">
                  <wp:extent cx="447675" cy="476250"/>
                  <wp:effectExtent l="0" t="0" r="0" b="0"/>
                  <wp:docPr id="302" name="Image2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 name="Image205" descr=""/>
                          <pic:cNvPicPr>
                            <a:picLocks noChangeAspect="1" noChangeArrowheads="1"/>
                          </pic:cNvPicPr>
                        </pic:nvPicPr>
                        <pic:blipFill>
                          <a:blip r:embed="rId255"/>
                          <a:stretch>
                            <a:fillRect/>
                          </a:stretch>
                        </pic:blipFill>
                        <pic:spPr bwMode="auto">
                          <a:xfrm>
                            <a:off x="0" y="0"/>
                            <a:ext cx="447675" cy="476250"/>
                          </a:xfrm>
                          <a:prstGeom prst="rect">
                            <a:avLst/>
                          </a:prstGeom>
                        </pic:spPr>
                      </pic:pic>
                    </a:graphicData>
                  </a:graphic>
                </wp:inline>
              </w:drawing>
            </w:r>
            <w:r>
              <w:rPr/>
              <w:t> </w:t>
            </w:r>
          </w:p>
        </w:tc>
      </w:tr>
      <w:tr>
        <w:trPr/>
        <w:tc>
          <w:tcPr>
            <w:tcW w:w="2060" w:type="dxa"/>
            <w:tcBorders/>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283"/>
              <w:jc w:val="left"/>
              <w:rPr/>
            </w:pPr>
            <w:r>
              <w:rPr/>
              <w:t> </w:t>
            </w:r>
          </w:p>
        </w:tc>
        <w:tc>
          <w:tcPr>
            <w:tcW w:w="2764" w:type="dxa"/>
            <w:gridSpan w:val="2"/>
            <w:tcBorders/>
            <w:vAlign w:val="center"/>
          </w:tcPr>
          <w:p>
            <w:pPr>
              <w:pStyle w:val="TableContents"/>
              <w:bidi w:val="0"/>
              <w:spacing w:before="0" w:after="283"/>
              <w:jc w:val="left"/>
              <w:rPr/>
            </w:pPr>
            <w:r>
              <w:rPr/>
              <w:t> </w:t>
            </w:r>
          </w:p>
        </w:tc>
        <w:tc>
          <w:tcPr>
            <w:tcW w:w="1805" w:type="dxa"/>
            <w:tcBorders/>
            <w:vAlign w:val="center"/>
          </w:tcPr>
          <w:p>
            <w:pPr>
              <w:pStyle w:val="TableContents"/>
              <w:bidi w:val="0"/>
              <w:spacing w:before="0" w:after="283"/>
              <w:jc w:val="left"/>
              <w:rPr/>
            </w:pPr>
            <w:r>
              <w:rPr/>
              <w:t> </w:t>
            </w:r>
          </w:p>
        </w:tc>
      </w:tr>
      <w:tr>
        <w:trPr/>
        <w:tc>
          <w:tcPr>
            <w:tcW w:w="2060" w:type="dxa"/>
            <w:tcBorders/>
            <w:vAlign w:val="center"/>
          </w:tcPr>
          <w:p>
            <w:pPr>
              <w:pStyle w:val="TableContents"/>
              <w:bidi w:val="0"/>
              <w:spacing w:before="0" w:after="283"/>
              <w:jc w:val="left"/>
              <w:rPr/>
            </w:pPr>
            <w:r>
              <w:rPr>
                <w:rFonts w:ascii="Arial;Helvetica;Sans-Serif" w:hAnsi="Arial;Helvetica;Sans-Serif"/>
                <w:b/>
                <w:i w:val="false"/>
                <w:caps w:val="false"/>
                <w:smallCaps w:val="false"/>
                <w:sz w:val="20"/>
              </w:rPr>
              <w:t>Aerospace &amp; Defense</w:t>
            </w:r>
            <w:r>
              <w:rPr/>
              <w:t xml:space="preserve"> </w:t>
            </w:r>
          </w:p>
        </w:tc>
        <w:tc>
          <w:tcPr>
            <w:tcW w:w="2255" w:type="dxa"/>
            <w:tcBorders/>
            <w:vAlign w:val="center"/>
          </w:tcPr>
          <w:p>
            <w:pPr>
              <w:pStyle w:val="TableContents"/>
              <w:bidi w:val="0"/>
              <w:spacing w:before="0" w:after="283"/>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Equipment &amp; Machinery</w:t>
            </w:r>
          </w:p>
        </w:tc>
        <w:tc>
          <w:tcPr>
            <w:tcW w:w="2764" w:type="dxa"/>
            <w:gridSpan w:val="2"/>
            <w:tcBorders/>
            <w:vAlign w:val="center"/>
          </w:tcPr>
          <w:p>
            <w:pPr>
              <w:pStyle w:val="TableContents"/>
              <w:bidi w:val="0"/>
              <w:spacing w:before="0" w:after="283"/>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Technology/Communications</w:t>
            </w:r>
          </w:p>
        </w:tc>
        <w:tc>
          <w:tcPr>
            <w:tcW w:w="1805" w:type="dxa"/>
            <w:tcBorders/>
            <w:vAlign w:val="center"/>
          </w:tcPr>
          <w:p>
            <w:pPr>
              <w:pStyle w:val="TableContents"/>
              <w:bidi w:val="0"/>
              <w:spacing w:before="0" w:after="283"/>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Oil &amp; Gas</w:t>
            </w:r>
          </w:p>
        </w:tc>
      </w:tr>
      <w:tr>
        <w:trPr/>
        <w:tc>
          <w:tcPr>
            <w:tcW w:w="2060"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sz w:val="20"/>
              </w:rPr>
              <w:t xml:space="preserve">Boeing </w:t>
            </w:r>
            <w:r>
              <w:rPr/>
              <w:br/>
            </w:r>
            <w:r>
              <w:rPr>
                <w:rFonts w:ascii="Arial;Helvetica;Sans-Serif" w:hAnsi="Arial;Helvetica;Sans-Serif"/>
                <w:b w:val="false"/>
                <w:i w:val="false"/>
                <w:caps w:val="false"/>
                <w:smallCaps w:val="false"/>
                <w:sz w:val="20"/>
              </w:rPr>
              <w:t>GE Aerospace</w:t>
            </w:r>
            <w:r>
              <w:rPr/>
              <w:t xml:space="preserve"> </w:t>
              <w:br/>
            </w:r>
            <w:r>
              <w:rPr>
                <w:rFonts w:ascii="Arial;Helvetica;Sans-Serif" w:hAnsi="Arial;Helvetica;Sans-Serif"/>
                <w:b w:val="false"/>
                <w:i w:val="false"/>
                <w:caps w:val="false"/>
                <w:smallCaps w:val="false"/>
                <w:sz w:val="20"/>
              </w:rPr>
              <w:t>General Dynamics</w:t>
            </w:r>
            <w:r>
              <w:rPr/>
              <w:t xml:space="preserve"> </w:t>
              <w:br/>
            </w:r>
            <w:r>
              <w:rPr>
                <w:rFonts w:ascii="Arial;Helvetica;Sans-Serif" w:hAnsi="Arial;Helvetica;Sans-Serif"/>
                <w:b w:val="false"/>
                <w:i w:val="false"/>
                <w:caps w:val="false"/>
                <w:smallCaps w:val="false"/>
                <w:sz w:val="20"/>
              </w:rPr>
              <w:t>Lockheed Martin</w:t>
            </w:r>
            <w:r>
              <w:rPr/>
              <w:t xml:space="preserve"> </w:t>
              <w:br/>
            </w:r>
            <w:r>
              <w:rPr>
                <w:rFonts w:ascii="Arial;Helvetica;Sans-Serif" w:hAnsi="Arial;Helvetica;Sans-Serif"/>
                <w:b w:val="false"/>
                <w:i w:val="false"/>
                <w:caps w:val="false"/>
                <w:smallCaps w:val="false"/>
                <w:sz w:val="20"/>
              </w:rPr>
              <w:t>Northrop Grumman</w:t>
            </w:r>
          </w:p>
        </w:tc>
        <w:tc>
          <w:tcPr>
            <w:tcW w:w="2255"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sz w:val="20"/>
              </w:rPr>
              <w:t>Caterpillar</w:t>
            </w:r>
            <w:r>
              <w:rPr/>
              <w:t xml:space="preserve"> </w:t>
              <w:br/>
            </w:r>
            <w:r>
              <w:rPr>
                <w:rFonts w:ascii="Arial;Helvetica;Sans-Serif" w:hAnsi="Arial;Helvetica;Sans-Serif"/>
                <w:b w:val="false"/>
                <w:i w:val="false"/>
                <w:caps w:val="false"/>
                <w:smallCaps w:val="false"/>
                <w:sz w:val="20"/>
              </w:rPr>
              <w:t>Deere</w:t>
            </w:r>
          </w:p>
        </w:tc>
        <w:tc>
          <w:tcPr>
            <w:tcW w:w="1668"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sz w:val="20"/>
              </w:rPr>
              <w:t>AT&amp;T</w:t>
            </w:r>
            <w:r>
              <w:rPr/>
              <w:t xml:space="preserve"> </w:t>
              <w:br/>
            </w:r>
            <w:r>
              <w:rPr>
                <w:rFonts w:ascii="Arial;Helvetica;Sans-Serif" w:hAnsi="Arial;Helvetica;Sans-Serif"/>
                <w:b w:val="false"/>
                <w:i w:val="false"/>
                <w:caps w:val="false"/>
                <w:smallCaps w:val="false"/>
                <w:sz w:val="20"/>
              </w:rPr>
              <w:t>Cisco</w:t>
            </w:r>
            <w:r>
              <w:rPr/>
              <w:t xml:space="preserve"> </w:t>
              <w:br/>
            </w:r>
            <w:r>
              <w:rPr>
                <w:rFonts w:ascii="Arial;Helvetica;Sans-Serif" w:hAnsi="Arial;Helvetica;Sans-Serif"/>
                <w:b w:val="false"/>
                <w:i w:val="false"/>
                <w:caps w:val="false"/>
                <w:smallCaps w:val="false"/>
                <w:sz w:val="20"/>
              </w:rPr>
              <w:t>HP Inc.</w:t>
            </w:r>
            <w:r>
              <w:rPr/>
              <w:t xml:space="preserve"> </w:t>
              <w:br/>
            </w:r>
            <w:r>
              <w:rPr>
                <w:rFonts w:ascii="Arial;Helvetica;Sans-Serif" w:hAnsi="Arial;Helvetica;Sans-Serif"/>
                <w:b w:val="false"/>
                <w:i w:val="false"/>
                <w:caps w:val="false"/>
                <w:smallCaps w:val="false"/>
                <w:sz w:val="20"/>
              </w:rPr>
              <w:t>IBM</w:t>
            </w:r>
          </w:p>
        </w:tc>
        <w:tc>
          <w:tcPr>
            <w:tcW w:w="1096"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sz w:val="20"/>
              </w:rPr>
              <w:t>Intel</w:t>
            </w:r>
            <w:r>
              <w:rPr/>
              <w:t xml:space="preserve"> </w:t>
              <w:br/>
            </w:r>
            <w:r>
              <w:rPr>
                <w:rFonts w:ascii="Arial;Helvetica;Sans-Serif" w:hAnsi="Arial;Helvetica;Sans-Serif"/>
                <w:b w:val="false"/>
                <w:i w:val="false"/>
                <w:caps w:val="false"/>
                <w:smallCaps w:val="false"/>
                <w:sz w:val="20"/>
              </w:rPr>
              <w:t>Microsoft</w:t>
            </w:r>
            <w:r>
              <w:rPr/>
              <w:t xml:space="preserve"> </w:t>
              <w:br/>
            </w:r>
            <w:r>
              <w:rPr>
                <w:rFonts w:ascii="Arial;Helvetica;Sans-Serif" w:hAnsi="Arial;Helvetica;Sans-Serif"/>
                <w:b w:val="false"/>
                <w:i w:val="false"/>
                <w:caps w:val="false"/>
                <w:smallCaps w:val="false"/>
                <w:sz w:val="20"/>
              </w:rPr>
              <w:t>Nvidia</w:t>
            </w:r>
            <w:r>
              <w:rPr/>
              <w:t xml:space="preserve"> </w:t>
              <w:br/>
            </w:r>
            <w:r>
              <w:rPr>
                <w:rFonts w:ascii="Arial;Helvetica;Sans-Serif" w:hAnsi="Arial;Helvetica;Sans-Serif"/>
                <w:b w:val="false"/>
                <w:i w:val="false"/>
                <w:caps w:val="false"/>
                <w:smallCaps w:val="false"/>
                <w:sz w:val="20"/>
              </w:rPr>
              <w:t>Verizon</w:t>
            </w:r>
          </w:p>
        </w:tc>
        <w:tc>
          <w:tcPr>
            <w:tcW w:w="180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Chevron</w:t>
            </w:r>
          </w:p>
        </w:tc>
      </w:tr>
      <w:tr>
        <w:trPr/>
        <w:tc>
          <w:tcPr>
            <w:tcW w:w="2060" w:type="dxa"/>
            <w:tcBorders/>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283"/>
              <w:jc w:val="left"/>
              <w:rPr/>
            </w:pPr>
            <w:r>
              <w:rPr/>
              <w:t> </w:t>
            </w:r>
          </w:p>
        </w:tc>
        <w:tc>
          <w:tcPr>
            <w:tcW w:w="1668" w:type="dxa"/>
            <w:tcBorders/>
            <w:vAlign w:val="center"/>
          </w:tcPr>
          <w:p>
            <w:pPr>
              <w:pStyle w:val="TableContents"/>
              <w:bidi w:val="0"/>
              <w:spacing w:before="0" w:after="283"/>
              <w:jc w:val="left"/>
              <w:rPr/>
            </w:pPr>
            <w:r>
              <w:rPr/>
              <w:t> </w:t>
            </w:r>
          </w:p>
        </w:tc>
        <w:tc>
          <w:tcPr>
            <w:tcW w:w="1096" w:type="dxa"/>
            <w:tcBorders/>
            <w:vAlign w:val="center"/>
          </w:tcPr>
          <w:p>
            <w:pPr>
              <w:pStyle w:val="TableContents"/>
              <w:bidi w:val="0"/>
              <w:spacing w:before="0" w:after="283"/>
              <w:jc w:val="left"/>
              <w:rPr/>
            </w:pPr>
            <w:r>
              <w:rPr/>
              <w:t> </w:t>
            </w:r>
          </w:p>
        </w:tc>
        <w:tc>
          <w:tcPr>
            <w:tcW w:w="1805" w:type="dxa"/>
            <w:tcBorders/>
            <w:vAlign w:val="center"/>
          </w:tcPr>
          <w:p>
            <w:pPr>
              <w:pStyle w:val="TableContents"/>
              <w:bidi w:val="0"/>
              <w:spacing w:before="0" w:after="283"/>
              <w:jc w:val="left"/>
              <w:rPr/>
            </w:pPr>
            <w:r>
              <w:rPr/>
              <w:t> </w:t>
            </w:r>
          </w:p>
        </w:tc>
      </w:tr>
      <w:tr>
        <w:trPr/>
        <w:tc>
          <w:tcPr>
            <w:tcW w:w="2060" w:type="dxa"/>
            <w:tcBorders/>
            <w:vAlign w:val="center"/>
          </w:tcPr>
          <w:p>
            <w:pPr>
              <w:pStyle w:val="TableContents"/>
              <w:bidi w:val="0"/>
              <w:spacing w:before="0" w:after="283"/>
              <w:jc w:val="left"/>
              <w:rPr/>
            </w:pPr>
            <w:r>
              <w:rPr/>
              <w:t> </w:t>
            </w:r>
            <w:r>
              <w:rPr/>
              <w:drawing>
                <wp:inline distT="0" distB="0" distL="0" distR="0">
                  <wp:extent cx="381000" cy="495300"/>
                  <wp:effectExtent l="0" t="0" r="0" b="0"/>
                  <wp:docPr id="303" name="Image2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3" name="Image206" descr=""/>
                          <pic:cNvPicPr>
                            <a:picLocks noChangeAspect="1" noChangeArrowheads="1"/>
                          </pic:cNvPicPr>
                        </pic:nvPicPr>
                        <pic:blipFill>
                          <a:blip r:embed="rId256"/>
                          <a:stretch>
                            <a:fillRect/>
                          </a:stretch>
                        </pic:blipFill>
                        <pic:spPr bwMode="auto">
                          <a:xfrm>
                            <a:off x="0" y="0"/>
                            <a:ext cx="381000" cy="495300"/>
                          </a:xfrm>
                          <a:prstGeom prst="rect">
                            <a:avLst/>
                          </a:prstGeom>
                        </pic:spPr>
                      </pic:pic>
                    </a:graphicData>
                  </a:graphic>
                </wp:inline>
              </w:drawing>
            </w:r>
          </w:p>
        </w:tc>
        <w:tc>
          <w:tcPr>
            <w:tcW w:w="2255" w:type="dxa"/>
            <w:tcBorders/>
            <w:vAlign w:val="center"/>
          </w:tcPr>
          <w:p>
            <w:pPr>
              <w:pStyle w:val="TableContents"/>
              <w:bidi w:val="0"/>
              <w:spacing w:before="0" w:after="283"/>
              <w:jc w:val="left"/>
              <w:rPr/>
            </w:pPr>
            <w:r>
              <w:rPr/>
              <w:drawing>
                <wp:inline distT="0" distB="0" distL="0" distR="0">
                  <wp:extent cx="495300" cy="552450"/>
                  <wp:effectExtent l="0" t="0" r="0" b="0"/>
                  <wp:docPr id="304" name="Image2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4" name="Image207" descr=""/>
                          <pic:cNvPicPr>
                            <a:picLocks noChangeAspect="1" noChangeArrowheads="1"/>
                          </pic:cNvPicPr>
                        </pic:nvPicPr>
                        <pic:blipFill>
                          <a:blip r:embed="rId257"/>
                          <a:stretch>
                            <a:fillRect/>
                          </a:stretch>
                        </pic:blipFill>
                        <pic:spPr bwMode="auto">
                          <a:xfrm>
                            <a:off x="0" y="0"/>
                            <a:ext cx="495300" cy="552450"/>
                          </a:xfrm>
                          <a:prstGeom prst="rect">
                            <a:avLst/>
                          </a:prstGeom>
                        </pic:spPr>
                      </pic:pic>
                    </a:graphicData>
                  </a:graphic>
                </wp:inline>
              </w:drawing>
            </w:r>
            <w:r>
              <w:rPr/>
              <w:t> </w:t>
            </w:r>
          </w:p>
        </w:tc>
        <w:tc>
          <w:tcPr>
            <w:tcW w:w="1668" w:type="dxa"/>
            <w:tcBorders/>
            <w:vAlign w:val="center"/>
          </w:tcPr>
          <w:p>
            <w:pPr>
              <w:pStyle w:val="TableContents"/>
              <w:bidi w:val="0"/>
              <w:spacing w:before="0" w:after="283"/>
              <w:jc w:val="left"/>
              <w:rPr/>
            </w:pPr>
            <w:r>
              <w:rPr/>
              <w:drawing>
                <wp:inline distT="0" distB="0" distL="0" distR="0">
                  <wp:extent cx="495300" cy="390525"/>
                  <wp:effectExtent l="0" t="0" r="0" b="0"/>
                  <wp:docPr id="305" name="Image2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5" name="Image208" descr=""/>
                          <pic:cNvPicPr>
                            <a:picLocks noChangeAspect="1" noChangeArrowheads="1"/>
                          </pic:cNvPicPr>
                        </pic:nvPicPr>
                        <pic:blipFill>
                          <a:blip r:embed="rId258"/>
                          <a:stretch>
                            <a:fillRect/>
                          </a:stretch>
                        </pic:blipFill>
                        <pic:spPr bwMode="auto">
                          <a:xfrm>
                            <a:off x="0" y="0"/>
                            <a:ext cx="495300" cy="390525"/>
                          </a:xfrm>
                          <a:prstGeom prst="rect">
                            <a:avLst/>
                          </a:prstGeom>
                        </pic:spPr>
                      </pic:pic>
                    </a:graphicData>
                  </a:graphic>
                </wp:inline>
              </w:drawing>
            </w:r>
            <w:r>
              <w:rPr/>
              <w:t> </w:t>
            </w:r>
          </w:p>
        </w:tc>
        <w:tc>
          <w:tcPr>
            <w:tcW w:w="1096" w:type="dxa"/>
            <w:tcBorders/>
            <w:vAlign w:val="center"/>
          </w:tcPr>
          <w:p>
            <w:pPr>
              <w:pStyle w:val="TableContents"/>
              <w:bidi w:val="0"/>
              <w:spacing w:before="0" w:after="283"/>
              <w:jc w:val="left"/>
              <w:rPr/>
            </w:pPr>
            <w:r>
              <w:rPr/>
              <w:t> </w:t>
            </w:r>
          </w:p>
        </w:tc>
        <w:tc>
          <w:tcPr>
            <w:tcW w:w="1805" w:type="dxa"/>
            <w:tcBorders/>
            <w:vAlign w:val="center"/>
          </w:tcPr>
          <w:p>
            <w:pPr>
              <w:pStyle w:val="TableContents"/>
              <w:bidi w:val="0"/>
              <w:spacing w:before="0" w:after="283"/>
              <w:jc w:val="left"/>
              <w:rPr/>
            </w:pPr>
            <w:r>
              <w:rPr/>
              <w:drawing>
                <wp:inline distT="0" distB="0" distL="0" distR="0">
                  <wp:extent cx="714375" cy="476250"/>
                  <wp:effectExtent l="0" t="0" r="0" b="0"/>
                  <wp:docPr id="306" name="Image2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6" name="Image209" descr=""/>
                          <pic:cNvPicPr>
                            <a:picLocks noChangeAspect="1" noChangeArrowheads="1"/>
                          </pic:cNvPicPr>
                        </pic:nvPicPr>
                        <pic:blipFill>
                          <a:blip r:embed="rId259"/>
                          <a:stretch>
                            <a:fillRect/>
                          </a:stretch>
                        </pic:blipFill>
                        <pic:spPr bwMode="auto">
                          <a:xfrm>
                            <a:off x="0" y="0"/>
                            <a:ext cx="714375" cy="476250"/>
                          </a:xfrm>
                          <a:prstGeom prst="rect">
                            <a:avLst/>
                          </a:prstGeom>
                        </pic:spPr>
                      </pic:pic>
                    </a:graphicData>
                  </a:graphic>
                </wp:inline>
              </w:drawing>
            </w:r>
            <w:r>
              <w:rPr/>
              <w:t> </w:t>
            </w:r>
          </w:p>
        </w:tc>
      </w:tr>
      <w:tr>
        <w:trPr/>
        <w:tc>
          <w:tcPr>
            <w:tcW w:w="2060" w:type="dxa"/>
            <w:tcBorders/>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283"/>
              <w:jc w:val="left"/>
              <w:rPr/>
            </w:pPr>
            <w:r>
              <w:rPr/>
              <w:t> </w:t>
            </w:r>
          </w:p>
        </w:tc>
        <w:tc>
          <w:tcPr>
            <w:tcW w:w="1668" w:type="dxa"/>
            <w:tcBorders/>
            <w:vAlign w:val="center"/>
          </w:tcPr>
          <w:p>
            <w:pPr>
              <w:pStyle w:val="TableContents"/>
              <w:bidi w:val="0"/>
              <w:spacing w:before="0" w:after="283"/>
              <w:jc w:val="left"/>
              <w:rPr/>
            </w:pPr>
            <w:r>
              <w:rPr/>
              <w:t> </w:t>
            </w:r>
          </w:p>
        </w:tc>
        <w:tc>
          <w:tcPr>
            <w:tcW w:w="1096" w:type="dxa"/>
            <w:tcBorders/>
            <w:vAlign w:val="center"/>
          </w:tcPr>
          <w:p>
            <w:pPr>
              <w:pStyle w:val="TableContents"/>
              <w:bidi w:val="0"/>
              <w:spacing w:before="0" w:after="283"/>
              <w:jc w:val="left"/>
              <w:rPr/>
            </w:pPr>
            <w:r>
              <w:rPr/>
              <w:t> </w:t>
            </w:r>
          </w:p>
        </w:tc>
        <w:tc>
          <w:tcPr>
            <w:tcW w:w="1805" w:type="dxa"/>
            <w:tcBorders/>
            <w:vAlign w:val="center"/>
          </w:tcPr>
          <w:p>
            <w:pPr>
              <w:pStyle w:val="TableContents"/>
              <w:bidi w:val="0"/>
              <w:spacing w:before="0" w:after="283"/>
              <w:jc w:val="left"/>
              <w:rPr/>
            </w:pPr>
            <w:r>
              <w:rPr/>
              <w:t> </w:t>
            </w:r>
          </w:p>
        </w:tc>
      </w:tr>
      <w:tr>
        <w:trPr/>
        <w:tc>
          <w:tcPr>
            <w:tcW w:w="2060" w:type="dxa"/>
            <w:tcBorders/>
            <w:vAlign w:val="center"/>
          </w:tcPr>
          <w:p>
            <w:pPr>
              <w:pStyle w:val="TableContents"/>
              <w:bidi w:val="0"/>
              <w:spacing w:before="0" w:after="283"/>
              <w:jc w:val="left"/>
              <w:rPr/>
            </w:pPr>
            <w:r>
              <w:rPr>
                <w:rFonts w:ascii="Arial;Helvetica;Sans-Serif" w:hAnsi="Arial;Helvetica;Sans-Serif"/>
                <w:b/>
                <w:i w:val="false"/>
                <w:caps w:val="false"/>
                <w:smallCaps w:val="false"/>
                <w:sz w:val="20"/>
              </w:rPr>
              <w:t>Chemicals</w:t>
            </w:r>
            <w:r>
              <w:rPr/>
              <w:t xml:space="preserve"> </w:t>
              <w:br/>
            </w:r>
            <w:r>
              <w:rPr>
                <w:rFonts w:ascii="Arial;Helvetica;Sans-Serif" w:hAnsi="Arial;Helvetica;Sans-Serif"/>
                <w:b w:val="false"/>
                <w:i w:val="false"/>
                <w:caps w:val="false"/>
                <w:smallCaps w:val="false"/>
                <w:sz w:val="20"/>
              </w:rPr>
              <w:t>Dow</w:t>
            </w:r>
          </w:p>
        </w:tc>
        <w:tc>
          <w:tcPr>
            <w:tcW w:w="2255" w:type="dxa"/>
            <w:tcBorders/>
            <w:vAlign w:val="center"/>
          </w:tcPr>
          <w:p>
            <w:pPr>
              <w:pStyle w:val="TableContents"/>
              <w:bidi w:val="0"/>
              <w:spacing w:before="0" w:after="283"/>
              <w:jc w:val="left"/>
              <w:rPr/>
            </w:pPr>
            <w:r>
              <w:rPr>
                <w:rFonts w:ascii="Arial;Helvetica;Sans-Serif" w:hAnsi="Arial;Helvetica;Sans-Serif"/>
                <w:b/>
                <w:i w:val="false"/>
                <w:caps w:val="false"/>
                <w:smallCaps w:val="false"/>
                <w:sz w:val="20"/>
              </w:rPr>
              <w:t>Diversified Industrials</w:t>
            </w:r>
            <w:r>
              <w:rPr/>
              <w:br/>
            </w:r>
            <w:r>
              <w:rPr>
                <w:rFonts w:ascii="Arial;Helvetica;Sans-Serif" w:hAnsi="Arial;Helvetica;Sans-Serif"/>
                <w:b w:val="false"/>
                <w:i w:val="false"/>
                <w:caps w:val="false"/>
                <w:smallCaps w:val="false"/>
                <w:sz w:val="20"/>
              </w:rPr>
              <w:t>Honeywell</w:t>
            </w:r>
          </w:p>
        </w:tc>
        <w:tc>
          <w:tcPr>
            <w:tcW w:w="1668" w:type="dxa"/>
            <w:tcBorders/>
            <w:vAlign w:val="center"/>
          </w:tcPr>
          <w:p>
            <w:pPr>
              <w:pStyle w:val="TableContents"/>
              <w:bidi w:val="0"/>
              <w:spacing w:before="0" w:after="283"/>
              <w:jc w:val="left"/>
              <w:rPr/>
            </w:pPr>
            <w:r>
              <w:rPr>
                <w:rFonts w:ascii="Arial;Helvetica;Sans-Serif" w:hAnsi="Arial;Helvetica;Sans-Serif"/>
                <w:b/>
                <w:i w:val="false"/>
                <w:caps w:val="false"/>
                <w:smallCaps w:val="false"/>
                <w:sz w:val="20"/>
              </w:rPr>
              <w:t>Automotive</w:t>
            </w:r>
            <w:r>
              <w:rPr/>
              <w:t xml:space="preserve"> </w:t>
              <w:br/>
            </w:r>
            <w:r>
              <w:rPr>
                <w:rFonts w:ascii="Arial;Helvetica;Sans-Serif" w:hAnsi="Arial;Helvetica;Sans-Serif"/>
                <w:b w:val="false"/>
                <w:i w:val="false"/>
                <w:caps w:val="false"/>
                <w:smallCaps w:val="false"/>
                <w:sz w:val="20"/>
              </w:rPr>
              <w:t>Ford</w:t>
            </w:r>
            <w:r>
              <w:rPr/>
              <w:t xml:space="preserve"> </w:t>
              <w:br/>
            </w:r>
            <w:r>
              <w:rPr>
                <w:rFonts w:ascii="Arial;Helvetica;Sans-Serif" w:hAnsi="Arial;Helvetica;Sans-Serif"/>
                <w:b w:val="false"/>
                <w:i w:val="false"/>
                <w:caps w:val="false"/>
                <w:smallCaps w:val="false"/>
                <w:sz w:val="20"/>
              </w:rPr>
              <w:t>General Motors</w:t>
            </w:r>
          </w:p>
        </w:tc>
        <w:tc>
          <w:tcPr>
            <w:tcW w:w="1096" w:type="dxa"/>
            <w:tcBorders/>
            <w:vAlign w:val="center"/>
          </w:tcPr>
          <w:p>
            <w:pPr>
              <w:pStyle w:val="TableContents"/>
              <w:bidi w:val="0"/>
              <w:spacing w:before="0" w:after="283"/>
              <w:jc w:val="left"/>
              <w:rPr/>
            </w:pPr>
            <w:r>
              <w:rPr/>
              <w:t> </w:t>
            </w:r>
          </w:p>
        </w:tc>
        <w:tc>
          <w:tcPr>
            <w:tcW w:w="1805" w:type="dxa"/>
            <w:tcBorders/>
            <w:vAlign w:val="center"/>
          </w:tcPr>
          <w:p>
            <w:pPr>
              <w:pStyle w:val="TableContents"/>
              <w:bidi w:val="0"/>
              <w:spacing w:before="0" w:after="283"/>
              <w:jc w:val="left"/>
              <w:rPr/>
            </w:pPr>
            <w:r>
              <w:rPr>
                <w:rFonts w:ascii="Arial;Helvetica;Sans-Serif" w:hAnsi="Arial;Helvetica;Sans-Serif"/>
                <w:b/>
                <w:i w:val="false"/>
                <w:caps w:val="false"/>
                <w:smallCaps w:val="false"/>
                <w:sz w:val="20"/>
              </w:rPr>
              <w:t>Freight &amp; Logistics</w:t>
            </w:r>
            <w:r>
              <w:rPr/>
              <w:br/>
            </w:r>
            <w:r>
              <w:rPr>
                <w:rFonts w:ascii="Arial;Helvetica;Sans-Serif" w:hAnsi="Arial;Helvetica;Sans-Serif"/>
                <w:b w:val="false"/>
                <w:i w:val="false"/>
                <w:caps w:val="false"/>
                <w:smallCaps w:val="false"/>
                <w:sz w:val="20"/>
              </w:rPr>
              <w:t>UPS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TIMELINE FOR COMPENSATION DECISIONS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HCC Committee followed the process shown below in making pay decisions for each principal component of compensation included in 2025 total direct compensation, which includes the 2026 LTI awards, as explained on page 53.</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100" w:type="dxa"/>
          <w:left w:w="0" w:type="dxa"/>
          <w:bottom w:w="0" w:type="dxa"/>
          <w:right w:w="0" w:type="dxa"/>
        </w:tblCellMar>
      </w:tblPr>
      <w:tblGrid>
        <w:gridCol w:w="1946"/>
        <w:gridCol w:w="1804"/>
        <w:gridCol w:w="2620"/>
        <w:gridCol w:w="2489"/>
        <w:gridCol w:w="1346"/>
      </w:tblGrid>
      <w:tr>
        <w:trPr/>
        <w:tc>
          <w:tcPr>
            <w:tcW w:w="1946" w:type="dxa"/>
            <w:tcBorders>
              <w:top w:val="single" w:sz="12" w:space="0" w:color="C12E33"/>
            </w:tcBorders>
            <w:shd w:fill="EDEDEE" w:val="clear"/>
            <w:vAlign w:val="center"/>
          </w:tcPr>
          <w:p>
            <w:pPr>
              <w:pStyle w:val="TableContents"/>
              <w:bidi w:val="0"/>
              <w:spacing w:before="0" w:after="283"/>
              <w:jc w:val="left"/>
              <w:rPr>
                <w:sz w:val="20"/>
              </w:rPr>
            </w:pPr>
            <w:r>
              <w:rPr>
                <w:rFonts w:ascii="Arial;Helvetica;Sans-Serif" w:hAnsi="Arial;Helvetica;Sans-Serif"/>
                <w:b/>
                <w:i w:val="false"/>
                <w:caps w:val="false"/>
                <w:smallCaps w:val="false"/>
                <w:sz w:val="15"/>
              </w:rPr>
              <w:t>January 2025</w:t>
            </w:r>
            <w:r>
              <w:rPr>
                <w:sz w:val="20"/>
              </w:rPr>
              <w:br/>
              <w:br/>
            </w:r>
            <w:r>
              <w:rPr>
                <w:rFonts w:ascii="Arial;Helvetica;Sans-Serif" w:hAnsi="Arial;Helvetica;Sans-Serif"/>
                <w:sz w:val="20"/>
              </w:rPr>
              <w:t>Approved 2025 base</w:t>
            </w:r>
            <w:r>
              <w:rPr>
                <w:sz w:val="20"/>
              </w:rPr>
              <w:t xml:space="preserve"> </w:t>
            </w:r>
            <w:r>
              <w:rPr>
                <w:rFonts w:ascii="Arial;Helvetica;Sans-Serif" w:hAnsi="Arial;Helvetica;Sans-Serif"/>
                <w:sz w:val="20"/>
              </w:rPr>
              <w:t>salary merit</w:t>
            </w:r>
            <w:r>
              <w:rPr>
                <w:sz w:val="20"/>
              </w:rPr>
              <w:t xml:space="preserve"> </w:t>
            </w:r>
            <w:r>
              <w:rPr>
                <w:rFonts w:ascii="Arial;Helvetica;Sans-Serif" w:hAnsi="Arial;Helvetica;Sans-Serif"/>
                <w:sz w:val="20"/>
              </w:rPr>
              <w:t>adjustments.</w:t>
            </w:r>
            <w:r>
              <w:rPr>
                <w:sz w:val="20"/>
              </w:rPr>
              <w:t xml:space="preserve"> </w:t>
              <w:br/>
              <w:br/>
            </w:r>
            <w:r>
              <w:rPr>
                <w:rFonts w:ascii="Arial;Helvetica;Sans-Serif" w:hAnsi="Arial;Helvetica;Sans-Serif"/>
                <w:sz w:val="20"/>
              </w:rPr>
              <w:t>Approved 2025</w:t>
            </w:r>
            <w:r>
              <w:rPr>
                <w:sz w:val="20"/>
              </w:rPr>
              <w:t xml:space="preserve"> </w:t>
            </w:r>
            <w:r>
              <w:rPr>
                <w:rFonts w:ascii="Arial;Helvetica;Sans-Serif" w:hAnsi="Arial;Helvetica;Sans-Serif"/>
                <w:sz w:val="20"/>
              </w:rPr>
              <w:t>annual incentive</w:t>
            </w:r>
            <w:r>
              <w:rPr>
                <w:sz w:val="20"/>
              </w:rPr>
              <w:t xml:space="preserve"> </w:t>
            </w:r>
            <w:r>
              <w:rPr>
                <w:rFonts w:ascii="Arial;Helvetica;Sans-Serif" w:hAnsi="Arial;Helvetica;Sans-Serif"/>
                <w:sz w:val="20"/>
              </w:rPr>
              <w:t>performance goals.</w:t>
            </w:r>
          </w:p>
        </w:tc>
        <w:tc>
          <w:tcPr>
            <w:tcW w:w="1804" w:type="dxa"/>
            <w:tcBorders>
              <w:top w:val="single" w:sz="12" w:space="0" w:color="C12E33"/>
              <w:left w:val="single" w:sz="18" w:space="0" w:color="FFFFFF"/>
            </w:tcBorders>
            <w:shd w:fill="EDEDEE" w:val="clear"/>
            <w:tcMar>
              <w:left w:w="100" w:type="dxa"/>
            </w:tcMar>
            <w:vAlign w:val="center"/>
          </w:tcPr>
          <w:p>
            <w:pPr>
              <w:pStyle w:val="TableContents"/>
              <w:bidi w:val="0"/>
              <w:spacing w:before="0" w:after="283"/>
              <w:jc w:val="left"/>
              <w:rPr>
                <w:sz w:val="20"/>
              </w:rPr>
            </w:pPr>
            <w:r>
              <w:rPr>
                <w:rFonts w:ascii="Arial;Helvetica;Sans-Serif" w:hAnsi="Arial;Helvetica;Sans-Serif"/>
                <w:b/>
                <w:i w:val="false"/>
                <w:caps w:val="false"/>
                <w:smallCaps w:val="false"/>
                <w:sz w:val="15"/>
              </w:rPr>
              <w:t>April 2025</w:t>
            </w:r>
            <w:r>
              <w:rPr>
                <w:sz w:val="20"/>
              </w:rPr>
              <w:t xml:space="preserve"> </w:t>
              <w:br/>
              <w:br/>
            </w:r>
            <w:r>
              <w:rPr>
                <w:rFonts w:ascii="Arial;Helvetica;Sans-Serif" w:hAnsi="Arial;Helvetica;Sans-Serif"/>
                <w:sz w:val="20"/>
              </w:rPr>
              <w:t>2025 base salary merit</w:t>
            </w:r>
            <w:r>
              <w:rPr>
                <w:sz w:val="20"/>
              </w:rPr>
              <w:t xml:space="preserve"> </w:t>
            </w:r>
            <w:r>
              <w:rPr>
                <w:rFonts w:ascii="Arial;Helvetica;Sans-Serif" w:hAnsi="Arial;Helvetica;Sans-Serif"/>
                <w:sz w:val="20"/>
              </w:rPr>
              <w:t>adjustments took</w:t>
            </w:r>
            <w:r>
              <w:rPr>
                <w:sz w:val="20"/>
              </w:rPr>
              <w:t xml:space="preserve"> </w:t>
            </w:r>
            <w:r>
              <w:rPr>
                <w:rFonts w:ascii="Arial;Helvetica;Sans-Serif" w:hAnsi="Arial;Helvetica;Sans-Serif"/>
                <w:sz w:val="20"/>
              </w:rPr>
              <w:t>effect.</w:t>
            </w:r>
          </w:p>
        </w:tc>
        <w:tc>
          <w:tcPr>
            <w:tcW w:w="2620" w:type="dxa"/>
            <w:tcBorders>
              <w:top w:val="single" w:sz="12" w:space="0" w:color="C12E33"/>
              <w:left w:val="single" w:sz="18" w:space="0" w:color="FFFFFF"/>
            </w:tcBorders>
            <w:shd w:fill="EDEDEE" w:val="clear"/>
            <w:tcMar>
              <w:left w:w="100" w:type="dxa"/>
            </w:tcMar>
            <w:vAlign w:val="center"/>
          </w:tcPr>
          <w:p>
            <w:pPr>
              <w:pStyle w:val="TableContents"/>
              <w:bidi w:val="0"/>
              <w:spacing w:before="0" w:after="283"/>
              <w:jc w:val="left"/>
              <w:rPr>
                <w:sz w:val="20"/>
              </w:rPr>
            </w:pPr>
            <w:r>
              <w:rPr>
                <w:rFonts w:ascii="Arial;Helvetica;Sans-Serif" w:hAnsi="Arial;Helvetica;Sans-Serif"/>
                <w:b/>
                <w:i w:val="false"/>
                <w:caps w:val="false"/>
                <w:smallCaps w:val="false"/>
                <w:sz w:val="15"/>
              </w:rPr>
              <w:t>December 2025</w:t>
            </w:r>
            <w:r>
              <w:rPr>
                <w:sz w:val="20"/>
              </w:rPr>
              <w:t xml:space="preserve"> </w:t>
              <w:br/>
              <w:br/>
            </w:r>
            <w:r>
              <w:rPr>
                <w:rFonts w:ascii="Arial;Helvetica;Sans-Serif" w:hAnsi="Arial;Helvetica;Sans-Serif"/>
                <w:sz w:val="20"/>
              </w:rPr>
              <w:t>Reviewed preliminary</w:t>
            </w:r>
            <w:r>
              <w:rPr>
                <w:sz w:val="20"/>
              </w:rPr>
              <w:t xml:space="preserve"> </w:t>
            </w:r>
            <w:r>
              <w:rPr>
                <w:rFonts w:ascii="Arial;Helvetica;Sans-Serif" w:hAnsi="Arial;Helvetica;Sans-Serif"/>
                <w:sz w:val="20"/>
              </w:rPr>
              <w:t>2025 Company,</w:t>
            </w:r>
            <w:r>
              <w:rPr>
                <w:sz w:val="20"/>
              </w:rPr>
              <w:t xml:space="preserve"> </w:t>
            </w:r>
            <w:r>
              <w:rPr>
                <w:rFonts w:ascii="Arial;Helvetica;Sans-Serif" w:hAnsi="Arial;Helvetica;Sans-Serif"/>
                <w:sz w:val="20"/>
              </w:rPr>
              <w:t>business unit and</w:t>
            </w:r>
            <w:r>
              <w:rPr>
                <w:sz w:val="20"/>
              </w:rPr>
              <w:t xml:space="preserve"> </w:t>
            </w:r>
            <w:r>
              <w:rPr>
                <w:rFonts w:ascii="Arial;Helvetica;Sans-Serif" w:hAnsi="Arial;Helvetica;Sans-Serif"/>
                <w:sz w:val="20"/>
              </w:rPr>
              <w:t>individual NEO</w:t>
            </w:r>
            <w:r>
              <w:rPr>
                <w:sz w:val="20"/>
              </w:rPr>
              <w:t xml:space="preserve"> </w:t>
            </w:r>
            <w:r>
              <w:rPr>
                <w:rFonts w:ascii="Arial;Helvetica;Sans-Serif" w:hAnsi="Arial;Helvetica;Sans-Serif"/>
                <w:sz w:val="20"/>
              </w:rPr>
              <w:t>performance.</w:t>
            </w:r>
          </w:p>
        </w:tc>
        <w:tc>
          <w:tcPr>
            <w:tcW w:w="2489" w:type="dxa"/>
            <w:tcBorders>
              <w:top w:val="single" w:sz="12" w:space="0" w:color="C12E33"/>
              <w:left w:val="single" w:sz="18" w:space="0" w:color="FFFFFF"/>
            </w:tcBorders>
            <w:shd w:fill="EDEDEE" w:val="clear"/>
            <w:tcMar>
              <w:left w:w="100" w:type="dxa"/>
            </w:tcMar>
            <w:vAlign w:val="center"/>
          </w:tcPr>
          <w:p>
            <w:pPr>
              <w:pStyle w:val="TableContents"/>
              <w:bidi w:val="0"/>
              <w:spacing w:before="0" w:after="283"/>
              <w:jc w:val="left"/>
              <w:rPr>
                <w:sz w:val="20"/>
              </w:rPr>
            </w:pPr>
            <w:r>
              <w:rPr>
                <w:rFonts w:ascii="Arial;Helvetica;Sans-Serif" w:hAnsi="Arial;Helvetica;Sans-Serif"/>
                <w:b/>
                <w:i w:val="false"/>
                <w:caps w:val="false"/>
                <w:smallCaps w:val="false"/>
                <w:sz w:val="15"/>
              </w:rPr>
              <w:t>February 2026</w:t>
            </w:r>
            <w:r>
              <w:rPr>
                <w:sz w:val="20"/>
              </w:rPr>
              <w:t xml:space="preserve"> </w:t>
              <w:br/>
              <w:br/>
            </w:r>
            <w:r>
              <w:rPr>
                <w:rFonts w:ascii="Arial;Helvetica;Sans-Serif" w:hAnsi="Arial;Helvetica;Sans-Serif"/>
                <w:sz w:val="20"/>
              </w:rPr>
              <w:t>Reviewed final 2025</w:t>
            </w:r>
            <w:r>
              <w:rPr>
                <w:sz w:val="20"/>
              </w:rPr>
              <w:t xml:space="preserve"> </w:t>
            </w:r>
            <w:r>
              <w:rPr>
                <w:rFonts w:ascii="Arial;Helvetica;Sans-Serif" w:hAnsi="Arial;Helvetica;Sans-Serif"/>
                <w:sz w:val="20"/>
              </w:rPr>
              <w:t>Company, business unit and</w:t>
            </w:r>
            <w:r>
              <w:rPr>
                <w:sz w:val="20"/>
              </w:rPr>
              <w:t xml:space="preserve"> </w:t>
            </w:r>
            <w:r>
              <w:rPr>
                <w:rFonts w:ascii="Arial;Helvetica;Sans-Serif" w:hAnsi="Arial;Helvetica;Sans-Serif"/>
                <w:sz w:val="20"/>
              </w:rPr>
              <w:t>individual NEO performance.</w:t>
            </w:r>
            <w:r>
              <w:rPr>
                <w:sz w:val="20"/>
              </w:rPr>
              <w:br/>
              <w:t> </w:t>
              <w:br/>
            </w:r>
            <w:r>
              <w:rPr>
                <w:rFonts w:ascii="Arial;Helvetica;Sans-Serif" w:hAnsi="Arial;Helvetica;Sans-Serif"/>
                <w:sz w:val="20"/>
              </w:rPr>
              <w:t>Approved performance</w:t>
            </w:r>
            <w:r>
              <w:rPr>
                <w:sz w:val="20"/>
              </w:rPr>
              <w:t xml:space="preserve"> </w:t>
            </w:r>
            <w:r>
              <w:rPr>
                <w:rFonts w:ascii="Arial;Helvetica;Sans-Serif" w:hAnsi="Arial;Helvetica;Sans-Serif"/>
                <w:sz w:val="20"/>
              </w:rPr>
              <w:t>factors and individual 2025</w:t>
            </w:r>
            <w:r>
              <w:rPr>
                <w:sz w:val="20"/>
              </w:rPr>
              <w:t xml:space="preserve"> </w:t>
            </w:r>
            <w:r>
              <w:rPr>
                <w:rFonts w:ascii="Arial;Helvetica;Sans-Serif" w:hAnsi="Arial;Helvetica;Sans-Serif"/>
                <w:sz w:val="20"/>
              </w:rPr>
              <w:t>annual incentive awards.</w:t>
            </w:r>
            <w:r>
              <w:rPr>
                <w:sz w:val="20"/>
              </w:rPr>
              <w:t xml:space="preserve"> </w:t>
              <w:br/>
              <w:br/>
            </w:r>
            <w:r>
              <w:rPr>
                <w:rFonts w:ascii="Arial;Helvetica;Sans-Serif" w:hAnsi="Arial;Helvetica;Sans-Serif"/>
                <w:sz w:val="20"/>
              </w:rPr>
              <w:t>Approved 2026 LTI awards,</w:t>
            </w:r>
            <w:r>
              <w:rPr>
                <w:sz w:val="20"/>
              </w:rPr>
              <w:t xml:space="preserve"> </w:t>
            </w:r>
            <w:r>
              <w:rPr>
                <w:rFonts w:ascii="Arial;Helvetica;Sans-Serif" w:hAnsi="Arial;Helvetica;Sans-Serif"/>
                <w:sz w:val="20"/>
              </w:rPr>
              <w:t>reflective of 2025 performance.</w:t>
            </w:r>
          </w:p>
        </w:tc>
        <w:tc>
          <w:tcPr>
            <w:tcW w:w="1346" w:type="dxa"/>
            <w:tcBorders>
              <w:top w:val="single" w:sz="12" w:space="0" w:color="C12E33"/>
              <w:left w:val="single" w:sz="18" w:space="0" w:color="FFFFFF"/>
            </w:tcBorders>
            <w:shd w:fill="EDEDEE" w:val="clear"/>
            <w:tcMar>
              <w:left w:w="100" w:type="dxa"/>
            </w:tcMar>
            <w:vAlign w:val="center"/>
          </w:tcPr>
          <w:p>
            <w:pPr>
              <w:pStyle w:val="TableContents"/>
              <w:bidi w:val="0"/>
              <w:spacing w:before="0" w:after="283"/>
              <w:jc w:val="left"/>
              <w:rPr>
                <w:sz w:val="20"/>
              </w:rPr>
            </w:pPr>
            <w:r>
              <w:rPr>
                <w:rFonts w:ascii="Arial;Helvetica;Sans-Serif" w:hAnsi="Arial;Helvetica;Sans-Serif"/>
                <w:b/>
                <w:i w:val="false"/>
                <w:caps w:val="false"/>
                <w:smallCaps w:val="false"/>
                <w:sz w:val="15"/>
              </w:rPr>
              <w:t>1</w:t>
            </w:r>
            <w:r>
              <w:rPr>
                <w:rFonts w:ascii="Arial;Helvetica;Sans-Serif" w:hAnsi="Arial;Helvetica;Sans-Serif"/>
                <w:b/>
                <w:i w:val="false"/>
                <w:caps w:val="false"/>
                <w:smallCaps w:val="false"/>
                <w:position w:val="5"/>
                <w:sz w:val="12"/>
                <w:sz w:val="15"/>
              </w:rPr>
              <w:t>st</w:t>
            </w:r>
            <w:r>
              <w:rPr>
                <w:rFonts w:ascii="Arial;Helvetica;Sans-Serif" w:hAnsi="Arial;Helvetica;Sans-Serif"/>
                <w:b/>
                <w:i w:val="false"/>
                <w:caps w:val="false"/>
                <w:smallCaps w:val="false"/>
                <w:sz w:val="15"/>
              </w:rPr>
              <w:t xml:space="preserve"> Quarter of 2026</w:t>
            </w:r>
            <w:r>
              <w:rPr>
                <w:sz w:val="20"/>
              </w:rPr>
              <w:t xml:space="preserve"> </w:t>
              <w:br/>
              <w:br/>
            </w:r>
            <w:r>
              <w:rPr>
                <w:rFonts w:ascii="Arial;Helvetica;Sans-Serif" w:hAnsi="Arial;Helvetica;Sans-Serif"/>
                <w:sz w:val="20"/>
              </w:rPr>
              <w:t>2025 annual incentive</w:t>
            </w:r>
            <w:r>
              <w:rPr>
                <w:sz w:val="20"/>
              </w:rPr>
              <w:t xml:space="preserve"> </w:t>
            </w:r>
            <w:r>
              <w:rPr>
                <w:rFonts w:ascii="Arial;Helvetica;Sans-Serif" w:hAnsi="Arial;Helvetica;Sans-Serif"/>
                <w:sz w:val="20"/>
              </w:rPr>
              <w:t>awards paid.</w:t>
            </w:r>
            <w:r>
              <w:rPr>
                <w:sz w:val="20"/>
              </w:rPr>
              <w:br/>
              <w:t> </w:t>
              <w:br/>
            </w:r>
            <w:r>
              <w:rPr>
                <w:rFonts w:ascii="Arial;Helvetica;Sans-Serif" w:hAnsi="Arial;Helvetica;Sans-Serif"/>
                <w:sz w:val="20"/>
              </w:rPr>
              <w:t>2026 LTI awards</w:t>
            </w:r>
            <w:r>
              <w:rPr>
                <w:sz w:val="20"/>
              </w:rPr>
              <w:t xml:space="preserve"> </w:t>
            </w:r>
            <w:r>
              <w:rPr>
                <w:rFonts w:ascii="Arial;Helvetica;Sans-Serif" w:hAnsi="Arial;Helvetica;Sans-Serif"/>
                <w:sz w:val="20"/>
              </w:rPr>
              <w:t>granted.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15"/>
        </w:rPr>
      </w:pPr>
      <w:r>
        <w:rPr>
          <w:rFonts w:ascii="Arial;Helvetica;Sans-Serif" w:hAnsi="Arial;Helvetica;Sans-Serif"/>
          <w:b/>
          <w:i w:val="false"/>
          <w:caps w:val="false"/>
          <w:smallCaps w:val="false"/>
          <w:sz w:val="15"/>
        </w:rPr>
        <w:t>46    RTX</w:t>
      </w:r>
      <w:r>
        <w:rPr>
          <w:rFonts w:ascii="Arial;Helvetica;Sans-Serif" w:hAnsi="Arial;Helvetica;Sans-Serif"/>
          <w:b w:val="false"/>
          <w:i w:val="false"/>
          <w:caps w:val="false"/>
          <w:smallCaps w:val="false"/>
          <w:sz w:val="15"/>
        </w:rPr>
        <w:t xml:space="preserve"> 2026 PROXY STATEMENT</w:t>
      </w:r>
    </w:p>
    <w:p>
      <w:pPr>
        <w:pStyle w:val="HorizontalLine"/>
        <w:pBdr>
          <w:bottom w:val="double" w:sz="2" w:space="0" w:color="808080"/>
        </w:pBdr>
        <w:bidi w:val="0"/>
        <w:spacing w:before="0" w:after="283"/>
        <w:jc w:val="left"/>
        <w:rPr/>
      </w:pPr>
      <w:r>
        <w:rPr/>
      </w:r>
    </w:p>
    <w:p>
      <w:pPr>
        <w:pStyle w:val="TextBody"/>
        <w:bidi w:val="0"/>
        <w:spacing w:before="200" w:after="200"/>
        <w:jc w:val="left"/>
        <w:rPr/>
      </w:pPr>
      <w:hyperlink w:anchor="toc">
        <w:r>
          <w:rPr>
            <w:rStyle w:val="InternetLink"/>
            <w:rFonts w:ascii="Arial;Helvetica;Sans-Serif" w:hAnsi="Arial;Helvetica;Sans-Serif"/>
            <w:b/>
            <w:i w:val="false"/>
            <w:caps w:val="false"/>
            <w:smallCaps w:val="false"/>
            <w:sz w:val="16"/>
          </w:rPr>
          <w:t>Table of Contents</w:t>
        </w:r>
      </w:hyperlink>
    </w:p>
    <w:p>
      <w:pPr>
        <w:pStyle w:val="TextBody"/>
        <w:bidi w:val="0"/>
        <w:spacing w:before="0" w:after="0"/>
        <w:ind w:left="0" w:right="0" w:hanging="0"/>
        <w:jc w:val="right"/>
        <w:rPr>
          <w:rFonts w:ascii="Arial;Helvetica;Sans-Serif" w:hAnsi="Arial;Helvetica;Sans-Serif"/>
          <w:b/>
          <w:i w:val="false"/>
          <w:caps w:val="false"/>
          <w:smallCaps w:val="false"/>
          <w:color w:val="C12E33"/>
          <w:sz w:val="15"/>
        </w:rPr>
      </w:pPr>
      <w:r>
        <w:rPr>
          <w:rFonts w:ascii="Arial;Helvetica;Sans-Serif" w:hAnsi="Arial;Helvetica;Sans-Serif"/>
          <w:b/>
          <w:i w:val="false"/>
          <w:caps w:val="false"/>
          <w:smallCaps w:val="false"/>
          <w:color w:val="C12E33"/>
          <w:sz w:val="15"/>
        </w:rPr>
        <w:t>COMPENSATION DISCUSSION AND ANALYSIS</w:t>
      </w:r>
    </w:p>
    <w:p>
      <w:pPr>
        <w:pStyle w:val="TextBody"/>
        <w:bidi w:val="0"/>
        <w:spacing w:before="0" w:after="0"/>
        <w:ind w:left="0" w:right="0" w:hanging="0"/>
        <w:jc w:val="righ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2025 PRINCIPAL ELEMENTS OF COMPENSATION</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color w:val="C12E33"/>
          <w:sz w:val="36"/>
        </w:rPr>
      </w:pPr>
      <w:bookmarkStart w:id="24" w:name="rtx014050_def14ab009"/>
      <w:bookmarkStart w:id="25" w:name="rtx014050a012"/>
      <w:bookmarkEnd w:id="24"/>
      <w:bookmarkEnd w:id="25"/>
      <w:r>
        <w:rPr>
          <w:rFonts w:ascii="Arial;Helvetica;Sans-Serif" w:hAnsi="Arial;Helvetica;Sans-Serif"/>
          <w:b/>
          <w:i w:val="false"/>
          <w:caps w:val="false"/>
          <w:smallCaps w:val="false"/>
          <w:color w:val="C12E33"/>
          <w:sz w:val="36"/>
        </w:rPr>
        <w:t>2025 Principal Elements of Compensation</w:t>
      </w:r>
    </w:p>
    <w:p>
      <w:pPr>
        <w:pStyle w:val="TextBody"/>
        <w:bidi w:val="0"/>
        <w:spacing w:before="0" w:after="0"/>
        <w:ind w:left="0" w:right="0" w:hanging="0"/>
        <w:jc w:val="left"/>
        <w:rPr>
          <w:caps w:val="false"/>
          <w:smallCaps w:val="false"/>
          <w:color w:val="C12E33"/>
        </w:rPr>
      </w:pPr>
      <w:r>
        <w:rPr>
          <w:caps w:val="false"/>
          <w:smallCaps w:val="false"/>
          <w:color w:val="C12E33"/>
        </w:rPr>
        <w:t> </w:t>
      </w:r>
    </w:p>
    <w:p>
      <w:pPr>
        <w:pStyle w:val="TextBody"/>
        <w:bidi w:val="0"/>
        <w:spacing w:before="0" w:after="0"/>
        <w:ind w:left="0" w:right="0" w:hanging="0"/>
        <w:jc w:val="left"/>
        <w:rPr>
          <w:rFonts w:ascii="Arial;Helvetica;Sans-Serif" w:hAnsi="Arial;Helvetica;Sans-Serif"/>
          <w:b/>
          <w:i w:val="false"/>
          <w:caps w:val="false"/>
          <w:smallCaps w:val="false"/>
          <w:sz w:val="34"/>
        </w:rPr>
      </w:pPr>
      <w:bookmarkStart w:id="26" w:name="rtx014050_def14ab010"/>
      <w:bookmarkEnd w:id="26"/>
      <w:r>
        <w:rPr>
          <w:rFonts w:ascii="Arial;Helvetica;Sans-Serif" w:hAnsi="Arial;Helvetica;Sans-Serif"/>
          <w:b/>
          <w:i w:val="false"/>
          <w:caps w:val="false"/>
          <w:smallCaps w:val="false"/>
          <w:sz w:val="34"/>
        </w:rPr>
        <w:t>Base Salary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Arial;Helvetica;Sans-Serif" w:hAnsi="Arial;Helvetica;Sans-Serif"/>
          <w:b w:val="false"/>
          <w:i w:val="false"/>
          <w:caps w:val="false"/>
          <w:smallCaps w:val="false"/>
          <w:sz w:val="20"/>
        </w:rPr>
        <w:t>To attract and retain talented and qualified executives, we provide competitive base salaries that generally target the market median, but may range above or below it based on tenure and experience, sustained performance over time, job scope and responsibilities, retention risk and internal pay equity. Each year, the HCC Committee reviews the CEO</w:t>
      </w:r>
      <w:r>
        <w:rPr>
          <w:rFonts w:ascii="Times New Roman;Times;Serif" w:hAnsi="Times New Roman;Times;Serif"/>
          <w:b w:val="false"/>
          <w:i w:val="false"/>
          <w:caps w:val="false"/>
          <w:smallCaps w:val="false"/>
          <w:sz w:val="20"/>
        </w:rPr>
        <w:t>’</w:t>
      </w:r>
      <w:r>
        <w:rPr>
          <w:rFonts w:ascii="Arial;Helvetica;Sans-Serif" w:hAnsi="Arial;Helvetica;Sans-Serif"/>
          <w:b w:val="false"/>
          <w:i w:val="false"/>
          <w:caps w:val="false"/>
          <w:smallCaps w:val="false"/>
          <w:sz w:val="20"/>
        </w:rPr>
        <w:t>s recommendations for base salary merit adjustments for our NEOs, relative to market ranges for each NEO’s role. The HCC Committee has complete discretion to modify or approve the CEO</w:t>
      </w:r>
      <w:r>
        <w:rPr>
          <w:rFonts w:ascii="Times New Roman;Times;Serif" w:hAnsi="Times New Roman;Times;Serif"/>
          <w:b w:val="false"/>
          <w:i w:val="false"/>
          <w:caps w:val="false"/>
          <w:smallCaps w:val="false"/>
          <w:sz w:val="20"/>
        </w:rPr>
        <w:t>’</w:t>
      </w:r>
      <w:r>
        <w:rPr>
          <w:rFonts w:ascii="Arial;Helvetica;Sans-Serif" w:hAnsi="Arial;Helvetica;Sans-Serif"/>
          <w:b w:val="false"/>
          <w:i w:val="false"/>
          <w:caps w:val="false"/>
          <w:smallCaps w:val="false"/>
          <w:sz w:val="20"/>
        </w:rPr>
        <w:t>s recommendations, and the CEO is not involved in its determination of his base salary.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34"/>
        </w:rPr>
      </w:pPr>
      <w:bookmarkStart w:id="27" w:name="rtx014050_def14ab011"/>
      <w:bookmarkEnd w:id="27"/>
      <w:r>
        <w:rPr>
          <w:rFonts w:ascii="Arial;Helvetica;Sans-Serif" w:hAnsi="Arial;Helvetica;Sans-Serif"/>
          <w:b/>
          <w:i w:val="false"/>
          <w:caps w:val="false"/>
          <w:smallCaps w:val="false"/>
          <w:sz w:val="34"/>
        </w:rPr>
        <w:t>Annual Incentive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Annual incentive awards, which are granted under the RTX Corporation Executive Annual Incentive Plan (“AIP”), are an integral component of our executive compensation program. The AIP reinforces Company and business unit goals, promotes the achievement of these goals and enables us to attract, retain and motivate the highest caliber of executive talent.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HOW ANNUAL INCENTIVE AWARDS ARE DETERMINED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Arial;Helvetica;Sans-Serif" w:hAnsi="Arial;Helvetica;Sans-Serif"/>
          <w:b w:val="false"/>
          <w:i w:val="false"/>
          <w:caps w:val="false"/>
          <w:smallCaps w:val="false"/>
          <w:sz w:val="20"/>
        </w:rPr>
        <w:t>To align with the Company</w:t>
      </w:r>
      <w:r>
        <w:rPr>
          <w:rFonts w:ascii="Times New Roman;Times;Serif" w:hAnsi="Times New Roman;Times;Serif"/>
          <w:b w:val="false"/>
          <w:i w:val="false"/>
          <w:caps w:val="false"/>
          <w:smallCaps w:val="false"/>
          <w:sz w:val="20"/>
        </w:rPr>
        <w:t>’</w:t>
      </w:r>
      <w:r>
        <w:rPr>
          <w:rFonts w:ascii="Arial;Helvetica;Sans-Serif" w:hAnsi="Arial;Helvetica;Sans-Serif"/>
          <w:b w:val="false"/>
          <w:i w:val="false"/>
          <w:caps w:val="false"/>
          <w:smallCaps w:val="false"/>
          <w:sz w:val="20"/>
        </w:rPr>
        <w:t>s focus on achieving the financial commitments we make to our investors, the HCC Committee determined that, beginning in 2025, the funding formula for the AIP would be solely based on the financial performance of the Company and our business units, and would no longer consider non</w:t>
      </w:r>
      <w:r>
        <w:rPr>
          <w:rFonts w:ascii="NeueFrutigerWorld-Book-Identity" w:hAnsi="NeueFrutigerWorld-Book-Identity"/>
          <w:b w:val="false"/>
          <w:i w:val="false"/>
          <w:caps w:val="false"/>
          <w:smallCaps w:val="false"/>
          <w:sz w:val="20"/>
        </w:rPr>
        <w:t>-</w:t>
      </w:r>
      <w:r>
        <w:rPr>
          <w:rFonts w:ascii="Arial;Helvetica;Sans-Serif" w:hAnsi="Arial;Helvetica;Sans-Serif"/>
          <w:b w:val="false"/>
          <w:i w:val="false"/>
          <w:caps w:val="false"/>
          <w:smallCaps w:val="false"/>
          <w:sz w:val="20"/>
        </w:rPr>
        <w:t>financial performance measures (see page 6 for details on the HCC Committee</w:t>
      </w:r>
      <w:r>
        <w:rPr>
          <w:rFonts w:ascii="Times New Roman;Times;Serif" w:hAnsi="Times New Roman;Times;Serif"/>
          <w:b w:val="false"/>
          <w:i w:val="false"/>
          <w:caps w:val="false"/>
          <w:smallCaps w:val="false"/>
          <w:sz w:val="20"/>
        </w:rPr>
        <w:t>’</w:t>
      </w:r>
      <w:r>
        <w:rPr>
          <w:rFonts w:ascii="Arial;Helvetica;Sans-Serif" w:hAnsi="Arial;Helvetica;Sans-Serif"/>
          <w:b w:val="false"/>
          <w:i w:val="false"/>
          <w:caps w:val="false"/>
          <w:smallCaps w:val="false"/>
          <w:sz w:val="20"/>
        </w:rPr>
        <w:t>s decision).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following formula is the basis for determining the 2025 annual incentive awards for our NEOs: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620000" cy="3362325"/>
            <wp:effectExtent l="0" t="0" r="0" b="0"/>
            <wp:docPr id="307" name="Image2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 name="Image210" descr=""/>
                    <pic:cNvPicPr>
                      <a:picLocks noChangeAspect="1" noChangeArrowheads="1"/>
                    </pic:cNvPicPr>
                  </pic:nvPicPr>
                  <pic:blipFill>
                    <a:blip r:embed="rId260"/>
                    <a:stretch>
                      <a:fillRect/>
                    </a:stretch>
                  </pic:blipFill>
                  <pic:spPr bwMode="auto">
                    <a:xfrm>
                      <a:off x="0" y="0"/>
                      <a:ext cx="7620000" cy="336232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Though performance relative to preestablished financial goals is the primary basis for determining the performance factors under the AIP, the HCC Committee retains the right to make discretionary adjustments to how it measures annual incentive performance to maintain the integrity of the goals as originally established. In the past, it has made both positive and negative adjustments. Examples of situations that could result in discretionary adjustments include: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pPr>
            <w:r>
              <w:rPr/>
              <w:t xml:space="preserve">Significant, unforeseen circumstances beyond management’s control that affected performance relative to the established goals, including certain nonrecurring charges and credits unrelated to operating performance </w:t>
            </w:r>
          </w:p>
        </w:tc>
      </w:tr>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pPr>
            <w:r>
              <w:rPr/>
              <w:t xml:space="preserve">Changes in tax laws and accounting rules that positively or negatively impact performance </w:t>
            </w:r>
          </w:p>
        </w:tc>
      </w:tr>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pPr>
            <w:r>
              <w:rPr/>
              <w:t>Changes to the Company’s capital structure (restructuring, acquisitions and divestitures)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 addition, each NEO begins the year with individual financial, strategic and/or operational objectives. Based on the CEO’s performance assessment of the NEOs (other than himself), it may be recommended that the HCC Committee increase or decrease the award a NEO would otherwise receive based on the approved performance factor. The HCC Committee considers these recommendations and makes adjustments as it deems appropriate. The individual performance adjustments for our executive officers may range from a 100% decrease to the approved performance factor (e.g., a zero payout), up to a 30% increase to the approved performance factor. However, no payout under the AIP can be greater than 200% of target. When determining individual performance adjustments (if any), the HCC Committee also considers each executive’s responsibility to act at all times in accordance with our Code of Conduct, Company policies and compliance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Arial;Helvetica;Sans-Serif" w:hAnsi="Arial;Helvetica;Sans-Serif"/>
          <w:b w:val="false"/>
          <w:i w:val="false"/>
          <w:caps w:val="false"/>
          <w:smallCaps w:val="false"/>
          <w:sz w:val="15"/>
        </w:rPr>
      </w:pPr>
      <w:r>
        <w:rPr>
          <w:rFonts w:ascii="Arial;Helvetica;Sans-Serif" w:hAnsi="Arial;Helvetica;Sans-Serif"/>
          <w:b/>
          <w:i w:val="false"/>
          <w:caps w:val="false"/>
          <w:smallCaps w:val="false"/>
          <w:sz w:val="15"/>
        </w:rPr>
        <w:t>RTX</w:t>
      </w:r>
      <w:r>
        <w:rPr>
          <w:rFonts w:ascii="Arial;Helvetica;Sans-Serif" w:hAnsi="Arial;Helvetica;Sans-Serif"/>
          <w:b w:val="false"/>
          <w:i w:val="false"/>
          <w:caps w:val="false"/>
          <w:smallCaps w:val="false"/>
          <w:sz w:val="15"/>
        </w:rPr>
        <w:t xml:space="preserve"> 2026 PROXY STATEMENT    </w:t>
      </w:r>
      <w:r>
        <w:rPr>
          <w:rFonts w:ascii="Arial;Helvetica;Sans-Serif" w:hAnsi="Arial;Helvetica;Sans-Serif"/>
          <w:b/>
          <w:i w:val="false"/>
          <w:caps w:val="false"/>
          <w:smallCaps w:val="false"/>
          <w:sz w:val="15"/>
        </w:rPr>
        <w:t>47</w:t>
      </w:r>
    </w:p>
    <w:p>
      <w:pPr>
        <w:pStyle w:val="HorizontalLine"/>
        <w:pBdr>
          <w:bottom w:val="double" w:sz="2" w:space="0" w:color="808080"/>
        </w:pBdr>
        <w:bidi w:val="0"/>
        <w:spacing w:before="0" w:after="283"/>
        <w:jc w:val="left"/>
        <w:rPr/>
      </w:pPr>
      <w:r>
        <w:rPr/>
      </w:r>
    </w:p>
    <w:p>
      <w:pPr>
        <w:pStyle w:val="TextBody"/>
        <w:bidi w:val="0"/>
        <w:spacing w:before="200" w:after="200"/>
        <w:jc w:val="left"/>
        <w:rPr/>
      </w:pPr>
      <w:hyperlink w:anchor="toc">
        <w:r>
          <w:rPr>
            <w:rStyle w:val="InternetLink"/>
            <w:rFonts w:ascii="Arial;Helvetica;Sans-Serif" w:hAnsi="Arial;Helvetica;Sans-Serif"/>
            <w:b/>
            <w:i w:val="false"/>
            <w:caps w:val="false"/>
            <w:smallCaps w:val="false"/>
            <w:sz w:val="16"/>
          </w:rPr>
          <w:t>Table of Contents</w:t>
        </w:r>
      </w:hyperlink>
    </w:p>
    <w:p>
      <w:pPr>
        <w:pStyle w:val="TextBody"/>
        <w:bidi w:val="0"/>
        <w:spacing w:before="0" w:after="0"/>
        <w:ind w:left="0" w:right="0" w:hanging="0"/>
        <w:jc w:val="left"/>
        <w:rPr>
          <w:rFonts w:ascii="Arial;Helvetica;Sans-Serif" w:hAnsi="Arial;Helvetica;Sans-Serif"/>
          <w:b/>
          <w:i w:val="false"/>
          <w:caps w:val="false"/>
          <w:smallCaps w:val="false"/>
          <w:color w:val="C12E33"/>
          <w:sz w:val="15"/>
        </w:rPr>
      </w:pPr>
      <w:r>
        <w:rPr>
          <w:rFonts w:ascii="Arial;Helvetica;Sans-Serif" w:hAnsi="Arial;Helvetica;Sans-Serif"/>
          <w:b/>
          <w:i w:val="false"/>
          <w:caps w:val="false"/>
          <w:smallCaps w:val="false"/>
          <w:color w:val="C12E33"/>
          <w:sz w:val="15"/>
        </w:rPr>
        <w:t>COMPENSATION DISCUSSION AND ANALYSIS</w:t>
      </w:r>
    </w:p>
    <w:p>
      <w:pPr>
        <w:pStyle w:val="TextBody"/>
        <w:bidi w:val="0"/>
        <w:spacing w:before="0" w:after="0"/>
        <w:ind w:left="0" w:right="0" w:hanging="0"/>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2025 PRINCIPAL ELEMENTS OF COMPENSATION</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2025 ANNUAL INCENTIVE TARGETS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Each NEO has an annual incentive target that is expressed as a percentage of the NEO’s base salary as in effect on December 1, 2025. These targets are based on relevant market data for each NEO’s role. Changes in target percentages that occur mid-year (usually due to a change in role) are prorated. For the 2025 plan year, the HCC Committee increased annual incentive targets (effective on January 1, 2025) for our NEOs to maintain market competitiveness.</w:t>
      </w:r>
    </w:p>
    <w:p>
      <w:pPr>
        <w:pStyle w:val="TextBody"/>
        <w:bidi w:val="0"/>
        <w:spacing w:before="0" w:after="0"/>
        <w:ind w:left="0" w:right="0" w:hanging="0"/>
        <w:jc w:val="left"/>
        <w:rPr>
          <w:caps w:val="false"/>
          <w:smallCaps w:val="false"/>
        </w:rPr>
      </w:pPr>
      <w:r>
        <w:rPr>
          <w:caps w:val="false"/>
          <w:smallCaps w:val="false"/>
        </w:rPr>
        <w:t> </w:t>
      </w:r>
    </w:p>
    <w:tbl>
      <w:tblPr>
        <w:tblW w:w="3930" w:type="dxa"/>
        <w:jc w:val="left"/>
        <w:tblInd w:w="0" w:type="dxa"/>
        <w:tblLayout w:type="fixed"/>
        <w:tblCellMar>
          <w:top w:w="0" w:type="dxa"/>
          <w:left w:w="0" w:type="dxa"/>
          <w:bottom w:w="40" w:type="dxa"/>
          <w:right w:w="0" w:type="dxa"/>
        </w:tblCellMar>
      </w:tblPr>
      <w:tblGrid>
        <w:gridCol w:w="2165"/>
        <w:gridCol w:w="300"/>
        <w:gridCol w:w="575"/>
        <w:gridCol w:w="300"/>
        <w:gridCol w:w="590"/>
      </w:tblGrid>
      <w:tr>
        <w:trPr/>
        <w:tc>
          <w:tcPr>
            <w:tcW w:w="2165" w:type="dxa"/>
            <w:tcBorders>
              <w:bottom w:val="single" w:sz="12" w:space="0" w:color="C12E33"/>
            </w:tcBorders>
            <w:vAlign w:val="center"/>
          </w:tcPr>
          <w:p>
            <w:pPr>
              <w:pStyle w:val="TableContents"/>
              <w:bidi w:val="0"/>
              <w:spacing w:before="0" w:after="283"/>
              <w:jc w:val="left"/>
              <w:rPr>
                <w:color w:val="636466"/>
              </w:rPr>
            </w:pPr>
            <w:r>
              <w:rPr>
                <w:color w:val="636466"/>
              </w:rPr>
              <w:t>NEO</w:t>
            </w:r>
          </w:p>
        </w:tc>
        <w:tc>
          <w:tcPr>
            <w:tcW w:w="300" w:type="dxa"/>
            <w:tcBorders>
              <w:bottom w:val="single" w:sz="12" w:space="0" w:color="C12E33"/>
            </w:tcBorders>
            <w:vAlign w:val="center"/>
          </w:tcPr>
          <w:p>
            <w:pPr>
              <w:pStyle w:val="TableContents"/>
              <w:bidi w:val="0"/>
              <w:spacing w:before="0" w:after="283"/>
              <w:jc w:val="left"/>
              <w:rPr/>
            </w:pPr>
            <w:r>
              <w:rPr/>
              <w:t>     </w:t>
            </w:r>
          </w:p>
        </w:tc>
        <w:tc>
          <w:tcPr>
            <w:tcW w:w="575" w:type="dxa"/>
            <w:tcBorders>
              <w:bottom w:val="single" w:sz="12" w:space="0" w:color="C12E33"/>
            </w:tcBorders>
            <w:vAlign w:val="center"/>
          </w:tcPr>
          <w:p>
            <w:pPr>
              <w:pStyle w:val="TableContents"/>
              <w:bidi w:val="0"/>
              <w:spacing w:before="0" w:after="283"/>
              <w:jc w:val="right"/>
              <w:rPr>
                <w:color w:val="636466"/>
              </w:rPr>
            </w:pPr>
            <w:r>
              <w:rPr>
                <w:color w:val="636466"/>
              </w:rPr>
              <w:t>2024</w:t>
            </w:r>
          </w:p>
        </w:tc>
        <w:tc>
          <w:tcPr>
            <w:tcW w:w="300" w:type="dxa"/>
            <w:tcBorders>
              <w:bottom w:val="single" w:sz="12" w:space="0" w:color="C12E33"/>
            </w:tcBorders>
            <w:vAlign w:val="center"/>
          </w:tcPr>
          <w:p>
            <w:pPr>
              <w:pStyle w:val="TableContents"/>
              <w:bidi w:val="0"/>
              <w:spacing w:before="0" w:after="283"/>
              <w:jc w:val="right"/>
              <w:rPr/>
            </w:pPr>
            <w:r>
              <w:rPr/>
              <w:t>     </w:t>
            </w:r>
          </w:p>
        </w:tc>
        <w:tc>
          <w:tcPr>
            <w:tcW w:w="590" w:type="dxa"/>
            <w:tcBorders>
              <w:bottom w:val="single" w:sz="12" w:space="0" w:color="C12E33"/>
            </w:tcBorders>
            <w:vAlign w:val="center"/>
          </w:tcPr>
          <w:p>
            <w:pPr>
              <w:pStyle w:val="TableContents"/>
              <w:bidi w:val="0"/>
              <w:spacing w:before="0" w:after="283"/>
              <w:jc w:val="right"/>
              <w:rPr>
                <w:color w:val="636466"/>
              </w:rPr>
            </w:pPr>
            <w:r>
              <w:rPr>
                <w:color w:val="636466"/>
              </w:rPr>
              <w:t>2025</w:t>
            </w:r>
          </w:p>
        </w:tc>
      </w:tr>
      <w:tr>
        <w:trPr/>
        <w:tc>
          <w:tcPr>
            <w:tcW w:w="2165" w:type="dxa"/>
            <w:tcBorders>
              <w:bottom w:val="single" w:sz="2" w:space="0" w:color="000000"/>
            </w:tcBorders>
            <w:vAlign w:val="center"/>
          </w:tcPr>
          <w:p>
            <w:pPr>
              <w:pStyle w:val="TableContents"/>
              <w:bidi w:val="0"/>
              <w:spacing w:before="0" w:after="283"/>
              <w:jc w:val="left"/>
              <w:rPr>
                <w:b/>
              </w:rPr>
            </w:pPr>
            <w:r>
              <w:rPr>
                <w:b/>
              </w:rPr>
              <w:t>Christopher T. Calio</w:t>
            </w:r>
          </w:p>
        </w:tc>
        <w:tc>
          <w:tcPr>
            <w:tcW w:w="300" w:type="dxa"/>
            <w:tcBorders>
              <w:bottom w:val="single" w:sz="2" w:space="0" w:color="000000"/>
            </w:tcBorders>
            <w:vAlign w:val="center"/>
          </w:tcPr>
          <w:p>
            <w:pPr>
              <w:pStyle w:val="TableContents"/>
              <w:bidi w:val="0"/>
              <w:spacing w:before="0" w:after="283"/>
              <w:jc w:val="left"/>
              <w:rPr/>
            </w:pPr>
            <w:r>
              <w:rPr/>
              <w:t> </w:t>
            </w:r>
          </w:p>
        </w:tc>
        <w:tc>
          <w:tcPr>
            <w:tcW w:w="575" w:type="dxa"/>
            <w:tcBorders>
              <w:bottom w:val="single" w:sz="2" w:space="0" w:color="000000"/>
            </w:tcBorders>
            <w:vAlign w:val="center"/>
          </w:tcPr>
          <w:p>
            <w:pPr>
              <w:pStyle w:val="TableContents"/>
              <w:bidi w:val="0"/>
              <w:spacing w:before="0" w:after="283"/>
              <w:jc w:val="right"/>
              <w:rPr/>
            </w:pPr>
            <w:r>
              <w:rPr/>
              <w:t>175%</w:t>
            </w:r>
          </w:p>
        </w:tc>
        <w:tc>
          <w:tcPr>
            <w:tcW w:w="300" w:type="dxa"/>
            <w:tcBorders>
              <w:bottom w:val="single" w:sz="2" w:space="0" w:color="000000"/>
            </w:tcBorders>
            <w:vAlign w:val="center"/>
          </w:tcPr>
          <w:p>
            <w:pPr>
              <w:pStyle w:val="TableContents"/>
              <w:bidi w:val="0"/>
              <w:spacing w:before="0" w:after="283"/>
              <w:jc w:val="right"/>
              <w:rPr/>
            </w:pPr>
            <w:r>
              <w:rPr/>
              <w:t> </w:t>
            </w:r>
          </w:p>
        </w:tc>
        <w:tc>
          <w:tcPr>
            <w:tcW w:w="590" w:type="dxa"/>
            <w:tcBorders>
              <w:bottom w:val="single" w:sz="2" w:space="0" w:color="000000"/>
            </w:tcBorders>
            <w:vAlign w:val="center"/>
          </w:tcPr>
          <w:p>
            <w:pPr>
              <w:pStyle w:val="TableContents"/>
              <w:bidi w:val="0"/>
              <w:spacing w:before="0" w:after="283"/>
              <w:jc w:val="right"/>
              <w:rPr/>
            </w:pPr>
            <w:r>
              <w:rPr/>
              <w:t>200%</w:t>
            </w:r>
          </w:p>
        </w:tc>
      </w:tr>
      <w:tr>
        <w:trPr/>
        <w:tc>
          <w:tcPr>
            <w:tcW w:w="2165" w:type="dxa"/>
            <w:tcBorders>
              <w:bottom w:val="single" w:sz="2" w:space="0" w:color="000000"/>
            </w:tcBorders>
            <w:vAlign w:val="center"/>
          </w:tcPr>
          <w:p>
            <w:pPr>
              <w:pStyle w:val="TableContents"/>
              <w:bidi w:val="0"/>
              <w:spacing w:before="0" w:after="283"/>
              <w:jc w:val="left"/>
              <w:rPr>
                <w:b/>
              </w:rPr>
            </w:pPr>
            <w:r>
              <w:rPr>
                <w:b/>
              </w:rPr>
              <w:t>Neil G. Mitchill, Jr.</w:t>
            </w:r>
          </w:p>
        </w:tc>
        <w:tc>
          <w:tcPr>
            <w:tcW w:w="300" w:type="dxa"/>
            <w:tcBorders>
              <w:bottom w:val="single" w:sz="2" w:space="0" w:color="000000"/>
            </w:tcBorders>
            <w:vAlign w:val="center"/>
          </w:tcPr>
          <w:p>
            <w:pPr>
              <w:pStyle w:val="TableContents"/>
              <w:bidi w:val="0"/>
              <w:spacing w:before="0" w:after="283"/>
              <w:jc w:val="left"/>
              <w:rPr/>
            </w:pPr>
            <w:r>
              <w:rPr/>
              <w:t> </w:t>
            </w:r>
          </w:p>
        </w:tc>
        <w:tc>
          <w:tcPr>
            <w:tcW w:w="575" w:type="dxa"/>
            <w:tcBorders>
              <w:bottom w:val="single" w:sz="2" w:space="0" w:color="000000"/>
            </w:tcBorders>
            <w:vAlign w:val="center"/>
          </w:tcPr>
          <w:p>
            <w:pPr>
              <w:pStyle w:val="TableContents"/>
              <w:bidi w:val="0"/>
              <w:spacing w:before="0" w:after="283"/>
              <w:jc w:val="right"/>
              <w:rPr/>
            </w:pPr>
            <w:r>
              <w:rPr/>
              <w:t>115%</w:t>
            </w:r>
          </w:p>
        </w:tc>
        <w:tc>
          <w:tcPr>
            <w:tcW w:w="300" w:type="dxa"/>
            <w:tcBorders>
              <w:bottom w:val="single" w:sz="2" w:space="0" w:color="000000"/>
            </w:tcBorders>
            <w:vAlign w:val="center"/>
          </w:tcPr>
          <w:p>
            <w:pPr>
              <w:pStyle w:val="TableContents"/>
              <w:bidi w:val="0"/>
              <w:spacing w:before="0" w:after="283"/>
              <w:jc w:val="right"/>
              <w:rPr/>
            </w:pPr>
            <w:r>
              <w:rPr/>
              <w:t> </w:t>
            </w:r>
          </w:p>
        </w:tc>
        <w:tc>
          <w:tcPr>
            <w:tcW w:w="590" w:type="dxa"/>
            <w:tcBorders>
              <w:bottom w:val="single" w:sz="2" w:space="0" w:color="000000"/>
            </w:tcBorders>
            <w:vAlign w:val="center"/>
          </w:tcPr>
          <w:p>
            <w:pPr>
              <w:pStyle w:val="TableContents"/>
              <w:bidi w:val="0"/>
              <w:spacing w:before="0" w:after="283"/>
              <w:jc w:val="right"/>
              <w:rPr/>
            </w:pPr>
            <w:r>
              <w:rPr/>
              <w:t>125%</w:t>
            </w:r>
          </w:p>
        </w:tc>
      </w:tr>
      <w:tr>
        <w:trPr/>
        <w:tc>
          <w:tcPr>
            <w:tcW w:w="2165" w:type="dxa"/>
            <w:tcBorders>
              <w:bottom w:val="single" w:sz="2" w:space="0" w:color="000000"/>
            </w:tcBorders>
            <w:vAlign w:val="center"/>
          </w:tcPr>
          <w:p>
            <w:pPr>
              <w:pStyle w:val="TableContents"/>
              <w:bidi w:val="0"/>
              <w:spacing w:before="0" w:after="283"/>
              <w:jc w:val="left"/>
              <w:rPr>
                <w:b/>
              </w:rPr>
            </w:pPr>
            <w:r>
              <w:rPr>
                <w:b/>
              </w:rPr>
              <w:t>Philip J. Jasper</w:t>
            </w:r>
          </w:p>
        </w:tc>
        <w:tc>
          <w:tcPr>
            <w:tcW w:w="300" w:type="dxa"/>
            <w:tcBorders>
              <w:bottom w:val="single" w:sz="2" w:space="0" w:color="000000"/>
            </w:tcBorders>
            <w:vAlign w:val="center"/>
          </w:tcPr>
          <w:p>
            <w:pPr>
              <w:pStyle w:val="TableContents"/>
              <w:bidi w:val="0"/>
              <w:spacing w:before="0" w:after="283"/>
              <w:jc w:val="left"/>
              <w:rPr/>
            </w:pPr>
            <w:r>
              <w:rPr/>
              <w:t> </w:t>
            </w:r>
          </w:p>
        </w:tc>
        <w:tc>
          <w:tcPr>
            <w:tcW w:w="575" w:type="dxa"/>
            <w:tcBorders>
              <w:bottom w:val="single" w:sz="2" w:space="0" w:color="000000"/>
            </w:tcBorders>
            <w:vAlign w:val="center"/>
          </w:tcPr>
          <w:p>
            <w:pPr>
              <w:pStyle w:val="TableContents"/>
              <w:bidi w:val="0"/>
              <w:spacing w:before="0" w:after="283"/>
              <w:jc w:val="right"/>
              <w:rPr/>
            </w:pPr>
            <w:r>
              <w:rPr/>
              <w:t>105%</w:t>
            </w:r>
          </w:p>
        </w:tc>
        <w:tc>
          <w:tcPr>
            <w:tcW w:w="300" w:type="dxa"/>
            <w:tcBorders>
              <w:bottom w:val="single" w:sz="2" w:space="0" w:color="000000"/>
            </w:tcBorders>
            <w:vAlign w:val="center"/>
          </w:tcPr>
          <w:p>
            <w:pPr>
              <w:pStyle w:val="TableContents"/>
              <w:bidi w:val="0"/>
              <w:spacing w:before="0" w:after="283"/>
              <w:jc w:val="right"/>
              <w:rPr/>
            </w:pPr>
            <w:r>
              <w:rPr/>
              <w:t> </w:t>
            </w:r>
          </w:p>
        </w:tc>
        <w:tc>
          <w:tcPr>
            <w:tcW w:w="590" w:type="dxa"/>
            <w:tcBorders>
              <w:bottom w:val="single" w:sz="2" w:space="0" w:color="000000"/>
            </w:tcBorders>
            <w:vAlign w:val="center"/>
          </w:tcPr>
          <w:p>
            <w:pPr>
              <w:pStyle w:val="TableContents"/>
              <w:bidi w:val="0"/>
              <w:spacing w:before="0" w:after="283"/>
              <w:jc w:val="right"/>
              <w:rPr/>
            </w:pPr>
            <w:r>
              <w:rPr/>
              <w:t>115%</w:t>
            </w:r>
          </w:p>
        </w:tc>
      </w:tr>
      <w:tr>
        <w:trPr/>
        <w:tc>
          <w:tcPr>
            <w:tcW w:w="2165" w:type="dxa"/>
            <w:tcBorders>
              <w:bottom w:val="single" w:sz="2" w:space="0" w:color="000000"/>
            </w:tcBorders>
            <w:vAlign w:val="center"/>
          </w:tcPr>
          <w:p>
            <w:pPr>
              <w:pStyle w:val="TableContents"/>
              <w:bidi w:val="0"/>
              <w:spacing w:before="0" w:after="283"/>
              <w:jc w:val="left"/>
              <w:rPr>
                <w:b/>
              </w:rPr>
            </w:pPr>
            <w:r>
              <w:rPr>
                <w:b/>
              </w:rPr>
              <w:t>Shane G. Eddy</w:t>
            </w:r>
          </w:p>
        </w:tc>
        <w:tc>
          <w:tcPr>
            <w:tcW w:w="300" w:type="dxa"/>
            <w:tcBorders>
              <w:bottom w:val="single" w:sz="2" w:space="0" w:color="000000"/>
            </w:tcBorders>
            <w:vAlign w:val="center"/>
          </w:tcPr>
          <w:p>
            <w:pPr>
              <w:pStyle w:val="TableContents"/>
              <w:bidi w:val="0"/>
              <w:spacing w:before="0" w:after="283"/>
              <w:jc w:val="left"/>
              <w:rPr/>
            </w:pPr>
            <w:r>
              <w:rPr/>
              <w:t> </w:t>
            </w:r>
          </w:p>
        </w:tc>
        <w:tc>
          <w:tcPr>
            <w:tcW w:w="575" w:type="dxa"/>
            <w:tcBorders>
              <w:bottom w:val="single" w:sz="2" w:space="0" w:color="000000"/>
            </w:tcBorders>
            <w:vAlign w:val="center"/>
          </w:tcPr>
          <w:p>
            <w:pPr>
              <w:pStyle w:val="TableContents"/>
              <w:bidi w:val="0"/>
              <w:spacing w:before="0" w:after="283"/>
              <w:jc w:val="right"/>
              <w:rPr/>
            </w:pPr>
            <w:r>
              <w:rPr/>
              <w:t>105%</w:t>
            </w:r>
          </w:p>
        </w:tc>
        <w:tc>
          <w:tcPr>
            <w:tcW w:w="300" w:type="dxa"/>
            <w:tcBorders>
              <w:bottom w:val="single" w:sz="2" w:space="0" w:color="000000"/>
            </w:tcBorders>
            <w:vAlign w:val="center"/>
          </w:tcPr>
          <w:p>
            <w:pPr>
              <w:pStyle w:val="TableContents"/>
              <w:bidi w:val="0"/>
              <w:spacing w:before="0" w:after="283"/>
              <w:jc w:val="right"/>
              <w:rPr/>
            </w:pPr>
            <w:r>
              <w:rPr/>
              <w:t> </w:t>
            </w:r>
          </w:p>
        </w:tc>
        <w:tc>
          <w:tcPr>
            <w:tcW w:w="590" w:type="dxa"/>
            <w:tcBorders>
              <w:bottom w:val="single" w:sz="2" w:space="0" w:color="000000"/>
            </w:tcBorders>
            <w:vAlign w:val="center"/>
          </w:tcPr>
          <w:p>
            <w:pPr>
              <w:pStyle w:val="TableContents"/>
              <w:bidi w:val="0"/>
              <w:spacing w:before="0" w:after="283"/>
              <w:jc w:val="right"/>
              <w:rPr/>
            </w:pPr>
            <w:r>
              <w:rPr/>
              <w:t>115%</w:t>
            </w:r>
          </w:p>
        </w:tc>
      </w:tr>
      <w:tr>
        <w:trPr/>
        <w:tc>
          <w:tcPr>
            <w:tcW w:w="2165" w:type="dxa"/>
            <w:tcBorders>
              <w:bottom w:val="single" w:sz="12" w:space="0" w:color="636466"/>
            </w:tcBorders>
            <w:vAlign w:val="center"/>
          </w:tcPr>
          <w:p>
            <w:pPr>
              <w:pStyle w:val="TableContents"/>
              <w:bidi w:val="0"/>
              <w:spacing w:before="0" w:after="283"/>
              <w:jc w:val="left"/>
              <w:rPr>
                <w:b/>
              </w:rPr>
            </w:pPr>
            <w:r>
              <w:rPr>
                <w:b/>
              </w:rPr>
              <w:t>Troy D. Brunk</w:t>
            </w:r>
          </w:p>
        </w:tc>
        <w:tc>
          <w:tcPr>
            <w:tcW w:w="300" w:type="dxa"/>
            <w:tcBorders>
              <w:bottom w:val="single" w:sz="12" w:space="0" w:color="636466"/>
            </w:tcBorders>
            <w:vAlign w:val="center"/>
          </w:tcPr>
          <w:p>
            <w:pPr>
              <w:pStyle w:val="TableContents"/>
              <w:bidi w:val="0"/>
              <w:spacing w:before="0" w:after="283"/>
              <w:jc w:val="left"/>
              <w:rPr/>
            </w:pPr>
            <w:r>
              <w:rPr/>
              <w:t> </w:t>
            </w:r>
          </w:p>
        </w:tc>
        <w:tc>
          <w:tcPr>
            <w:tcW w:w="575" w:type="dxa"/>
            <w:tcBorders>
              <w:bottom w:val="single" w:sz="12" w:space="0" w:color="636466"/>
            </w:tcBorders>
            <w:vAlign w:val="center"/>
          </w:tcPr>
          <w:p>
            <w:pPr>
              <w:pStyle w:val="TableContents"/>
              <w:bidi w:val="0"/>
              <w:spacing w:before="0" w:after="283"/>
              <w:jc w:val="right"/>
              <w:rPr/>
            </w:pPr>
            <w:r>
              <w:rPr/>
              <w:t>105%</w:t>
            </w:r>
          </w:p>
        </w:tc>
        <w:tc>
          <w:tcPr>
            <w:tcW w:w="300" w:type="dxa"/>
            <w:tcBorders>
              <w:bottom w:val="single" w:sz="12" w:space="0" w:color="636466"/>
            </w:tcBorders>
            <w:vAlign w:val="center"/>
          </w:tcPr>
          <w:p>
            <w:pPr>
              <w:pStyle w:val="TableContents"/>
              <w:bidi w:val="0"/>
              <w:spacing w:before="0" w:after="283"/>
              <w:jc w:val="right"/>
              <w:rPr/>
            </w:pPr>
            <w:r>
              <w:rPr/>
              <w:t> </w:t>
            </w:r>
          </w:p>
        </w:tc>
        <w:tc>
          <w:tcPr>
            <w:tcW w:w="590" w:type="dxa"/>
            <w:tcBorders>
              <w:bottom w:val="single" w:sz="12" w:space="0" w:color="636466"/>
            </w:tcBorders>
            <w:vAlign w:val="center"/>
          </w:tcPr>
          <w:p>
            <w:pPr>
              <w:pStyle w:val="TableContents"/>
              <w:bidi w:val="0"/>
              <w:spacing w:before="0" w:after="283"/>
              <w:jc w:val="right"/>
              <w:rPr/>
            </w:pPr>
            <w:r>
              <w:rPr/>
              <w:t>115%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2025 PERFORMANCE METRICS AND WEIGHTINGS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As shown in the charts below, performance for our Corporate executives (Messrs. Calio and Mitchill) is measured on a Company-wide basis, with equal weight given for earnings and free cash flow. For business unit executives (Messrs. Jasper, Eddy and Brunk), performance metrics are measured at both the business unit and Company-wide level, with earnings and free cash flow (“FCF”) weighted at 25% each. This program design is intended to motivate our business unit executives both to deliver on customer commitments and to leverage Company-wide resources to advance technology and innovation. Payout funding ranges from 0% to 200% of target for all metrics.</w:t>
      </w:r>
    </w:p>
    <w:p>
      <w:pPr>
        <w:pStyle w:val="TextBody"/>
        <w:bidi w:val="0"/>
        <w:spacing w:before="0" w:after="0"/>
        <w:ind w:left="0" w:right="0" w:hanging="0"/>
        <w:jc w:val="left"/>
        <w:rPr>
          <w:caps w:val="false"/>
          <w:smallCaps w:val="false"/>
        </w:rPr>
      </w:pPr>
      <w:r>
        <w:rPr>
          <w:caps w:val="false"/>
          <w:smallCaps w:val="false"/>
        </w:rPr>
        <w:t> </w:t>
      </w:r>
    </w:p>
    <w:tbl>
      <w:tblPr>
        <w:tblW w:w="9065" w:type="dxa"/>
        <w:jc w:val="left"/>
        <w:tblInd w:w="0" w:type="dxa"/>
        <w:tblLayout w:type="fixed"/>
        <w:tblCellMar>
          <w:top w:w="0" w:type="dxa"/>
          <w:left w:w="0" w:type="dxa"/>
          <w:bottom w:w="0" w:type="dxa"/>
          <w:right w:w="0" w:type="dxa"/>
        </w:tblCellMar>
      </w:tblPr>
      <w:tblGrid>
        <w:gridCol w:w="5165"/>
        <w:gridCol w:w="300"/>
        <w:gridCol w:w="1650"/>
        <w:gridCol w:w="300"/>
        <w:gridCol w:w="1650"/>
      </w:tblGrid>
      <w:tr>
        <w:trPr/>
        <w:tc>
          <w:tcPr>
            <w:tcW w:w="5165"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283"/>
              <w:jc w:val="left"/>
              <w:rPr/>
            </w:pPr>
            <w:r>
              <w:rPr/>
              <w:t> </w:t>
            </w:r>
          </w:p>
        </w:tc>
        <w:tc>
          <w:tcPr>
            <w:tcW w:w="3600" w:type="dxa"/>
            <w:gridSpan w:val="3"/>
            <w:tcBorders/>
            <w:shd w:fill="EDEDEE" w:val="clear"/>
            <w:vAlign w:val="center"/>
          </w:tcPr>
          <w:p>
            <w:pPr>
              <w:pStyle w:val="TableContents"/>
              <w:bidi w:val="0"/>
              <w:spacing w:before="0" w:after="283"/>
              <w:jc w:val="center"/>
              <w:rPr>
                <w:b/>
              </w:rPr>
            </w:pPr>
            <w:r>
              <w:rPr>
                <w:b/>
              </w:rPr>
              <w:t>Performance Goals</w:t>
            </w:r>
          </w:p>
        </w:tc>
      </w:tr>
      <w:tr>
        <w:trPr/>
        <w:tc>
          <w:tcPr>
            <w:tcW w:w="5165" w:type="dxa"/>
            <w:tcBorders>
              <w:bottom w:val="single" w:sz="2" w:space="0" w:color="000000"/>
            </w:tcBorders>
            <w:tcMar>
              <w:bottom w:w="40" w:type="dxa"/>
            </w:tcMar>
            <w:vAlign w:val="center"/>
          </w:tcPr>
          <w:p>
            <w:pPr>
              <w:pStyle w:val="TableContents"/>
              <w:bidi w:val="0"/>
              <w:spacing w:before="0" w:after="283"/>
              <w:jc w:val="left"/>
              <w:rPr/>
            </w:pPr>
            <w:r>
              <w:rPr/>
              <w:t> </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1650" w:type="dxa"/>
            <w:tcBorders>
              <w:bottom w:val="single" w:sz="2" w:space="0" w:color="000000"/>
            </w:tcBorders>
            <w:tcMar>
              <w:bottom w:w="40" w:type="dxa"/>
            </w:tcMar>
            <w:vAlign w:val="center"/>
          </w:tcPr>
          <w:p>
            <w:pPr>
              <w:pStyle w:val="TableContents"/>
              <w:bidi w:val="0"/>
              <w:spacing w:before="0" w:after="283"/>
              <w:jc w:val="center"/>
              <w:rPr/>
            </w:pPr>
            <w:r>
              <w:rPr/>
              <w:t>Earnings</w:t>
            </w:r>
          </w:p>
        </w:tc>
        <w:tc>
          <w:tcPr>
            <w:tcW w:w="300" w:type="dxa"/>
            <w:tcBorders>
              <w:bottom w:val="single" w:sz="2" w:space="0" w:color="000000"/>
            </w:tcBorders>
            <w:tcMar>
              <w:bottom w:w="40" w:type="dxa"/>
            </w:tcMar>
            <w:vAlign w:val="center"/>
          </w:tcPr>
          <w:p>
            <w:pPr>
              <w:pStyle w:val="TableContents"/>
              <w:bidi w:val="0"/>
              <w:spacing w:before="0" w:after="283"/>
              <w:jc w:val="center"/>
              <w:rPr/>
            </w:pPr>
            <w:r>
              <w:rPr/>
              <w:t>     </w:t>
            </w:r>
          </w:p>
        </w:tc>
        <w:tc>
          <w:tcPr>
            <w:tcW w:w="1650" w:type="dxa"/>
            <w:tcBorders>
              <w:bottom w:val="single" w:sz="2" w:space="0" w:color="000000"/>
            </w:tcBorders>
            <w:tcMar>
              <w:bottom w:w="40" w:type="dxa"/>
            </w:tcMar>
            <w:vAlign w:val="center"/>
          </w:tcPr>
          <w:p>
            <w:pPr>
              <w:pStyle w:val="TableContents"/>
              <w:bidi w:val="0"/>
              <w:spacing w:before="0" w:after="283"/>
              <w:jc w:val="center"/>
              <w:rPr/>
            </w:pPr>
            <w:r>
              <w:rPr/>
              <w:t>FCF</w:t>
            </w:r>
          </w:p>
        </w:tc>
      </w:tr>
      <w:tr>
        <w:trPr/>
        <w:tc>
          <w:tcPr>
            <w:tcW w:w="5165" w:type="dxa"/>
            <w:tcBorders>
              <w:bottom w:val="single" w:sz="2" w:space="0" w:color="000000"/>
            </w:tcBorders>
            <w:tcMar>
              <w:bottom w:w="40" w:type="dxa"/>
            </w:tcMar>
            <w:vAlign w:val="center"/>
          </w:tcPr>
          <w:p>
            <w:pPr>
              <w:pStyle w:val="TableContents"/>
              <w:bidi w:val="0"/>
              <w:jc w:val="left"/>
              <w:rPr>
                <w:b/>
                <w:sz w:val="15"/>
              </w:rPr>
            </w:pPr>
            <w:r>
              <w:rPr>
                <w:b/>
                <w:sz w:val="15"/>
              </w:rPr>
              <w:t>Corporate Executives</w:t>
            </w:r>
          </w:p>
          <w:p>
            <w:pPr>
              <w:pStyle w:val="TableContents"/>
              <w:bidi w:val="0"/>
              <w:spacing w:before="0" w:after="283"/>
              <w:jc w:val="left"/>
              <w:rPr>
                <w:sz w:val="15"/>
              </w:rPr>
            </w:pPr>
            <w:r>
              <w:rPr>
                <w:sz w:val="15"/>
              </w:rPr>
              <w:t>Funding based entirely on Company-wide performance</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1650" w:type="dxa"/>
            <w:tcBorders>
              <w:bottom w:val="single" w:sz="2" w:space="0" w:color="000000"/>
            </w:tcBorders>
            <w:tcMar>
              <w:bottom w:w="40" w:type="dxa"/>
            </w:tcMar>
            <w:vAlign w:val="center"/>
          </w:tcPr>
          <w:p>
            <w:pPr>
              <w:pStyle w:val="TableContents"/>
              <w:bidi w:val="0"/>
              <w:spacing w:before="0" w:after="283"/>
              <w:jc w:val="center"/>
              <w:rPr/>
            </w:pPr>
            <w:r>
              <w:rPr/>
              <w:drawing>
                <wp:inline distT="0" distB="0" distL="0" distR="0">
                  <wp:extent cx="904875" cy="2752725"/>
                  <wp:effectExtent l="0" t="0" r="0" b="0"/>
                  <wp:docPr id="308" name="Image2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 name="Image211" descr=""/>
                          <pic:cNvPicPr>
                            <a:picLocks noChangeAspect="1" noChangeArrowheads="1"/>
                          </pic:cNvPicPr>
                        </pic:nvPicPr>
                        <pic:blipFill>
                          <a:blip r:embed="rId261"/>
                          <a:stretch>
                            <a:fillRect/>
                          </a:stretch>
                        </pic:blipFill>
                        <pic:spPr bwMode="auto">
                          <a:xfrm>
                            <a:off x="0" y="0"/>
                            <a:ext cx="904875" cy="2752725"/>
                          </a:xfrm>
                          <a:prstGeom prst="rect">
                            <a:avLst/>
                          </a:prstGeom>
                        </pic:spPr>
                      </pic:pic>
                    </a:graphicData>
                  </a:graphic>
                </wp:inline>
              </w:drawing>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1650" w:type="dxa"/>
            <w:tcBorders>
              <w:bottom w:val="single" w:sz="2" w:space="0" w:color="000000"/>
            </w:tcBorders>
            <w:tcMar>
              <w:bottom w:w="40" w:type="dxa"/>
            </w:tcMar>
            <w:vAlign w:val="center"/>
          </w:tcPr>
          <w:p>
            <w:pPr>
              <w:pStyle w:val="TableContents"/>
              <w:bidi w:val="0"/>
              <w:spacing w:before="0" w:after="283"/>
              <w:jc w:val="center"/>
              <w:rPr/>
            </w:pPr>
            <w:r>
              <w:rPr/>
              <w:drawing>
                <wp:inline distT="0" distB="0" distL="0" distR="0">
                  <wp:extent cx="904875" cy="2733675"/>
                  <wp:effectExtent l="0" t="0" r="0" b="0"/>
                  <wp:docPr id="309" name="Image2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9" name="Image212" descr=""/>
                          <pic:cNvPicPr>
                            <a:picLocks noChangeAspect="1" noChangeArrowheads="1"/>
                          </pic:cNvPicPr>
                        </pic:nvPicPr>
                        <pic:blipFill>
                          <a:blip r:embed="rId262"/>
                          <a:stretch>
                            <a:fillRect/>
                          </a:stretch>
                        </pic:blipFill>
                        <pic:spPr bwMode="auto">
                          <a:xfrm>
                            <a:off x="0" y="0"/>
                            <a:ext cx="904875" cy="2733675"/>
                          </a:xfrm>
                          <a:prstGeom prst="rect">
                            <a:avLst/>
                          </a:prstGeom>
                        </pic:spPr>
                      </pic:pic>
                    </a:graphicData>
                  </a:graphic>
                </wp:inline>
              </w:drawing>
            </w:r>
          </w:p>
        </w:tc>
      </w:tr>
      <w:tr>
        <w:trPr/>
        <w:tc>
          <w:tcPr>
            <w:tcW w:w="5165" w:type="dxa"/>
            <w:tcBorders>
              <w:bottom w:val="single" w:sz="2" w:space="0" w:color="000000"/>
            </w:tcBorders>
            <w:tcMar>
              <w:bottom w:w="40" w:type="dxa"/>
            </w:tcMar>
            <w:vAlign w:val="center"/>
          </w:tcPr>
          <w:p>
            <w:pPr>
              <w:pStyle w:val="TableContents"/>
              <w:bidi w:val="0"/>
              <w:jc w:val="left"/>
              <w:rPr>
                <w:b/>
                <w:sz w:val="15"/>
              </w:rPr>
            </w:pPr>
            <w:r>
              <w:rPr>
                <w:b/>
                <w:sz w:val="15"/>
              </w:rPr>
              <w:t>Business Unit Executives</w:t>
            </w:r>
          </w:p>
          <w:p>
            <w:pPr>
              <w:pStyle w:val="TableContents"/>
              <w:bidi w:val="0"/>
              <w:jc w:val="left"/>
              <w:rPr>
                <w:sz w:val="15"/>
              </w:rPr>
            </w:pPr>
            <w:r>
              <w:rPr>
                <w:sz w:val="15"/>
              </w:rPr>
              <w:t>Funding based equally on business unit performance and Company-wide performance</w:t>
            </w:r>
          </w:p>
          <w:p>
            <w:pPr>
              <w:pStyle w:val="TableContents"/>
              <w:bidi w:val="0"/>
              <w:jc w:val="left"/>
              <w:rPr/>
            </w:pPr>
            <w:r>
              <w:rPr/>
              <w:t> </w:t>
            </w:r>
          </w:p>
          <w:p>
            <w:pPr>
              <w:pStyle w:val="TableContents"/>
              <w:bidi w:val="0"/>
              <w:spacing w:before="0" w:after="283"/>
              <w:jc w:val="left"/>
              <w:rPr/>
            </w:pPr>
            <w:r>
              <w:rPr/>
              <w:drawing>
                <wp:inline distT="0" distB="0" distL="0" distR="0">
                  <wp:extent cx="133350" cy="390525"/>
                  <wp:effectExtent l="0" t="0" r="0" b="0"/>
                  <wp:docPr id="310" name="Image2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0" name="Image213" descr=""/>
                          <pic:cNvPicPr>
                            <a:picLocks noChangeAspect="1" noChangeArrowheads="1"/>
                          </pic:cNvPicPr>
                        </pic:nvPicPr>
                        <pic:blipFill>
                          <a:blip r:embed="rId263"/>
                          <a:stretch>
                            <a:fillRect/>
                          </a:stretch>
                        </pic:blipFill>
                        <pic:spPr bwMode="auto">
                          <a:xfrm>
                            <a:off x="0" y="0"/>
                            <a:ext cx="133350" cy="390525"/>
                          </a:xfrm>
                          <a:prstGeom prst="rect">
                            <a:avLst/>
                          </a:prstGeom>
                        </pic:spPr>
                      </pic:pic>
                    </a:graphicData>
                  </a:graphic>
                </wp:inline>
              </w:drawing>
            </w:r>
            <w:r>
              <w:rPr/>
              <w:t xml:space="preserve"> </w:t>
            </w:r>
            <w:r>
              <w:rPr>
                <w:sz w:val="15"/>
              </w:rPr>
              <w:t>Company-Wide   </w:t>
            </w:r>
            <w:r>
              <w:rPr>
                <w:sz w:val="15"/>
              </w:rPr>
              <w:drawing>
                <wp:inline distT="0" distB="0" distL="0" distR="0">
                  <wp:extent cx="133350" cy="409575"/>
                  <wp:effectExtent l="0" t="0" r="0" b="0"/>
                  <wp:docPr id="311" name="Image2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1" name="Image214" descr=""/>
                          <pic:cNvPicPr>
                            <a:picLocks noChangeAspect="1" noChangeArrowheads="1"/>
                          </pic:cNvPicPr>
                        </pic:nvPicPr>
                        <pic:blipFill>
                          <a:blip r:embed="rId264"/>
                          <a:stretch>
                            <a:fillRect/>
                          </a:stretch>
                        </pic:blipFill>
                        <pic:spPr bwMode="auto">
                          <a:xfrm>
                            <a:off x="0" y="0"/>
                            <a:ext cx="133350" cy="409575"/>
                          </a:xfrm>
                          <a:prstGeom prst="rect">
                            <a:avLst/>
                          </a:prstGeom>
                        </pic:spPr>
                      </pic:pic>
                    </a:graphicData>
                  </a:graphic>
                </wp:inline>
              </w:drawing>
            </w:r>
            <w:r>
              <w:rPr>
                <w:sz w:val="15"/>
              </w:rPr>
              <w:t xml:space="preserve"> Business Unit</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1650" w:type="dxa"/>
            <w:tcBorders>
              <w:bottom w:val="single" w:sz="2" w:space="0" w:color="000000"/>
            </w:tcBorders>
            <w:tcMar>
              <w:bottom w:w="40" w:type="dxa"/>
            </w:tcMar>
            <w:vAlign w:val="center"/>
          </w:tcPr>
          <w:p>
            <w:pPr>
              <w:pStyle w:val="TableContents"/>
              <w:bidi w:val="0"/>
              <w:spacing w:before="0" w:after="283"/>
              <w:jc w:val="center"/>
              <w:rPr/>
            </w:pPr>
            <w:r>
              <w:rPr/>
              <w:drawing>
                <wp:inline distT="0" distB="0" distL="0" distR="0">
                  <wp:extent cx="1047750" cy="2752725"/>
                  <wp:effectExtent l="0" t="0" r="0" b="0"/>
                  <wp:docPr id="312" name="Image2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2" name="Image215" descr=""/>
                          <pic:cNvPicPr>
                            <a:picLocks noChangeAspect="1" noChangeArrowheads="1"/>
                          </pic:cNvPicPr>
                        </pic:nvPicPr>
                        <pic:blipFill>
                          <a:blip r:embed="rId265"/>
                          <a:stretch>
                            <a:fillRect/>
                          </a:stretch>
                        </pic:blipFill>
                        <pic:spPr bwMode="auto">
                          <a:xfrm>
                            <a:off x="0" y="0"/>
                            <a:ext cx="1047750" cy="2752725"/>
                          </a:xfrm>
                          <a:prstGeom prst="rect">
                            <a:avLst/>
                          </a:prstGeom>
                        </pic:spPr>
                      </pic:pic>
                    </a:graphicData>
                  </a:graphic>
                </wp:inline>
              </w:drawing>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1650" w:type="dxa"/>
            <w:tcBorders>
              <w:bottom w:val="single" w:sz="2" w:space="0" w:color="000000"/>
            </w:tcBorders>
            <w:tcMar>
              <w:bottom w:w="40" w:type="dxa"/>
            </w:tcMar>
            <w:vAlign w:val="center"/>
          </w:tcPr>
          <w:p>
            <w:pPr>
              <w:pStyle w:val="TableContents"/>
              <w:bidi w:val="0"/>
              <w:spacing w:before="0" w:after="283"/>
              <w:jc w:val="center"/>
              <w:rPr/>
            </w:pPr>
            <w:r>
              <w:rPr/>
              <w:drawing>
                <wp:inline distT="0" distB="0" distL="0" distR="0">
                  <wp:extent cx="1047750" cy="2762250"/>
                  <wp:effectExtent l="0" t="0" r="0" b="0"/>
                  <wp:docPr id="313" name="Image2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3" name="Image216" descr=""/>
                          <pic:cNvPicPr>
                            <a:picLocks noChangeAspect="1" noChangeArrowheads="1"/>
                          </pic:cNvPicPr>
                        </pic:nvPicPr>
                        <pic:blipFill>
                          <a:blip r:embed="rId266"/>
                          <a:stretch>
                            <a:fillRect/>
                          </a:stretch>
                        </pic:blipFill>
                        <pic:spPr bwMode="auto">
                          <a:xfrm>
                            <a:off x="0" y="0"/>
                            <a:ext cx="1047750" cy="2762250"/>
                          </a:xfrm>
                          <a:prstGeom prst="rect">
                            <a:avLst/>
                          </a:prstGeom>
                        </pic:spPr>
                      </pic:pic>
                    </a:graphicData>
                  </a:graphic>
                </wp:inline>
              </w:drawing>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At its January 2025 meeting, the HCC Committee approved performance metric definitions for earnings and free cash flow for the 2025 AIP. Consistent with prior years, the HCC Committee included adjustments for changes in tax laws and accounting rules—factors outside of our employees’ control that can materially distort financial results. Applying the same principle, the HCC Committee concluded that changes in laws and regulations impacting tariffs should be neutralized for AIP performance purposes, because they are externally imposed, unpredictable and unrelated to operational execution. These adjustments are consistent with the HCC Committee’s belief that AIP outcomes should reflect business performance—not external policy shifts that employees cannot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color w:val="C12E33"/>
          <w:sz w:val="20"/>
        </w:rPr>
      </w:pPr>
      <w:r>
        <w:rPr>
          <w:rFonts w:ascii="Arial;Helvetica;Sans-Serif" w:hAnsi="Arial;Helvetica;Sans-Serif"/>
          <w:b/>
          <w:i w:val="false"/>
          <w:caps w:val="false"/>
          <w:smallCaps w:val="false"/>
          <w:color w:val="C12E33"/>
          <w:sz w:val="20"/>
        </w:rPr>
        <w:t>PERFORMANCE METRICS DEFINITIONS</w:t>
      </w:r>
    </w:p>
    <w:p>
      <w:pPr>
        <w:pStyle w:val="TextBody"/>
        <w:bidi w:val="0"/>
        <w:spacing w:before="0" w:after="0"/>
        <w:ind w:left="0" w:right="0" w:hanging="0"/>
        <w:jc w:val="left"/>
        <w:rPr>
          <w:caps w:val="false"/>
          <w:smallCaps w:val="false"/>
          <w:color w:val="C12E33"/>
        </w:rPr>
      </w:pPr>
      <w:r>
        <w:rPr>
          <w:caps w:val="false"/>
          <w:smallCaps w:val="false"/>
          <w:color w:val="C12E33"/>
        </w:rPr>
        <w:t> </w:t>
      </w:r>
    </w:p>
    <w:tbl>
      <w:tblPr>
        <w:tblW w:w="10205" w:type="dxa"/>
        <w:jc w:val="left"/>
        <w:tblInd w:w="0" w:type="dxa"/>
        <w:tblLayout w:type="fixed"/>
        <w:tblCellMar>
          <w:top w:w="0" w:type="dxa"/>
          <w:left w:w="0" w:type="dxa"/>
          <w:bottom w:w="0" w:type="dxa"/>
          <w:right w:w="0" w:type="dxa"/>
        </w:tblCellMar>
      </w:tblPr>
      <w:tblGrid>
        <w:gridCol w:w="1325"/>
        <w:gridCol w:w="300"/>
        <w:gridCol w:w="2461"/>
        <w:gridCol w:w="60"/>
        <w:gridCol w:w="2100"/>
        <w:gridCol w:w="300"/>
        <w:gridCol w:w="1638"/>
        <w:gridCol w:w="60"/>
        <w:gridCol w:w="1961"/>
      </w:tblGrid>
      <w:tr>
        <w:trPr/>
        <w:tc>
          <w:tcPr>
            <w:tcW w:w="1325"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283"/>
              <w:jc w:val="center"/>
              <w:rPr/>
            </w:pPr>
            <w:r>
              <w:rPr/>
              <w:t>     </w:t>
            </w:r>
          </w:p>
        </w:tc>
        <w:tc>
          <w:tcPr>
            <w:tcW w:w="4621" w:type="dxa"/>
            <w:gridSpan w:val="3"/>
            <w:tcBorders/>
            <w:shd w:fill="EDEDEE" w:val="clear"/>
            <w:vAlign w:val="center"/>
          </w:tcPr>
          <w:p>
            <w:pPr>
              <w:pStyle w:val="TableContents"/>
              <w:bidi w:val="0"/>
              <w:spacing w:before="0" w:after="283"/>
              <w:jc w:val="center"/>
              <w:rPr>
                <w:sz w:val="20"/>
              </w:rPr>
            </w:pPr>
            <w:r>
              <w:rPr>
                <w:b/>
                <w:color w:val="C12E33"/>
                <w:sz w:val="20"/>
              </w:rPr>
              <w:t>Company-Wide Metrics</w:t>
            </w:r>
            <w:r>
              <w:rPr>
                <w:sz w:val="20"/>
              </w:rPr>
              <w:t xml:space="preserve"> </w:t>
            </w:r>
          </w:p>
        </w:tc>
        <w:tc>
          <w:tcPr>
            <w:tcW w:w="300" w:type="dxa"/>
            <w:tcBorders/>
            <w:vAlign w:val="center"/>
          </w:tcPr>
          <w:p>
            <w:pPr>
              <w:pStyle w:val="TableContents"/>
              <w:bidi w:val="0"/>
              <w:spacing w:before="0" w:after="283"/>
              <w:jc w:val="center"/>
              <w:rPr/>
            </w:pPr>
            <w:r>
              <w:rPr/>
              <w:t>     </w:t>
            </w:r>
          </w:p>
        </w:tc>
        <w:tc>
          <w:tcPr>
            <w:tcW w:w="3659" w:type="dxa"/>
            <w:gridSpan w:val="3"/>
            <w:tcBorders/>
            <w:shd w:fill="EDEDEE" w:val="clear"/>
            <w:vAlign w:val="center"/>
          </w:tcPr>
          <w:p>
            <w:pPr>
              <w:pStyle w:val="TableContents"/>
              <w:bidi w:val="0"/>
              <w:spacing w:before="0" w:after="283"/>
              <w:jc w:val="center"/>
              <w:rPr>
                <w:sz w:val="20"/>
              </w:rPr>
            </w:pPr>
            <w:r>
              <w:rPr>
                <w:b/>
                <w:sz w:val="20"/>
              </w:rPr>
              <w:t>Business Unit Metrics</w:t>
            </w:r>
            <w:r>
              <w:rPr>
                <w:sz w:val="20"/>
              </w:rPr>
              <w:t xml:space="preserve"> </w:t>
            </w:r>
          </w:p>
        </w:tc>
      </w:tr>
      <w:tr>
        <w:trPr/>
        <w:tc>
          <w:tcPr>
            <w:tcW w:w="1325" w:type="dxa"/>
            <w:tcBorders>
              <w:bottom w:val="single" w:sz="12" w:space="0" w:color="C12E33"/>
            </w:tcBorders>
            <w:tcMar>
              <w:bottom w:w="40" w:type="dxa"/>
            </w:tcMar>
            <w:vAlign w:val="center"/>
          </w:tcPr>
          <w:p>
            <w:pPr>
              <w:pStyle w:val="TableContents"/>
              <w:bidi w:val="0"/>
              <w:spacing w:before="0" w:after="283"/>
              <w:jc w:val="left"/>
              <w:rPr/>
            </w:pPr>
            <w:r>
              <w:rPr/>
              <w:t> </w:t>
            </w:r>
          </w:p>
        </w:tc>
        <w:tc>
          <w:tcPr>
            <w:tcW w:w="300" w:type="dxa"/>
            <w:tcBorders>
              <w:bottom w:val="single" w:sz="12" w:space="0" w:color="C12E33"/>
            </w:tcBorders>
            <w:tcMar>
              <w:bottom w:w="40" w:type="dxa"/>
            </w:tcMar>
            <w:vAlign w:val="center"/>
          </w:tcPr>
          <w:p>
            <w:pPr>
              <w:pStyle w:val="TableContents"/>
              <w:bidi w:val="0"/>
              <w:spacing w:before="0" w:after="283"/>
              <w:jc w:val="left"/>
              <w:rPr/>
            </w:pPr>
            <w:r>
              <w:rPr/>
              <w:t> </w:t>
            </w:r>
          </w:p>
        </w:tc>
        <w:tc>
          <w:tcPr>
            <w:tcW w:w="2461" w:type="dxa"/>
            <w:tcBorders>
              <w:bottom w:val="single" w:sz="12" w:space="0" w:color="C12E33"/>
            </w:tcBorders>
            <w:tcMar>
              <w:bottom w:w="40" w:type="dxa"/>
            </w:tcMar>
            <w:vAlign w:val="center"/>
          </w:tcPr>
          <w:p>
            <w:pPr>
              <w:pStyle w:val="TableContents"/>
              <w:bidi w:val="0"/>
              <w:spacing w:before="0" w:after="283"/>
              <w:jc w:val="center"/>
              <w:rPr>
                <w:color w:val="C12E33"/>
                <w:sz w:val="20"/>
              </w:rPr>
            </w:pPr>
            <w:r>
              <w:rPr>
                <w:color w:val="C12E33"/>
                <w:sz w:val="20"/>
              </w:rPr>
              <w:t>RTX Earnings</w:t>
            </w:r>
          </w:p>
        </w:tc>
        <w:tc>
          <w:tcPr>
            <w:tcW w:w="60" w:type="dxa"/>
            <w:tcBorders>
              <w:bottom w:val="single" w:sz="12" w:space="0" w:color="C12E33"/>
            </w:tcBorders>
            <w:tcMar>
              <w:bottom w:w="40" w:type="dxa"/>
            </w:tcMar>
            <w:vAlign w:val="center"/>
          </w:tcPr>
          <w:p>
            <w:pPr>
              <w:pStyle w:val="TableContents"/>
              <w:bidi w:val="0"/>
              <w:spacing w:before="0" w:after="283"/>
              <w:jc w:val="left"/>
              <w:rPr/>
            </w:pPr>
            <w:r>
              <w:rPr/>
              <w:t> </w:t>
            </w:r>
          </w:p>
        </w:tc>
        <w:tc>
          <w:tcPr>
            <w:tcW w:w="2100" w:type="dxa"/>
            <w:tcBorders>
              <w:bottom w:val="single" w:sz="12" w:space="0" w:color="C12E33"/>
            </w:tcBorders>
            <w:tcMar>
              <w:bottom w:w="40" w:type="dxa"/>
            </w:tcMar>
            <w:vAlign w:val="center"/>
          </w:tcPr>
          <w:p>
            <w:pPr>
              <w:pStyle w:val="TableContents"/>
              <w:bidi w:val="0"/>
              <w:spacing w:before="0" w:after="283"/>
              <w:jc w:val="center"/>
              <w:rPr>
                <w:color w:val="C12E33"/>
                <w:sz w:val="20"/>
              </w:rPr>
            </w:pPr>
            <w:r>
              <w:rPr>
                <w:color w:val="C12E33"/>
                <w:sz w:val="20"/>
              </w:rPr>
              <w:t>RTX FCF</w:t>
            </w:r>
          </w:p>
        </w:tc>
        <w:tc>
          <w:tcPr>
            <w:tcW w:w="300" w:type="dxa"/>
            <w:tcBorders>
              <w:bottom w:val="single" w:sz="12" w:space="0" w:color="C12E33"/>
            </w:tcBorders>
            <w:tcMar>
              <w:bottom w:w="40" w:type="dxa"/>
            </w:tcMar>
            <w:vAlign w:val="center"/>
          </w:tcPr>
          <w:p>
            <w:pPr>
              <w:pStyle w:val="TableContents"/>
              <w:bidi w:val="0"/>
              <w:spacing w:before="0" w:after="283"/>
              <w:jc w:val="left"/>
              <w:rPr/>
            </w:pPr>
            <w:r>
              <w:rPr/>
              <w:t> </w:t>
            </w:r>
          </w:p>
        </w:tc>
        <w:tc>
          <w:tcPr>
            <w:tcW w:w="1638" w:type="dxa"/>
            <w:tcBorders>
              <w:bottom w:val="single" w:sz="12" w:space="0" w:color="C12E33"/>
            </w:tcBorders>
            <w:tcMar>
              <w:bottom w:w="40" w:type="dxa"/>
            </w:tcMar>
            <w:vAlign w:val="center"/>
          </w:tcPr>
          <w:p>
            <w:pPr>
              <w:pStyle w:val="TableContents"/>
              <w:bidi w:val="0"/>
              <w:spacing w:before="0" w:after="283"/>
              <w:jc w:val="center"/>
              <w:rPr>
                <w:sz w:val="20"/>
              </w:rPr>
            </w:pPr>
            <w:r>
              <w:rPr>
                <w:sz w:val="20"/>
              </w:rPr>
              <w:t>Business Unit Earnings</w:t>
            </w:r>
          </w:p>
        </w:tc>
        <w:tc>
          <w:tcPr>
            <w:tcW w:w="60" w:type="dxa"/>
            <w:tcBorders>
              <w:bottom w:val="single" w:sz="12" w:space="0" w:color="C12E33"/>
            </w:tcBorders>
            <w:tcMar>
              <w:bottom w:w="40" w:type="dxa"/>
            </w:tcMar>
            <w:vAlign w:val="center"/>
          </w:tcPr>
          <w:p>
            <w:pPr>
              <w:pStyle w:val="TableContents"/>
              <w:bidi w:val="0"/>
              <w:spacing w:before="0" w:after="283"/>
              <w:jc w:val="left"/>
              <w:rPr/>
            </w:pPr>
            <w:r>
              <w:rPr/>
              <w:t> </w:t>
            </w:r>
          </w:p>
        </w:tc>
        <w:tc>
          <w:tcPr>
            <w:tcW w:w="1961" w:type="dxa"/>
            <w:tcBorders>
              <w:bottom w:val="single" w:sz="12" w:space="0" w:color="C12E33"/>
            </w:tcBorders>
            <w:tcMar>
              <w:bottom w:w="40" w:type="dxa"/>
            </w:tcMar>
            <w:vAlign w:val="center"/>
          </w:tcPr>
          <w:p>
            <w:pPr>
              <w:pStyle w:val="TableContents"/>
              <w:bidi w:val="0"/>
              <w:spacing w:before="0" w:after="283"/>
              <w:jc w:val="center"/>
              <w:rPr>
                <w:sz w:val="20"/>
              </w:rPr>
            </w:pPr>
            <w:r>
              <w:rPr>
                <w:sz w:val="20"/>
              </w:rPr>
              <w:t>Business Unit FCF</w:t>
            </w:r>
          </w:p>
        </w:tc>
      </w:tr>
      <w:tr>
        <w:trPr/>
        <w:tc>
          <w:tcPr>
            <w:tcW w:w="1325" w:type="dxa"/>
            <w:tcBorders/>
            <w:vAlign w:val="center"/>
          </w:tcPr>
          <w:p>
            <w:pPr>
              <w:pStyle w:val="TableContents"/>
              <w:bidi w:val="0"/>
              <w:spacing w:before="0" w:after="283"/>
              <w:jc w:val="left"/>
              <w:rPr>
                <w:b/>
              </w:rPr>
            </w:pPr>
            <w:r>
              <w:rPr>
                <w:b/>
              </w:rPr>
              <w:t>How are AIP financial metrics defined?</w:t>
            </w:r>
          </w:p>
        </w:tc>
        <w:tc>
          <w:tcPr>
            <w:tcW w:w="300" w:type="dxa"/>
            <w:tcBorders/>
            <w:vAlign w:val="center"/>
          </w:tcPr>
          <w:p>
            <w:pPr>
              <w:pStyle w:val="TableContents"/>
              <w:bidi w:val="0"/>
              <w:spacing w:before="0" w:after="283"/>
              <w:jc w:val="left"/>
              <w:rPr/>
            </w:pPr>
            <w:r>
              <w:rPr/>
              <w:t> </w:t>
            </w:r>
          </w:p>
        </w:tc>
        <w:tc>
          <w:tcPr>
            <w:tcW w:w="2461" w:type="dxa"/>
            <w:tcBorders/>
            <w:vAlign w:val="center"/>
          </w:tcPr>
          <w:p>
            <w:pPr>
              <w:pStyle w:val="TableContents"/>
              <w:bidi w:val="0"/>
              <w:spacing w:before="0" w:after="283"/>
              <w:jc w:val="left"/>
              <w:rPr/>
            </w:pPr>
            <w:r>
              <w:rPr/>
              <w:t>We start with a GAAP measure: RTX’s net income attributable to common shareowners.</w:t>
            </w:r>
            <w:r>
              <w:rPr>
                <w:position w:val="8"/>
                <w:sz w:val="19"/>
              </w:rPr>
              <w:t>(1)</w:t>
            </w:r>
          </w:p>
        </w:tc>
        <w:tc>
          <w:tcPr>
            <w:tcW w:w="60" w:type="dxa"/>
            <w:tcBorders/>
            <w:vAlign w:val="center"/>
          </w:tcPr>
          <w:p>
            <w:pPr>
              <w:pStyle w:val="TableContents"/>
              <w:bidi w:val="0"/>
              <w:spacing w:before="0" w:after="283"/>
              <w:jc w:val="left"/>
              <w:rPr/>
            </w:pPr>
            <w:r>
              <w:rPr/>
              <w:t> </w:t>
            </w:r>
          </w:p>
        </w:tc>
        <w:tc>
          <w:tcPr>
            <w:tcW w:w="2100" w:type="dxa"/>
            <w:tcBorders/>
            <w:vAlign w:val="center"/>
          </w:tcPr>
          <w:p>
            <w:pPr>
              <w:pStyle w:val="TableContents"/>
              <w:bidi w:val="0"/>
              <w:spacing w:before="0" w:after="283"/>
              <w:jc w:val="left"/>
              <w:rPr/>
            </w:pPr>
            <w:r>
              <w:rPr/>
              <w:t>We start by subtracting one GAAP measure from another: RTX’s consolidated net cash flow from operating activities, less RTX’s capital expenditures.</w:t>
            </w:r>
            <w:r>
              <w:rPr>
                <w:position w:val="8"/>
                <w:sz w:val="19"/>
              </w:rPr>
              <w:t>(1)</w:t>
            </w:r>
          </w:p>
        </w:tc>
        <w:tc>
          <w:tcPr>
            <w:tcW w:w="300" w:type="dxa"/>
            <w:tcBorders/>
            <w:vAlign w:val="center"/>
          </w:tcPr>
          <w:p>
            <w:pPr>
              <w:pStyle w:val="TableContents"/>
              <w:bidi w:val="0"/>
              <w:spacing w:before="0" w:after="283"/>
              <w:jc w:val="left"/>
              <w:rPr/>
            </w:pPr>
            <w:r>
              <w:rPr/>
              <w:t> </w:t>
            </w:r>
          </w:p>
        </w:tc>
        <w:tc>
          <w:tcPr>
            <w:tcW w:w="1638" w:type="dxa"/>
            <w:tcBorders/>
            <w:vAlign w:val="center"/>
          </w:tcPr>
          <w:p>
            <w:pPr>
              <w:pStyle w:val="TableContents"/>
              <w:bidi w:val="0"/>
              <w:spacing w:before="0" w:after="283"/>
              <w:jc w:val="left"/>
              <w:rPr/>
            </w:pPr>
            <w:r>
              <w:rPr/>
              <w:t>We start with a GAAP measure: segment operating income.</w:t>
            </w:r>
            <w:r>
              <w:rPr>
                <w:position w:val="8"/>
                <w:sz w:val="19"/>
              </w:rPr>
              <w:t>(1)</w:t>
            </w:r>
          </w:p>
        </w:tc>
        <w:tc>
          <w:tcPr>
            <w:tcW w:w="60" w:type="dxa"/>
            <w:tcBorders/>
            <w:vAlign w:val="center"/>
          </w:tcPr>
          <w:p>
            <w:pPr>
              <w:pStyle w:val="TableContents"/>
              <w:bidi w:val="0"/>
              <w:spacing w:before="0" w:after="283"/>
              <w:jc w:val="left"/>
              <w:rPr/>
            </w:pPr>
            <w:r>
              <w:rPr/>
              <w:t> </w:t>
            </w:r>
          </w:p>
        </w:tc>
        <w:tc>
          <w:tcPr>
            <w:tcW w:w="1961" w:type="dxa"/>
            <w:tcBorders/>
            <w:vAlign w:val="center"/>
          </w:tcPr>
          <w:p>
            <w:pPr>
              <w:pStyle w:val="TableContents"/>
              <w:bidi w:val="0"/>
              <w:spacing w:before="0" w:after="283"/>
              <w:jc w:val="left"/>
              <w:rPr/>
            </w:pPr>
            <w:r>
              <w:rPr/>
              <w:t>We start with an internal measure based on business unit net cash flow from operating activities, less business unit capital expenditures.</w:t>
            </w:r>
          </w:p>
        </w:tc>
      </w:tr>
      <w:tr>
        <w:trPr/>
        <w:tc>
          <w:tcPr>
            <w:tcW w:w="1325" w:type="dxa"/>
            <w:tcBorders>
              <w:bottom w:val="single" w:sz="2" w:space="0" w:color="000000"/>
            </w:tcBorders>
            <w:tcMar>
              <w:bottom w:w="40" w:type="dxa"/>
            </w:tcMar>
            <w:vAlign w:val="center"/>
          </w:tcPr>
          <w:p>
            <w:pPr>
              <w:pStyle w:val="TableContents"/>
              <w:bidi w:val="0"/>
              <w:spacing w:before="0" w:after="283"/>
              <w:jc w:val="left"/>
              <w:rPr/>
            </w:pPr>
            <w:r>
              <w:rPr/>
              <w:t> </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8580" w:type="dxa"/>
            <w:gridSpan w:val="7"/>
            <w:tcBorders>
              <w:top w:val="single" w:sz="2" w:space="0" w:color="000000"/>
              <w:bottom w:val="single" w:sz="2" w:space="0" w:color="000000"/>
            </w:tcBorders>
            <w:tcMar>
              <w:top w:w="40" w:type="dxa"/>
              <w:bottom w:w="40" w:type="dxa"/>
            </w:tcMar>
            <w:vAlign w:val="center"/>
          </w:tcPr>
          <w:p>
            <w:pPr>
              <w:pStyle w:val="TableContents"/>
              <w:bidi w:val="0"/>
              <w:spacing w:before="0" w:after="283"/>
              <w:jc w:val="left"/>
              <w:rPr/>
            </w:pPr>
            <w:r>
              <w:rPr/>
              <w:t>Then we adjust for the impact of certain items and external events unrelated to our operating performance. These may include, in any given year, changes in tax laws, tariffs and accounting rules, restructuring costs, the impact of acquisitions and divestitures (including acquisition accounting adjustments, if applicable), and significant and/or nonrecurring items. See Appendix B on page 102 for additional details.</w:t>
            </w:r>
          </w:p>
        </w:tc>
      </w:tr>
      <w:tr>
        <w:trPr/>
        <w:tc>
          <w:tcPr>
            <w:tcW w:w="1325" w:type="dxa"/>
            <w:tcBorders>
              <w:bottom w:val="single" w:sz="12" w:space="0" w:color="000000"/>
            </w:tcBorders>
            <w:tcMar>
              <w:bottom w:w="40" w:type="dxa"/>
            </w:tcMar>
            <w:vAlign w:val="center"/>
          </w:tcPr>
          <w:p>
            <w:pPr>
              <w:pStyle w:val="TableContents"/>
              <w:bidi w:val="0"/>
              <w:spacing w:before="0" w:after="283"/>
              <w:jc w:val="left"/>
              <w:rPr>
                <w:b/>
              </w:rPr>
            </w:pPr>
            <w:r>
              <w:rPr>
                <w:b/>
              </w:rPr>
              <w:t>Why did the HCC Committee choose these metrics?</w:t>
            </w:r>
          </w:p>
        </w:tc>
        <w:tc>
          <w:tcPr>
            <w:tcW w:w="300" w:type="dxa"/>
            <w:tcBorders>
              <w:bottom w:val="single" w:sz="12" w:space="0" w:color="000000"/>
            </w:tcBorders>
            <w:tcMar>
              <w:bottom w:w="40" w:type="dxa"/>
            </w:tcMar>
            <w:vAlign w:val="center"/>
          </w:tcPr>
          <w:p>
            <w:pPr>
              <w:pStyle w:val="TableContents"/>
              <w:bidi w:val="0"/>
              <w:spacing w:before="0" w:after="283"/>
              <w:jc w:val="left"/>
              <w:rPr/>
            </w:pPr>
            <w:r>
              <w:rPr/>
              <w:t> </w:t>
            </w:r>
          </w:p>
        </w:tc>
        <w:tc>
          <w:tcPr>
            <w:tcW w:w="2461" w:type="dxa"/>
            <w:tcBorders>
              <w:bottom w:val="single" w:sz="12" w:space="0" w:color="000000"/>
            </w:tcBorders>
            <w:tcMar>
              <w:bottom w:w="40" w:type="dxa"/>
            </w:tcMar>
            <w:vAlign w:val="center"/>
          </w:tcPr>
          <w:p>
            <w:pPr>
              <w:pStyle w:val="TableContents"/>
              <w:bidi w:val="0"/>
              <w:spacing w:before="0" w:after="283"/>
              <w:jc w:val="left"/>
              <w:rPr/>
            </w:pPr>
            <w:r>
              <w:rPr/>
              <w:t>The HCC Committee believes adjusted net income is relevant because it measures the immediate impact of operating decisions on RTX’s overall performance, and includes the impact of items such as tax, interest and foreign exchange fluctuations, which are managed at the Corporate level.</w:t>
            </w:r>
          </w:p>
        </w:tc>
        <w:tc>
          <w:tcPr>
            <w:tcW w:w="60" w:type="dxa"/>
            <w:tcBorders>
              <w:bottom w:val="single" w:sz="12" w:space="0" w:color="000000"/>
            </w:tcBorders>
            <w:tcMar>
              <w:bottom w:w="40" w:type="dxa"/>
            </w:tcMar>
            <w:vAlign w:val="center"/>
          </w:tcPr>
          <w:p>
            <w:pPr>
              <w:pStyle w:val="TableContents"/>
              <w:bidi w:val="0"/>
              <w:spacing w:before="0" w:after="283"/>
              <w:jc w:val="left"/>
              <w:rPr/>
            </w:pPr>
            <w:r>
              <w:rPr/>
              <w:t> </w:t>
            </w:r>
          </w:p>
        </w:tc>
        <w:tc>
          <w:tcPr>
            <w:tcW w:w="2100" w:type="dxa"/>
            <w:tcBorders>
              <w:bottom w:val="single" w:sz="12" w:space="0" w:color="000000"/>
            </w:tcBorders>
            <w:tcMar>
              <w:bottom w:w="40" w:type="dxa"/>
            </w:tcMar>
            <w:vAlign w:val="center"/>
          </w:tcPr>
          <w:p>
            <w:pPr>
              <w:pStyle w:val="TableContents"/>
              <w:bidi w:val="0"/>
              <w:spacing w:before="0" w:after="283"/>
              <w:jc w:val="left"/>
              <w:rPr/>
            </w:pPr>
            <w:r>
              <w:rPr/>
              <w:t>The HCC Committee believes that FCF performance is a relevant measure of our ability to generate cash to fund our operations and key business investments and to return capital to our shareowners.</w:t>
            </w:r>
          </w:p>
        </w:tc>
        <w:tc>
          <w:tcPr>
            <w:tcW w:w="300" w:type="dxa"/>
            <w:tcBorders>
              <w:bottom w:val="single" w:sz="12" w:space="0" w:color="000000"/>
            </w:tcBorders>
            <w:tcMar>
              <w:bottom w:w="40" w:type="dxa"/>
            </w:tcMar>
            <w:vAlign w:val="center"/>
          </w:tcPr>
          <w:p>
            <w:pPr>
              <w:pStyle w:val="TableContents"/>
              <w:bidi w:val="0"/>
              <w:spacing w:before="0" w:after="283"/>
              <w:jc w:val="left"/>
              <w:rPr/>
            </w:pPr>
            <w:r>
              <w:rPr/>
              <w:t> </w:t>
            </w:r>
          </w:p>
        </w:tc>
        <w:tc>
          <w:tcPr>
            <w:tcW w:w="1638" w:type="dxa"/>
            <w:tcBorders>
              <w:bottom w:val="single" w:sz="12" w:space="0" w:color="000000"/>
            </w:tcBorders>
            <w:tcMar>
              <w:bottom w:w="40" w:type="dxa"/>
            </w:tcMar>
            <w:vAlign w:val="center"/>
          </w:tcPr>
          <w:p>
            <w:pPr>
              <w:pStyle w:val="TableContents"/>
              <w:bidi w:val="0"/>
              <w:spacing w:before="0" w:after="283"/>
              <w:jc w:val="left"/>
              <w:rPr/>
            </w:pPr>
            <w:r>
              <w:rPr/>
              <w:t>The HCC Committee believes that operating income, exclusive of tax, interest and foreign exchange exposure, should be the focus of our business units.</w:t>
            </w:r>
          </w:p>
        </w:tc>
        <w:tc>
          <w:tcPr>
            <w:tcW w:w="60" w:type="dxa"/>
            <w:tcBorders>
              <w:bottom w:val="single" w:sz="12" w:space="0" w:color="000000"/>
            </w:tcBorders>
            <w:tcMar>
              <w:bottom w:w="40" w:type="dxa"/>
            </w:tcMar>
            <w:vAlign w:val="center"/>
          </w:tcPr>
          <w:p>
            <w:pPr>
              <w:pStyle w:val="TableContents"/>
              <w:bidi w:val="0"/>
              <w:spacing w:before="0" w:after="283"/>
              <w:jc w:val="left"/>
              <w:rPr/>
            </w:pPr>
            <w:r>
              <w:rPr/>
              <w:t> </w:t>
            </w:r>
          </w:p>
        </w:tc>
        <w:tc>
          <w:tcPr>
            <w:tcW w:w="1961" w:type="dxa"/>
            <w:tcBorders>
              <w:bottom w:val="single" w:sz="12" w:space="0" w:color="000000"/>
            </w:tcBorders>
            <w:tcMar>
              <w:bottom w:w="40" w:type="dxa"/>
            </w:tcMar>
            <w:vAlign w:val="center"/>
          </w:tcPr>
          <w:p>
            <w:pPr>
              <w:pStyle w:val="TableContents"/>
              <w:bidi w:val="0"/>
              <w:spacing w:before="0" w:after="283"/>
              <w:jc w:val="left"/>
              <w:rPr/>
            </w:pPr>
            <w:r>
              <w:rPr/>
              <w:t>The HCC Committee believes that FCF performance is a relevant measure of the business units’ ability to generate cash to fund their operations and key business investments.</w:t>
            </w:r>
          </w:p>
        </w:tc>
      </w:tr>
    </w:tbl>
    <w:p>
      <w:pPr>
        <w:pStyle w:val="TextBody"/>
        <w:bidi w:val="0"/>
        <w:spacing w:before="0" w:after="0"/>
        <w:ind w:left="0" w:right="0" w:hanging="0"/>
        <w:jc w:val="left"/>
        <w:rPr>
          <w:caps w:val="false"/>
          <w:smallCaps w:val="false"/>
        </w:rPr>
      </w:pPr>
      <w:r>
        <w:rPr>
          <w:caps w:val="false"/>
          <w:smallCaps w:val="false"/>
        </w:rPr>
        <w:t> </w:t>
      </w:r>
    </w:p>
    <w:tbl>
      <w:tblPr>
        <w:tblW w:w="3985" w:type="dxa"/>
        <w:jc w:val="left"/>
        <w:tblInd w:w="0" w:type="dxa"/>
        <w:tblLayout w:type="fixed"/>
        <w:tblCellMar>
          <w:top w:w="0" w:type="dxa"/>
          <w:left w:w="0" w:type="dxa"/>
          <w:bottom w:w="0" w:type="dxa"/>
          <w:right w:w="0" w:type="dxa"/>
        </w:tblCellMar>
      </w:tblPr>
      <w:tblGrid>
        <w:gridCol w:w="215"/>
        <w:gridCol w:w="3770"/>
      </w:tblGrid>
      <w:tr>
        <w:trPr/>
        <w:tc>
          <w:tcPr>
            <w:tcW w:w="215" w:type="dxa"/>
            <w:tcBorders/>
            <w:vAlign w:val="center"/>
          </w:tcPr>
          <w:p>
            <w:pPr>
              <w:pStyle w:val="TableContents"/>
              <w:bidi w:val="0"/>
              <w:spacing w:before="0" w:after="283"/>
              <w:jc w:val="left"/>
              <w:rPr>
                <w:rFonts w:ascii="Arial;Helvetica;Sans-Serif" w:hAnsi="Arial;Helvetica;Sans-Serif"/>
                <w:sz w:val="15"/>
              </w:rPr>
            </w:pPr>
            <w:r>
              <w:rPr>
                <w:rFonts w:ascii="Arial;Helvetica;Sans-Serif" w:hAnsi="Arial;Helvetica;Sans-Serif"/>
                <w:sz w:val="15"/>
              </w:rPr>
              <w:t>(1)</w:t>
            </w:r>
          </w:p>
        </w:tc>
        <w:tc>
          <w:tcPr>
            <w:tcW w:w="3770" w:type="dxa"/>
            <w:tcBorders/>
            <w:vAlign w:val="center"/>
          </w:tcPr>
          <w:p>
            <w:pPr>
              <w:pStyle w:val="TableContents"/>
              <w:bidi w:val="0"/>
              <w:spacing w:before="0" w:after="283"/>
              <w:jc w:val="left"/>
              <w:rPr>
                <w:rFonts w:ascii="Arial;Helvetica;Sans-Serif" w:hAnsi="Arial;Helvetica;Sans-Serif"/>
                <w:sz w:val="15"/>
              </w:rPr>
            </w:pPr>
            <w:r>
              <w:rPr>
                <w:rFonts w:ascii="Arial;Helvetica;Sans-Serif" w:hAnsi="Arial;Helvetica;Sans-Serif"/>
                <w:sz w:val="15"/>
              </w:rPr>
              <w:t>As reported in our 2025 Annual Report on Form 10-K.</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15"/>
        </w:rPr>
      </w:pPr>
      <w:r>
        <w:rPr>
          <w:rFonts w:ascii="Arial;Helvetica;Sans-Serif" w:hAnsi="Arial;Helvetica;Sans-Serif"/>
          <w:b/>
          <w:i w:val="false"/>
          <w:caps w:val="false"/>
          <w:smallCaps w:val="false"/>
          <w:sz w:val="15"/>
        </w:rPr>
        <w:t>48    RTX</w:t>
      </w:r>
      <w:r>
        <w:rPr>
          <w:rFonts w:ascii="Arial;Helvetica;Sans-Serif" w:hAnsi="Arial;Helvetica;Sans-Serif"/>
          <w:b w:val="false"/>
          <w:i w:val="false"/>
          <w:caps w:val="false"/>
          <w:smallCaps w:val="false"/>
          <w:sz w:val="15"/>
        </w:rPr>
        <w:t xml:space="preserve"> 2026 PROXY STATEMENT</w:t>
      </w:r>
    </w:p>
    <w:p>
      <w:pPr>
        <w:pStyle w:val="HorizontalLine"/>
        <w:pBdr>
          <w:bottom w:val="double" w:sz="2" w:space="0" w:color="808080"/>
        </w:pBdr>
        <w:bidi w:val="0"/>
        <w:spacing w:before="0" w:after="283"/>
        <w:jc w:val="left"/>
        <w:rPr/>
      </w:pPr>
      <w:r>
        <w:rPr/>
      </w:r>
    </w:p>
    <w:p>
      <w:pPr>
        <w:pStyle w:val="TextBody"/>
        <w:bidi w:val="0"/>
        <w:spacing w:before="200" w:after="200"/>
        <w:jc w:val="left"/>
        <w:rPr/>
      </w:pPr>
      <w:hyperlink w:anchor="toc">
        <w:r>
          <w:rPr>
            <w:rStyle w:val="InternetLink"/>
            <w:rFonts w:ascii="Arial;Helvetica;Sans-Serif" w:hAnsi="Arial;Helvetica;Sans-Serif"/>
            <w:b/>
            <w:i w:val="false"/>
            <w:caps w:val="false"/>
            <w:smallCaps w:val="false"/>
            <w:sz w:val="16"/>
          </w:rPr>
          <w:t>Table of Contents</w:t>
        </w:r>
      </w:hyperlink>
    </w:p>
    <w:p>
      <w:pPr>
        <w:pStyle w:val="TextBody"/>
        <w:bidi w:val="0"/>
        <w:spacing w:before="0" w:after="0"/>
        <w:ind w:left="0" w:right="0" w:hanging="0"/>
        <w:jc w:val="right"/>
        <w:rPr>
          <w:rFonts w:ascii="Arial;Helvetica;Sans-Serif" w:hAnsi="Arial;Helvetica;Sans-Serif"/>
          <w:b/>
          <w:i w:val="false"/>
          <w:caps w:val="false"/>
          <w:smallCaps w:val="false"/>
          <w:color w:val="C12E33"/>
          <w:sz w:val="15"/>
        </w:rPr>
      </w:pPr>
      <w:r>
        <w:rPr>
          <w:rFonts w:ascii="Arial;Helvetica;Sans-Serif" w:hAnsi="Arial;Helvetica;Sans-Serif"/>
          <w:b/>
          <w:i w:val="false"/>
          <w:caps w:val="false"/>
          <w:smallCaps w:val="false"/>
          <w:color w:val="C12E33"/>
          <w:sz w:val="15"/>
        </w:rPr>
        <w:t>COMPENSATION DISCUSSION AND ANALYSIS</w:t>
      </w:r>
    </w:p>
    <w:p>
      <w:pPr>
        <w:pStyle w:val="TextBody"/>
        <w:bidi w:val="0"/>
        <w:spacing w:before="0" w:after="0"/>
        <w:ind w:left="0" w:right="0" w:hanging="0"/>
        <w:jc w:val="righ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2025 PRINCIPAL ELEMENTS OF COMPENSATION</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0"/>
          <w:shd w:fill="EDEDEE" w:val="clear"/>
        </w:rPr>
      </w:pPr>
      <w:r>
        <w:rPr>
          <w:rFonts w:ascii="Arial;Helvetica;Sans-Serif" w:hAnsi="Arial;Helvetica;Sans-Serif"/>
          <w:b/>
          <w:i w:val="false"/>
          <w:caps w:val="false"/>
          <w:smallCaps w:val="false"/>
          <w:sz w:val="20"/>
          <w:shd w:fill="EDEDEE" w:val="clear"/>
        </w:rPr>
        <w:t>Why we use non-GAAP financial metrics for our annual incentives</w:t>
      </w:r>
    </w:p>
    <w:p>
      <w:pPr>
        <w:pStyle w:val="TextBody"/>
        <w:bidi w:val="0"/>
        <w:spacing w:before="0" w:after="0"/>
        <w:ind w:left="0" w:right="0" w:hanging="0"/>
        <w:jc w:val="left"/>
        <w:rPr>
          <w:caps w:val="false"/>
          <w:smallCaps w:val="false"/>
          <w:shd w:fill="EDEDEE" w:val="clear"/>
        </w:rPr>
      </w:pPr>
      <w:r>
        <w:rPr>
          <w:caps w:val="false"/>
          <w:smallCaps w:val="false"/>
          <w:shd w:fill="EDEDEE" w:val="clear"/>
        </w:rPr>
        <w:t> </w:t>
      </w:r>
    </w:p>
    <w:p>
      <w:pPr>
        <w:pStyle w:val="TextBody"/>
        <w:bidi w:val="0"/>
        <w:spacing w:before="0" w:after="0"/>
        <w:ind w:left="0" w:right="0" w:hanging="0"/>
        <w:jc w:val="left"/>
        <w:rPr>
          <w:rFonts w:ascii="Arial;Helvetica;Sans-Serif" w:hAnsi="Arial;Helvetica;Sans-Serif"/>
          <w:b w:val="false"/>
          <w:i w:val="false"/>
          <w:caps w:val="false"/>
          <w:smallCaps w:val="false"/>
          <w:sz w:val="20"/>
          <w:shd w:fill="EDEDEE" w:val="clear"/>
        </w:rPr>
      </w:pPr>
      <w:r>
        <w:rPr>
          <w:rFonts w:ascii="Arial;Helvetica;Sans-Serif" w:hAnsi="Arial;Helvetica;Sans-Serif"/>
          <w:b w:val="false"/>
          <w:i w:val="false"/>
          <w:caps w:val="false"/>
          <w:smallCaps w:val="false"/>
          <w:sz w:val="20"/>
          <w:shd w:fill="EDEDEE" w:val="clear"/>
        </w:rPr>
        <w:t>The HCC Committee believes that, to encourage decision-making aimed at long-term value creation, annual incentives should reflect the financial impact (positive or negative) of short-term decisions made in the best interest of RTX’s long-term business strategies. Through the adjustments noted on the prior page, our non-GAAP metrics allow for a clearer assessment of business performance and more closely align our AIP with the annual non-GAAP financial expectations we communicate to shareowners.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HOW WE PERFORMED ON OUR 2025 PERFORMANCE GOALS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HCC Committee established goals for earnings and free cash flow at threshold, target and maximum performance levels, both for the Company overall and for each business unit. Performance relative to these goals determines the performance factors used to fund the annual incentive pool for Corporate executives and for executives in each business unit. For 2025, Company-wide AIP earnings and free cash flow goals were set to align with the expectations we communicated to investors for the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Performance below the threshold level will result in 0% funding for that metric, while performance above the maximum level cannot exceed the maximum funding level of 200%. Performance that falls between the threshold, target and maximum levels results in funding between the applicable levels.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color w:val="C12E33"/>
          <w:sz w:val="20"/>
        </w:rPr>
      </w:pPr>
      <w:r>
        <w:rPr>
          <w:rFonts w:ascii="Arial;Helvetica;Sans-Serif" w:hAnsi="Arial;Helvetica;Sans-Serif"/>
          <w:b/>
          <w:i w:val="false"/>
          <w:caps w:val="false"/>
          <w:smallCaps w:val="false"/>
          <w:color w:val="C12E33"/>
          <w:sz w:val="20"/>
        </w:rPr>
        <w:t>2025 COMPANY-WIDE GOALS, RESULTS AND PERFORMANCE FACTORS</w:t>
      </w:r>
    </w:p>
    <w:p>
      <w:pPr>
        <w:pStyle w:val="TextBody"/>
        <w:bidi w:val="0"/>
        <w:spacing w:before="0" w:after="0"/>
        <w:ind w:left="0" w:right="0" w:hanging="0"/>
        <w:jc w:val="left"/>
        <w:rPr>
          <w:caps w:val="false"/>
          <w:smallCaps w:val="false"/>
          <w:color w:val="C12E33"/>
        </w:rPr>
      </w:pPr>
      <w:r>
        <w:rPr>
          <w:caps w:val="false"/>
          <w:smallCaps w:val="false"/>
          <w:color w:val="C12E33"/>
        </w:rPr>
        <w:t> </w:t>
      </w:r>
    </w:p>
    <w:tbl>
      <w:tblPr>
        <w:tblW w:w="10205" w:type="dxa"/>
        <w:jc w:val="left"/>
        <w:tblInd w:w="0" w:type="dxa"/>
        <w:tblLayout w:type="fixed"/>
        <w:tblCellMar>
          <w:top w:w="0" w:type="dxa"/>
          <w:left w:w="0" w:type="dxa"/>
          <w:bottom w:w="0" w:type="dxa"/>
          <w:right w:w="0" w:type="dxa"/>
        </w:tblCellMar>
      </w:tblPr>
      <w:tblGrid>
        <w:gridCol w:w="3321"/>
        <w:gridCol w:w="300"/>
        <w:gridCol w:w="455"/>
        <w:gridCol w:w="300"/>
        <w:gridCol w:w="869"/>
        <w:gridCol w:w="300"/>
        <w:gridCol w:w="937"/>
        <w:gridCol w:w="300"/>
        <w:gridCol w:w="937"/>
        <w:gridCol w:w="300"/>
        <w:gridCol w:w="680"/>
        <w:gridCol w:w="300"/>
        <w:gridCol w:w="1206"/>
      </w:tblGrid>
      <w:tr>
        <w:trPr/>
        <w:tc>
          <w:tcPr>
            <w:tcW w:w="3321"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283"/>
              <w:jc w:val="right"/>
              <w:rPr/>
            </w:pPr>
            <w:r>
              <w:rPr/>
              <w:t> </w:t>
            </w:r>
          </w:p>
        </w:tc>
        <w:tc>
          <w:tcPr>
            <w:tcW w:w="455"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283"/>
              <w:jc w:val="right"/>
              <w:rPr/>
            </w:pPr>
            <w:r>
              <w:rPr/>
              <w:t> </w:t>
            </w:r>
          </w:p>
        </w:tc>
        <w:tc>
          <w:tcPr>
            <w:tcW w:w="3343" w:type="dxa"/>
            <w:gridSpan w:val="5"/>
            <w:tcBorders>
              <w:bottom w:val="single" w:sz="12" w:space="0" w:color="C12E33"/>
            </w:tcBorders>
            <w:tcMar>
              <w:bottom w:w="40" w:type="dxa"/>
            </w:tcMar>
            <w:vAlign w:val="center"/>
          </w:tcPr>
          <w:p>
            <w:pPr>
              <w:pStyle w:val="TableContents"/>
              <w:bidi w:val="0"/>
              <w:spacing w:before="0" w:after="283"/>
              <w:jc w:val="center"/>
              <w:rPr>
                <w:color w:val="636466"/>
                <w:sz w:val="15"/>
              </w:rPr>
            </w:pPr>
            <w:r>
              <w:rPr>
                <w:color w:val="636466"/>
                <w:sz w:val="15"/>
              </w:rPr>
              <w:t>2025 Goals</w:t>
            </w:r>
          </w:p>
        </w:tc>
        <w:tc>
          <w:tcPr>
            <w:tcW w:w="300" w:type="dxa"/>
            <w:tcBorders/>
            <w:vAlign w:val="center"/>
          </w:tcPr>
          <w:p>
            <w:pPr>
              <w:pStyle w:val="TableContents"/>
              <w:bidi w:val="0"/>
              <w:spacing w:before="0" w:after="283"/>
              <w:jc w:val="right"/>
              <w:rPr/>
            </w:pPr>
            <w:r>
              <w:rPr/>
              <w:t> </w:t>
            </w:r>
          </w:p>
        </w:tc>
        <w:tc>
          <w:tcPr>
            <w:tcW w:w="680"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283"/>
              <w:jc w:val="right"/>
              <w:rPr/>
            </w:pPr>
            <w:r>
              <w:rPr/>
              <w:t> </w:t>
            </w:r>
          </w:p>
        </w:tc>
        <w:tc>
          <w:tcPr>
            <w:tcW w:w="1206" w:type="dxa"/>
            <w:tcBorders/>
            <w:vAlign w:val="center"/>
          </w:tcPr>
          <w:p>
            <w:pPr>
              <w:pStyle w:val="TableContents"/>
              <w:bidi w:val="0"/>
              <w:spacing w:before="0" w:after="283"/>
              <w:jc w:val="left"/>
              <w:rPr/>
            </w:pPr>
            <w:r>
              <w:rPr/>
              <w:t> </w:t>
            </w:r>
          </w:p>
        </w:tc>
      </w:tr>
      <w:tr>
        <w:trPr/>
        <w:tc>
          <w:tcPr>
            <w:tcW w:w="3321" w:type="dxa"/>
            <w:tcBorders>
              <w:bottom w:val="single" w:sz="12" w:space="0" w:color="C12E33"/>
            </w:tcBorders>
            <w:tcMar>
              <w:bottom w:w="40" w:type="dxa"/>
            </w:tcMar>
            <w:vAlign w:val="center"/>
          </w:tcPr>
          <w:p>
            <w:pPr>
              <w:pStyle w:val="TableContents"/>
              <w:bidi w:val="0"/>
              <w:spacing w:before="0" w:after="283"/>
              <w:jc w:val="left"/>
              <w:rPr>
                <w:color w:val="636466"/>
                <w:sz w:val="15"/>
              </w:rPr>
            </w:pPr>
            <w:r>
              <w:rPr>
                <w:color w:val="636466"/>
                <w:sz w:val="15"/>
              </w:rPr>
              <w:t>Financial Metric</w:t>
            </w:r>
          </w:p>
        </w:tc>
        <w:tc>
          <w:tcPr>
            <w:tcW w:w="300" w:type="dxa"/>
            <w:tcBorders>
              <w:bottom w:val="single" w:sz="12" w:space="0" w:color="C12E33"/>
            </w:tcBorders>
            <w:tcMar>
              <w:bottom w:w="40" w:type="dxa"/>
            </w:tcMar>
            <w:vAlign w:val="center"/>
          </w:tcPr>
          <w:p>
            <w:pPr>
              <w:pStyle w:val="TableContents"/>
              <w:bidi w:val="0"/>
              <w:spacing w:before="0" w:after="283"/>
              <w:jc w:val="right"/>
              <w:rPr/>
            </w:pPr>
            <w:r>
              <w:rPr/>
              <w:t>     </w:t>
            </w:r>
          </w:p>
        </w:tc>
        <w:tc>
          <w:tcPr>
            <w:tcW w:w="455" w:type="dxa"/>
            <w:tcBorders>
              <w:bottom w:val="single" w:sz="12" w:space="0" w:color="C12E33"/>
            </w:tcBorders>
            <w:tcMar>
              <w:bottom w:w="40" w:type="dxa"/>
            </w:tcMar>
            <w:vAlign w:val="center"/>
          </w:tcPr>
          <w:p>
            <w:pPr>
              <w:pStyle w:val="TableContents"/>
              <w:bidi w:val="0"/>
              <w:spacing w:before="0" w:after="283"/>
              <w:jc w:val="right"/>
              <w:rPr>
                <w:color w:val="636466"/>
                <w:sz w:val="15"/>
              </w:rPr>
            </w:pPr>
            <w:r>
              <w:rPr>
                <w:color w:val="636466"/>
                <w:sz w:val="15"/>
              </w:rPr>
              <w:t>Weight</w:t>
            </w:r>
          </w:p>
        </w:tc>
        <w:tc>
          <w:tcPr>
            <w:tcW w:w="300" w:type="dxa"/>
            <w:tcBorders>
              <w:bottom w:val="single" w:sz="12" w:space="0" w:color="C12E33"/>
            </w:tcBorders>
            <w:tcMar>
              <w:bottom w:w="40" w:type="dxa"/>
            </w:tcMar>
            <w:vAlign w:val="center"/>
          </w:tcPr>
          <w:p>
            <w:pPr>
              <w:pStyle w:val="TableContents"/>
              <w:bidi w:val="0"/>
              <w:spacing w:before="0" w:after="283"/>
              <w:jc w:val="right"/>
              <w:rPr/>
            </w:pPr>
            <w:r>
              <w:rPr/>
              <w:t>     </w:t>
            </w:r>
          </w:p>
        </w:tc>
        <w:tc>
          <w:tcPr>
            <w:tcW w:w="869" w:type="dxa"/>
            <w:tcBorders>
              <w:bottom w:val="single" w:sz="12" w:space="0" w:color="C12E33"/>
            </w:tcBorders>
            <w:tcMar>
              <w:bottom w:w="40" w:type="dxa"/>
            </w:tcMar>
            <w:vAlign w:val="center"/>
          </w:tcPr>
          <w:p>
            <w:pPr>
              <w:pStyle w:val="TableContents"/>
              <w:bidi w:val="0"/>
              <w:spacing w:before="0" w:after="283"/>
              <w:jc w:val="right"/>
              <w:rPr>
                <w:color w:val="636466"/>
                <w:sz w:val="15"/>
              </w:rPr>
            </w:pPr>
            <w:r>
              <w:rPr>
                <w:color w:val="636466"/>
                <w:sz w:val="15"/>
              </w:rPr>
              <w:t>Threshold</w:t>
              <w:br/>
              <w:t>(50% funding)</w:t>
            </w:r>
          </w:p>
        </w:tc>
        <w:tc>
          <w:tcPr>
            <w:tcW w:w="300" w:type="dxa"/>
            <w:tcBorders>
              <w:bottom w:val="single" w:sz="12" w:space="0" w:color="C12E33"/>
            </w:tcBorders>
            <w:tcMar>
              <w:bottom w:w="40" w:type="dxa"/>
            </w:tcMar>
            <w:vAlign w:val="center"/>
          </w:tcPr>
          <w:p>
            <w:pPr>
              <w:pStyle w:val="TableContents"/>
              <w:bidi w:val="0"/>
              <w:spacing w:before="0" w:after="283"/>
              <w:jc w:val="right"/>
              <w:rPr/>
            </w:pPr>
            <w:r>
              <w:rPr/>
              <w:t>     </w:t>
            </w:r>
          </w:p>
        </w:tc>
        <w:tc>
          <w:tcPr>
            <w:tcW w:w="937" w:type="dxa"/>
            <w:tcBorders>
              <w:bottom w:val="single" w:sz="12" w:space="0" w:color="C12E33"/>
            </w:tcBorders>
            <w:tcMar>
              <w:bottom w:w="40" w:type="dxa"/>
            </w:tcMar>
            <w:vAlign w:val="center"/>
          </w:tcPr>
          <w:p>
            <w:pPr>
              <w:pStyle w:val="TableContents"/>
              <w:bidi w:val="0"/>
              <w:spacing w:before="0" w:after="283"/>
              <w:jc w:val="right"/>
              <w:rPr>
                <w:color w:val="636466"/>
                <w:sz w:val="15"/>
              </w:rPr>
            </w:pPr>
            <w:r>
              <w:rPr>
                <w:color w:val="636466"/>
                <w:sz w:val="15"/>
              </w:rPr>
              <w:t>Target</w:t>
              <w:br/>
              <w:t>(100% funding)</w:t>
            </w:r>
          </w:p>
        </w:tc>
        <w:tc>
          <w:tcPr>
            <w:tcW w:w="300" w:type="dxa"/>
            <w:tcBorders>
              <w:bottom w:val="single" w:sz="12" w:space="0" w:color="C12E33"/>
            </w:tcBorders>
            <w:tcMar>
              <w:bottom w:w="40" w:type="dxa"/>
            </w:tcMar>
            <w:vAlign w:val="center"/>
          </w:tcPr>
          <w:p>
            <w:pPr>
              <w:pStyle w:val="TableContents"/>
              <w:bidi w:val="0"/>
              <w:spacing w:before="0" w:after="283"/>
              <w:jc w:val="right"/>
              <w:rPr/>
            </w:pPr>
            <w:r>
              <w:rPr/>
              <w:t>     </w:t>
            </w:r>
          </w:p>
        </w:tc>
        <w:tc>
          <w:tcPr>
            <w:tcW w:w="937" w:type="dxa"/>
            <w:tcBorders>
              <w:bottom w:val="single" w:sz="12" w:space="0" w:color="C12E33"/>
            </w:tcBorders>
            <w:tcMar>
              <w:bottom w:w="40" w:type="dxa"/>
            </w:tcMar>
            <w:vAlign w:val="center"/>
          </w:tcPr>
          <w:p>
            <w:pPr>
              <w:pStyle w:val="TableContents"/>
              <w:bidi w:val="0"/>
              <w:spacing w:before="0" w:after="283"/>
              <w:jc w:val="right"/>
              <w:rPr>
                <w:color w:val="636466"/>
                <w:sz w:val="15"/>
              </w:rPr>
            </w:pPr>
            <w:r>
              <w:rPr>
                <w:color w:val="636466"/>
                <w:sz w:val="15"/>
              </w:rPr>
              <w:t>Maximum</w:t>
              <w:br/>
              <w:t>(200% funding)</w:t>
            </w:r>
          </w:p>
        </w:tc>
        <w:tc>
          <w:tcPr>
            <w:tcW w:w="300" w:type="dxa"/>
            <w:tcBorders>
              <w:bottom w:val="single" w:sz="12" w:space="0" w:color="C12E33"/>
            </w:tcBorders>
            <w:tcMar>
              <w:bottom w:w="40" w:type="dxa"/>
            </w:tcMar>
            <w:vAlign w:val="center"/>
          </w:tcPr>
          <w:p>
            <w:pPr>
              <w:pStyle w:val="TableContents"/>
              <w:bidi w:val="0"/>
              <w:spacing w:before="0" w:after="283"/>
              <w:jc w:val="right"/>
              <w:rPr/>
            </w:pPr>
            <w:r>
              <w:rPr/>
              <w:t>     </w:t>
            </w:r>
          </w:p>
        </w:tc>
        <w:tc>
          <w:tcPr>
            <w:tcW w:w="680" w:type="dxa"/>
            <w:tcBorders>
              <w:bottom w:val="single" w:sz="12" w:space="0" w:color="C12E33"/>
            </w:tcBorders>
            <w:tcMar>
              <w:bottom w:w="40" w:type="dxa"/>
            </w:tcMar>
            <w:vAlign w:val="center"/>
          </w:tcPr>
          <w:p>
            <w:pPr>
              <w:pStyle w:val="TableContents"/>
              <w:bidi w:val="0"/>
              <w:spacing w:before="0" w:after="283"/>
              <w:jc w:val="right"/>
              <w:rPr>
                <w:color w:val="636466"/>
                <w:sz w:val="15"/>
              </w:rPr>
            </w:pPr>
            <w:r>
              <w:rPr>
                <w:color w:val="636466"/>
                <w:sz w:val="15"/>
              </w:rPr>
              <w:t>2025</w:t>
              <w:br/>
              <w:t>Results</w:t>
            </w:r>
            <w:r>
              <w:rPr>
                <w:color w:val="636466"/>
                <w:position w:val="5"/>
                <w:sz w:val="12"/>
                <w:sz w:val="15"/>
              </w:rPr>
              <w:t>(1)</w:t>
            </w:r>
          </w:p>
        </w:tc>
        <w:tc>
          <w:tcPr>
            <w:tcW w:w="300" w:type="dxa"/>
            <w:tcBorders>
              <w:bottom w:val="single" w:sz="12" w:space="0" w:color="C12E33"/>
            </w:tcBorders>
            <w:tcMar>
              <w:bottom w:w="40" w:type="dxa"/>
            </w:tcMar>
            <w:vAlign w:val="center"/>
          </w:tcPr>
          <w:p>
            <w:pPr>
              <w:pStyle w:val="TableContents"/>
              <w:bidi w:val="0"/>
              <w:spacing w:before="0" w:after="283"/>
              <w:jc w:val="right"/>
              <w:rPr/>
            </w:pPr>
            <w:r>
              <w:rPr/>
              <w:t>     </w:t>
            </w:r>
          </w:p>
        </w:tc>
        <w:tc>
          <w:tcPr>
            <w:tcW w:w="1206" w:type="dxa"/>
            <w:tcBorders>
              <w:bottom w:val="single" w:sz="12" w:space="0" w:color="C12E33"/>
            </w:tcBorders>
            <w:tcMar>
              <w:bottom w:w="40" w:type="dxa"/>
            </w:tcMar>
            <w:vAlign w:val="center"/>
          </w:tcPr>
          <w:p>
            <w:pPr>
              <w:pStyle w:val="TableContents"/>
              <w:bidi w:val="0"/>
              <w:spacing w:before="0" w:after="283"/>
              <w:jc w:val="right"/>
              <w:rPr>
                <w:color w:val="636466"/>
                <w:sz w:val="15"/>
              </w:rPr>
            </w:pPr>
            <w:r>
              <w:rPr>
                <w:color w:val="636466"/>
                <w:sz w:val="15"/>
              </w:rPr>
              <w:t>Performance Factors</w:t>
            </w:r>
          </w:p>
        </w:tc>
      </w:tr>
      <w:tr>
        <w:trPr/>
        <w:tc>
          <w:tcPr>
            <w:tcW w:w="3321" w:type="dxa"/>
            <w:tcBorders>
              <w:bottom w:val="single" w:sz="2" w:space="0" w:color="000000"/>
            </w:tcBorders>
            <w:tcMar>
              <w:bottom w:w="40" w:type="dxa"/>
            </w:tcMar>
            <w:vAlign w:val="center"/>
          </w:tcPr>
          <w:p>
            <w:pPr>
              <w:pStyle w:val="TableContents"/>
              <w:bidi w:val="0"/>
              <w:spacing w:before="0" w:after="283"/>
              <w:jc w:val="left"/>
              <w:rPr/>
            </w:pPr>
            <w:r>
              <w:rPr/>
              <w:t>Earnings—adjusted net income ($M)</w:t>
            </w:r>
          </w:p>
        </w:tc>
        <w:tc>
          <w:tcPr>
            <w:tcW w:w="300" w:type="dxa"/>
            <w:tcBorders>
              <w:bottom w:val="single" w:sz="2" w:space="0" w:color="000000"/>
            </w:tcBorders>
            <w:tcMar>
              <w:bottom w:w="40" w:type="dxa"/>
            </w:tcMar>
            <w:vAlign w:val="center"/>
          </w:tcPr>
          <w:p>
            <w:pPr>
              <w:pStyle w:val="TableContents"/>
              <w:bidi w:val="0"/>
              <w:spacing w:before="0" w:after="283"/>
              <w:jc w:val="right"/>
              <w:rPr/>
            </w:pPr>
            <w:r>
              <w:rPr/>
              <w:t> </w:t>
            </w:r>
          </w:p>
        </w:tc>
        <w:tc>
          <w:tcPr>
            <w:tcW w:w="455" w:type="dxa"/>
            <w:tcBorders>
              <w:bottom w:val="single" w:sz="2" w:space="0" w:color="000000"/>
            </w:tcBorders>
            <w:tcMar>
              <w:bottom w:w="40" w:type="dxa"/>
            </w:tcMar>
            <w:vAlign w:val="center"/>
          </w:tcPr>
          <w:p>
            <w:pPr>
              <w:pStyle w:val="TableContents"/>
              <w:bidi w:val="0"/>
              <w:spacing w:before="0" w:after="283"/>
              <w:jc w:val="right"/>
              <w:rPr/>
            </w:pPr>
            <w:r>
              <w:rPr/>
              <w:t>50%</w:t>
            </w:r>
          </w:p>
        </w:tc>
        <w:tc>
          <w:tcPr>
            <w:tcW w:w="300" w:type="dxa"/>
            <w:tcBorders>
              <w:bottom w:val="single" w:sz="2" w:space="0" w:color="000000"/>
            </w:tcBorders>
            <w:tcMar>
              <w:bottom w:w="40" w:type="dxa"/>
            </w:tcMar>
            <w:vAlign w:val="center"/>
          </w:tcPr>
          <w:p>
            <w:pPr>
              <w:pStyle w:val="TableContents"/>
              <w:bidi w:val="0"/>
              <w:spacing w:before="0" w:after="283"/>
              <w:jc w:val="right"/>
              <w:rPr/>
            </w:pPr>
            <w:r>
              <w:rPr/>
              <w:t> </w:t>
            </w:r>
          </w:p>
        </w:tc>
        <w:tc>
          <w:tcPr>
            <w:tcW w:w="869" w:type="dxa"/>
            <w:tcBorders>
              <w:bottom w:val="single" w:sz="2" w:space="0" w:color="000000"/>
            </w:tcBorders>
            <w:tcMar>
              <w:bottom w:w="40" w:type="dxa"/>
            </w:tcMar>
            <w:vAlign w:val="center"/>
          </w:tcPr>
          <w:p>
            <w:pPr>
              <w:pStyle w:val="TableContents"/>
              <w:bidi w:val="0"/>
              <w:spacing w:before="0" w:after="283"/>
              <w:jc w:val="right"/>
              <w:rPr/>
            </w:pPr>
            <w:r>
              <w:rPr/>
              <w:t>$7,090</w:t>
            </w:r>
          </w:p>
        </w:tc>
        <w:tc>
          <w:tcPr>
            <w:tcW w:w="300" w:type="dxa"/>
            <w:tcBorders>
              <w:bottom w:val="single" w:sz="2" w:space="0" w:color="000000"/>
            </w:tcBorders>
            <w:tcMar>
              <w:bottom w:w="40" w:type="dxa"/>
            </w:tcMar>
            <w:vAlign w:val="center"/>
          </w:tcPr>
          <w:p>
            <w:pPr>
              <w:pStyle w:val="TableContents"/>
              <w:bidi w:val="0"/>
              <w:spacing w:before="0" w:after="283"/>
              <w:jc w:val="right"/>
              <w:rPr/>
            </w:pPr>
            <w:r>
              <w:rPr/>
              <w:t> </w:t>
            </w:r>
          </w:p>
        </w:tc>
        <w:tc>
          <w:tcPr>
            <w:tcW w:w="937" w:type="dxa"/>
            <w:tcBorders>
              <w:bottom w:val="single" w:sz="2" w:space="0" w:color="000000"/>
            </w:tcBorders>
            <w:tcMar>
              <w:bottom w:w="40" w:type="dxa"/>
            </w:tcMar>
            <w:vAlign w:val="center"/>
          </w:tcPr>
          <w:p>
            <w:pPr>
              <w:pStyle w:val="TableContents"/>
              <w:bidi w:val="0"/>
              <w:spacing w:before="0" w:after="283"/>
              <w:jc w:val="right"/>
              <w:rPr/>
            </w:pPr>
            <w:r>
              <w:rPr/>
              <w:t>$8,340</w:t>
            </w:r>
          </w:p>
        </w:tc>
        <w:tc>
          <w:tcPr>
            <w:tcW w:w="300" w:type="dxa"/>
            <w:tcBorders>
              <w:bottom w:val="single" w:sz="2" w:space="0" w:color="000000"/>
            </w:tcBorders>
            <w:tcMar>
              <w:bottom w:w="40" w:type="dxa"/>
            </w:tcMar>
            <w:vAlign w:val="center"/>
          </w:tcPr>
          <w:p>
            <w:pPr>
              <w:pStyle w:val="TableContents"/>
              <w:bidi w:val="0"/>
              <w:spacing w:before="0" w:after="283"/>
              <w:jc w:val="right"/>
              <w:rPr/>
            </w:pPr>
            <w:r>
              <w:rPr/>
              <w:t> </w:t>
            </w:r>
          </w:p>
        </w:tc>
        <w:tc>
          <w:tcPr>
            <w:tcW w:w="937" w:type="dxa"/>
            <w:tcBorders>
              <w:bottom w:val="single" w:sz="2" w:space="0" w:color="000000"/>
            </w:tcBorders>
            <w:tcMar>
              <w:bottom w:w="40" w:type="dxa"/>
            </w:tcMar>
            <w:vAlign w:val="center"/>
          </w:tcPr>
          <w:p>
            <w:pPr>
              <w:pStyle w:val="TableContents"/>
              <w:bidi w:val="0"/>
              <w:spacing w:before="0" w:after="283"/>
              <w:jc w:val="right"/>
              <w:rPr/>
            </w:pPr>
            <w:r>
              <w:rPr/>
              <w:t>$9,590</w:t>
            </w:r>
          </w:p>
        </w:tc>
        <w:tc>
          <w:tcPr>
            <w:tcW w:w="300" w:type="dxa"/>
            <w:tcBorders>
              <w:bottom w:val="single" w:sz="2" w:space="0" w:color="000000"/>
            </w:tcBorders>
            <w:tcMar>
              <w:bottom w:w="40" w:type="dxa"/>
            </w:tcMar>
            <w:vAlign w:val="center"/>
          </w:tcPr>
          <w:p>
            <w:pPr>
              <w:pStyle w:val="TableContents"/>
              <w:bidi w:val="0"/>
              <w:spacing w:before="0" w:after="283"/>
              <w:jc w:val="right"/>
              <w:rPr/>
            </w:pPr>
            <w:r>
              <w:rPr/>
              <w:t> </w:t>
            </w:r>
          </w:p>
        </w:tc>
        <w:tc>
          <w:tcPr>
            <w:tcW w:w="680" w:type="dxa"/>
            <w:tcBorders>
              <w:bottom w:val="single" w:sz="2" w:space="0" w:color="000000"/>
            </w:tcBorders>
            <w:tcMar>
              <w:bottom w:w="40" w:type="dxa"/>
            </w:tcMar>
            <w:vAlign w:val="center"/>
          </w:tcPr>
          <w:p>
            <w:pPr>
              <w:pStyle w:val="TableContents"/>
              <w:bidi w:val="0"/>
              <w:spacing w:before="0" w:after="283"/>
              <w:jc w:val="right"/>
              <w:rPr/>
            </w:pPr>
            <w:r>
              <w:rPr/>
              <w:t>$9,115</w:t>
            </w:r>
          </w:p>
        </w:tc>
        <w:tc>
          <w:tcPr>
            <w:tcW w:w="300" w:type="dxa"/>
            <w:tcBorders>
              <w:bottom w:val="single" w:sz="2" w:space="0" w:color="000000"/>
            </w:tcBorders>
            <w:tcMar>
              <w:bottom w:w="40" w:type="dxa"/>
            </w:tcMar>
            <w:vAlign w:val="center"/>
          </w:tcPr>
          <w:p>
            <w:pPr>
              <w:pStyle w:val="TableContents"/>
              <w:bidi w:val="0"/>
              <w:spacing w:before="0" w:after="283"/>
              <w:jc w:val="right"/>
              <w:rPr/>
            </w:pPr>
            <w:r>
              <w:rPr/>
              <w:t> </w:t>
            </w:r>
          </w:p>
        </w:tc>
        <w:tc>
          <w:tcPr>
            <w:tcW w:w="1206" w:type="dxa"/>
            <w:tcBorders>
              <w:bottom w:val="single" w:sz="2" w:space="0" w:color="000000"/>
            </w:tcBorders>
            <w:tcMar>
              <w:bottom w:w="40" w:type="dxa"/>
            </w:tcMar>
            <w:vAlign w:val="center"/>
          </w:tcPr>
          <w:p>
            <w:pPr>
              <w:pStyle w:val="TableContents"/>
              <w:bidi w:val="0"/>
              <w:spacing w:before="0" w:after="283"/>
              <w:jc w:val="right"/>
              <w:rPr/>
            </w:pPr>
            <w:r>
              <w:rPr/>
              <w:t>162%</w:t>
            </w:r>
          </w:p>
        </w:tc>
      </w:tr>
      <w:tr>
        <w:trPr/>
        <w:tc>
          <w:tcPr>
            <w:tcW w:w="3321" w:type="dxa"/>
            <w:tcBorders>
              <w:bottom w:val="single" w:sz="12" w:space="0" w:color="636466"/>
            </w:tcBorders>
            <w:tcMar>
              <w:bottom w:w="40" w:type="dxa"/>
            </w:tcMar>
            <w:vAlign w:val="center"/>
          </w:tcPr>
          <w:p>
            <w:pPr>
              <w:pStyle w:val="TableContents"/>
              <w:bidi w:val="0"/>
              <w:spacing w:before="0" w:after="283"/>
              <w:jc w:val="left"/>
              <w:rPr/>
            </w:pPr>
            <w:r>
              <w:rPr/>
              <w:t>Free Cash Flow ($M)</w:t>
            </w:r>
          </w:p>
        </w:tc>
        <w:tc>
          <w:tcPr>
            <w:tcW w:w="300" w:type="dxa"/>
            <w:tcBorders>
              <w:bottom w:val="single" w:sz="12" w:space="0" w:color="636466"/>
            </w:tcBorders>
            <w:tcMar>
              <w:bottom w:w="40" w:type="dxa"/>
            </w:tcMar>
            <w:vAlign w:val="center"/>
          </w:tcPr>
          <w:p>
            <w:pPr>
              <w:pStyle w:val="TableContents"/>
              <w:bidi w:val="0"/>
              <w:spacing w:before="0" w:after="283"/>
              <w:jc w:val="right"/>
              <w:rPr/>
            </w:pPr>
            <w:r>
              <w:rPr/>
              <w:t> </w:t>
            </w:r>
          </w:p>
        </w:tc>
        <w:tc>
          <w:tcPr>
            <w:tcW w:w="455" w:type="dxa"/>
            <w:tcBorders>
              <w:bottom w:val="single" w:sz="12" w:space="0" w:color="636466"/>
            </w:tcBorders>
            <w:tcMar>
              <w:bottom w:w="40" w:type="dxa"/>
            </w:tcMar>
            <w:vAlign w:val="center"/>
          </w:tcPr>
          <w:p>
            <w:pPr>
              <w:pStyle w:val="TableContents"/>
              <w:bidi w:val="0"/>
              <w:spacing w:before="0" w:after="283"/>
              <w:jc w:val="right"/>
              <w:rPr/>
            </w:pPr>
            <w:r>
              <w:rPr/>
              <w:t>50%</w:t>
            </w:r>
          </w:p>
        </w:tc>
        <w:tc>
          <w:tcPr>
            <w:tcW w:w="300" w:type="dxa"/>
            <w:tcBorders>
              <w:bottom w:val="single" w:sz="12" w:space="0" w:color="636466"/>
            </w:tcBorders>
            <w:tcMar>
              <w:bottom w:w="40" w:type="dxa"/>
            </w:tcMar>
            <w:vAlign w:val="center"/>
          </w:tcPr>
          <w:p>
            <w:pPr>
              <w:pStyle w:val="TableContents"/>
              <w:bidi w:val="0"/>
              <w:spacing w:before="0" w:after="283"/>
              <w:jc w:val="right"/>
              <w:rPr/>
            </w:pPr>
            <w:r>
              <w:rPr/>
              <w:t> </w:t>
            </w:r>
          </w:p>
        </w:tc>
        <w:tc>
          <w:tcPr>
            <w:tcW w:w="869" w:type="dxa"/>
            <w:tcBorders>
              <w:bottom w:val="single" w:sz="12" w:space="0" w:color="636466"/>
            </w:tcBorders>
            <w:tcMar>
              <w:bottom w:w="40" w:type="dxa"/>
            </w:tcMar>
            <w:vAlign w:val="center"/>
          </w:tcPr>
          <w:p>
            <w:pPr>
              <w:pStyle w:val="TableContents"/>
              <w:bidi w:val="0"/>
              <w:spacing w:before="0" w:after="283"/>
              <w:jc w:val="right"/>
              <w:rPr/>
            </w:pPr>
            <w:r>
              <w:rPr/>
              <w:t>$6,065</w:t>
            </w:r>
          </w:p>
        </w:tc>
        <w:tc>
          <w:tcPr>
            <w:tcW w:w="300" w:type="dxa"/>
            <w:tcBorders>
              <w:bottom w:val="single" w:sz="12" w:space="0" w:color="636466"/>
            </w:tcBorders>
            <w:tcMar>
              <w:bottom w:w="40" w:type="dxa"/>
            </w:tcMar>
            <w:vAlign w:val="center"/>
          </w:tcPr>
          <w:p>
            <w:pPr>
              <w:pStyle w:val="TableContents"/>
              <w:bidi w:val="0"/>
              <w:spacing w:before="0" w:after="283"/>
              <w:jc w:val="right"/>
              <w:rPr/>
            </w:pPr>
            <w:r>
              <w:rPr/>
              <w:t> </w:t>
            </w:r>
          </w:p>
        </w:tc>
        <w:tc>
          <w:tcPr>
            <w:tcW w:w="937" w:type="dxa"/>
            <w:tcBorders>
              <w:bottom w:val="single" w:sz="12" w:space="0" w:color="636466"/>
            </w:tcBorders>
            <w:tcMar>
              <w:bottom w:w="40" w:type="dxa"/>
            </w:tcMar>
            <w:vAlign w:val="center"/>
          </w:tcPr>
          <w:p>
            <w:pPr>
              <w:pStyle w:val="TableContents"/>
              <w:bidi w:val="0"/>
              <w:spacing w:before="0" w:after="283"/>
              <w:jc w:val="right"/>
              <w:rPr/>
            </w:pPr>
            <w:r>
              <w:rPr/>
              <w:t>$7,500</w:t>
            </w:r>
          </w:p>
        </w:tc>
        <w:tc>
          <w:tcPr>
            <w:tcW w:w="300" w:type="dxa"/>
            <w:tcBorders>
              <w:bottom w:val="single" w:sz="12" w:space="0" w:color="636466"/>
            </w:tcBorders>
            <w:tcMar>
              <w:bottom w:w="40" w:type="dxa"/>
            </w:tcMar>
            <w:vAlign w:val="center"/>
          </w:tcPr>
          <w:p>
            <w:pPr>
              <w:pStyle w:val="TableContents"/>
              <w:bidi w:val="0"/>
              <w:spacing w:before="0" w:after="283"/>
              <w:jc w:val="right"/>
              <w:rPr/>
            </w:pPr>
            <w:r>
              <w:rPr/>
              <w:t> </w:t>
            </w:r>
          </w:p>
        </w:tc>
        <w:tc>
          <w:tcPr>
            <w:tcW w:w="937" w:type="dxa"/>
            <w:tcBorders>
              <w:bottom w:val="single" w:sz="12" w:space="0" w:color="636466"/>
            </w:tcBorders>
            <w:tcMar>
              <w:bottom w:w="40" w:type="dxa"/>
            </w:tcMar>
            <w:vAlign w:val="center"/>
          </w:tcPr>
          <w:p>
            <w:pPr>
              <w:pStyle w:val="TableContents"/>
              <w:bidi w:val="0"/>
              <w:spacing w:before="0" w:after="283"/>
              <w:jc w:val="right"/>
              <w:rPr/>
            </w:pPr>
            <w:r>
              <w:rPr/>
              <w:t>$8,935</w:t>
            </w:r>
          </w:p>
        </w:tc>
        <w:tc>
          <w:tcPr>
            <w:tcW w:w="300" w:type="dxa"/>
            <w:tcBorders>
              <w:bottom w:val="single" w:sz="12" w:space="0" w:color="636466"/>
            </w:tcBorders>
            <w:tcMar>
              <w:bottom w:w="40" w:type="dxa"/>
            </w:tcMar>
            <w:vAlign w:val="center"/>
          </w:tcPr>
          <w:p>
            <w:pPr>
              <w:pStyle w:val="TableContents"/>
              <w:bidi w:val="0"/>
              <w:spacing w:before="0" w:after="283"/>
              <w:jc w:val="right"/>
              <w:rPr/>
            </w:pPr>
            <w:r>
              <w:rPr/>
              <w:t> </w:t>
            </w:r>
          </w:p>
        </w:tc>
        <w:tc>
          <w:tcPr>
            <w:tcW w:w="680" w:type="dxa"/>
            <w:tcBorders>
              <w:bottom w:val="single" w:sz="12" w:space="0" w:color="636466"/>
            </w:tcBorders>
            <w:tcMar>
              <w:bottom w:w="40" w:type="dxa"/>
            </w:tcMar>
            <w:vAlign w:val="center"/>
          </w:tcPr>
          <w:p>
            <w:pPr>
              <w:pStyle w:val="TableContents"/>
              <w:bidi w:val="0"/>
              <w:spacing w:before="0" w:after="283"/>
              <w:jc w:val="right"/>
              <w:rPr/>
            </w:pPr>
            <w:r>
              <w:rPr/>
              <w:t>$8,448</w:t>
            </w:r>
          </w:p>
        </w:tc>
        <w:tc>
          <w:tcPr>
            <w:tcW w:w="300" w:type="dxa"/>
            <w:tcBorders>
              <w:bottom w:val="single" w:sz="12" w:space="0" w:color="636466"/>
            </w:tcBorders>
            <w:tcMar>
              <w:bottom w:w="40" w:type="dxa"/>
            </w:tcMar>
            <w:vAlign w:val="center"/>
          </w:tcPr>
          <w:p>
            <w:pPr>
              <w:pStyle w:val="TableContents"/>
              <w:bidi w:val="0"/>
              <w:spacing w:before="0" w:after="283"/>
              <w:jc w:val="right"/>
              <w:rPr/>
            </w:pPr>
            <w:r>
              <w:rPr/>
              <w:t> </w:t>
            </w:r>
          </w:p>
        </w:tc>
        <w:tc>
          <w:tcPr>
            <w:tcW w:w="1206" w:type="dxa"/>
            <w:tcBorders>
              <w:bottom w:val="single" w:sz="12" w:space="0" w:color="636466"/>
            </w:tcBorders>
            <w:tcMar>
              <w:bottom w:w="40" w:type="dxa"/>
            </w:tcMar>
            <w:vAlign w:val="center"/>
          </w:tcPr>
          <w:p>
            <w:pPr>
              <w:pStyle w:val="TableContents"/>
              <w:bidi w:val="0"/>
              <w:spacing w:before="0" w:after="283"/>
              <w:jc w:val="right"/>
              <w:rPr/>
            </w:pPr>
            <w:r>
              <w:rPr/>
              <w:t>166%</w:t>
            </w:r>
          </w:p>
        </w:tc>
      </w:tr>
      <w:tr>
        <w:trPr/>
        <w:tc>
          <w:tcPr>
            <w:tcW w:w="3321" w:type="dxa"/>
            <w:tcBorders>
              <w:bottom w:val="single" w:sz="12" w:space="0" w:color="636466"/>
            </w:tcBorders>
            <w:tcMar>
              <w:bottom w:w="40" w:type="dxa"/>
            </w:tcMar>
            <w:vAlign w:val="center"/>
          </w:tcPr>
          <w:p>
            <w:pPr>
              <w:pStyle w:val="TableContents"/>
              <w:bidi w:val="0"/>
              <w:spacing w:before="0" w:after="283"/>
              <w:jc w:val="left"/>
              <w:rPr>
                <w:b/>
                <w:color w:val="C12E33"/>
              </w:rPr>
            </w:pPr>
            <w:r>
              <w:rPr>
                <w:b/>
                <w:color w:val="C12E33"/>
              </w:rPr>
              <w:t>RTX Performance Factor</w:t>
            </w:r>
          </w:p>
        </w:tc>
        <w:tc>
          <w:tcPr>
            <w:tcW w:w="300" w:type="dxa"/>
            <w:tcBorders>
              <w:bottom w:val="single" w:sz="12" w:space="0" w:color="636466"/>
            </w:tcBorders>
            <w:tcMar>
              <w:bottom w:w="40" w:type="dxa"/>
            </w:tcMar>
            <w:vAlign w:val="center"/>
          </w:tcPr>
          <w:p>
            <w:pPr>
              <w:pStyle w:val="TableContents"/>
              <w:bidi w:val="0"/>
              <w:spacing w:before="0" w:after="283"/>
              <w:jc w:val="right"/>
              <w:rPr/>
            </w:pPr>
            <w:r>
              <w:rPr/>
              <w:t> </w:t>
            </w:r>
          </w:p>
        </w:tc>
        <w:tc>
          <w:tcPr>
            <w:tcW w:w="455" w:type="dxa"/>
            <w:tcBorders>
              <w:bottom w:val="single" w:sz="12" w:space="0" w:color="636466"/>
            </w:tcBorders>
            <w:tcMar>
              <w:bottom w:w="40" w:type="dxa"/>
            </w:tcMar>
            <w:vAlign w:val="center"/>
          </w:tcPr>
          <w:p>
            <w:pPr>
              <w:pStyle w:val="TableContents"/>
              <w:bidi w:val="0"/>
              <w:spacing w:before="0" w:after="283"/>
              <w:jc w:val="left"/>
              <w:rPr/>
            </w:pPr>
            <w:r>
              <w:rPr/>
              <w:t> </w:t>
            </w:r>
          </w:p>
        </w:tc>
        <w:tc>
          <w:tcPr>
            <w:tcW w:w="300" w:type="dxa"/>
            <w:tcBorders>
              <w:bottom w:val="single" w:sz="12" w:space="0" w:color="636466"/>
            </w:tcBorders>
            <w:tcMar>
              <w:bottom w:w="40" w:type="dxa"/>
            </w:tcMar>
            <w:vAlign w:val="center"/>
          </w:tcPr>
          <w:p>
            <w:pPr>
              <w:pStyle w:val="TableContents"/>
              <w:bidi w:val="0"/>
              <w:spacing w:before="0" w:after="283"/>
              <w:jc w:val="right"/>
              <w:rPr/>
            </w:pPr>
            <w:r>
              <w:rPr/>
              <w:t> </w:t>
            </w:r>
          </w:p>
        </w:tc>
        <w:tc>
          <w:tcPr>
            <w:tcW w:w="869" w:type="dxa"/>
            <w:tcBorders>
              <w:bottom w:val="single" w:sz="12" w:space="0" w:color="636466"/>
            </w:tcBorders>
            <w:tcMar>
              <w:bottom w:w="40" w:type="dxa"/>
            </w:tcMar>
            <w:vAlign w:val="center"/>
          </w:tcPr>
          <w:p>
            <w:pPr>
              <w:pStyle w:val="TableContents"/>
              <w:bidi w:val="0"/>
              <w:spacing w:before="0" w:after="283"/>
              <w:jc w:val="left"/>
              <w:rPr/>
            </w:pPr>
            <w:r>
              <w:rPr/>
              <w:t> </w:t>
            </w:r>
          </w:p>
        </w:tc>
        <w:tc>
          <w:tcPr>
            <w:tcW w:w="300" w:type="dxa"/>
            <w:tcBorders>
              <w:bottom w:val="single" w:sz="12" w:space="0" w:color="636466"/>
            </w:tcBorders>
            <w:tcMar>
              <w:bottom w:w="40" w:type="dxa"/>
            </w:tcMar>
            <w:vAlign w:val="center"/>
          </w:tcPr>
          <w:p>
            <w:pPr>
              <w:pStyle w:val="TableContents"/>
              <w:bidi w:val="0"/>
              <w:spacing w:before="0" w:after="283"/>
              <w:jc w:val="right"/>
              <w:rPr/>
            </w:pPr>
            <w:r>
              <w:rPr/>
              <w:t> </w:t>
            </w:r>
          </w:p>
        </w:tc>
        <w:tc>
          <w:tcPr>
            <w:tcW w:w="937" w:type="dxa"/>
            <w:tcBorders>
              <w:bottom w:val="single" w:sz="12" w:space="0" w:color="636466"/>
            </w:tcBorders>
            <w:tcMar>
              <w:bottom w:w="40" w:type="dxa"/>
            </w:tcMar>
            <w:vAlign w:val="center"/>
          </w:tcPr>
          <w:p>
            <w:pPr>
              <w:pStyle w:val="TableContents"/>
              <w:bidi w:val="0"/>
              <w:spacing w:before="0" w:after="283"/>
              <w:jc w:val="left"/>
              <w:rPr/>
            </w:pPr>
            <w:r>
              <w:rPr/>
              <w:t> </w:t>
            </w:r>
          </w:p>
        </w:tc>
        <w:tc>
          <w:tcPr>
            <w:tcW w:w="300" w:type="dxa"/>
            <w:tcBorders>
              <w:bottom w:val="single" w:sz="12" w:space="0" w:color="636466"/>
            </w:tcBorders>
            <w:tcMar>
              <w:bottom w:w="40" w:type="dxa"/>
            </w:tcMar>
            <w:vAlign w:val="center"/>
          </w:tcPr>
          <w:p>
            <w:pPr>
              <w:pStyle w:val="TableContents"/>
              <w:bidi w:val="0"/>
              <w:spacing w:before="0" w:after="283"/>
              <w:jc w:val="right"/>
              <w:rPr/>
            </w:pPr>
            <w:r>
              <w:rPr/>
              <w:t> </w:t>
            </w:r>
          </w:p>
        </w:tc>
        <w:tc>
          <w:tcPr>
            <w:tcW w:w="937" w:type="dxa"/>
            <w:tcBorders>
              <w:bottom w:val="single" w:sz="12" w:space="0" w:color="636466"/>
            </w:tcBorders>
            <w:tcMar>
              <w:bottom w:w="40" w:type="dxa"/>
            </w:tcMar>
            <w:vAlign w:val="center"/>
          </w:tcPr>
          <w:p>
            <w:pPr>
              <w:pStyle w:val="TableContents"/>
              <w:bidi w:val="0"/>
              <w:spacing w:before="0" w:after="283"/>
              <w:jc w:val="left"/>
              <w:rPr/>
            </w:pPr>
            <w:r>
              <w:rPr/>
              <w:t> </w:t>
            </w:r>
          </w:p>
        </w:tc>
        <w:tc>
          <w:tcPr>
            <w:tcW w:w="300" w:type="dxa"/>
            <w:tcBorders>
              <w:bottom w:val="single" w:sz="12" w:space="0" w:color="636466"/>
            </w:tcBorders>
            <w:tcMar>
              <w:bottom w:w="40" w:type="dxa"/>
            </w:tcMar>
            <w:vAlign w:val="center"/>
          </w:tcPr>
          <w:p>
            <w:pPr>
              <w:pStyle w:val="TableContents"/>
              <w:bidi w:val="0"/>
              <w:spacing w:before="0" w:after="283"/>
              <w:jc w:val="right"/>
              <w:rPr/>
            </w:pPr>
            <w:r>
              <w:rPr/>
              <w:t> </w:t>
            </w:r>
          </w:p>
        </w:tc>
        <w:tc>
          <w:tcPr>
            <w:tcW w:w="680" w:type="dxa"/>
            <w:tcBorders>
              <w:bottom w:val="single" w:sz="12" w:space="0" w:color="636466"/>
            </w:tcBorders>
            <w:tcMar>
              <w:bottom w:w="40" w:type="dxa"/>
            </w:tcMar>
            <w:vAlign w:val="center"/>
          </w:tcPr>
          <w:p>
            <w:pPr>
              <w:pStyle w:val="TableContents"/>
              <w:bidi w:val="0"/>
              <w:spacing w:before="0" w:after="283"/>
              <w:jc w:val="left"/>
              <w:rPr/>
            </w:pPr>
            <w:r>
              <w:rPr/>
              <w:t> </w:t>
            </w:r>
          </w:p>
        </w:tc>
        <w:tc>
          <w:tcPr>
            <w:tcW w:w="300" w:type="dxa"/>
            <w:tcBorders>
              <w:bottom w:val="single" w:sz="12" w:space="0" w:color="636466"/>
            </w:tcBorders>
            <w:tcMar>
              <w:bottom w:w="40" w:type="dxa"/>
            </w:tcMar>
            <w:vAlign w:val="center"/>
          </w:tcPr>
          <w:p>
            <w:pPr>
              <w:pStyle w:val="TableContents"/>
              <w:bidi w:val="0"/>
              <w:spacing w:before="0" w:after="283"/>
              <w:jc w:val="right"/>
              <w:rPr/>
            </w:pPr>
            <w:r>
              <w:rPr/>
              <w:t> </w:t>
            </w:r>
          </w:p>
        </w:tc>
        <w:tc>
          <w:tcPr>
            <w:tcW w:w="1206" w:type="dxa"/>
            <w:tcBorders>
              <w:bottom w:val="single" w:sz="12" w:space="0" w:color="636466"/>
            </w:tcBorders>
            <w:tcMar>
              <w:bottom w:w="40" w:type="dxa"/>
            </w:tcMar>
            <w:vAlign w:val="center"/>
          </w:tcPr>
          <w:p>
            <w:pPr>
              <w:pStyle w:val="TableContents"/>
              <w:bidi w:val="0"/>
              <w:spacing w:before="0" w:after="283"/>
              <w:jc w:val="right"/>
              <w:rPr>
                <w:b/>
                <w:color w:val="C12E33"/>
              </w:rPr>
            </w:pPr>
            <w:r>
              <w:rPr>
                <w:b/>
                <w:color w:val="C12E33"/>
              </w:rPr>
              <w:t>164%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RTX’s 2025 GAAP net income of $6,732 million was adjusted to $9,115 million for AIP purposes and RTX’s 2025 free cash flow of $7,940 million was adjusted to $8,448 million for AIP purposes.</w:t>
      </w:r>
      <w:r>
        <w:rPr>
          <w:rFonts w:ascii="Arial;Helvetica;Sans-Serif" w:hAnsi="Arial;Helvetica;Sans-Serif"/>
          <w:b w:val="false"/>
          <w:i w:val="false"/>
          <w:caps w:val="false"/>
          <w:smallCaps w:val="false"/>
          <w:position w:val="7"/>
          <w:sz w:val="16"/>
          <w:sz w:val="20"/>
        </w:rPr>
        <w:t>(1)</w:t>
      </w:r>
      <w:r>
        <w:rPr>
          <w:rFonts w:ascii="Arial;Helvetica;Sans-Serif" w:hAnsi="Arial;Helvetica;Sans-Serif"/>
          <w:b w:val="false"/>
          <w:i w:val="false"/>
          <w:caps w:val="false"/>
          <w:smallCaps w:val="false"/>
          <w:sz w:val="20"/>
        </w:rPr>
        <w:t xml:space="preserve"> These adjusted AIP metrics measure net income and free cash flow exclusive of the impacts of changes in tax laws, tariffs and/or accounting rules, restructuring costs, acquisitions and divestitures (including acquisition accounting adjustments), and significant and/or nonrecurring items. All adjustments made to earnings and free cash flow for AIP purposes aligned with the definitions approved by the HCC Committee at its January 2025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color w:val="C12E33"/>
          <w:sz w:val="20"/>
        </w:rPr>
      </w:pPr>
      <w:r>
        <w:rPr>
          <w:rFonts w:ascii="Arial;Helvetica;Sans-Serif" w:hAnsi="Arial;Helvetica;Sans-Serif"/>
          <w:b/>
          <w:i w:val="false"/>
          <w:caps w:val="false"/>
          <w:smallCaps w:val="false"/>
          <w:color w:val="C12E33"/>
          <w:sz w:val="20"/>
        </w:rPr>
        <w:t>2025 BUSINESS UNIT GOALS, RESULTS AND PERFORMANCE FACTORS</w:t>
      </w:r>
    </w:p>
    <w:p>
      <w:pPr>
        <w:pStyle w:val="TextBody"/>
        <w:bidi w:val="0"/>
        <w:spacing w:before="0" w:after="0"/>
        <w:ind w:left="0" w:right="0" w:hanging="0"/>
        <w:jc w:val="left"/>
        <w:rPr>
          <w:caps w:val="false"/>
          <w:smallCaps w:val="false"/>
          <w:color w:val="C12E33"/>
        </w:rPr>
      </w:pPr>
      <w:r>
        <w:rPr>
          <w:caps w:val="false"/>
          <w:smallCaps w:val="false"/>
          <w:color w:val="C12E33"/>
        </w:rPr>
        <w:t> </w:t>
      </w:r>
    </w:p>
    <w:tbl>
      <w:tblPr>
        <w:tblW w:w="10205" w:type="dxa"/>
        <w:jc w:val="left"/>
        <w:tblInd w:w="0" w:type="dxa"/>
        <w:tblLayout w:type="fixed"/>
        <w:tblCellMar>
          <w:top w:w="0" w:type="dxa"/>
          <w:left w:w="0" w:type="dxa"/>
          <w:bottom w:w="0" w:type="dxa"/>
          <w:right w:w="0" w:type="dxa"/>
        </w:tblCellMar>
      </w:tblPr>
      <w:tblGrid>
        <w:gridCol w:w="4784"/>
        <w:gridCol w:w="300"/>
        <w:gridCol w:w="2648"/>
        <w:gridCol w:w="300"/>
        <w:gridCol w:w="2173"/>
      </w:tblGrid>
      <w:tr>
        <w:trPr/>
        <w:tc>
          <w:tcPr>
            <w:tcW w:w="4784"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283"/>
              <w:jc w:val="left"/>
              <w:rPr/>
            </w:pPr>
            <w:r>
              <w:rPr/>
              <w:t>     </w:t>
            </w:r>
          </w:p>
        </w:tc>
        <w:tc>
          <w:tcPr>
            <w:tcW w:w="5121" w:type="dxa"/>
            <w:gridSpan w:val="3"/>
            <w:tcBorders/>
            <w:shd w:fill="EDEDEE" w:val="clear"/>
            <w:vAlign w:val="center"/>
          </w:tcPr>
          <w:p>
            <w:pPr>
              <w:pStyle w:val="TableContents"/>
              <w:bidi w:val="0"/>
              <w:spacing w:before="0" w:after="283"/>
              <w:jc w:val="center"/>
              <w:rPr>
                <w:sz w:val="20"/>
              </w:rPr>
            </w:pPr>
            <w:r>
              <w:rPr>
                <w:b/>
                <w:sz w:val="20"/>
              </w:rPr>
              <w:t>Business Unit Goals and Results</w:t>
            </w:r>
            <w:r>
              <w:rPr>
                <w:b/>
                <w:position w:val="7"/>
                <w:sz w:val="16"/>
                <w:sz w:val="20"/>
              </w:rPr>
              <w:t>(2)</w:t>
            </w:r>
            <w:r>
              <w:rPr>
                <w:sz w:val="20"/>
              </w:rPr>
              <w:t xml:space="preserve"> </w:t>
            </w:r>
          </w:p>
        </w:tc>
      </w:tr>
      <w:tr>
        <w:trPr/>
        <w:tc>
          <w:tcPr>
            <w:tcW w:w="4784" w:type="dxa"/>
            <w:tcBorders>
              <w:bottom w:val="single" w:sz="12" w:space="0" w:color="C12E33"/>
            </w:tcBorders>
            <w:tcMar>
              <w:bottom w:w="40" w:type="dxa"/>
            </w:tcMar>
            <w:vAlign w:val="center"/>
          </w:tcPr>
          <w:p>
            <w:pPr>
              <w:pStyle w:val="TableContents"/>
              <w:bidi w:val="0"/>
              <w:spacing w:before="0" w:after="283"/>
              <w:jc w:val="left"/>
              <w:rPr/>
            </w:pPr>
            <w:r>
              <w:rPr/>
              <w:t> </w:t>
            </w:r>
          </w:p>
        </w:tc>
        <w:tc>
          <w:tcPr>
            <w:tcW w:w="300" w:type="dxa"/>
            <w:tcBorders>
              <w:bottom w:val="single" w:sz="12" w:space="0" w:color="C12E33"/>
            </w:tcBorders>
            <w:tcMar>
              <w:bottom w:w="40" w:type="dxa"/>
            </w:tcMar>
            <w:vAlign w:val="center"/>
          </w:tcPr>
          <w:p>
            <w:pPr>
              <w:pStyle w:val="TableContents"/>
              <w:bidi w:val="0"/>
              <w:spacing w:before="0" w:after="283"/>
              <w:jc w:val="left"/>
              <w:rPr/>
            </w:pPr>
            <w:r>
              <w:rPr/>
              <w:t> </w:t>
            </w:r>
          </w:p>
        </w:tc>
        <w:tc>
          <w:tcPr>
            <w:tcW w:w="2648" w:type="dxa"/>
            <w:tcBorders>
              <w:bottom w:val="single" w:sz="12" w:space="0" w:color="C12E33"/>
            </w:tcBorders>
            <w:tcMar>
              <w:bottom w:w="40" w:type="dxa"/>
            </w:tcMar>
            <w:vAlign w:val="center"/>
          </w:tcPr>
          <w:p>
            <w:pPr>
              <w:pStyle w:val="TableContents"/>
              <w:bidi w:val="0"/>
              <w:spacing w:before="0" w:after="283"/>
              <w:jc w:val="center"/>
              <w:rPr>
                <w:sz w:val="20"/>
              </w:rPr>
            </w:pPr>
            <w:r>
              <w:rPr>
                <w:sz w:val="20"/>
              </w:rPr>
              <w:t>Business Unit Earnings</w:t>
            </w:r>
          </w:p>
        </w:tc>
        <w:tc>
          <w:tcPr>
            <w:tcW w:w="300" w:type="dxa"/>
            <w:tcBorders>
              <w:bottom w:val="single" w:sz="12" w:space="0" w:color="C12E33"/>
            </w:tcBorders>
            <w:tcMar>
              <w:bottom w:w="40" w:type="dxa"/>
            </w:tcMar>
            <w:vAlign w:val="center"/>
          </w:tcPr>
          <w:p>
            <w:pPr>
              <w:pStyle w:val="TableContents"/>
              <w:bidi w:val="0"/>
              <w:spacing w:before="0" w:after="283"/>
              <w:jc w:val="left"/>
              <w:rPr/>
            </w:pPr>
            <w:r>
              <w:rPr/>
              <w:t>     </w:t>
            </w:r>
          </w:p>
        </w:tc>
        <w:tc>
          <w:tcPr>
            <w:tcW w:w="2173" w:type="dxa"/>
            <w:tcBorders>
              <w:bottom w:val="single" w:sz="12" w:space="0" w:color="C12E33"/>
            </w:tcBorders>
            <w:tcMar>
              <w:bottom w:w="40" w:type="dxa"/>
            </w:tcMar>
            <w:vAlign w:val="center"/>
          </w:tcPr>
          <w:p>
            <w:pPr>
              <w:pStyle w:val="TableContents"/>
              <w:bidi w:val="0"/>
              <w:spacing w:before="0" w:after="283"/>
              <w:jc w:val="center"/>
              <w:rPr>
                <w:sz w:val="20"/>
              </w:rPr>
            </w:pPr>
            <w:r>
              <w:rPr>
                <w:sz w:val="20"/>
              </w:rPr>
              <w:t>Business Unit FCF</w:t>
            </w:r>
          </w:p>
        </w:tc>
      </w:tr>
      <w:tr>
        <w:trPr/>
        <w:tc>
          <w:tcPr>
            <w:tcW w:w="4784" w:type="dxa"/>
            <w:tcBorders>
              <w:bottom w:val="single" w:sz="2" w:space="0" w:color="000000"/>
            </w:tcBorders>
            <w:tcMar>
              <w:bottom w:w="40" w:type="dxa"/>
            </w:tcMar>
            <w:vAlign w:val="center"/>
          </w:tcPr>
          <w:p>
            <w:pPr>
              <w:pStyle w:val="TableContents"/>
              <w:bidi w:val="0"/>
              <w:spacing w:before="0" w:after="283"/>
              <w:jc w:val="left"/>
              <w:rPr>
                <w:b/>
              </w:rPr>
            </w:pPr>
            <w:r>
              <w:rPr>
                <w:b/>
              </w:rPr>
              <w:t>What 2025 financial goals were set for annual incentive purposes?</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2648" w:type="dxa"/>
            <w:tcBorders>
              <w:bottom w:val="single" w:sz="2" w:space="0" w:color="000000"/>
            </w:tcBorders>
            <w:tcMar>
              <w:bottom w:w="40" w:type="dxa"/>
            </w:tcMar>
            <w:vAlign w:val="center"/>
          </w:tcPr>
          <w:p>
            <w:pPr>
              <w:pStyle w:val="TableContents"/>
              <w:bidi w:val="0"/>
              <w:spacing w:before="0" w:after="283"/>
              <w:jc w:val="left"/>
              <w:rPr/>
            </w:pPr>
            <w:r>
              <w:rPr/>
              <w:t>Adjusted operating income goals ranged from $2,830 million to $5,140 million for our business units.</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2173" w:type="dxa"/>
            <w:tcBorders>
              <w:bottom w:val="single" w:sz="2" w:space="0" w:color="000000"/>
            </w:tcBorders>
            <w:tcMar>
              <w:bottom w:w="40" w:type="dxa"/>
            </w:tcMar>
            <w:vAlign w:val="center"/>
          </w:tcPr>
          <w:p>
            <w:pPr>
              <w:pStyle w:val="TableContents"/>
              <w:bidi w:val="0"/>
              <w:spacing w:before="0" w:after="283"/>
              <w:jc w:val="left"/>
              <w:rPr/>
            </w:pPr>
            <w:r>
              <w:rPr/>
              <w:t>FCF goals ranged from $2,085 million to $4,205 million for our business units.</w:t>
            </w:r>
          </w:p>
        </w:tc>
      </w:tr>
      <w:tr>
        <w:trPr/>
        <w:tc>
          <w:tcPr>
            <w:tcW w:w="4784" w:type="dxa"/>
            <w:tcBorders>
              <w:bottom w:val="single" w:sz="2" w:space="0" w:color="000000"/>
            </w:tcBorders>
            <w:tcMar>
              <w:bottom w:w="40" w:type="dxa"/>
            </w:tcMar>
            <w:vAlign w:val="center"/>
          </w:tcPr>
          <w:p>
            <w:pPr>
              <w:pStyle w:val="TableContents"/>
              <w:bidi w:val="0"/>
              <w:spacing w:before="0" w:after="283"/>
              <w:jc w:val="left"/>
              <w:rPr>
                <w:b/>
              </w:rPr>
            </w:pPr>
            <w:r>
              <w:rPr>
                <w:b/>
              </w:rPr>
              <w:t>What were the financial results used for annual incentive purposes?</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2648" w:type="dxa"/>
            <w:tcBorders>
              <w:bottom w:val="single" w:sz="2" w:space="0" w:color="000000"/>
            </w:tcBorders>
            <w:tcMar>
              <w:bottom w:w="40" w:type="dxa"/>
            </w:tcMar>
            <w:vAlign w:val="center"/>
          </w:tcPr>
          <w:p>
            <w:pPr>
              <w:pStyle w:val="TableContents"/>
              <w:bidi w:val="0"/>
              <w:spacing w:before="0" w:after="283"/>
              <w:jc w:val="left"/>
              <w:rPr/>
            </w:pPr>
            <w:r>
              <w:rPr/>
              <w:t>Adjusted operating income results ranged from $2,858 million to $5,147 million for our business units.</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2173" w:type="dxa"/>
            <w:tcBorders>
              <w:bottom w:val="single" w:sz="2" w:space="0" w:color="000000"/>
            </w:tcBorders>
            <w:tcMar>
              <w:bottom w:w="40" w:type="dxa"/>
            </w:tcMar>
            <w:vAlign w:val="center"/>
          </w:tcPr>
          <w:p>
            <w:pPr>
              <w:pStyle w:val="TableContents"/>
              <w:bidi w:val="0"/>
              <w:spacing w:before="0" w:after="283"/>
              <w:jc w:val="left"/>
              <w:rPr/>
            </w:pPr>
            <w:r>
              <w:rPr/>
              <w:t>FCF results ranged from $2,245 million to $4,471 million for our business units.</w:t>
            </w:r>
          </w:p>
        </w:tc>
      </w:tr>
      <w:tr>
        <w:trPr/>
        <w:tc>
          <w:tcPr>
            <w:tcW w:w="4784" w:type="dxa"/>
            <w:tcBorders>
              <w:bottom w:val="single" w:sz="2" w:space="0" w:color="000000"/>
            </w:tcBorders>
            <w:tcMar>
              <w:bottom w:w="40" w:type="dxa"/>
            </w:tcMar>
            <w:vAlign w:val="center"/>
          </w:tcPr>
          <w:p>
            <w:pPr>
              <w:pStyle w:val="TableContents"/>
              <w:bidi w:val="0"/>
              <w:spacing w:before="0" w:after="283"/>
              <w:jc w:val="left"/>
              <w:rPr>
                <w:b/>
              </w:rPr>
            </w:pPr>
            <w:r>
              <w:rPr>
                <w:b/>
              </w:rPr>
              <w:t>What were the resulting performance factors for each metric?</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2648" w:type="dxa"/>
            <w:tcBorders>
              <w:bottom w:val="single" w:sz="2" w:space="0" w:color="000000"/>
            </w:tcBorders>
            <w:tcMar>
              <w:bottom w:w="40" w:type="dxa"/>
            </w:tcMar>
            <w:vAlign w:val="center"/>
          </w:tcPr>
          <w:p>
            <w:pPr>
              <w:pStyle w:val="TableContents"/>
              <w:bidi w:val="0"/>
              <w:spacing w:before="0" w:after="283"/>
              <w:jc w:val="left"/>
              <w:rPr/>
            </w:pPr>
            <w:r>
              <w:rPr/>
              <w:t>Ranged from 101% to 159% of target.</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2173" w:type="dxa"/>
            <w:tcBorders>
              <w:bottom w:val="single" w:sz="2" w:space="0" w:color="000000"/>
            </w:tcBorders>
            <w:tcMar>
              <w:bottom w:w="40" w:type="dxa"/>
            </w:tcMar>
            <w:vAlign w:val="center"/>
          </w:tcPr>
          <w:p>
            <w:pPr>
              <w:pStyle w:val="TableContents"/>
              <w:bidi w:val="0"/>
              <w:spacing w:before="0" w:after="283"/>
              <w:jc w:val="left"/>
              <w:rPr/>
            </w:pPr>
            <w:r>
              <w:rPr/>
              <w:t>Ranged from 121% to 151% of target.</w:t>
            </w:r>
          </w:p>
        </w:tc>
      </w:tr>
      <w:tr>
        <w:trPr/>
        <w:tc>
          <w:tcPr>
            <w:tcW w:w="4784" w:type="dxa"/>
            <w:tcBorders>
              <w:bottom w:val="single" w:sz="12" w:space="0" w:color="636466"/>
            </w:tcBorders>
            <w:tcMar>
              <w:bottom w:w="40" w:type="dxa"/>
            </w:tcMar>
            <w:vAlign w:val="center"/>
          </w:tcPr>
          <w:p>
            <w:pPr>
              <w:pStyle w:val="TableContents"/>
              <w:bidi w:val="0"/>
              <w:spacing w:before="0" w:after="283"/>
              <w:jc w:val="left"/>
              <w:rPr>
                <w:b/>
              </w:rPr>
            </w:pPr>
            <w:r>
              <w:rPr>
                <w:b/>
              </w:rPr>
              <w:t>What were the performance factors for each metric after applying the 50% weighting of the Company-wide factor for each metric?</w:t>
            </w:r>
          </w:p>
        </w:tc>
        <w:tc>
          <w:tcPr>
            <w:tcW w:w="300" w:type="dxa"/>
            <w:tcBorders>
              <w:bottom w:val="single" w:sz="12" w:space="0" w:color="636466"/>
            </w:tcBorders>
            <w:tcMar>
              <w:bottom w:w="40" w:type="dxa"/>
            </w:tcMar>
            <w:vAlign w:val="center"/>
          </w:tcPr>
          <w:p>
            <w:pPr>
              <w:pStyle w:val="TableContents"/>
              <w:bidi w:val="0"/>
              <w:spacing w:before="0" w:after="283"/>
              <w:jc w:val="left"/>
              <w:rPr/>
            </w:pPr>
            <w:r>
              <w:rPr/>
              <w:t> </w:t>
            </w:r>
          </w:p>
        </w:tc>
        <w:tc>
          <w:tcPr>
            <w:tcW w:w="2648" w:type="dxa"/>
            <w:tcBorders>
              <w:bottom w:val="single" w:sz="12" w:space="0" w:color="636466"/>
            </w:tcBorders>
            <w:tcMar>
              <w:bottom w:w="40" w:type="dxa"/>
            </w:tcMar>
            <w:vAlign w:val="center"/>
          </w:tcPr>
          <w:p>
            <w:pPr>
              <w:pStyle w:val="TableContents"/>
              <w:bidi w:val="0"/>
              <w:spacing w:before="0" w:after="283"/>
              <w:jc w:val="left"/>
              <w:rPr/>
            </w:pPr>
            <w:r>
              <w:rPr/>
              <w:t>Ranged from 132% to 161% of target.</w:t>
            </w:r>
          </w:p>
        </w:tc>
        <w:tc>
          <w:tcPr>
            <w:tcW w:w="300" w:type="dxa"/>
            <w:tcBorders>
              <w:bottom w:val="single" w:sz="12" w:space="0" w:color="636466"/>
            </w:tcBorders>
            <w:tcMar>
              <w:bottom w:w="40" w:type="dxa"/>
            </w:tcMar>
            <w:vAlign w:val="center"/>
          </w:tcPr>
          <w:p>
            <w:pPr>
              <w:pStyle w:val="TableContents"/>
              <w:bidi w:val="0"/>
              <w:spacing w:before="0" w:after="283"/>
              <w:jc w:val="left"/>
              <w:rPr/>
            </w:pPr>
            <w:r>
              <w:rPr/>
              <w:t> </w:t>
            </w:r>
          </w:p>
        </w:tc>
        <w:tc>
          <w:tcPr>
            <w:tcW w:w="2173" w:type="dxa"/>
            <w:tcBorders>
              <w:bottom w:val="single" w:sz="12" w:space="0" w:color="636466"/>
            </w:tcBorders>
            <w:tcMar>
              <w:bottom w:w="40" w:type="dxa"/>
            </w:tcMar>
            <w:vAlign w:val="center"/>
          </w:tcPr>
          <w:p>
            <w:pPr>
              <w:pStyle w:val="TableContents"/>
              <w:bidi w:val="0"/>
              <w:spacing w:before="0" w:after="283"/>
              <w:jc w:val="left"/>
              <w:rPr/>
            </w:pPr>
            <w:r>
              <w:rPr/>
              <w:t>Ranged from 144% to 159% of target.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bdr w:val="single" w:sz="12" w:space="10" w:color="C12E33"/>
          <w:shd w:fill="EDEDEE" w:val="clear"/>
        </w:rPr>
      </w:pPr>
      <w:r>
        <w:rPr>
          <w:rFonts w:ascii="Arial;Helvetica;Sans-Serif" w:hAnsi="Arial;Helvetica;Sans-Serif"/>
          <w:b w:val="false"/>
          <w:i w:val="false"/>
          <w:caps w:val="false"/>
          <w:smallCaps w:val="false"/>
          <w:sz w:val="20"/>
          <w:bdr w:val="single" w:sz="12" w:space="10" w:color="C12E33"/>
          <w:shd w:fill="EDEDEE" w:val="clear"/>
        </w:rPr>
        <w:t xml:space="preserve">Combining the factors for each metric shown above, the performance factors for our business units ranged from </w:t>
      </w:r>
      <w:r>
        <w:rPr>
          <w:rFonts w:ascii="Arial;Helvetica;Sans-Serif" w:hAnsi="Arial;Helvetica;Sans-Serif"/>
          <w:b/>
          <w:i w:val="false"/>
          <w:caps w:val="false"/>
          <w:smallCaps w:val="false"/>
          <w:sz w:val="20"/>
          <w:bdr w:val="single" w:sz="12" w:space="10" w:color="C12E33"/>
          <w:shd w:fill="EDEDEE" w:val="clear"/>
        </w:rPr>
        <w:t xml:space="preserve">143% </w:t>
      </w:r>
      <w:r>
        <w:rPr>
          <w:rFonts w:ascii="Arial;Helvetica;Sans-Serif" w:hAnsi="Arial;Helvetica;Sans-Serif"/>
          <w:b w:val="false"/>
          <w:i w:val="false"/>
          <w:caps w:val="false"/>
          <w:smallCaps w:val="false"/>
          <w:sz w:val="20"/>
          <w:bdr w:val="single" w:sz="12" w:space="10" w:color="C12E33"/>
          <w:shd w:fill="EDEDEE" w:val="clear"/>
        </w:rPr>
        <w:t xml:space="preserve">to </w:t>
      </w:r>
      <w:r>
        <w:rPr>
          <w:rFonts w:ascii="Arial;Helvetica;Sans-Serif" w:hAnsi="Arial;Helvetica;Sans-Serif"/>
          <w:b/>
          <w:i w:val="false"/>
          <w:caps w:val="false"/>
          <w:smallCaps w:val="false"/>
          <w:sz w:val="20"/>
          <w:bdr w:val="single" w:sz="12" w:space="10" w:color="C12E33"/>
          <w:shd w:fill="EDEDEE" w:val="clear"/>
        </w:rPr>
        <w:t xml:space="preserve">152% </w:t>
      </w:r>
      <w:r>
        <w:rPr>
          <w:rFonts w:ascii="Arial;Helvetica;Sans-Serif" w:hAnsi="Arial;Helvetica;Sans-Serif"/>
          <w:b w:val="false"/>
          <w:i w:val="false"/>
          <w:caps w:val="false"/>
          <w:smallCaps w:val="false"/>
          <w:sz w:val="20"/>
          <w:bdr w:val="single" w:sz="12" w:space="10" w:color="C12E33"/>
          <w:shd w:fill="EDEDEE" w:val="clear"/>
        </w:rPr>
        <w:t>of target.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4"/>
        <w:gridCol w:w="9941"/>
      </w:tblGrid>
      <w:tr>
        <w:trPr/>
        <w:tc>
          <w:tcPr>
            <w:tcW w:w="264" w:type="dxa"/>
            <w:tcBorders/>
            <w:vAlign w:val="center"/>
          </w:tcPr>
          <w:p>
            <w:pPr>
              <w:pStyle w:val="TableContents"/>
              <w:bidi w:val="0"/>
              <w:spacing w:before="0" w:after="283"/>
              <w:jc w:val="left"/>
              <w:rPr/>
            </w:pPr>
            <w:r>
              <w:rPr/>
              <w:t>(1)</w:t>
            </w:r>
          </w:p>
        </w:tc>
        <w:tc>
          <w:tcPr>
            <w:tcW w:w="9941" w:type="dxa"/>
            <w:tcBorders/>
            <w:vAlign w:val="center"/>
          </w:tcPr>
          <w:p>
            <w:pPr>
              <w:pStyle w:val="TableContents"/>
              <w:bidi w:val="0"/>
              <w:spacing w:before="0" w:after="283"/>
              <w:jc w:val="left"/>
              <w:rPr/>
            </w:pPr>
            <w:r>
              <w:rPr/>
              <w:t>Adjusted net income and free cash flow are metrics used solely for AIP purposes and are defined in Appendix B on page 102. These metrics differ from other non-GAAP metrics used and described in Appendix A.</w:t>
            </w:r>
          </w:p>
        </w:tc>
      </w:tr>
      <w:tr>
        <w:trPr/>
        <w:tc>
          <w:tcPr>
            <w:tcW w:w="264" w:type="dxa"/>
            <w:tcBorders/>
            <w:vAlign w:val="center"/>
          </w:tcPr>
          <w:p>
            <w:pPr>
              <w:pStyle w:val="TableContents"/>
              <w:bidi w:val="0"/>
              <w:spacing w:before="0" w:after="283"/>
              <w:jc w:val="left"/>
              <w:rPr/>
            </w:pPr>
            <w:r>
              <w:rPr/>
              <w:t>(2)</w:t>
            </w:r>
          </w:p>
        </w:tc>
        <w:tc>
          <w:tcPr>
            <w:tcW w:w="9941" w:type="dxa"/>
            <w:tcBorders/>
            <w:vAlign w:val="center"/>
          </w:tcPr>
          <w:p>
            <w:pPr>
              <w:pStyle w:val="TableContents"/>
              <w:bidi w:val="0"/>
              <w:spacing w:before="0" w:after="283"/>
              <w:jc w:val="left"/>
              <w:rPr/>
            </w:pPr>
            <w:r>
              <w:rPr/>
              <w:t>See the table on page 48 and Appendix B on page 102 for details on how we calculate earnings and FCF for the purposes of determining business unit financial performance factors.</w:t>
            </w:r>
          </w:p>
        </w:tc>
      </w:tr>
    </w:tbl>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Arial;Helvetica;Sans-Serif" w:hAnsi="Arial;Helvetica;Sans-Serif"/>
          <w:b w:val="false"/>
          <w:i w:val="false"/>
          <w:caps w:val="false"/>
          <w:smallCaps w:val="false"/>
          <w:sz w:val="15"/>
        </w:rPr>
      </w:pPr>
      <w:r>
        <w:rPr>
          <w:rFonts w:ascii="Arial;Helvetica;Sans-Serif" w:hAnsi="Arial;Helvetica;Sans-Serif"/>
          <w:b/>
          <w:i w:val="false"/>
          <w:caps w:val="false"/>
          <w:smallCaps w:val="false"/>
          <w:sz w:val="15"/>
        </w:rPr>
        <w:t>RTX</w:t>
      </w:r>
      <w:r>
        <w:rPr>
          <w:rFonts w:ascii="Arial;Helvetica;Sans-Serif" w:hAnsi="Arial;Helvetica;Sans-Serif"/>
          <w:b w:val="false"/>
          <w:i w:val="false"/>
          <w:caps w:val="false"/>
          <w:smallCaps w:val="false"/>
          <w:sz w:val="15"/>
        </w:rPr>
        <w:t xml:space="preserve"> 2026 PROXY STATEMENT    </w:t>
      </w:r>
      <w:r>
        <w:rPr>
          <w:rFonts w:ascii="Arial;Helvetica;Sans-Serif" w:hAnsi="Arial;Helvetica;Sans-Serif"/>
          <w:b/>
          <w:i w:val="false"/>
          <w:caps w:val="false"/>
          <w:smallCaps w:val="false"/>
          <w:sz w:val="15"/>
        </w:rPr>
        <w:t>49</w:t>
      </w:r>
    </w:p>
    <w:p>
      <w:pPr>
        <w:pStyle w:val="HorizontalLine"/>
        <w:pBdr>
          <w:bottom w:val="double" w:sz="2" w:space="0" w:color="808080"/>
        </w:pBdr>
        <w:bidi w:val="0"/>
        <w:spacing w:before="0" w:after="283"/>
        <w:jc w:val="left"/>
        <w:rPr/>
      </w:pPr>
      <w:r>
        <w:rPr/>
      </w:r>
    </w:p>
    <w:p>
      <w:pPr>
        <w:pStyle w:val="TextBody"/>
        <w:bidi w:val="0"/>
        <w:spacing w:before="200" w:after="200"/>
        <w:jc w:val="left"/>
        <w:rPr/>
      </w:pPr>
      <w:hyperlink w:anchor="toc">
        <w:r>
          <w:rPr>
            <w:rStyle w:val="InternetLink"/>
            <w:rFonts w:ascii="Arial;Helvetica;Sans-Serif" w:hAnsi="Arial;Helvetica;Sans-Serif"/>
            <w:b/>
            <w:i w:val="false"/>
            <w:caps w:val="false"/>
            <w:smallCaps w:val="false"/>
            <w:sz w:val="16"/>
          </w:rPr>
          <w:t>Table of Contents</w:t>
        </w:r>
      </w:hyperlink>
    </w:p>
    <w:p>
      <w:pPr>
        <w:pStyle w:val="TextBody"/>
        <w:bidi w:val="0"/>
        <w:spacing w:before="0" w:after="0"/>
        <w:ind w:left="0" w:right="0" w:hanging="0"/>
        <w:jc w:val="left"/>
        <w:rPr>
          <w:rFonts w:ascii="Arial;Helvetica;Sans-Serif" w:hAnsi="Arial;Helvetica;Sans-Serif"/>
          <w:b/>
          <w:i w:val="false"/>
          <w:caps w:val="false"/>
          <w:smallCaps w:val="false"/>
          <w:color w:val="C12E33"/>
          <w:sz w:val="15"/>
        </w:rPr>
      </w:pPr>
      <w:r>
        <w:rPr>
          <w:rFonts w:ascii="Arial;Helvetica;Sans-Serif" w:hAnsi="Arial;Helvetica;Sans-Serif"/>
          <w:b/>
          <w:i w:val="false"/>
          <w:caps w:val="false"/>
          <w:smallCaps w:val="false"/>
          <w:color w:val="C12E33"/>
          <w:sz w:val="15"/>
        </w:rPr>
        <w:t>COMPENSATION DISCUSSION AND ANALYSIS</w:t>
      </w:r>
    </w:p>
    <w:p>
      <w:pPr>
        <w:pStyle w:val="TextBody"/>
        <w:bidi w:val="0"/>
        <w:spacing w:before="0" w:after="0"/>
        <w:ind w:left="0" w:right="0" w:hanging="0"/>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2025 PRINCIPAL ELEMENTS OF COMPENSATION</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34"/>
        </w:rPr>
      </w:pPr>
      <w:bookmarkStart w:id="28" w:name="rtx014050_def14ab012"/>
      <w:bookmarkEnd w:id="28"/>
      <w:r>
        <w:rPr>
          <w:rFonts w:ascii="Arial;Helvetica;Sans-Serif" w:hAnsi="Arial;Helvetica;Sans-Serif"/>
          <w:b/>
          <w:i w:val="false"/>
          <w:caps w:val="false"/>
          <w:smallCaps w:val="false"/>
          <w:sz w:val="34"/>
        </w:rPr>
        <w:t>LTI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LTI MIX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br/>
        <w:t> </w:t>
      </w:r>
      <w:r>
        <mc:AlternateContent>
          <mc:Choice Requires="wps">
            <w:drawing>
              <wp:anchor behindDoc="0" distT="0" distB="0" distL="0" distR="0" simplePos="0" locked="0" layoutInCell="1" allowOverlap="1" relativeHeight="154">
                <wp:simplePos x="0" y="0"/>
                <wp:positionH relativeFrom="column">
                  <wp:align>right</wp:align>
                </wp:positionH>
                <wp:positionV relativeFrom="line">
                  <wp:posOffset>635</wp:posOffset>
                </wp:positionV>
                <wp:extent cx="2138045" cy="5257800"/>
                <wp:effectExtent l="0" t="0" r="0" b="0"/>
                <wp:wrapSquare wrapText="left"/>
                <wp:docPr id="314" name="Frame50"/>
                <a:graphic xmlns:a="http://schemas.openxmlformats.org/drawingml/2006/main">
                  <a:graphicData uri="http://schemas.microsoft.com/office/word/2010/wordprocessingShape">
                    <wps:wsp>
                      <wps:cNvSpPr txBox="1"/>
                      <wps:spPr>
                        <a:xfrm>
                          <a:off x="0" y="0"/>
                          <a:ext cx="2138045" cy="5257800"/>
                        </a:xfrm>
                        <a:prstGeom prst="rect"/>
                        <a:solidFill>
                          <a:srgbClr val="FFFFFF"/>
                        </a:solidFill>
                      </wps:spPr>
                      <wps:txbx>
                        <w:txbxContent>
                          <w:p>
                            <w:pPr>
                              <w:pStyle w:val="TextBody"/>
                              <w:bidi w:val="0"/>
                              <w:spacing w:before="0" w:after="0"/>
                              <w:ind w:left="0" w:right="0" w:hanging="0"/>
                              <w:jc w:val="right"/>
                              <w:rPr>
                                <w:caps w:val="false"/>
                                <w:smallCaps w:val="false"/>
                              </w:rPr>
                            </w:pPr>
                            <w:r>
                              <w:rPr>
                                <w:caps w:val="false"/>
                                <w:smallCaps w:val="false"/>
                              </w:rPr>
                              <w:drawing>
                                <wp:inline distT="0" distB="0" distL="0" distR="0">
                                  <wp:extent cx="2638425" cy="5257800"/>
                                  <wp:effectExtent l="0" t="0" r="0" b="0"/>
                                  <wp:docPr id="315" name="Image2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5" name="Image217" descr=""/>
                                          <pic:cNvPicPr>
                                            <a:picLocks noChangeAspect="1" noChangeArrowheads="1"/>
                                          </pic:cNvPicPr>
                                        </pic:nvPicPr>
                                        <pic:blipFill>
                                          <a:blip r:embed="rId267"/>
                                          <a:stretch>
                                            <a:fillRect/>
                                          </a:stretch>
                                        </pic:blipFill>
                                        <pic:spPr bwMode="auto">
                                          <a:xfrm>
                                            <a:off x="0" y="0"/>
                                            <a:ext cx="2638425" cy="5257800"/>
                                          </a:xfrm>
                                          <a:prstGeom prst="rect">
                                            <a:avLst/>
                                          </a:prstGeom>
                                        </pic:spPr>
                                      </pic:pic>
                                    </a:graphicData>
                                  </a:graphic>
                                </wp:inline>
                              </w:drawing>
                            </w:r>
                          </w:p>
                        </w:txbxContent>
                      </wps:txbx>
                      <wps:bodyPr anchor="t" lIns="0" tIns="0" rIns="0" bIns="0">
                        <a:noAutofit/>
                      </wps:bodyPr>
                    </wps:wsp>
                  </a:graphicData>
                </a:graphic>
                <wp14:sizeRelH relativeFrom="margin">
                  <wp14:pctWidth>33000</wp14:pctWidth>
                </wp14:sizeRelH>
              </wp:anchor>
            </w:drawing>
          </mc:Choice>
          <mc:Fallback>
            <w:pict>
              <v:rect style="position:absolute;rotation:-0;width:168.35pt;height:414pt;mso-wrap-distance-left:0pt;mso-wrap-distance-right:0pt;mso-wrap-distance-top:0pt;mso-wrap-distance-bottom:0pt;margin-top:0pt;mso-position-vertical:top;mso-position-vertical-relative:text;margin-left:341.9pt;mso-position-horizontal:right;mso-position-horizontal-relative:text">
                <v:textbox>
                  <w:txbxContent>
                    <w:p>
                      <w:pPr>
                        <w:pStyle w:val="TextBody"/>
                        <w:bidi w:val="0"/>
                        <w:spacing w:before="0" w:after="0"/>
                        <w:ind w:left="0" w:right="0" w:hanging="0"/>
                        <w:jc w:val="right"/>
                        <w:rPr>
                          <w:caps w:val="false"/>
                          <w:smallCaps w:val="false"/>
                        </w:rPr>
                      </w:pPr>
                      <w:r>
                        <w:rPr>
                          <w:caps w:val="false"/>
                          <w:smallCaps w:val="false"/>
                        </w:rPr>
                        <w:drawing>
                          <wp:inline distT="0" distB="0" distL="0" distR="0">
                            <wp:extent cx="2638425" cy="5257800"/>
                            <wp:effectExtent l="0" t="0" r="0" b="0"/>
                            <wp:docPr id="316" name="Image2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 name="Image217" descr=""/>
                                    <pic:cNvPicPr>
                                      <a:picLocks noChangeAspect="1" noChangeArrowheads="1"/>
                                    </pic:cNvPicPr>
                                  </pic:nvPicPr>
                                  <pic:blipFill>
                                    <a:blip r:embed="rId268"/>
                                    <a:stretch>
                                      <a:fillRect/>
                                    </a:stretch>
                                  </pic:blipFill>
                                  <pic:spPr bwMode="auto">
                                    <a:xfrm>
                                      <a:off x="0" y="0"/>
                                      <a:ext cx="2638425" cy="5257800"/>
                                    </a:xfrm>
                                    <a:prstGeom prst="rect">
                                      <a:avLst/>
                                    </a:prstGeom>
                                  </pic:spPr>
                                </pic:pic>
                              </a:graphicData>
                            </a:graphic>
                          </wp:inline>
                        </w:drawing>
                      </w:r>
                    </w:p>
                  </w:txbxContent>
                </v:textbox>
                <w10:wrap type="square" side="left"/>
              </v:rect>
            </w:pict>
          </mc:Fallback>
        </mc:AlternateContent>
      </w:r>
      <w:r>
        <mc:AlternateContent>
          <mc:Choice Requires="wps">
            <w:drawing>
              <wp:anchor behindDoc="0" distT="0" distB="0" distL="0" distR="0" simplePos="0" locked="0" layoutInCell="1" allowOverlap="1" relativeHeight="310">
                <wp:simplePos x="0" y="0"/>
                <wp:positionH relativeFrom="column">
                  <wp:align>left</wp:align>
                </wp:positionH>
                <wp:positionV relativeFrom="line">
                  <wp:posOffset>635</wp:posOffset>
                </wp:positionV>
                <wp:extent cx="4211955" cy="2345690"/>
                <wp:effectExtent l="0" t="0" r="0" b="0"/>
                <wp:wrapSquare wrapText="right"/>
                <wp:docPr id="317" name="Frame49"/>
                <a:graphic xmlns:a="http://schemas.openxmlformats.org/drawingml/2006/main">
                  <a:graphicData uri="http://schemas.microsoft.com/office/word/2010/wordprocessingShape">
                    <wps:wsp>
                      <wps:cNvSpPr txBox="1"/>
                      <wps:spPr>
                        <a:xfrm>
                          <a:off x="0" y="0"/>
                          <a:ext cx="4211955" cy="2345690"/>
                        </a:xfrm>
                        <a:prstGeom prst="rect"/>
                        <a:solidFill>
                          <a:srgbClr val="FFFFFF"/>
                        </a:solidFill>
                      </wps:spPr>
                      <wps:txbx>
                        <w:txbxContent>
                          <w:p>
                            <w:pPr>
                              <w:pStyle w:val="TextBody"/>
                              <w:bidi w:val="0"/>
                              <w:spacing w:before="0" w:after="0"/>
                              <w:ind w:left="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The HCC Committee annually reviews the design of our LTI awards to ensure consistency with our program’s fundamental objective of aligning the interests of executives and shareowners while attracting and retaining talented senior leaders.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 2025, the LTI mix for our NEOs was 60% PSUs and 40% SARs. The HCC Committee believes each LTI vehicle serves a specific objective: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PSUs encourage the achievement of important financial goals and align payouts with the shareowner experience.</w:t>
                                  </w:r>
                                </w:p>
                              </w:tc>
                            </w:tr>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SARs motivate prudent long-term decision-making and have strong pay-for-performance alignment since they have no value unless the stock price increases from the price on the grant date.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65000</wp14:pctWidth>
                </wp14:sizeRelH>
              </wp:anchor>
            </w:drawing>
          </mc:Choice>
          <mc:Fallback>
            <w:pict>
              <v:rect style="position:absolute;rotation:-0;width:331.65pt;height:184.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The HCC Committee annually reviews the design of our LTI awards to ensure consistency with our program’s fundamental objective of aligning the interests of executives and shareowners while attracting and retaining talented senior leaders.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 2025, the LTI mix for our NEOs was 60% PSUs and 40% SARs. The HCC Committee believes each LTI vehicle serves a specific objective: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PSUs encourage the achievement of important financial goals and align payouts with the shareowner experience.</w:t>
                            </w:r>
                          </w:p>
                        </w:tc>
                      </w:tr>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SARs motivate prudent long-term decision-making and have strong pay-for-performance alignment since they have no value unless the stock price increases from the price on the grant date.  </w:t>
                            </w:r>
                          </w:p>
                        </w:tc>
                      </w:tr>
                    </w:tbl>
                    <w:p>
                      <w:pPr>
                        <w:pStyle w:val="TextBody"/>
                        <w:bidi w:val="0"/>
                        <w:spacing w:before="0" w:after="283"/>
                        <w:jc w:val="left"/>
                        <w:rPr/>
                      </w:pPr>
                      <w:r>
                        <w:rPr/>
                      </w:r>
                    </w:p>
                  </w:txbxContent>
                </v:textbox>
                <w10:wrap type="square" side="right"/>
              </v:rect>
            </w:pict>
          </mc:Fallback>
        </mc:AlternateContent>
      </w:r>
    </w:p>
    <w:p>
      <w:pPr>
        <w:pStyle w:val="TextBody"/>
        <w:bidi w:val="0"/>
        <w:spacing w:before="0" w:after="0"/>
        <w:ind w:left="0" w:right="0" w:hanging="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PERFORMANCE SHARE 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 xml:space="preserve">2025–2027 PSUs. </w:t>
      </w:r>
      <w:r>
        <w:rPr>
          <w:rFonts w:ascii="Arial;Helvetica;Sans-Serif" w:hAnsi="Arial;Helvetica;Sans-Serif"/>
          <w:b w:val="false"/>
          <w:i w:val="false"/>
          <w:caps w:val="false"/>
          <w:smallCaps w:val="false"/>
          <w:sz w:val="20"/>
        </w:rPr>
        <w:t>2025 PSUs will vest following the end of a three-year performance period, subject to Company performance relative to preestablished financial performance goals. Executives must also be employed by the Company on the vesting date, with exceptions for death, disability, qualifying separation within two years of a change-in-control, retirement and certain involuntary terminations.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If RTX achieves target-level performance for all four metrics, 100% of the PSUs granted would vest at the end of the performance period. Vesting factors can range from 0% if all metrics fall below threshold-level performance to 200% if all metrics meet or exceed maximum-level performance. Each PSU converts into one share of RTX Common Stock upon vesting. The goals established for our 2025–2027 PSUs are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color w:val="C12E33"/>
          <w:sz w:val="20"/>
        </w:rPr>
      </w:pPr>
      <w:r>
        <w:rPr>
          <w:rFonts w:ascii="Arial;Helvetica;Sans-Serif" w:hAnsi="Arial;Helvetica;Sans-Serif"/>
          <w:b/>
          <w:i w:val="false"/>
          <w:caps w:val="false"/>
          <w:smallCaps w:val="false"/>
          <w:color w:val="C12E33"/>
          <w:sz w:val="20"/>
        </w:rPr>
        <w:t>PERFORMANCE GOALS AND WEIGHTINGS FOR 2025–2027 PSUs</w:t>
      </w:r>
    </w:p>
    <w:p>
      <w:pPr>
        <w:pStyle w:val="TextBody"/>
        <w:bidi w:val="0"/>
        <w:spacing w:before="0" w:after="0"/>
        <w:ind w:left="0" w:right="0" w:hanging="0"/>
        <w:jc w:val="left"/>
        <w:rPr>
          <w:caps w:val="false"/>
          <w:smallCaps w:val="false"/>
          <w:color w:val="C12E33"/>
        </w:rPr>
      </w:pPr>
      <w:r>
        <w:rPr>
          <w:caps w:val="false"/>
          <w:smallCaps w:val="false"/>
          <w:color w:val="C12E33"/>
        </w:rPr>
        <w:t> </w:t>
      </w:r>
    </w:p>
    <w:tbl>
      <w:tblPr>
        <w:tblW w:w="10205" w:type="dxa"/>
        <w:jc w:val="left"/>
        <w:tblInd w:w="0" w:type="dxa"/>
        <w:tblLayout w:type="fixed"/>
        <w:tblCellMar>
          <w:top w:w="0" w:type="dxa"/>
          <w:left w:w="0" w:type="dxa"/>
          <w:bottom w:w="40" w:type="dxa"/>
          <w:right w:w="0" w:type="dxa"/>
        </w:tblCellMar>
      </w:tblPr>
      <w:tblGrid>
        <w:gridCol w:w="4749"/>
        <w:gridCol w:w="300"/>
        <w:gridCol w:w="1010"/>
        <w:gridCol w:w="300"/>
        <w:gridCol w:w="1064"/>
        <w:gridCol w:w="300"/>
        <w:gridCol w:w="1061"/>
        <w:gridCol w:w="300"/>
        <w:gridCol w:w="1121"/>
      </w:tblGrid>
      <w:tr>
        <w:trPr/>
        <w:tc>
          <w:tcPr>
            <w:tcW w:w="4749" w:type="dxa"/>
            <w:tcBorders>
              <w:bottom w:val="single" w:sz="12" w:space="0" w:color="C12E33"/>
            </w:tcBorders>
            <w:vAlign w:val="center"/>
          </w:tcPr>
          <w:p>
            <w:pPr>
              <w:pStyle w:val="TableContents"/>
              <w:bidi w:val="0"/>
              <w:spacing w:before="0" w:after="283"/>
              <w:jc w:val="left"/>
              <w:rPr>
                <w:color w:val="636466"/>
              </w:rPr>
            </w:pPr>
            <w:r>
              <w:rPr>
                <w:color w:val="636466"/>
              </w:rPr>
              <w:t>Metric</w:t>
            </w:r>
          </w:p>
        </w:tc>
        <w:tc>
          <w:tcPr>
            <w:tcW w:w="300" w:type="dxa"/>
            <w:tcBorders>
              <w:bottom w:val="single" w:sz="12" w:space="0" w:color="C12E33"/>
            </w:tcBorders>
            <w:vAlign w:val="center"/>
          </w:tcPr>
          <w:p>
            <w:pPr>
              <w:pStyle w:val="TableContents"/>
              <w:bidi w:val="0"/>
              <w:spacing w:before="0" w:after="283"/>
              <w:jc w:val="left"/>
              <w:rPr/>
            </w:pPr>
            <w:r>
              <w:rPr/>
              <w:t>     </w:t>
            </w:r>
          </w:p>
        </w:tc>
        <w:tc>
          <w:tcPr>
            <w:tcW w:w="1010" w:type="dxa"/>
            <w:tcBorders>
              <w:bottom w:val="single" w:sz="12" w:space="0" w:color="C12E33"/>
            </w:tcBorders>
            <w:vAlign w:val="center"/>
          </w:tcPr>
          <w:p>
            <w:pPr>
              <w:pStyle w:val="TableContents"/>
              <w:bidi w:val="0"/>
              <w:spacing w:before="0" w:after="283"/>
              <w:jc w:val="center"/>
              <w:rPr>
                <w:color w:val="636466"/>
              </w:rPr>
            </w:pPr>
            <w:r>
              <w:rPr>
                <w:color w:val="636466"/>
              </w:rPr>
              <w:t>Weighting</w:t>
            </w:r>
          </w:p>
        </w:tc>
        <w:tc>
          <w:tcPr>
            <w:tcW w:w="300" w:type="dxa"/>
            <w:tcBorders>
              <w:bottom w:val="single" w:sz="12" w:space="0" w:color="C12E33"/>
            </w:tcBorders>
            <w:vAlign w:val="center"/>
          </w:tcPr>
          <w:p>
            <w:pPr>
              <w:pStyle w:val="TableContents"/>
              <w:bidi w:val="0"/>
              <w:spacing w:before="0" w:after="283"/>
              <w:jc w:val="left"/>
              <w:rPr/>
            </w:pPr>
            <w:r>
              <w:rPr/>
              <w:t>     </w:t>
            </w:r>
          </w:p>
        </w:tc>
        <w:tc>
          <w:tcPr>
            <w:tcW w:w="1064" w:type="dxa"/>
            <w:tcBorders>
              <w:bottom w:val="single" w:sz="12" w:space="0" w:color="C12E33"/>
            </w:tcBorders>
            <w:vAlign w:val="center"/>
          </w:tcPr>
          <w:p>
            <w:pPr>
              <w:pStyle w:val="TableContents"/>
              <w:bidi w:val="0"/>
              <w:spacing w:before="0" w:after="283"/>
              <w:jc w:val="center"/>
              <w:rPr>
                <w:color w:val="636466"/>
              </w:rPr>
            </w:pPr>
            <w:r>
              <w:rPr>
                <w:color w:val="636466"/>
              </w:rPr>
              <w:t>Threshold</w:t>
              <w:br/>
              <w:t>(25% payout)</w:t>
            </w:r>
          </w:p>
        </w:tc>
        <w:tc>
          <w:tcPr>
            <w:tcW w:w="300" w:type="dxa"/>
            <w:tcBorders>
              <w:bottom w:val="single" w:sz="12" w:space="0" w:color="C12E33"/>
            </w:tcBorders>
            <w:vAlign w:val="center"/>
          </w:tcPr>
          <w:p>
            <w:pPr>
              <w:pStyle w:val="TableContents"/>
              <w:bidi w:val="0"/>
              <w:spacing w:before="0" w:after="283"/>
              <w:jc w:val="left"/>
              <w:rPr/>
            </w:pPr>
            <w:r>
              <w:rPr/>
              <w:t>     </w:t>
            </w:r>
          </w:p>
        </w:tc>
        <w:tc>
          <w:tcPr>
            <w:tcW w:w="1061" w:type="dxa"/>
            <w:tcBorders>
              <w:bottom w:val="single" w:sz="12" w:space="0" w:color="C12E33"/>
            </w:tcBorders>
            <w:vAlign w:val="center"/>
          </w:tcPr>
          <w:p>
            <w:pPr>
              <w:pStyle w:val="TableContents"/>
              <w:bidi w:val="0"/>
              <w:spacing w:before="0" w:after="283"/>
              <w:jc w:val="center"/>
              <w:rPr>
                <w:color w:val="636466"/>
              </w:rPr>
            </w:pPr>
            <w:r>
              <w:rPr>
                <w:color w:val="636466"/>
              </w:rPr>
              <w:t>Target</w:t>
              <w:br/>
              <w:t>(100% payout)</w:t>
            </w:r>
          </w:p>
        </w:tc>
        <w:tc>
          <w:tcPr>
            <w:tcW w:w="300" w:type="dxa"/>
            <w:tcBorders>
              <w:bottom w:val="single" w:sz="12" w:space="0" w:color="C12E33"/>
            </w:tcBorders>
            <w:vAlign w:val="center"/>
          </w:tcPr>
          <w:p>
            <w:pPr>
              <w:pStyle w:val="TableContents"/>
              <w:bidi w:val="0"/>
              <w:spacing w:before="0" w:after="283"/>
              <w:jc w:val="left"/>
              <w:rPr/>
            </w:pPr>
            <w:r>
              <w:rPr/>
              <w:t>     </w:t>
            </w:r>
          </w:p>
        </w:tc>
        <w:tc>
          <w:tcPr>
            <w:tcW w:w="1121" w:type="dxa"/>
            <w:tcBorders>
              <w:bottom w:val="single" w:sz="12" w:space="0" w:color="C12E33"/>
            </w:tcBorders>
            <w:vAlign w:val="center"/>
          </w:tcPr>
          <w:p>
            <w:pPr>
              <w:pStyle w:val="TableContents"/>
              <w:bidi w:val="0"/>
              <w:spacing w:before="0" w:after="283"/>
              <w:jc w:val="center"/>
              <w:rPr>
                <w:color w:val="636466"/>
              </w:rPr>
            </w:pPr>
            <w:r>
              <w:rPr>
                <w:color w:val="636466"/>
              </w:rPr>
              <w:t>Maximum</w:t>
              <w:br/>
              <w:t>(200% payout)</w:t>
            </w:r>
          </w:p>
        </w:tc>
      </w:tr>
      <w:tr>
        <w:trPr/>
        <w:tc>
          <w:tcPr>
            <w:tcW w:w="4749" w:type="dxa"/>
            <w:tcBorders>
              <w:bottom w:val="single" w:sz="2" w:space="0" w:color="000000"/>
            </w:tcBorders>
            <w:vAlign w:val="center"/>
          </w:tcPr>
          <w:p>
            <w:pPr>
              <w:pStyle w:val="TableContents"/>
              <w:bidi w:val="0"/>
              <w:spacing w:before="0" w:after="120"/>
              <w:ind w:left="0" w:right="0" w:hanging="0"/>
              <w:jc w:val="left"/>
              <w:rPr>
                <w:b/>
              </w:rPr>
            </w:pPr>
            <w:r>
              <w:rPr>
                <w:b/>
              </w:rPr>
              <w:t>Adjusted Earnings Per Share</w:t>
            </w:r>
            <w:r>
              <w:rPr>
                <w:b/>
                <w:position w:val="8"/>
                <w:sz w:val="19"/>
              </w:rPr>
              <w:t>(1)</w:t>
            </w:r>
          </w:p>
          <w:p>
            <w:pPr>
              <w:pStyle w:val="TableContents"/>
              <w:bidi w:val="0"/>
              <w:spacing w:before="0" w:after="120"/>
              <w:ind w:left="200" w:right="0" w:hanging="200"/>
              <w:jc w:val="left"/>
              <w:rPr/>
            </w:pPr>
            <w:r>
              <w:rPr/>
              <w:t>●  </w:t>
            </w:r>
            <w:r>
              <w:rPr>
                <w:sz w:val="15"/>
              </w:rPr>
              <w:t>Measured using a compound annual growth rate over the three-year performance period</w:t>
            </w:r>
          </w:p>
          <w:p>
            <w:pPr>
              <w:pStyle w:val="TableContents"/>
              <w:bidi w:val="0"/>
              <w:spacing w:before="0" w:after="0"/>
              <w:ind w:left="200" w:right="0" w:hanging="200"/>
              <w:jc w:val="left"/>
              <w:rPr/>
            </w:pPr>
            <w:r>
              <w:rPr/>
              <w:t>●  </w:t>
            </w:r>
            <w:r>
              <w:rPr/>
              <w:t>Goals align with our mid-range strategic business plan</w:t>
            </w:r>
          </w:p>
        </w:tc>
        <w:tc>
          <w:tcPr>
            <w:tcW w:w="300" w:type="dxa"/>
            <w:tcBorders>
              <w:bottom w:val="single" w:sz="2" w:space="0" w:color="000000"/>
            </w:tcBorders>
            <w:vAlign w:val="center"/>
          </w:tcPr>
          <w:p>
            <w:pPr>
              <w:pStyle w:val="TableContents"/>
              <w:bidi w:val="0"/>
              <w:spacing w:before="0" w:after="283"/>
              <w:jc w:val="left"/>
              <w:rPr/>
            </w:pPr>
            <w:r>
              <w:rPr/>
              <w:t> </w:t>
            </w:r>
          </w:p>
        </w:tc>
        <w:tc>
          <w:tcPr>
            <w:tcW w:w="1010" w:type="dxa"/>
            <w:tcBorders>
              <w:bottom w:val="single" w:sz="2" w:space="0" w:color="000000"/>
            </w:tcBorders>
            <w:vAlign w:val="center"/>
          </w:tcPr>
          <w:p>
            <w:pPr>
              <w:pStyle w:val="TableContents"/>
              <w:bidi w:val="0"/>
              <w:spacing w:before="0" w:after="283"/>
              <w:jc w:val="center"/>
              <w:rPr/>
            </w:pPr>
            <w:r>
              <w:rPr/>
              <w:drawing>
                <wp:inline distT="0" distB="0" distL="0" distR="0">
                  <wp:extent cx="609600" cy="2600325"/>
                  <wp:effectExtent l="0" t="0" r="0" b="0"/>
                  <wp:docPr id="318" name="Image2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8" name="Image218" descr=""/>
                          <pic:cNvPicPr>
                            <a:picLocks noChangeAspect="1" noChangeArrowheads="1"/>
                          </pic:cNvPicPr>
                        </pic:nvPicPr>
                        <pic:blipFill>
                          <a:blip r:embed="rId269"/>
                          <a:stretch>
                            <a:fillRect/>
                          </a:stretch>
                        </pic:blipFill>
                        <pic:spPr bwMode="auto">
                          <a:xfrm>
                            <a:off x="0" y="0"/>
                            <a:ext cx="609600" cy="2600325"/>
                          </a:xfrm>
                          <a:prstGeom prst="rect">
                            <a:avLst/>
                          </a:prstGeom>
                        </pic:spPr>
                      </pic:pic>
                    </a:graphicData>
                  </a:graphic>
                </wp:inline>
              </w:drawing>
            </w:r>
          </w:p>
        </w:tc>
        <w:tc>
          <w:tcPr>
            <w:tcW w:w="300" w:type="dxa"/>
            <w:tcBorders>
              <w:bottom w:val="single" w:sz="2" w:space="0" w:color="000000"/>
            </w:tcBorders>
            <w:vAlign w:val="center"/>
          </w:tcPr>
          <w:p>
            <w:pPr>
              <w:pStyle w:val="TableContents"/>
              <w:bidi w:val="0"/>
              <w:spacing w:before="0" w:after="283"/>
              <w:jc w:val="center"/>
              <w:rPr/>
            </w:pPr>
            <w:r>
              <w:rPr/>
              <w:t> </w:t>
            </w:r>
          </w:p>
        </w:tc>
        <w:tc>
          <w:tcPr>
            <w:tcW w:w="1064" w:type="dxa"/>
            <w:tcBorders>
              <w:bottom w:val="single" w:sz="2" w:space="0" w:color="000000"/>
            </w:tcBorders>
            <w:vAlign w:val="center"/>
          </w:tcPr>
          <w:p>
            <w:pPr>
              <w:pStyle w:val="TableContents"/>
              <w:bidi w:val="0"/>
              <w:spacing w:before="0" w:after="283"/>
              <w:jc w:val="center"/>
              <w:rPr/>
            </w:pPr>
            <w:r>
              <w:rPr/>
              <w:t>1.4%</w:t>
            </w:r>
          </w:p>
        </w:tc>
        <w:tc>
          <w:tcPr>
            <w:tcW w:w="300" w:type="dxa"/>
            <w:tcBorders>
              <w:bottom w:val="single" w:sz="2" w:space="0" w:color="000000"/>
            </w:tcBorders>
            <w:vAlign w:val="center"/>
          </w:tcPr>
          <w:p>
            <w:pPr>
              <w:pStyle w:val="TableContents"/>
              <w:bidi w:val="0"/>
              <w:spacing w:before="0" w:after="283"/>
              <w:jc w:val="center"/>
              <w:rPr/>
            </w:pPr>
            <w:r>
              <w:rPr/>
              <w:t> </w:t>
            </w:r>
          </w:p>
        </w:tc>
        <w:tc>
          <w:tcPr>
            <w:tcW w:w="1061" w:type="dxa"/>
            <w:tcBorders>
              <w:bottom w:val="single" w:sz="2" w:space="0" w:color="000000"/>
            </w:tcBorders>
            <w:vAlign w:val="center"/>
          </w:tcPr>
          <w:p>
            <w:pPr>
              <w:pStyle w:val="TableContents"/>
              <w:bidi w:val="0"/>
              <w:spacing w:before="0" w:after="283"/>
              <w:jc w:val="center"/>
              <w:rPr/>
            </w:pPr>
            <w:r>
              <w:rPr/>
              <w:t>7.1%</w:t>
            </w:r>
          </w:p>
        </w:tc>
        <w:tc>
          <w:tcPr>
            <w:tcW w:w="300" w:type="dxa"/>
            <w:tcBorders>
              <w:bottom w:val="single" w:sz="2" w:space="0" w:color="000000"/>
            </w:tcBorders>
            <w:vAlign w:val="center"/>
          </w:tcPr>
          <w:p>
            <w:pPr>
              <w:pStyle w:val="TableContents"/>
              <w:bidi w:val="0"/>
              <w:spacing w:before="0" w:after="283"/>
              <w:jc w:val="center"/>
              <w:rPr/>
            </w:pPr>
            <w:r>
              <w:rPr/>
              <w:t> </w:t>
            </w:r>
          </w:p>
        </w:tc>
        <w:tc>
          <w:tcPr>
            <w:tcW w:w="1121" w:type="dxa"/>
            <w:tcBorders>
              <w:bottom w:val="single" w:sz="2" w:space="0" w:color="000000"/>
            </w:tcBorders>
            <w:vAlign w:val="center"/>
          </w:tcPr>
          <w:p>
            <w:pPr>
              <w:pStyle w:val="TableContents"/>
              <w:bidi w:val="0"/>
              <w:spacing w:before="0" w:after="283"/>
              <w:jc w:val="center"/>
              <w:rPr/>
            </w:pPr>
            <w:r>
              <w:rPr/>
              <w:t>10.5%</w:t>
            </w:r>
          </w:p>
        </w:tc>
      </w:tr>
      <w:tr>
        <w:trPr/>
        <w:tc>
          <w:tcPr>
            <w:tcW w:w="4749" w:type="dxa"/>
            <w:tcBorders>
              <w:bottom w:val="single" w:sz="2" w:space="0" w:color="000000"/>
            </w:tcBorders>
            <w:vAlign w:val="center"/>
          </w:tcPr>
          <w:p>
            <w:pPr>
              <w:pStyle w:val="TableContents"/>
              <w:bidi w:val="0"/>
              <w:spacing w:before="0" w:after="120"/>
              <w:ind w:left="0" w:right="0" w:hanging="0"/>
              <w:jc w:val="left"/>
              <w:rPr>
                <w:b/>
              </w:rPr>
            </w:pPr>
            <w:r>
              <w:rPr>
                <w:b/>
              </w:rPr>
              <w:t>Return on Invested Capital (“ROIC”)</w:t>
            </w:r>
            <w:r>
              <w:rPr>
                <w:b/>
                <w:position w:val="8"/>
                <w:sz w:val="19"/>
              </w:rPr>
              <w:t>(1)</w:t>
            </w:r>
          </w:p>
          <w:p>
            <w:pPr>
              <w:pStyle w:val="TableContents"/>
              <w:bidi w:val="0"/>
              <w:spacing w:before="0" w:after="0"/>
              <w:ind w:left="200" w:right="0" w:hanging="200"/>
              <w:jc w:val="left"/>
              <w:rPr/>
            </w:pPr>
            <w:r>
              <w:rPr/>
              <w:t>●  </w:t>
            </w:r>
            <w:r>
              <w:rPr/>
              <w:t>Calculated using a quarterly average over the three-year performance period</w:t>
            </w:r>
          </w:p>
        </w:tc>
        <w:tc>
          <w:tcPr>
            <w:tcW w:w="300" w:type="dxa"/>
            <w:tcBorders>
              <w:bottom w:val="single" w:sz="2" w:space="0" w:color="000000"/>
            </w:tcBorders>
            <w:vAlign w:val="center"/>
          </w:tcPr>
          <w:p>
            <w:pPr>
              <w:pStyle w:val="TableContents"/>
              <w:bidi w:val="0"/>
              <w:spacing w:before="0" w:after="283"/>
              <w:jc w:val="left"/>
              <w:rPr/>
            </w:pPr>
            <w:r>
              <w:rPr/>
              <w:t> </w:t>
            </w:r>
          </w:p>
        </w:tc>
        <w:tc>
          <w:tcPr>
            <w:tcW w:w="1010" w:type="dxa"/>
            <w:tcBorders>
              <w:bottom w:val="single" w:sz="2" w:space="0" w:color="000000"/>
            </w:tcBorders>
            <w:vAlign w:val="center"/>
          </w:tcPr>
          <w:p>
            <w:pPr>
              <w:pStyle w:val="TableContents"/>
              <w:bidi w:val="0"/>
              <w:spacing w:before="0" w:after="283"/>
              <w:jc w:val="center"/>
              <w:rPr/>
            </w:pPr>
            <w:r>
              <w:rPr/>
              <w:drawing>
                <wp:inline distT="0" distB="0" distL="0" distR="0">
                  <wp:extent cx="609600" cy="1914525"/>
                  <wp:effectExtent l="0" t="0" r="0" b="0"/>
                  <wp:docPr id="319" name="Image2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9" name="Image219" descr=""/>
                          <pic:cNvPicPr>
                            <a:picLocks noChangeAspect="1" noChangeArrowheads="1"/>
                          </pic:cNvPicPr>
                        </pic:nvPicPr>
                        <pic:blipFill>
                          <a:blip r:embed="rId270"/>
                          <a:stretch>
                            <a:fillRect/>
                          </a:stretch>
                        </pic:blipFill>
                        <pic:spPr bwMode="auto">
                          <a:xfrm>
                            <a:off x="0" y="0"/>
                            <a:ext cx="609600" cy="1914525"/>
                          </a:xfrm>
                          <a:prstGeom prst="rect">
                            <a:avLst/>
                          </a:prstGeom>
                        </pic:spPr>
                      </pic:pic>
                    </a:graphicData>
                  </a:graphic>
                </wp:inline>
              </w:drawing>
            </w:r>
          </w:p>
        </w:tc>
        <w:tc>
          <w:tcPr>
            <w:tcW w:w="300" w:type="dxa"/>
            <w:tcBorders>
              <w:bottom w:val="single" w:sz="2" w:space="0" w:color="000000"/>
            </w:tcBorders>
            <w:vAlign w:val="center"/>
          </w:tcPr>
          <w:p>
            <w:pPr>
              <w:pStyle w:val="TableContents"/>
              <w:bidi w:val="0"/>
              <w:spacing w:before="0" w:after="283"/>
              <w:jc w:val="center"/>
              <w:rPr/>
            </w:pPr>
            <w:r>
              <w:rPr/>
              <w:t> </w:t>
            </w:r>
          </w:p>
        </w:tc>
        <w:tc>
          <w:tcPr>
            <w:tcW w:w="1064" w:type="dxa"/>
            <w:tcBorders>
              <w:bottom w:val="single" w:sz="2" w:space="0" w:color="000000"/>
            </w:tcBorders>
            <w:vAlign w:val="center"/>
          </w:tcPr>
          <w:p>
            <w:pPr>
              <w:pStyle w:val="TableContents"/>
              <w:bidi w:val="0"/>
              <w:spacing w:before="0" w:after="283"/>
              <w:jc w:val="center"/>
              <w:rPr/>
            </w:pPr>
            <w:r>
              <w:rPr/>
              <w:t>7.5%</w:t>
            </w:r>
          </w:p>
        </w:tc>
        <w:tc>
          <w:tcPr>
            <w:tcW w:w="300" w:type="dxa"/>
            <w:tcBorders>
              <w:bottom w:val="single" w:sz="2" w:space="0" w:color="000000"/>
            </w:tcBorders>
            <w:vAlign w:val="center"/>
          </w:tcPr>
          <w:p>
            <w:pPr>
              <w:pStyle w:val="TableContents"/>
              <w:bidi w:val="0"/>
              <w:spacing w:before="0" w:after="283"/>
              <w:jc w:val="center"/>
              <w:rPr/>
            </w:pPr>
            <w:r>
              <w:rPr/>
              <w:t> </w:t>
            </w:r>
          </w:p>
        </w:tc>
        <w:tc>
          <w:tcPr>
            <w:tcW w:w="1061" w:type="dxa"/>
            <w:tcBorders>
              <w:bottom w:val="single" w:sz="2" w:space="0" w:color="000000"/>
            </w:tcBorders>
            <w:vAlign w:val="center"/>
          </w:tcPr>
          <w:p>
            <w:pPr>
              <w:pStyle w:val="TableContents"/>
              <w:bidi w:val="0"/>
              <w:spacing w:before="0" w:after="283"/>
              <w:jc w:val="center"/>
              <w:rPr/>
            </w:pPr>
            <w:r>
              <w:rPr/>
              <w:t>8.7%</w:t>
            </w:r>
          </w:p>
        </w:tc>
        <w:tc>
          <w:tcPr>
            <w:tcW w:w="300" w:type="dxa"/>
            <w:tcBorders>
              <w:bottom w:val="single" w:sz="2" w:space="0" w:color="000000"/>
            </w:tcBorders>
            <w:vAlign w:val="center"/>
          </w:tcPr>
          <w:p>
            <w:pPr>
              <w:pStyle w:val="TableContents"/>
              <w:bidi w:val="0"/>
              <w:spacing w:before="0" w:after="283"/>
              <w:jc w:val="center"/>
              <w:rPr/>
            </w:pPr>
            <w:r>
              <w:rPr/>
              <w:t> </w:t>
            </w:r>
          </w:p>
        </w:tc>
        <w:tc>
          <w:tcPr>
            <w:tcW w:w="1121" w:type="dxa"/>
            <w:tcBorders>
              <w:bottom w:val="single" w:sz="2" w:space="0" w:color="000000"/>
            </w:tcBorders>
            <w:vAlign w:val="center"/>
          </w:tcPr>
          <w:p>
            <w:pPr>
              <w:pStyle w:val="TableContents"/>
              <w:bidi w:val="0"/>
              <w:spacing w:before="0" w:after="283"/>
              <w:jc w:val="center"/>
              <w:rPr/>
            </w:pPr>
            <w:r>
              <w:rPr/>
              <w:t>9.5%</w:t>
            </w:r>
          </w:p>
        </w:tc>
      </w:tr>
      <w:tr>
        <w:trPr/>
        <w:tc>
          <w:tcPr>
            <w:tcW w:w="4749" w:type="dxa"/>
            <w:tcBorders>
              <w:bottom w:val="single" w:sz="2" w:space="0" w:color="000000"/>
            </w:tcBorders>
            <w:vAlign w:val="center"/>
          </w:tcPr>
          <w:p>
            <w:pPr>
              <w:pStyle w:val="TableContents"/>
              <w:bidi w:val="0"/>
              <w:spacing w:before="0" w:after="120"/>
              <w:ind w:left="0" w:right="0" w:hanging="0"/>
              <w:jc w:val="left"/>
              <w:rPr>
                <w:b/>
              </w:rPr>
            </w:pPr>
            <w:r>
              <w:rPr>
                <w:b/>
              </w:rPr>
              <w:t>TSR vs. Core A&amp;D Peers</w:t>
            </w:r>
            <w:r>
              <w:rPr>
                <w:b/>
                <w:position w:val="8"/>
                <w:sz w:val="19"/>
              </w:rPr>
              <w:t>(2)</w:t>
            </w:r>
          </w:p>
          <w:p>
            <w:pPr>
              <w:pStyle w:val="TableContents"/>
              <w:bidi w:val="0"/>
              <w:spacing w:before="0" w:after="120"/>
              <w:ind w:left="200" w:right="0" w:hanging="200"/>
              <w:jc w:val="left"/>
              <w:rPr/>
            </w:pPr>
            <w:r>
              <w:rPr/>
              <w:t>●  </w:t>
            </w:r>
            <w:r>
              <w:rPr/>
              <w:t>Measures RTX’s cumulative three-year TSR</w:t>
            </w:r>
            <w:r>
              <w:rPr>
                <w:position w:val="8"/>
                <w:sz w:val="19"/>
              </w:rPr>
              <w:t>(3)</w:t>
            </w:r>
            <w:r>
              <w:rPr/>
              <w:t> percentile rank relative to our nine Core A&amp;D Peers</w:t>
            </w:r>
          </w:p>
          <w:p>
            <w:pPr>
              <w:pStyle w:val="TableContents"/>
              <w:bidi w:val="0"/>
              <w:spacing w:before="0" w:after="0"/>
              <w:ind w:left="200" w:right="0" w:hanging="200"/>
              <w:jc w:val="left"/>
              <w:rPr/>
            </w:pPr>
            <w:r>
              <w:rPr/>
              <w:t>●  </w:t>
            </w:r>
            <w:r>
              <w:rPr/>
              <w:t>Payout for this portion of the award is capped at 100% of target if RTX’s TSR is negative</w:t>
            </w:r>
          </w:p>
        </w:tc>
        <w:tc>
          <w:tcPr>
            <w:tcW w:w="300" w:type="dxa"/>
            <w:tcBorders>
              <w:bottom w:val="single" w:sz="2" w:space="0" w:color="000000"/>
            </w:tcBorders>
            <w:vAlign w:val="center"/>
          </w:tcPr>
          <w:p>
            <w:pPr>
              <w:pStyle w:val="TableContents"/>
              <w:bidi w:val="0"/>
              <w:spacing w:before="0" w:after="283"/>
              <w:jc w:val="left"/>
              <w:rPr/>
            </w:pPr>
            <w:r>
              <w:rPr/>
              <w:t> </w:t>
            </w:r>
          </w:p>
        </w:tc>
        <w:tc>
          <w:tcPr>
            <w:tcW w:w="1010" w:type="dxa"/>
            <w:tcBorders>
              <w:bottom w:val="single" w:sz="2" w:space="0" w:color="000000"/>
            </w:tcBorders>
            <w:vAlign w:val="center"/>
          </w:tcPr>
          <w:p>
            <w:pPr>
              <w:pStyle w:val="TableContents"/>
              <w:bidi w:val="0"/>
              <w:spacing w:before="0" w:after="283"/>
              <w:jc w:val="center"/>
              <w:rPr/>
            </w:pPr>
            <w:r>
              <w:rPr/>
              <w:drawing>
                <wp:inline distT="0" distB="0" distL="0" distR="0">
                  <wp:extent cx="619125" cy="1857375"/>
                  <wp:effectExtent l="0" t="0" r="0" b="0"/>
                  <wp:docPr id="320" name="Image2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0" name="Image220" descr=""/>
                          <pic:cNvPicPr>
                            <a:picLocks noChangeAspect="1" noChangeArrowheads="1"/>
                          </pic:cNvPicPr>
                        </pic:nvPicPr>
                        <pic:blipFill>
                          <a:blip r:embed="rId271"/>
                          <a:stretch>
                            <a:fillRect/>
                          </a:stretch>
                        </pic:blipFill>
                        <pic:spPr bwMode="auto">
                          <a:xfrm>
                            <a:off x="0" y="0"/>
                            <a:ext cx="619125" cy="1857375"/>
                          </a:xfrm>
                          <a:prstGeom prst="rect">
                            <a:avLst/>
                          </a:prstGeom>
                        </pic:spPr>
                      </pic:pic>
                    </a:graphicData>
                  </a:graphic>
                </wp:inline>
              </w:drawing>
            </w:r>
          </w:p>
        </w:tc>
        <w:tc>
          <w:tcPr>
            <w:tcW w:w="300" w:type="dxa"/>
            <w:tcBorders>
              <w:bottom w:val="single" w:sz="2" w:space="0" w:color="000000"/>
            </w:tcBorders>
            <w:vAlign w:val="center"/>
          </w:tcPr>
          <w:p>
            <w:pPr>
              <w:pStyle w:val="TableContents"/>
              <w:bidi w:val="0"/>
              <w:spacing w:before="0" w:after="283"/>
              <w:jc w:val="center"/>
              <w:rPr/>
            </w:pPr>
            <w:r>
              <w:rPr/>
              <w:t> </w:t>
            </w:r>
          </w:p>
        </w:tc>
        <w:tc>
          <w:tcPr>
            <w:tcW w:w="1064" w:type="dxa"/>
            <w:tcBorders>
              <w:bottom w:val="single" w:sz="2" w:space="0" w:color="000000"/>
            </w:tcBorders>
            <w:vAlign w:val="center"/>
          </w:tcPr>
          <w:p>
            <w:pPr>
              <w:pStyle w:val="TableContents"/>
              <w:bidi w:val="0"/>
              <w:spacing w:before="0" w:after="283"/>
              <w:jc w:val="center"/>
              <w:rPr/>
            </w:pPr>
            <w:r>
              <w:rPr/>
              <w:t>25</w:t>
            </w:r>
            <w:r>
              <w:rPr>
                <w:position w:val="8"/>
                <w:sz w:val="19"/>
              </w:rPr>
              <w:t>th</w:t>
            </w:r>
            <w:r>
              <w:rPr/>
              <w:br/>
              <w:t>percentile</w:t>
            </w:r>
          </w:p>
        </w:tc>
        <w:tc>
          <w:tcPr>
            <w:tcW w:w="300" w:type="dxa"/>
            <w:tcBorders>
              <w:bottom w:val="single" w:sz="2" w:space="0" w:color="000000"/>
            </w:tcBorders>
            <w:vAlign w:val="center"/>
          </w:tcPr>
          <w:p>
            <w:pPr>
              <w:pStyle w:val="TableContents"/>
              <w:bidi w:val="0"/>
              <w:spacing w:before="0" w:after="283"/>
              <w:jc w:val="center"/>
              <w:rPr/>
            </w:pPr>
            <w:r>
              <w:rPr/>
              <w:t> </w:t>
            </w:r>
          </w:p>
        </w:tc>
        <w:tc>
          <w:tcPr>
            <w:tcW w:w="1061" w:type="dxa"/>
            <w:tcBorders>
              <w:bottom w:val="single" w:sz="2" w:space="0" w:color="000000"/>
            </w:tcBorders>
            <w:vAlign w:val="center"/>
          </w:tcPr>
          <w:p>
            <w:pPr>
              <w:pStyle w:val="TableContents"/>
              <w:bidi w:val="0"/>
              <w:spacing w:before="0" w:after="283"/>
              <w:jc w:val="center"/>
              <w:rPr/>
            </w:pPr>
            <w:r>
              <w:rPr/>
              <w:t>50</w:t>
            </w:r>
            <w:r>
              <w:rPr>
                <w:position w:val="8"/>
                <w:sz w:val="19"/>
              </w:rPr>
              <w:t>th</w:t>
            </w:r>
            <w:r>
              <w:rPr/>
              <w:br/>
              <w:t>percentile</w:t>
            </w:r>
          </w:p>
        </w:tc>
        <w:tc>
          <w:tcPr>
            <w:tcW w:w="300" w:type="dxa"/>
            <w:tcBorders>
              <w:bottom w:val="single" w:sz="2" w:space="0" w:color="000000"/>
            </w:tcBorders>
            <w:vAlign w:val="center"/>
          </w:tcPr>
          <w:p>
            <w:pPr>
              <w:pStyle w:val="TableContents"/>
              <w:bidi w:val="0"/>
              <w:spacing w:before="0" w:after="283"/>
              <w:jc w:val="center"/>
              <w:rPr/>
            </w:pPr>
            <w:r>
              <w:rPr/>
              <w:t> </w:t>
            </w:r>
          </w:p>
        </w:tc>
        <w:tc>
          <w:tcPr>
            <w:tcW w:w="1121" w:type="dxa"/>
            <w:tcBorders>
              <w:bottom w:val="single" w:sz="2" w:space="0" w:color="000000"/>
            </w:tcBorders>
            <w:vAlign w:val="center"/>
          </w:tcPr>
          <w:p>
            <w:pPr>
              <w:pStyle w:val="TableContents"/>
              <w:bidi w:val="0"/>
              <w:spacing w:before="0" w:after="283"/>
              <w:jc w:val="center"/>
              <w:rPr/>
            </w:pPr>
            <w:r>
              <w:rPr/>
              <w:t>75</w:t>
            </w:r>
            <w:r>
              <w:rPr>
                <w:position w:val="8"/>
                <w:sz w:val="19"/>
              </w:rPr>
              <w:t>th</w:t>
            </w:r>
            <w:r>
              <w:rPr/>
              <w:br/>
              <w:t>percentile</w:t>
            </w:r>
          </w:p>
        </w:tc>
      </w:tr>
      <w:tr>
        <w:trPr/>
        <w:tc>
          <w:tcPr>
            <w:tcW w:w="4749" w:type="dxa"/>
            <w:tcBorders>
              <w:bottom w:val="single" w:sz="12" w:space="0" w:color="636466"/>
            </w:tcBorders>
            <w:vAlign w:val="center"/>
          </w:tcPr>
          <w:p>
            <w:pPr>
              <w:pStyle w:val="TableContents"/>
              <w:bidi w:val="0"/>
              <w:spacing w:before="40" w:after="120"/>
              <w:ind w:left="0" w:right="0" w:hanging="0"/>
              <w:jc w:val="left"/>
              <w:rPr>
                <w:b/>
              </w:rPr>
            </w:pPr>
            <w:r>
              <w:rPr>
                <w:b/>
              </w:rPr>
              <w:t>TSR vs. S&amp;P 500 Index Companies</w:t>
            </w:r>
          </w:p>
          <w:p>
            <w:pPr>
              <w:pStyle w:val="TableContents"/>
              <w:bidi w:val="0"/>
              <w:spacing w:before="0" w:after="120"/>
              <w:ind w:left="200" w:right="0" w:hanging="200"/>
              <w:jc w:val="left"/>
              <w:rPr/>
            </w:pPr>
            <w:r>
              <w:rPr/>
              <w:t>●  </w:t>
            </w:r>
            <w:r>
              <w:rPr/>
              <w:t>Measures RTX’s cumulative three-year TSR</w:t>
            </w:r>
            <w:r>
              <w:rPr>
                <w:position w:val="8"/>
                <w:sz w:val="19"/>
              </w:rPr>
              <w:t xml:space="preserve">(3) </w:t>
            </w:r>
            <w:r>
              <w:rPr/>
              <w:t>percentile rank relative to the companies within the S&amp;P 500 Index at the beginning of the performance period</w:t>
            </w:r>
          </w:p>
          <w:p>
            <w:pPr>
              <w:pStyle w:val="TableContents"/>
              <w:bidi w:val="0"/>
              <w:spacing w:before="0" w:after="0"/>
              <w:ind w:left="200" w:right="0" w:hanging="200"/>
              <w:jc w:val="left"/>
              <w:rPr/>
            </w:pPr>
            <w:r>
              <w:rPr/>
              <w:t>●  </w:t>
            </w:r>
            <w:r>
              <w:rPr/>
              <w:t>Payout for this portion of the award is capped at 100% of target if RTX’s TSR is negative</w:t>
            </w:r>
          </w:p>
        </w:tc>
        <w:tc>
          <w:tcPr>
            <w:tcW w:w="300" w:type="dxa"/>
            <w:tcBorders>
              <w:bottom w:val="single" w:sz="12" w:space="0" w:color="636466"/>
            </w:tcBorders>
            <w:vAlign w:val="center"/>
          </w:tcPr>
          <w:p>
            <w:pPr>
              <w:pStyle w:val="TableContents"/>
              <w:bidi w:val="0"/>
              <w:spacing w:before="0" w:after="283"/>
              <w:jc w:val="left"/>
              <w:rPr/>
            </w:pPr>
            <w:r>
              <w:rPr/>
              <w:t> </w:t>
            </w:r>
          </w:p>
        </w:tc>
        <w:tc>
          <w:tcPr>
            <w:tcW w:w="1010" w:type="dxa"/>
            <w:tcBorders>
              <w:bottom w:val="single" w:sz="12" w:space="0" w:color="636466"/>
            </w:tcBorders>
            <w:vAlign w:val="center"/>
          </w:tcPr>
          <w:p>
            <w:pPr>
              <w:pStyle w:val="TableContents"/>
              <w:bidi w:val="0"/>
              <w:spacing w:before="0" w:after="283"/>
              <w:jc w:val="center"/>
              <w:rPr/>
            </w:pPr>
            <w:r>
              <w:rPr/>
              <w:drawing>
                <wp:inline distT="0" distB="0" distL="0" distR="0">
                  <wp:extent cx="619125" cy="1866900"/>
                  <wp:effectExtent l="0" t="0" r="0" b="0"/>
                  <wp:docPr id="321" name="Image2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1" name="Image221" descr=""/>
                          <pic:cNvPicPr>
                            <a:picLocks noChangeAspect="1" noChangeArrowheads="1"/>
                          </pic:cNvPicPr>
                        </pic:nvPicPr>
                        <pic:blipFill>
                          <a:blip r:embed="rId272"/>
                          <a:stretch>
                            <a:fillRect/>
                          </a:stretch>
                        </pic:blipFill>
                        <pic:spPr bwMode="auto">
                          <a:xfrm>
                            <a:off x="0" y="0"/>
                            <a:ext cx="619125" cy="1866900"/>
                          </a:xfrm>
                          <a:prstGeom prst="rect">
                            <a:avLst/>
                          </a:prstGeom>
                        </pic:spPr>
                      </pic:pic>
                    </a:graphicData>
                  </a:graphic>
                </wp:inline>
              </w:drawing>
            </w:r>
          </w:p>
        </w:tc>
        <w:tc>
          <w:tcPr>
            <w:tcW w:w="300" w:type="dxa"/>
            <w:tcBorders>
              <w:bottom w:val="single" w:sz="12" w:space="0" w:color="636466"/>
            </w:tcBorders>
            <w:vAlign w:val="center"/>
          </w:tcPr>
          <w:p>
            <w:pPr>
              <w:pStyle w:val="TableContents"/>
              <w:bidi w:val="0"/>
              <w:spacing w:before="0" w:after="283"/>
              <w:jc w:val="center"/>
              <w:rPr/>
            </w:pPr>
            <w:r>
              <w:rPr/>
              <w:t> </w:t>
            </w:r>
          </w:p>
        </w:tc>
        <w:tc>
          <w:tcPr>
            <w:tcW w:w="1064" w:type="dxa"/>
            <w:tcBorders>
              <w:bottom w:val="single" w:sz="12" w:space="0" w:color="636466"/>
            </w:tcBorders>
            <w:vAlign w:val="center"/>
          </w:tcPr>
          <w:p>
            <w:pPr>
              <w:pStyle w:val="TableContents"/>
              <w:bidi w:val="0"/>
              <w:spacing w:before="0" w:after="283"/>
              <w:jc w:val="center"/>
              <w:rPr/>
            </w:pPr>
            <w:r>
              <w:rPr/>
              <w:t>25</w:t>
            </w:r>
            <w:r>
              <w:rPr>
                <w:position w:val="8"/>
                <w:sz w:val="19"/>
              </w:rPr>
              <w:t>th</w:t>
            </w:r>
            <w:r>
              <w:rPr/>
              <w:br/>
              <w:t>percentile</w:t>
            </w:r>
          </w:p>
        </w:tc>
        <w:tc>
          <w:tcPr>
            <w:tcW w:w="300" w:type="dxa"/>
            <w:tcBorders>
              <w:bottom w:val="single" w:sz="12" w:space="0" w:color="636466"/>
            </w:tcBorders>
            <w:vAlign w:val="center"/>
          </w:tcPr>
          <w:p>
            <w:pPr>
              <w:pStyle w:val="TableContents"/>
              <w:bidi w:val="0"/>
              <w:spacing w:before="0" w:after="283"/>
              <w:jc w:val="center"/>
              <w:rPr/>
            </w:pPr>
            <w:r>
              <w:rPr/>
              <w:t> </w:t>
            </w:r>
          </w:p>
        </w:tc>
        <w:tc>
          <w:tcPr>
            <w:tcW w:w="1061" w:type="dxa"/>
            <w:tcBorders>
              <w:bottom w:val="single" w:sz="12" w:space="0" w:color="636466"/>
            </w:tcBorders>
            <w:vAlign w:val="center"/>
          </w:tcPr>
          <w:p>
            <w:pPr>
              <w:pStyle w:val="TableContents"/>
              <w:bidi w:val="0"/>
              <w:spacing w:before="0" w:after="283"/>
              <w:jc w:val="center"/>
              <w:rPr/>
            </w:pPr>
            <w:r>
              <w:rPr/>
              <w:t>50</w:t>
            </w:r>
            <w:r>
              <w:rPr>
                <w:position w:val="8"/>
                <w:sz w:val="19"/>
              </w:rPr>
              <w:t>th</w:t>
            </w:r>
            <w:r>
              <w:rPr/>
              <w:br/>
              <w:t>percentile</w:t>
            </w:r>
          </w:p>
        </w:tc>
        <w:tc>
          <w:tcPr>
            <w:tcW w:w="300" w:type="dxa"/>
            <w:tcBorders>
              <w:bottom w:val="single" w:sz="12" w:space="0" w:color="636466"/>
            </w:tcBorders>
            <w:vAlign w:val="center"/>
          </w:tcPr>
          <w:p>
            <w:pPr>
              <w:pStyle w:val="TableContents"/>
              <w:bidi w:val="0"/>
              <w:spacing w:before="0" w:after="283"/>
              <w:jc w:val="center"/>
              <w:rPr/>
            </w:pPr>
            <w:r>
              <w:rPr/>
              <w:t> </w:t>
            </w:r>
          </w:p>
        </w:tc>
        <w:tc>
          <w:tcPr>
            <w:tcW w:w="1121" w:type="dxa"/>
            <w:tcBorders>
              <w:bottom w:val="single" w:sz="12" w:space="0" w:color="636466"/>
            </w:tcBorders>
            <w:vAlign w:val="center"/>
          </w:tcPr>
          <w:p>
            <w:pPr>
              <w:pStyle w:val="TableContents"/>
              <w:bidi w:val="0"/>
              <w:spacing w:before="0" w:after="283"/>
              <w:jc w:val="center"/>
              <w:rPr/>
            </w:pPr>
            <w:r>
              <w:rPr/>
              <w:t>75</w:t>
            </w:r>
            <w:r>
              <w:rPr>
                <w:position w:val="8"/>
                <w:sz w:val="19"/>
              </w:rPr>
              <w:t>th</w:t>
            </w:r>
            <w:r>
              <w:rPr/>
              <w:br/>
              <w:t>percentile</w:t>
            </w:r>
          </w:p>
        </w:tc>
      </w:tr>
    </w:tbl>
    <w:p>
      <w:pPr>
        <w:pStyle w:val="TextBody"/>
        <w:bidi w:val="0"/>
        <w:spacing w:before="0" w:after="0"/>
        <w:ind w:left="0" w:right="0" w:hanging="0"/>
        <w:jc w:val="left"/>
        <w:rPr>
          <w:caps w:val="false"/>
          <w:smallCaps w:val="false"/>
          <w:color w:val="C12E33"/>
        </w:rPr>
      </w:pPr>
      <w:r>
        <w:rPr>
          <w:caps w:val="false"/>
          <w:smallCaps w:val="false"/>
          <w:color w:val="C12E33"/>
        </w:rPr>
        <w:t> </w:t>
      </w:r>
    </w:p>
    <w:tbl>
      <w:tblPr>
        <w:tblW w:w="10205" w:type="dxa"/>
        <w:jc w:val="left"/>
        <w:tblInd w:w="0" w:type="dxa"/>
        <w:tblLayout w:type="fixed"/>
        <w:tblCellMar>
          <w:top w:w="0" w:type="dxa"/>
          <w:left w:w="0" w:type="dxa"/>
          <w:bottom w:w="0" w:type="dxa"/>
          <w:right w:w="0" w:type="dxa"/>
        </w:tblCellMar>
      </w:tblPr>
      <w:tblGrid>
        <w:gridCol w:w="269"/>
        <w:gridCol w:w="9936"/>
      </w:tblGrid>
      <w:tr>
        <w:trPr/>
        <w:tc>
          <w:tcPr>
            <w:tcW w:w="269" w:type="dxa"/>
            <w:tcBorders/>
            <w:vAlign w:val="center"/>
          </w:tcPr>
          <w:p>
            <w:pPr>
              <w:pStyle w:val="TableContents"/>
              <w:bidi w:val="0"/>
              <w:spacing w:before="0" w:after="283"/>
              <w:jc w:val="left"/>
              <w:rPr/>
            </w:pPr>
            <w:r>
              <w:rPr/>
              <w:t>(1)</w:t>
            </w:r>
          </w:p>
        </w:tc>
        <w:tc>
          <w:tcPr>
            <w:tcW w:w="9936" w:type="dxa"/>
            <w:tcBorders/>
            <w:vAlign w:val="center"/>
          </w:tcPr>
          <w:p>
            <w:pPr>
              <w:pStyle w:val="TableContents"/>
              <w:bidi w:val="0"/>
              <w:spacing w:before="0" w:after="283"/>
              <w:jc w:val="left"/>
              <w:rPr/>
            </w:pPr>
            <w:r>
              <w:rPr/>
              <w:t>Metrics used solely for PSU purposes and are defined in Appendix B on page 102. These metrics differ from other non-GAAP metrics used and described in Appendix A on pages 99-101.</w:t>
            </w:r>
          </w:p>
        </w:tc>
      </w:tr>
      <w:tr>
        <w:trPr/>
        <w:tc>
          <w:tcPr>
            <w:tcW w:w="269" w:type="dxa"/>
            <w:tcBorders/>
            <w:vAlign w:val="center"/>
          </w:tcPr>
          <w:p>
            <w:pPr>
              <w:pStyle w:val="TableContents"/>
              <w:bidi w:val="0"/>
              <w:spacing w:before="0" w:after="283"/>
              <w:jc w:val="left"/>
              <w:rPr/>
            </w:pPr>
            <w:r>
              <w:rPr/>
              <w:t>(2)</w:t>
            </w:r>
          </w:p>
        </w:tc>
        <w:tc>
          <w:tcPr>
            <w:tcW w:w="9936" w:type="dxa"/>
            <w:tcBorders/>
            <w:vAlign w:val="center"/>
          </w:tcPr>
          <w:p>
            <w:pPr>
              <w:pStyle w:val="TableContents"/>
              <w:bidi w:val="0"/>
              <w:spacing w:before="0" w:after="283"/>
              <w:jc w:val="left"/>
              <w:rPr/>
            </w:pPr>
            <w:r>
              <w:rPr/>
              <w:t xml:space="preserve">For the 2025 PSUs, Core A&amp;D Peers consist of Airbus, Boeing, GE Aerospace, General Dynamics, Honeywell, L3Harris, Lockheed Martin, Northrop Grumman and Safran. </w:t>
            </w:r>
          </w:p>
        </w:tc>
      </w:tr>
      <w:tr>
        <w:trPr/>
        <w:tc>
          <w:tcPr>
            <w:tcW w:w="269" w:type="dxa"/>
            <w:tcBorders/>
            <w:vAlign w:val="center"/>
          </w:tcPr>
          <w:p>
            <w:pPr>
              <w:pStyle w:val="TableContents"/>
              <w:bidi w:val="0"/>
              <w:spacing w:before="0" w:after="283"/>
              <w:jc w:val="left"/>
              <w:rPr/>
            </w:pPr>
            <w:r>
              <w:rPr/>
              <w:t>(3)</w:t>
            </w:r>
          </w:p>
        </w:tc>
        <w:tc>
          <w:tcPr>
            <w:tcW w:w="9936" w:type="dxa"/>
            <w:tcBorders/>
            <w:vAlign w:val="center"/>
          </w:tcPr>
          <w:p>
            <w:pPr>
              <w:pStyle w:val="TableContents"/>
              <w:bidi w:val="0"/>
              <w:spacing w:before="0" w:after="283"/>
              <w:jc w:val="left"/>
              <w:rPr/>
            </w:pPr>
            <w:r>
              <w:rPr/>
              <w:t>See Appendix B on page 102 for details on how TSR is calculated.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15"/>
        </w:rPr>
      </w:pPr>
      <w:r>
        <w:rPr>
          <w:rFonts w:ascii="Arial;Helvetica;Sans-Serif" w:hAnsi="Arial;Helvetica;Sans-Serif"/>
          <w:b/>
          <w:i w:val="false"/>
          <w:caps w:val="false"/>
          <w:smallCaps w:val="false"/>
          <w:sz w:val="15"/>
        </w:rPr>
        <w:t>50    RTX</w:t>
      </w:r>
      <w:r>
        <w:rPr>
          <w:rFonts w:ascii="Arial;Helvetica;Sans-Serif" w:hAnsi="Arial;Helvetica;Sans-Serif"/>
          <w:b w:val="false"/>
          <w:i w:val="false"/>
          <w:caps w:val="false"/>
          <w:smallCaps w:val="false"/>
          <w:sz w:val="15"/>
        </w:rPr>
        <w:t xml:space="preserve"> 2026 PROXY STATEMENT</w:t>
      </w:r>
    </w:p>
    <w:p>
      <w:pPr>
        <w:pStyle w:val="HorizontalLine"/>
        <w:pBdr>
          <w:bottom w:val="double" w:sz="2" w:space="0" w:color="808080"/>
        </w:pBdr>
        <w:bidi w:val="0"/>
        <w:spacing w:before="0" w:after="283"/>
        <w:jc w:val="left"/>
        <w:rPr/>
      </w:pPr>
      <w:r>
        <w:rPr/>
      </w:r>
    </w:p>
    <w:p>
      <w:pPr>
        <w:pStyle w:val="TextBody"/>
        <w:bidi w:val="0"/>
        <w:spacing w:before="200" w:after="200"/>
        <w:jc w:val="left"/>
        <w:rPr/>
      </w:pPr>
      <w:hyperlink w:anchor="toc">
        <w:r>
          <w:rPr>
            <w:rStyle w:val="InternetLink"/>
            <w:rFonts w:ascii="Arial;Helvetica;Sans-Serif" w:hAnsi="Arial;Helvetica;Sans-Serif"/>
            <w:b/>
            <w:i w:val="false"/>
            <w:caps w:val="false"/>
            <w:smallCaps w:val="false"/>
            <w:sz w:val="16"/>
          </w:rPr>
          <w:t>Table of Contents</w:t>
        </w:r>
      </w:hyperlink>
    </w:p>
    <w:p>
      <w:pPr>
        <w:pStyle w:val="TextBody"/>
        <w:bidi w:val="0"/>
        <w:spacing w:before="0" w:after="0"/>
        <w:ind w:left="0" w:right="0" w:hanging="0"/>
        <w:jc w:val="right"/>
        <w:rPr>
          <w:rFonts w:ascii="Arial;Helvetica;Sans-Serif" w:hAnsi="Arial;Helvetica;Sans-Serif"/>
          <w:b/>
          <w:i w:val="false"/>
          <w:caps w:val="false"/>
          <w:smallCaps w:val="false"/>
          <w:color w:val="C12E33"/>
          <w:sz w:val="15"/>
        </w:rPr>
      </w:pPr>
      <w:r>
        <w:rPr>
          <w:rFonts w:ascii="Arial;Helvetica;Sans-Serif" w:hAnsi="Arial;Helvetica;Sans-Serif"/>
          <w:b/>
          <w:i w:val="false"/>
          <w:caps w:val="false"/>
          <w:smallCaps w:val="false"/>
          <w:color w:val="C12E33"/>
          <w:sz w:val="15"/>
        </w:rPr>
        <w:t>COMPENSATION DISCUSSION AND ANALYSIS</w:t>
      </w:r>
    </w:p>
    <w:p>
      <w:pPr>
        <w:pStyle w:val="TextBody"/>
        <w:bidi w:val="0"/>
        <w:spacing w:before="0" w:after="0"/>
        <w:ind w:left="0" w:right="0" w:hanging="0"/>
        <w:jc w:val="righ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2025 PRINCIPAL ELEMENTS OF COMPENSATION</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 xml:space="preserve">What the HCC Committee Considers when Setting Performance Goals and Measuring Performance. </w:t>
      </w:r>
      <w:r>
        <w:rPr>
          <w:rFonts w:ascii="Arial;Helvetica;Sans-Serif" w:hAnsi="Arial;Helvetica;Sans-Serif"/>
          <w:b w:val="false"/>
          <w:i w:val="false"/>
          <w:caps w:val="false"/>
          <w:smallCaps w:val="false"/>
          <w:sz w:val="20"/>
        </w:rPr>
        <w:t>When setting adjusted EPS and ROIC goals for our PSU awards, the HCC Committee considers various long-term business factors, including planned share buybacks, macroeconomic market trends and cost-reduction plans. As defined in Appendix B, adjusted EPS and ROIC exclude the impact of changes in tax laws, tariffs and/or accounting rules, acquisitions and divestitures (including acquisition accounting adjustments), restructuring, nonrecurring and other significant, nonoperational items, nonoperating pension and postretirement income or expense, and changes in asset or liability valuations of deferred compensation plans recognized in interest income/ expense. Under the terms and conditions of the awards, when measuring performance, the HCC Committee may also make adjustments (positively or negatively) to exclude certain items unrelated to operational performance when necessary to maintain the validity of the original targets.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 xml:space="preserve">Limit on Maximum Vesting Value. </w:t>
      </w:r>
      <w:r>
        <w:rPr>
          <w:rFonts w:ascii="Arial;Helvetica;Sans-Serif" w:hAnsi="Arial;Helvetica;Sans-Serif"/>
          <w:b w:val="false"/>
          <w:i w:val="false"/>
          <w:caps w:val="false"/>
          <w:smallCaps w:val="false"/>
          <w:sz w:val="20"/>
        </w:rPr>
        <w:t>If the value of PSUs at vesting (number of PSUs vesting multiplied by the closing price of RTX Common Stock on the vesting date) is greater than 400% of the value of the PSUs at grant (number of PSUs that would vest at target-level performance multiplied by the closing RTX stock price on the grant date), the vesting factor will be reduced so that the value delivered to executives will be no greater than 400% of the grant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 xml:space="preserve">2023–2025 PSU Vesting. </w:t>
      </w:r>
      <w:r>
        <w:rPr>
          <w:rFonts w:ascii="Arial;Helvetica;Sans-Serif" w:hAnsi="Arial;Helvetica;Sans-Serif"/>
          <w:b w:val="false"/>
          <w:i w:val="false"/>
          <w:caps w:val="false"/>
          <w:smallCaps w:val="false"/>
          <w:sz w:val="20"/>
        </w:rPr>
        <w:t>PSU awards granted on February 8, 2023, were subject to vesting based on RTX’s three-year performance relative to preestablished goals for each of the four metrics shown below. Our performance over the three-year period resulted in the award vesting at 146% of target.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40" w:type="dxa"/>
          <w:right w:w="0" w:type="dxa"/>
        </w:tblCellMar>
      </w:tblPr>
      <w:tblGrid>
        <w:gridCol w:w="2441"/>
        <w:gridCol w:w="240"/>
        <w:gridCol w:w="455"/>
        <w:gridCol w:w="240"/>
        <w:gridCol w:w="1189"/>
        <w:gridCol w:w="240"/>
        <w:gridCol w:w="1189"/>
        <w:gridCol w:w="240"/>
        <w:gridCol w:w="1189"/>
        <w:gridCol w:w="240"/>
        <w:gridCol w:w="1291"/>
        <w:gridCol w:w="240"/>
        <w:gridCol w:w="1011"/>
      </w:tblGrid>
      <w:tr>
        <w:trPr/>
        <w:tc>
          <w:tcPr>
            <w:tcW w:w="2441" w:type="dxa"/>
            <w:tcBorders>
              <w:bottom w:val="single" w:sz="12" w:space="0" w:color="C12E33"/>
            </w:tcBorders>
            <w:vAlign w:val="center"/>
          </w:tcPr>
          <w:p>
            <w:pPr>
              <w:pStyle w:val="TableContents"/>
              <w:bidi w:val="0"/>
              <w:spacing w:before="0" w:after="283"/>
              <w:jc w:val="left"/>
              <w:rPr>
                <w:color w:val="636466"/>
                <w:sz w:val="15"/>
              </w:rPr>
            </w:pPr>
            <w:r>
              <w:rPr>
                <w:color w:val="636466"/>
                <w:sz w:val="15"/>
              </w:rPr>
              <w:t>Metric</w:t>
            </w:r>
            <w:r>
              <w:rPr>
                <w:color w:val="636466"/>
                <w:position w:val="5"/>
                <w:sz w:val="12"/>
                <w:sz w:val="15"/>
              </w:rPr>
              <w:t>(1)</w:t>
            </w:r>
          </w:p>
        </w:tc>
        <w:tc>
          <w:tcPr>
            <w:tcW w:w="240" w:type="dxa"/>
            <w:tcBorders>
              <w:bottom w:val="single" w:sz="12" w:space="0" w:color="C12E33"/>
            </w:tcBorders>
            <w:vAlign w:val="center"/>
          </w:tcPr>
          <w:p>
            <w:pPr>
              <w:pStyle w:val="TableContents"/>
              <w:bidi w:val="0"/>
              <w:spacing w:before="0" w:after="283"/>
              <w:jc w:val="center"/>
              <w:rPr/>
            </w:pPr>
            <w:r>
              <w:rPr/>
              <w:t>    </w:t>
            </w:r>
          </w:p>
        </w:tc>
        <w:tc>
          <w:tcPr>
            <w:tcW w:w="455" w:type="dxa"/>
            <w:tcBorders>
              <w:bottom w:val="single" w:sz="12" w:space="0" w:color="C12E33"/>
            </w:tcBorders>
            <w:vAlign w:val="center"/>
          </w:tcPr>
          <w:p>
            <w:pPr>
              <w:pStyle w:val="TableContents"/>
              <w:bidi w:val="0"/>
              <w:spacing w:before="0" w:after="283"/>
              <w:jc w:val="center"/>
              <w:rPr>
                <w:color w:val="636466"/>
                <w:sz w:val="15"/>
              </w:rPr>
            </w:pPr>
            <w:r>
              <w:rPr>
                <w:color w:val="636466"/>
                <w:sz w:val="15"/>
              </w:rPr>
              <w:t>Weight</w:t>
            </w:r>
          </w:p>
        </w:tc>
        <w:tc>
          <w:tcPr>
            <w:tcW w:w="240" w:type="dxa"/>
            <w:tcBorders>
              <w:bottom w:val="single" w:sz="12" w:space="0" w:color="C12E33"/>
            </w:tcBorders>
            <w:vAlign w:val="center"/>
          </w:tcPr>
          <w:p>
            <w:pPr>
              <w:pStyle w:val="TableContents"/>
              <w:bidi w:val="0"/>
              <w:spacing w:before="0" w:after="283"/>
              <w:jc w:val="center"/>
              <w:rPr/>
            </w:pPr>
            <w:r>
              <w:rPr/>
              <w:t>    </w:t>
            </w:r>
          </w:p>
        </w:tc>
        <w:tc>
          <w:tcPr>
            <w:tcW w:w="1189" w:type="dxa"/>
            <w:tcBorders>
              <w:bottom w:val="single" w:sz="12" w:space="0" w:color="C12E33"/>
            </w:tcBorders>
            <w:vAlign w:val="center"/>
          </w:tcPr>
          <w:p>
            <w:pPr>
              <w:pStyle w:val="TableContents"/>
              <w:bidi w:val="0"/>
              <w:spacing w:before="0" w:after="283"/>
              <w:jc w:val="center"/>
              <w:rPr>
                <w:color w:val="636466"/>
                <w:sz w:val="15"/>
              </w:rPr>
            </w:pPr>
            <w:r>
              <w:rPr>
                <w:color w:val="636466"/>
                <w:sz w:val="15"/>
              </w:rPr>
              <w:t>Threshold</w:t>
            </w:r>
          </w:p>
        </w:tc>
        <w:tc>
          <w:tcPr>
            <w:tcW w:w="240" w:type="dxa"/>
            <w:tcBorders>
              <w:bottom w:val="single" w:sz="12" w:space="0" w:color="C12E33"/>
            </w:tcBorders>
            <w:vAlign w:val="center"/>
          </w:tcPr>
          <w:p>
            <w:pPr>
              <w:pStyle w:val="TableContents"/>
              <w:bidi w:val="0"/>
              <w:spacing w:before="0" w:after="283"/>
              <w:jc w:val="center"/>
              <w:rPr/>
            </w:pPr>
            <w:r>
              <w:rPr/>
              <w:t>    </w:t>
            </w:r>
          </w:p>
        </w:tc>
        <w:tc>
          <w:tcPr>
            <w:tcW w:w="1189" w:type="dxa"/>
            <w:tcBorders>
              <w:bottom w:val="single" w:sz="12" w:space="0" w:color="C12E33"/>
            </w:tcBorders>
            <w:vAlign w:val="center"/>
          </w:tcPr>
          <w:p>
            <w:pPr>
              <w:pStyle w:val="TableContents"/>
              <w:bidi w:val="0"/>
              <w:spacing w:before="0" w:after="283"/>
              <w:jc w:val="center"/>
              <w:rPr>
                <w:color w:val="636466"/>
                <w:sz w:val="15"/>
              </w:rPr>
            </w:pPr>
            <w:r>
              <w:rPr>
                <w:color w:val="636466"/>
                <w:sz w:val="15"/>
              </w:rPr>
              <w:t>Target</w:t>
            </w:r>
          </w:p>
        </w:tc>
        <w:tc>
          <w:tcPr>
            <w:tcW w:w="240" w:type="dxa"/>
            <w:tcBorders>
              <w:bottom w:val="single" w:sz="12" w:space="0" w:color="C12E33"/>
            </w:tcBorders>
            <w:vAlign w:val="center"/>
          </w:tcPr>
          <w:p>
            <w:pPr>
              <w:pStyle w:val="TableContents"/>
              <w:bidi w:val="0"/>
              <w:spacing w:before="0" w:after="283"/>
              <w:jc w:val="center"/>
              <w:rPr/>
            </w:pPr>
            <w:r>
              <w:rPr/>
              <w:t>    </w:t>
            </w:r>
          </w:p>
        </w:tc>
        <w:tc>
          <w:tcPr>
            <w:tcW w:w="1189" w:type="dxa"/>
            <w:tcBorders>
              <w:bottom w:val="single" w:sz="12" w:space="0" w:color="C12E33"/>
            </w:tcBorders>
            <w:vAlign w:val="center"/>
          </w:tcPr>
          <w:p>
            <w:pPr>
              <w:pStyle w:val="TableContents"/>
              <w:bidi w:val="0"/>
              <w:spacing w:before="0" w:after="283"/>
              <w:jc w:val="center"/>
              <w:rPr>
                <w:color w:val="636466"/>
                <w:sz w:val="15"/>
              </w:rPr>
            </w:pPr>
            <w:r>
              <w:rPr>
                <w:color w:val="636466"/>
                <w:sz w:val="15"/>
              </w:rPr>
              <w:t>Maximum</w:t>
            </w:r>
          </w:p>
        </w:tc>
        <w:tc>
          <w:tcPr>
            <w:tcW w:w="240" w:type="dxa"/>
            <w:tcBorders>
              <w:bottom w:val="single" w:sz="12" w:space="0" w:color="C12E33"/>
            </w:tcBorders>
            <w:vAlign w:val="center"/>
          </w:tcPr>
          <w:p>
            <w:pPr>
              <w:pStyle w:val="TableContents"/>
              <w:bidi w:val="0"/>
              <w:spacing w:before="0" w:after="283"/>
              <w:jc w:val="center"/>
              <w:rPr/>
            </w:pPr>
            <w:r>
              <w:rPr/>
              <w:t>    </w:t>
            </w:r>
          </w:p>
        </w:tc>
        <w:tc>
          <w:tcPr>
            <w:tcW w:w="1291" w:type="dxa"/>
            <w:tcBorders>
              <w:bottom w:val="single" w:sz="12" w:space="0" w:color="C12E33"/>
            </w:tcBorders>
            <w:vAlign w:val="center"/>
          </w:tcPr>
          <w:p>
            <w:pPr>
              <w:pStyle w:val="TableContents"/>
              <w:bidi w:val="0"/>
              <w:spacing w:before="0" w:after="283"/>
              <w:jc w:val="center"/>
              <w:rPr>
                <w:color w:val="636466"/>
                <w:sz w:val="15"/>
              </w:rPr>
            </w:pPr>
            <w:r>
              <w:rPr>
                <w:color w:val="636466"/>
                <w:sz w:val="15"/>
              </w:rPr>
              <w:t>Actual</w:t>
            </w:r>
          </w:p>
        </w:tc>
        <w:tc>
          <w:tcPr>
            <w:tcW w:w="240" w:type="dxa"/>
            <w:tcBorders>
              <w:bottom w:val="single" w:sz="12" w:space="0" w:color="C12E33"/>
            </w:tcBorders>
            <w:vAlign w:val="center"/>
          </w:tcPr>
          <w:p>
            <w:pPr>
              <w:pStyle w:val="TableContents"/>
              <w:bidi w:val="0"/>
              <w:spacing w:before="0" w:after="283"/>
              <w:jc w:val="center"/>
              <w:rPr/>
            </w:pPr>
            <w:r>
              <w:rPr/>
              <w:t>    </w:t>
            </w:r>
          </w:p>
        </w:tc>
        <w:tc>
          <w:tcPr>
            <w:tcW w:w="1011" w:type="dxa"/>
            <w:tcBorders>
              <w:bottom w:val="single" w:sz="12" w:space="0" w:color="C12E33"/>
            </w:tcBorders>
            <w:vAlign w:val="center"/>
          </w:tcPr>
          <w:p>
            <w:pPr>
              <w:pStyle w:val="TableContents"/>
              <w:bidi w:val="0"/>
              <w:spacing w:before="0" w:after="283"/>
              <w:jc w:val="center"/>
              <w:rPr>
                <w:color w:val="636466"/>
                <w:sz w:val="15"/>
              </w:rPr>
            </w:pPr>
            <w:r>
              <w:rPr>
                <w:color w:val="636466"/>
                <w:sz w:val="15"/>
              </w:rPr>
              <w:t>Performance Factor</w:t>
            </w:r>
          </w:p>
        </w:tc>
      </w:tr>
      <w:tr>
        <w:trPr/>
        <w:tc>
          <w:tcPr>
            <w:tcW w:w="2441" w:type="dxa"/>
            <w:tcBorders>
              <w:bottom w:val="single" w:sz="2" w:space="0" w:color="000000"/>
            </w:tcBorders>
            <w:vAlign w:val="center"/>
          </w:tcPr>
          <w:p>
            <w:pPr>
              <w:pStyle w:val="TableContents"/>
              <w:bidi w:val="0"/>
              <w:spacing w:before="0" w:after="283"/>
              <w:jc w:val="left"/>
              <w:rPr/>
            </w:pPr>
            <w:r>
              <w:rPr/>
              <w:t>Adjusted EPS</w:t>
            </w:r>
            <w:r>
              <w:rPr>
                <w:position w:val="8"/>
                <w:sz w:val="19"/>
              </w:rPr>
              <w:t>(2)</w:t>
            </w:r>
          </w:p>
        </w:tc>
        <w:tc>
          <w:tcPr>
            <w:tcW w:w="240" w:type="dxa"/>
            <w:tcBorders>
              <w:bottom w:val="single" w:sz="2" w:space="0" w:color="000000"/>
            </w:tcBorders>
            <w:vAlign w:val="center"/>
          </w:tcPr>
          <w:p>
            <w:pPr>
              <w:pStyle w:val="TableContents"/>
              <w:bidi w:val="0"/>
              <w:spacing w:before="0" w:after="283"/>
              <w:jc w:val="center"/>
              <w:rPr/>
            </w:pPr>
            <w:r>
              <w:rPr/>
              <w:t> </w:t>
            </w:r>
          </w:p>
        </w:tc>
        <w:tc>
          <w:tcPr>
            <w:tcW w:w="455" w:type="dxa"/>
            <w:tcBorders>
              <w:bottom w:val="single" w:sz="2" w:space="0" w:color="000000"/>
            </w:tcBorders>
            <w:vAlign w:val="center"/>
          </w:tcPr>
          <w:p>
            <w:pPr>
              <w:pStyle w:val="TableContents"/>
              <w:bidi w:val="0"/>
              <w:spacing w:before="0" w:after="283"/>
              <w:jc w:val="center"/>
              <w:rPr/>
            </w:pPr>
            <w:r>
              <w:rPr/>
              <w:t>35%</w:t>
            </w:r>
          </w:p>
        </w:tc>
        <w:tc>
          <w:tcPr>
            <w:tcW w:w="240" w:type="dxa"/>
            <w:tcBorders>
              <w:bottom w:val="single" w:sz="2" w:space="0" w:color="000000"/>
            </w:tcBorders>
            <w:vAlign w:val="center"/>
          </w:tcPr>
          <w:p>
            <w:pPr>
              <w:pStyle w:val="TableContents"/>
              <w:bidi w:val="0"/>
              <w:spacing w:before="0" w:after="283"/>
              <w:jc w:val="center"/>
              <w:rPr/>
            </w:pPr>
            <w:r>
              <w:rPr/>
              <w:t> </w:t>
            </w:r>
          </w:p>
        </w:tc>
        <w:tc>
          <w:tcPr>
            <w:tcW w:w="1189" w:type="dxa"/>
            <w:tcBorders>
              <w:bottom w:val="single" w:sz="2" w:space="0" w:color="000000"/>
            </w:tcBorders>
            <w:vAlign w:val="center"/>
          </w:tcPr>
          <w:p>
            <w:pPr>
              <w:pStyle w:val="TableContents"/>
              <w:bidi w:val="0"/>
              <w:spacing w:before="0" w:after="283"/>
              <w:jc w:val="center"/>
              <w:rPr/>
            </w:pPr>
            <w:r>
              <w:rPr/>
              <w:t>5.7%</w:t>
            </w:r>
          </w:p>
        </w:tc>
        <w:tc>
          <w:tcPr>
            <w:tcW w:w="240" w:type="dxa"/>
            <w:tcBorders>
              <w:bottom w:val="single" w:sz="2" w:space="0" w:color="000000"/>
            </w:tcBorders>
            <w:vAlign w:val="center"/>
          </w:tcPr>
          <w:p>
            <w:pPr>
              <w:pStyle w:val="TableContents"/>
              <w:bidi w:val="0"/>
              <w:spacing w:before="0" w:after="283"/>
              <w:jc w:val="center"/>
              <w:rPr/>
            </w:pPr>
            <w:r>
              <w:rPr/>
              <w:t> </w:t>
            </w:r>
          </w:p>
        </w:tc>
        <w:tc>
          <w:tcPr>
            <w:tcW w:w="1189" w:type="dxa"/>
            <w:tcBorders>
              <w:bottom w:val="single" w:sz="2" w:space="0" w:color="000000"/>
            </w:tcBorders>
            <w:vAlign w:val="center"/>
          </w:tcPr>
          <w:p>
            <w:pPr>
              <w:pStyle w:val="TableContents"/>
              <w:bidi w:val="0"/>
              <w:spacing w:before="0" w:after="283"/>
              <w:jc w:val="center"/>
              <w:rPr/>
            </w:pPr>
            <w:r>
              <w:rPr/>
              <w:t>11.6%</w:t>
            </w:r>
          </w:p>
        </w:tc>
        <w:tc>
          <w:tcPr>
            <w:tcW w:w="240" w:type="dxa"/>
            <w:tcBorders>
              <w:bottom w:val="single" w:sz="2" w:space="0" w:color="000000"/>
            </w:tcBorders>
            <w:vAlign w:val="center"/>
          </w:tcPr>
          <w:p>
            <w:pPr>
              <w:pStyle w:val="TableContents"/>
              <w:bidi w:val="0"/>
              <w:spacing w:before="0" w:after="283"/>
              <w:jc w:val="center"/>
              <w:rPr/>
            </w:pPr>
            <w:r>
              <w:rPr/>
              <w:t> </w:t>
            </w:r>
          </w:p>
        </w:tc>
        <w:tc>
          <w:tcPr>
            <w:tcW w:w="1189" w:type="dxa"/>
            <w:tcBorders>
              <w:bottom w:val="single" w:sz="2" w:space="0" w:color="000000"/>
            </w:tcBorders>
            <w:vAlign w:val="center"/>
          </w:tcPr>
          <w:p>
            <w:pPr>
              <w:pStyle w:val="TableContents"/>
              <w:bidi w:val="0"/>
              <w:spacing w:before="0" w:after="283"/>
              <w:jc w:val="center"/>
              <w:rPr/>
            </w:pPr>
            <w:r>
              <w:rPr/>
              <w:t>15.1%</w:t>
            </w:r>
          </w:p>
        </w:tc>
        <w:tc>
          <w:tcPr>
            <w:tcW w:w="240" w:type="dxa"/>
            <w:tcBorders>
              <w:bottom w:val="single" w:sz="2" w:space="0" w:color="000000"/>
            </w:tcBorders>
            <w:vAlign w:val="center"/>
          </w:tcPr>
          <w:p>
            <w:pPr>
              <w:pStyle w:val="TableContents"/>
              <w:bidi w:val="0"/>
              <w:spacing w:before="0" w:after="283"/>
              <w:jc w:val="center"/>
              <w:rPr/>
            </w:pPr>
            <w:r>
              <w:rPr/>
              <w:t> </w:t>
            </w:r>
          </w:p>
        </w:tc>
        <w:tc>
          <w:tcPr>
            <w:tcW w:w="1291" w:type="dxa"/>
            <w:tcBorders>
              <w:bottom w:val="single" w:sz="2" w:space="0" w:color="000000"/>
            </w:tcBorders>
            <w:vAlign w:val="center"/>
          </w:tcPr>
          <w:p>
            <w:pPr>
              <w:pStyle w:val="TableContents"/>
              <w:bidi w:val="0"/>
              <w:spacing w:before="0" w:after="283"/>
              <w:jc w:val="center"/>
              <w:rPr/>
            </w:pPr>
            <w:r>
              <w:rPr/>
              <w:t>12.9%</w:t>
            </w:r>
          </w:p>
        </w:tc>
        <w:tc>
          <w:tcPr>
            <w:tcW w:w="240" w:type="dxa"/>
            <w:tcBorders>
              <w:bottom w:val="single" w:sz="2" w:space="0" w:color="000000"/>
            </w:tcBorders>
            <w:vAlign w:val="center"/>
          </w:tcPr>
          <w:p>
            <w:pPr>
              <w:pStyle w:val="TableContents"/>
              <w:bidi w:val="0"/>
              <w:spacing w:before="0" w:after="283"/>
              <w:jc w:val="center"/>
              <w:rPr/>
            </w:pPr>
            <w:r>
              <w:rPr/>
              <w:t> </w:t>
            </w:r>
          </w:p>
        </w:tc>
        <w:tc>
          <w:tcPr>
            <w:tcW w:w="1011" w:type="dxa"/>
            <w:tcBorders>
              <w:bottom w:val="single" w:sz="2" w:space="0" w:color="000000"/>
            </w:tcBorders>
            <w:vAlign w:val="center"/>
          </w:tcPr>
          <w:p>
            <w:pPr>
              <w:pStyle w:val="TableContents"/>
              <w:bidi w:val="0"/>
              <w:spacing w:before="0" w:after="283"/>
              <w:jc w:val="center"/>
              <w:rPr/>
            </w:pPr>
            <w:r>
              <w:rPr/>
              <w:t>137%</w:t>
            </w:r>
          </w:p>
        </w:tc>
      </w:tr>
      <w:tr>
        <w:trPr/>
        <w:tc>
          <w:tcPr>
            <w:tcW w:w="2441" w:type="dxa"/>
            <w:tcBorders>
              <w:bottom w:val="single" w:sz="2" w:space="0" w:color="000000"/>
            </w:tcBorders>
            <w:vAlign w:val="center"/>
          </w:tcPr>
          <w:p>
            <w:pPr>
              <w:pStyle w:val="TableContents"/>
              <w:bidi w:val="0"/>
              <w:spacing w:before="0" w:after="283"/>
              <w:jc w:val="left"/>
              <w:rPr/>
            </w:pPr>
            <w:r>
              <w:rPr/>
              <w:t>ROIC</w:t>
            </w:r>
          </w:p>
        </w:tc>
        <w:tc>
          <w:tcPr>
            <w:tcW w:w="240" w:type="dxa"/>
            <w:tcBorders>
              <w:bottom w:val="single" w:sz="2" w:space="0" w:color="000000"/>
            </w:tcBorders>
            <w:vAlign w:val="center"/>
          </w:tcPr>
          <w:p>
            <w:pPr>
              <w:pStyle w:val="TableContents"/>
              <w:bidi w:val="0"/>
              <w:spacing w:before="0" w:after="283"/>
              <w:jc w:val="center"/>
              <w:rPr/>
            </w:pPr>
            <w:r>
              <w:rPr/>
              <w:t> </w:t>
            </w:r>
          </w:p>
        </w:tc>
        <w:tc>
          <w:tcPr>
            <w:tcW w:w="455" w:type="dxa"/>
            <w:tcBorders>
              <w:bottom w:val="single" w:sz="2" w:space="0" w:color="000000"/>
            </w:tcBorders>
            <w:vAlign w:val="center"/>
          </w:tcPr>
          <w:p>
            <w:pPr>
              <w:pStyle w:val="TableContents"/>
              <w:bidi w:val="0"/>
              <w:spacing w:before="0" w:after="283"/>
              <w:jc w:val="center"/>
              <w:rPr/>
            </w:pPr>
            <w:r>
              <w:rPr/>
              <w:t>35%</w:t>
            </w:r>
          </w:p>
        </w:tc>
        <w:tc>
          <w:tcPr>
            <w:tcW w:w="240" w:type="dxa"/>
            <w:tcBorders>
              <w:bottom w:val="single" w:sz="2" w:space="0" w:color="000000"/>
            </w:tcBorders>
            <w:vAlign w:val="center"/>
          </w:tcPr>
          <w:p>
            <w:pPr>
              <w:pStyle w:val="TableContents"/>
              <w:bidi w:val="0"/>
              <w:spacing w:before="0" w:after="283"/>
              <w:jc w:val="center"/>
              <w:rPr/>
            </w:pPr>
            <w:r>
              <w:rPr/>
              <w:t> </w:t>
            </w:r>
          </w:p>
        </w:tc>
        <w:tc>
          <w:tcPr>
            <w:tcW w:w="1189" w:type="dxa"/>
            <w:tcBorders>
              <w:bottom w:val="single" w:sz="2" w:space="0" w:color="000000"/>
            </w:tcBorders>
            <w:vAlign w:val="center"/>
          </w:tcPr>
          <w:p>
            <w:pPr>
              <w:pStyle w:val="TableContents"/>
              <w:bidi w:val="0"/>
              <w:spacing w:before="0" w:after="283"/>
              <w:jc w:val="center"/>
              <w:rPr/>
            </w:pPr>
            <w:r>
              <w:rPr/>
              <w:t>6.5%</w:t>
            </w:r>
          </w:p>
        </w:tc>
        <w:tc>
          <w:tcPr>
            <w:tcW w:w="240" w:type="dxa"/>
            <w:tcBorders>
              <w:bottom w:val="single" w:sz="2" w:space="0" w:color="000000"/>
            </w:tcBorders>
            <w:vAlign w:val="center"/>
          </w:tcPr>
          <w:p>
            <w:pPr>
              <w:pStyle w:val="TableContents"/>
              <w:bidi w:val="0"/>
              <w:spacing w:before="0" w:after="283"/>
              <w:jc w:val="center"/>
              <w:rPr/>
            </w:pPr>
            <w:r>
              <w:rPr/>
              <w:t> </w:t>
            </w:r>
          </w:p>
        </w:tc>
        <w:tc>
          <w:tcPr>
            <w:tcW w:w="1189" w:type="dxa"/>
            <w:tcBorders>
              <w:bottom w:val="single" w:sz="2" w:space="0" w:color="000000"/>
            </w:tcBorders>
            <w:vAlign w:val="center"/>
          </w:tcPr>
          <w:p>
            <w:pPr>
              <w:pStyle w:val="TableContents"/>
              <w:bidi w:val="0"/>
              <w:spacing w:before="0" w:after="283"/>
              <w:jc w:val="center"/>
              <w:rPr/>
            </w:pPr>
            <w:r>
              <w:rPr/>
              <w:t>7.5%</w:t>
            </w:r>
          </w:p>
        </w:tc>
        <w:tc>
          <w:tcPr>
            <w:tcW w:w="240" w:type="dxa"/>
            <w:tcBorders>
              <w:bottom w:val="single" w:sz="2" w:space="0" w:color="000000"/>
            </w:tcBorders>
            <w:vAlign w:val="center"/>
          </w:tcPr>
          <w:p>
            <w:pPr>
              <w:pStyle w:val="TableContents"/>
              <w:bidi w:val="0"/>
              <w:spacing w:before="0" w:after="283"/>
              <w:jc w:val="center"/>
              <w:rPr/>
            </w:pPr>
            <w:r>
              <w:rPr/>
              <w:t> </w:t>
            </w:r>
          </w:p>
        </w:tc>
        <w:tc>
          <w:tcPr>
            <w:tcW w:w="1189" w:type="dxa"/>
            <w:tcBorders>
              <w:bottom w:val="single" w:sz="2" w:space="0" w:color="000000"/>
            </w:tcBorders>
            <w:vAlign w:val="center"/>
          </w:tcPr>
          <w:p>
            <w:pPr>
              <w:pStyle w:val="TableContents"/>
              <w:bidi w:val="0"/>
              <w:spacing w:before="0" w:after="283"/>
              <w:jc w:val="center"/>
              <w:rPr/>
            </w:pPr>
            <w:r>
              <w:rPr/>
              <w:t>8.3%</w:t>
            </w:r>
          </w:p>
        </w:tc>
        <w:tc>
          <w:tcPr>
            <w:tcW w:w="240" w:type="dxa"/>
            <w:tcBorders>
              <w:bottom w:val="single" w:sz="2" w:space="0" w:color="000000"/>
            </w:tcBorders>
            <w:vAlign w:val="center"/>
          </w:tcPr>
          <w:p>
            <w:pPr>
              <w:pStyle w:val="TableContents"/>
              <w:bidi w:val="0"/>
              <w:spacing w:before="0" w:after="283"/>
              <w:jc w:val="center"/>
              <w:rPr/>
            </w:pPr>
            <w:r>
              <w:rPr/>
              <w:t> </w:t>
            </w:r>
          </w:p>
        </w:tc>
        <w:tc>
          <w:tcPr>
            <w:tcW w:w="1291" w:type="dxa"/>
            <w:tcBorders>
              <w:bottom w:val="single" w:sz="2" w:space="0" w:color="000000"/>
            </w:tcBorders>
            <w:vAlign w:val="center"/>
          </w:tcPr>
          <w:p>
            <w:pPr>
              <w:pStyle w:val="TableContents"/>
              <w:bidi w:val="0"/>
              <w:spacing w:before="0" w:after="283"/>
              <w:jc w:val="center"/>
              <w:rPr/>
            </w:pPr>
            <w:r>
              <w:rPr/>
              <w:t>7.6%</w:t>
            </w:r>
          </w:p>
        </w:tc>
        <w:tc>
          <w:tcPr>
            <w:tcW w:w="240" w:type="dxa"/>
            <w:tcBorders>
              <w:bottom w:val="single" w:sz="2" w:space="0" w:color="000000"/>
            </w:tcBorders>
            <w:vAlign w:val="center"/>
          </w:tcPr>
          <w:p>
            <w:pPr>
              <w:pStyle w:val="TableContents"/>
              <w:bidi w:val="0"/>
              <w:spacing w:before="0" w:after="283"/>
              <w:jc w:val="center"/>
              <w:rPr/>
            </w:pPr>
            <w:r>
              <w:rPr/>
              <w:t> </w:t>
            </w:r>
          </w:p>
        </w:tc>
        <w:tc>
          <w:tcPr>
            <w:tcW w:w="1011" w:type="dxa"/>
            <w:tcBorders>
              <w:bottom w:val="single" w:sz="2" w:space="0" w:color="000000"/>
            </w:tcBorders>
            <w:vAlign w:val="center"/>
          </w:tcPr>
          <w:p>
            <w:pPr>
              <w:pStyle w:val="TableContents"/>
              <w:bidi w:val="0"/>
              <w:spacing w:before="0" w:after="283"/>
              <w:jc w:val="center"/>
              <w:rPr/>
            </w:pPr>
            <w:r>
              <w:rPr/>
              <w:t>109%</w:t>
            </w:r>
          </w:p>
        </w:tc>
      </w:tr>
      <w:tr>
        <w:trPr/>
        <w:tc>
          <w:tcPr>
            <w:tcW w:w="2441" w:type="dxa"/>
            <w:tcBorders>
              <w:bottom w:val="single" w:sz="2" w:space="0" w:color="000000"/>
            </w:tcBorders>
            <w:vAlign w:val="center"/>
          </w:tcPr>
          <w:p>
            <w:pPr>
              <w:pStyle w:val="TableContents"/>
              <w:bidi w:val="0"/>
              <w:spacing w:before="0" w:after="283"/>
              <w:jc w:val="left"/>
              <w:rPr/>
            </w:pPr>
            <w:r>
              <w:rPr/>
              <w:t>TSR vs. S&amp;P 500 Index Companies</w:t>
            </w:r>
          </w:p>
        </w:tc>
        <w:tc>
          <w:tcPr>
            <w:tcW w:w="240" w:type="dxa"/>
            <w:tcBorders>
              <w:bottom w:val="single" w:sz="2" w:space="0" w:color="000000"/>
            </w:tcBorders>
            <w:vAlign w:val="center"/>
          </w:tcPr>
          <w:p>
            <w:pPr>
              <w:pStyle w:val="TableContents"/>
              <w:bidi w:val="0"/>
              <w:spacing w:before="0" w:after="283"/>
              <w:jc w:val="center"/>
              <w:rPr/>
            </w:pPr>
            <w:r>
              <w:rPr/>
              <w:t> </w:t>
            </w:r>
          </w:p>
        </w:tc>
        <w:tc>
          <w:tcPr>
            <w:tcW w:w="455" w:type="dxa"/>
            <w:tcBorders>
              <w:bottom w:val="single" w:sz="2" w:space="0" w:color="000000"/>
            </w:tcBorders>
            <w:vAlign w:val="center"/>
          </w:tcPr>
          <w:p>
            <w:pPr>
              <w:pStyle w:val="TableContents"/>
              <w:bidi w:val="0"/>
              <w:spacing w:before="0" w:after="283"/>
              <w:jc w:val="center"/>
              <w:rPr/>
            </w:pPr>
            <w:r>
              <w:rPr/>
              <w:t>15%</w:t>
            </w:r>
          </w:p>
        </w:tc>
        <w:tc>
          <w:tcPr>
            <w:tcW w:w="240" w:type="dxa"/>
            <w:tcBorders>
              <w:bottom w:val="single" w:sz="2" w:space="0" w:color="000000"/>
            </w:tcBorders>
            <w:vAlign w:val="center"/>
          </w:tcPr>
          <w:p>
            <w:pPr>
              <w:pStyle w:val="TableContents"/>
              <w:bidi w:val="0"/>
              <w:spacing w:before="0" w:after="283"/>
              <w:jc w:val="center"/>
              <w:rPr/>
            </w:pPr>
            <w:r>
              <w:rPr/>
              <w:t> </w:t>
            </w:r>
          </w:p>
        </w:tc>
        <w:tc>
          <w:tcPr>
            <w:tcW w:w="1189" w:type="dxa"/>
            <w:tcBorders>
              <w:bottom w:val="single" w:sz="2" w:space="0" w:color="000000"/>
            </w:tcBorders>
            <w:vAlign w:val="center"/>
          </w:tcPr>
          <w:p>
            <w:pPr>
              <w:pStyle w:val="TableContents"/>
              <w:bidi w:val="0"/>
              <w:spacing w:before="0" w:after="283"/>
              <w:jc w:val="center"/>
              <w:rPr/>
            </w:pPr>
            <w:r>
              <w:rPr/>
              <w:t>25</w:t>
            </w:r>
            <w:r>
              <w:rPr>
                <w:position w:val="8"/>
                <w:sz w:val="19"/>
              </w:rPr>
              <w:t xml:space="preserve">th </w:t>
            </w:r>
            <w:r>
              <w:rPr/>
              <w:t>percentile</w:t>
            </w:r>
          </w:p>
        </w:tc>
        <w:tc>
          <w:tcPr>
            <w:tcW w:w="240" w:type="dxa"/>
            <w:tcBorders>
              <w:bottom w:val="single" w:sz="2" w:space="0" w:color="000000"/>
            </w:tcBorders>
            <w:vAlign w:val="center"/>
          </w:tcPr>
          <w:p>
            <w:pPr>
              <w:pStyle w:val="TableContents"/>
              <w:bidi w:val="0"/>
              <w:spacing w:before="0" w:after="283"/>
              <w:jc w:val="center"/>
              <w:rPr/>
            </w:pPr>
            <w:r>
              <w:rPr/>
              <w:t> </w:t>
            </w:r>
          </w:p>
        </w:tc>
        <w:tc>
          <w:tcPr>
            <w:tcW w:w="1189" w:type="dxa"/>
            <w:tcBorders>
              <w:bottom w:val="single" w:sz="2" w:space="0" w:color="000000"/>
            </w:tcBorders>
            <w:vAlign w:val="center"/>
          </w:tcPr>
          <w:p>
            <w:pPr>
              <w:pStyle w:val="TableContents"/>
              <w:bidi w:val="0"/>
              <w:spacing w:before="0" w:after="283"/>
              <w:jc w:val="center"/>
              <w:rPr/>
            </w:pPr>
            <w:r>
              <w:rPr/>
              <w:t>50</w:t>
            </w:r>
            <w:r>
              <w:rPr>
                <w:position w:val="8"/>
                <w:sz w:val="19"/>
              </w:rPr>
              <w:t xml:space="preserve">th </w:t>
            </w:r>
            <w:r>
              <w:rPr/>
              <w:t>percentile</w:t>
            </w:r>
          </w:p>
        </w:tc>
        <w:tc>
          <w:tcPr>
            <w:tcW w:w="240" w:type="dxa"/>
            <w:tcBorders>
              <w:bottom w:val="single" w:sz="2" w:space="0" w:color="000000"/>
            </w:tcBorders>
            <w:vAlign w:val="center"/>
          </w:tcPr>
          <w:p>
            <w:pPr>
              <w:pStyle w:val="TableContents"/>
              <w:bidi w:val="0"/>
              <w:spacing w:before="0" w:after="283"/>
              <w:jc w:val="center"/>
              <w:rPr/>
            </w:pPr>
            <w:r>
              <w:rPr/>
              <w:t> </w:t>
            </w:r>
          </w:p>
        </w:tc>
        <w:tc>
          <w:tcPr>
            <w:tcW w:w="1189" w:type="dxa"/>
            <w:tcBorders>
              <w:bottom w:val="single" w:sz="2" w:space="0" w:color="000000"/>
            </w:tcBorders>
            <w:vAlign w:val="center"/>
          </w:tcPr>
          <w:p>
            <w:pPr>
              <w:pStyle w:val="TableContents"/>
              <w:bidi w:val="0"/>
              <w:spacing w:before="0" w:after="283"/>
              <w:jc w:val="center"/>
              <w:rPr/>
            </w:pPr>
            <w:r>
              <w:rPr/>
              <w:t>75</w:t>
            </w:r>
            <w:r>
              <w:rPr>
                <w:position w:val="8"/>
                <w:sz w:val="19"/>
              </w:rPr>
              <w:t xml:space="preserve">th </w:t>
            </w:r>
            <w:r>
              <w:rPr/>
              <w:t>percentile</w:t>
            </w:r>
          </w:p>
        </w:tc>
        <w:tc>
          <w:tcPr>
            <w:tcW w:w="240" w:type="dxa"/>
            <w:tcBorders>
              <w:bottom w:val="single" w:sz="2" w:space="0" w:color="000000"/>
            </w:tcBorders>
            <w:vAlign w:val="center"/>
          </w:tcPr>
          <w:p>
            <w:pPr>
              <w:pStyle w:val="TableContents"/>
              <w:bidi w:val="0"/>
              <w:spacing w:before="0" w:after="283"/>
              <w:jc w:val="center"/>
              <w:rPr/>
            </w:pPr>
            <w:r>
              <w:rPr/>
              <w:t> </w:t>
            </w:r>
          </w:p>
        </w:tc>
        <w:tc>
          <w:tcPr>
            <w:tcW w:w="1291" w:type="dxa"/>
            <w:tcBorders>
              <w:bottom w:val="single" w:sz="2" w:space="0" w:color="000000"/>
            </w:tcBorders>
            <w:vAlign w:val="center"/>
          </w:tcPr>
          <w:p>
            <w:pPr>
              <w:pStyle w:val="TableContents"/>
              <w:bidi w:val="0"/>
              <w:spacing w:before="0" w:after="283"/>
              <w:jc w:val="center"/>
              <w:rPr/>
            </w:pPr>
            <w:r>
              <w:rPr/>
              <w:t>82.7</w:t>
            </w:r>
            <w:r>
              <w:rPr>
                <w:position w:val="8"/>
                <w:sz w:val="19"/>
              </w:rPr>
              <w:t xml:space="preserve">th </w:t>
            </w:r>
            <w:r>
              <w:rPr/>
              <w:t>percentile</w:t>
            </w:r>
          </w:p>
        </w:tc>
        <w:tc>
          <w:tcPr>
            <w:tcW w:w="240" w:type="dxa"/>
            <w:tcBorders>
              <w:bottom w:val="single" w:sz="2" w:space="0" w:color="000000"/>
            </w:tcBorders>
            <w:vAlign w:val="center"/>
          </w:tcPr>
          <w:p>
            <w:pPr>
              <w:pStyle w:val="TableContents"/>
              <w:bidi w:val="0"/>
              <w:spacing w:before="0" w:after="283"/>
              <w:jc w:val="center"/>
              <w:rPr/>
            </w:pPr>
            <w:r>
              <w:rPr/>
              <w:t> </w:t>
            </w:r>
          </w:p>
        </w:tc>
        <w:tc>
          <w:tcPr>
            <w:tcW w:w="1011" w:type="dxa"/>
            <w:tcBorders>
              <w:bottom w:val="single" w:sz="2" w:space="0" w:color="000000"/>
            </w:tcBorders>
            <w:vAlign w:val="center"/>
          </w:tcPr>
          <w:p>
            <w:pPr>
              <w:pStyle w:val="TableContents"/>
              <w:bidi w:val="0"/>
              <w:spacing w:before="0" w:after="283"/>
              <w:jc w:val="center"/>
              <w:rPr/>
            </w:pPr>
            <w:r>
              <w:rPr/>
              <w:t>200%</w:t>
            </w:r>
          </w:p>
        </w:tc>
      </w:tr>
      <w:tr>
        <w:trPr/>
        <w:tc>
          <w:tcPr>
            <w:tcW w:w="2441" w:type="dxa"/>
            <w:tcBorders>
              <w:bottom w:val="single" w:sz="12" w:space="0" w:color="636466"/>
            </w:tcBorders>
            <w:vAlign w:val="center"/>
          </w:tcPr>
          <w:p>
            <w:pPr>
              <w:pStyle w:val="TableContents"/>
              <w:bidi w:val="0"/>
              <w:spacing w:before="0" w:after="283"/>
              <w:jc w:val="left"/>
              <w:rPr/>
            </w:pPr>
            <w:r>
              <w:rPr/>
              <w:t>TSR vs. Core A&amp;D Peers</w:t>
            </w:r>
          </w:p>
        </w:tc>
        <w:tc>
          <w:tcPr>
            <w:tcW w:w="240" w:type="dxa"/>
            <w:tcBorders>
              <w:bottom w:val="single" w:sz="12" w:space="0" w:color="636466"/>
            </w:tcBorders>
            <w:vAlign w:val="center"/>
          </w:tcPr>
          <w:p>
            <w:pPr>
              <w:pStyle w:val="TableContents"/>
              <w:bidi w:val="0"/>
              <w:spacing w:before="0" w:after="283"/>
              <w:jc w:val="center"/>
              <w:rPr/>
            </w:pPr>
            <w:r>
              <w:rPr/>
              <w:t> </w:t>
            </w:r>
          </w:p>
        </w:tc>
        <w:tc>
          <w:tcPr>
            <w:tcW w:w="455" w:type="dxa"/>
            <w:tcBorders>
              <w:bottom w:val="single" w:sz="12" w:space="0" w:color="636466"/>
            </w:tcBorders>
            <w:vAlign w:val="center"/>
          </w:tcPr>
          <w:p>
            <w:pPr>
              <w:pStyle w:val="TableContents"/>
              <w:bidi w:val="0"/>
              <w:spacing w:before="0" w:after="283"/>
              <w:jc w:val="center"/>
              <w:rPr/>
            </w:pPr>
            <w:r>
              <w:rPr/>
              <w:t>15%</w:t>
            </w:r>
          </w:p>
        </w:tc>
        <w:tc>
          <w:tcPr>
            <w:tcW w:w="240" w:type="dxa"/>
            <w:tcBorders>
              <w:bottom w:val="single" w:sz="12" w:space="0" w:color="636466"/>
            </w:tcBorders>
            <w:vAlign w:val="center"/>
          </w:tcPr>
          <w:p>
            <w:pPr>
              <w:pStyle w:val="TableContents"/>
              <w:bidi w:val="0"/>
              <w:spacing w:before="0" w:after="283"/>
              <w:jc w:val="center"/>
              <w:rPr/>
            </w:pPr>
            <w:r>
              <w:rPr/>
              <w:t> </w:t>
            </w:r>
          </w:p>
        </w:tc>
        <w:tc>
          <w:tcPr>
            <w:tcW w:w="1189" w:type="dxa"/>
            <w:tcBorders>
              <w:bottom w:val="single" w:sz="12" w:space="0" w:color="636466"/>
            </w:tcBorders>
            <w:vAlign w:val="center"/>
          </w:tcPr>
          <w:p>
            <w:pPr>
              <w:pStyle w:val="TableContents"/>
              <w:bidi w:val="0"/>
              <w:spacing w:before="0" w:after="283"/>
              <w:jc w:val="center"/>
              <w:rPr/>
            </w:pPr>
            <w:r>
              <w:rPr/>
              <w:t>25</w:t>
            </w:r>
            <w:r>
              <w:rPr>
                <w:position w:val="8"/>
                <w:sz w:val="19"/>
              </w:rPr>
              <w:t xml:space="preserve">th </w:t>
            </w:r>
            <w:r>
              <w:rPr/>
              <w:t>percentile</w:t>
            </w:r>
          </w:p>
        </w:tc>
        <w:tc>
          <w:tcPr>
            <w:tcW w:w="240" w:type="dxa"/>
            <w:tcBorders>
              <w:bottom w:val="single" w:sz="12" w:space="0" w:color="636466"/>
            </w:tcBorders>
            <w:vAlign w:val="center"/>
          </w:tcPr>
          <w:p>
            <w:pPr>
              <w:pStyle w:val="TableContents"/>
              <w:bidi w:val="0"/>
              <w:spacing w:before="0" w:after="283"/>
              <w:jc w:val="center"/>
              <w:rPr/>
            </w:pPr>
            <w:r>
              <w:rPr/>
              <w:t> </w:t>
            </w:r>
          </w:p>
        </w:tc>
        <w:tc>
          <w:tcPr>
            <w:tcW w:w="1189" w:type="dxa"/>
            <w:tcBorders>
              <w:bottom w:val="single" w:sz="12" w:space="0" w:color="636466"/>
            </w:tcBorders>
            <w:vAlign w:val="center"/>
          </w:tcPr>
          <w:p>
            <w:pPr>
              <w:pStyle w:val="TableContents"/>
              <w:bidi w:val="0"/>
              <w:spacing w:before="0" w:after="283"/>
              <w:jc w:val="center"/>
              <w:rPr/>
            </w:pPr>
            <w:r>
              <w:rPr/>
              <w:t>50</w:t>
            </w:r>
            <w:r>
              <w:rPr>
                <w:position w:val="8"/>
                <w:sz w:val="19"/>
              </w:rPr>
              <w:t xml:space="preserve">th </w:t>
            </w:r>
            <w:r>
              <w:rPr/>
              <w:t>percentile</w:t>
            </w:r>
          </w:p>
        </w:tc>
        <w:tc>
          <w:tcPr>
            <w:tcW w:w="240" w:type="dxa"/>
            <w:tcBorders>
              <w:bottom w:val="single" w:sz="12" w:space="0" w:color="636466"/>
            </w:tcBorders>
            <w:vAlign w:val="center"/>
          </w:tcPr>
          <w:p>
            <w:pPr>
              <w:pStyle w:val="TableContents"/>
              <w:bidi w:val="0"/>
              <w:spacing w:before="0" w:after="283"/>
              <w:jc w:val="center"/>
              <w:rPr/>
            </w:pPr>
            <w:r>
              <w:rPr/>
              <w:t> </w:t>
            </w:r>
          </w:p>
        </w:tc>
        <w:tc>
          <w:tcPr>
            <w:tcW w:w="1189" w:type="dxa"/>
            <w:tcBorders>
              <w:bottom w:val="single" w:sz="12" w:space="0" w:color="636466"/>
            </w:tcBorders>
            <w:vAlign w:val="center"/>
          </w:tcPr>
          <w:p>
            <w:pPr>
              <w:pStyle w:val="TableContents"/>
              <w:bidi w:val="0"/>
              <w:spacing w:before="0" w:after="283"/>
              <w:jc w:val="center"/>
              <w:rPr/>
            </w:pPr>
            <w:r>
              <w:rPr/>
              <w:t>75</w:t>
            </w:r>
            <w:r>
              <w:rPr>
                <w:position w:val="8"/>
                <w:sz w:val="19"/>
              </w:rPr>
              <w:t xml:space="preserve">th </w:t>
            </w:r>
            <w:r>
              <w:rPr/>
              <w:t>percentile</w:t>
            </w:r>
          </w:p>
        </w:tc>
        <w:tc>
          <w:tcPr>
            <w:tcW w:w="240" w:type="dxa"/>
            <w:tcBorders>
              <w:bottom w:val="single" w:sz="12" w:space="0" w:color="636466"/>
            </w:tcBorders>
            <w:vAlign w:val="center"/>
          </w:tcPr>
          <w:p>
            <w:pPr>
              <w:pStyle w:val="TableContents"/>
              <w:bidi w:val="0"/>
              <w:spacing w:before="0" w:after="283"/>
              <w:jc w:val="center"/>
              <w:rPr/>
            </w:pPr>
            <w:r>
              <w:rPr/>
              <w:t> </w:t>
            </w:r>
          </w:p>
        </w:tc>
        <w:tc>
          <w:tcPr>
            <w:tcW w:w="1291" w:type="dxa"/>
            <w:tcBorders>
              <w:bottom w:val="single" w:sz="12" w:space="0" w:color="636466"/>
            </w:tcBorders>
            <w:vAlign w:val="center"/>
          </w:tcPr>
          <w:p>
            <w:pPr>
              <w:pStyle w:val="TableContents"/>
              <w:bidi w:val="0"/>
              <w:spacing w:before="0" w:after="283"/>
              <w:jc w:val="center"/>
              <w:rPr/>
            </w:pPr>
            <w:r>
              <w:rPr/>
              <w:t>77.7</w:t>
            </w:r>
            <w:r>
              <w:rPr>
                <w:position w:val="8"/>
                <w:sz w:val="19"/>
              </w:rPr>
              <w:t xml:space="preserve">th </w:t>
            </w:r>
            <w:r>
              <w:rPr/>
              <w:t>percentile</w:t>
            </w:r>
          </w:p>
        </w:tc>
        <w:tc>
          <w:tcPr>
            <w:tcW w:w="240" w:type="dxa"/>
            <w:tcBorders>
              <w:bottom w:val="single" w:sz="12" w:space="0" w:color="636466"/>
            </w:tcBorders>
            <w:vAlign w:val="center"/>
          </w:tcPr>
          <w:p>
            <w:pPr>
              <w:pStyle w:val="TableContents"/>
              <w:bidi w:val="0"/>
              <w:spacing w:before="0" w:after="283"/>
              <w:jc w:val="center"/>
              <w:rPr/>
            </w:pPr>
            <w:r>
              <w:rPr/>
              <w:t> </w:t>
            </w:r>
          </w:p>
        </w:tc>
        <w:tc>
          <w:tcPr>
            <w:tcW w:w="1011" w:type="dxa"/>
            <w:tcBorders>
              <w:bottom w:val="single" w:sz="12" w:space="0" w:color="636466"/>
            </w:tcBorders>
            <w:vAlign w:val="center"/>
          </w:tcPr>
          <w:p>
            <w:pPr>
              <w:pStyle w:val="TableContents"/>
              <w:bidi w:val="0"/>
              <w:spacing w:before="0" w:after="283"/>
              <w:jc w:val="center"/>
              <w:rPr/>
            </w:pPr>
            <w:r>
              <w:rPr/>
              <w:t>200%</w:t>
            </w:r>
          </w:p>
        </w:tc>
      </w:tr>
      <w:tr>
        <w:trPr/>
        <w:tc>
          <w:tcPr>
            <w:tcW w:w="3136" w:type="dxa"/>
            <w:gridSpan w:val="3"/>
            <w:tcBorders>
              <w:bottom w:val="single" w:sz="12" w:space="0" w:color="636466"/>
            </w:tcBorders>
            <w:vAlign w:val="center"/>
          </w:tcPr>
          <w:p>
            <w:pPr>
              <w:pStyle w:val="TableContents"/>
              <w:bidi w:val="0"/>
              <w:spacing w:before="0" w:after="283"/>
              <w:jc w:val="left"/>
              <w:rPr>
                <w:b/>
                <w:color w:val="C12E33"/>
              </w:rPr>
            </w:pPr>
            <w:r>
              <w:rPr>
                <w:b/>
                <w:color w:val="C12E33"/>
              </w:rPr>
              <w:t>Final PSU Vesting Factor</w:t>
            </w:r>
          </w:p>
        </w:tc>
        <w:tc>
          <w:tcPr>
            <w:tcW w:w="240" w:type="dxa"/>
            <w:tcBorders>
              <w:bottom w:val="single" w:sz="12" w:space="0" w:color="636466"/>
            </w:tcBorders>
            <w:vAlign w:val="center"/>
          </w:tcPr>
          <w:p>
            <w:pPr>
              <w:pStyle w:val="TableContents"/>
              <w:bidi w:val="0"/>
              <w:spacing w:before="0" w:after="283"/>
              <w:jc w:val="center"/>
              <w:rPr/>
            </w:pPr>
            <w:r>
              <w:rPr/>
              <w:t> </w:t>
            </w:r>
          </w:p>
        </w:tc>
        <w:tc>
          <w:tcPr>
            <w:tcW w:w="1189" w:type="dxa"/>
            <w:tcBorders>
              <w:bottom w:val="single" w:sz="12" w:space="0" w:color="636466"/>
            </w:tcBorders>
            <w:vAlign w:val="center"/>
          </w:tcPr>
          <w:p>
            <w:pPr>
              <w:pStyle w:val="TableContents"/>
              <w:bidi w:val="0"/>
              <w:spacing w:before="0" w:after="283"/>
              <w:jc w:val="left"/>
              <w:rPr/>
            </w:pPr>
            <w:r>
              <w:rPr/>
              <w:t> </w:t>
            </w:r>
          </w:p>
        </w:tc>
        <w:tc>
          <w:tcPr>
            <w:tcW w:w="240" w:type="dxa"/>
            <w:tcBorders>
              <w:bottom w:val="single" w:sz="12" w:space="0" w:color="636466"/>
            </w:tcBorders>
            <w:vAlign w:val="center"/>
          </w:tcPr>
          <w:p>
            <w:pPr>
              <w:pStyle w:val="TableContents"/>
              <w:bidi w:val="0"/>
              <w:spacing w:before="0" w:after="283"/>
              <w:jc w:val="center"/>
              <w:rPr/>
            </w:pPr>
            <w:r>
              <w:rPr/>
              <w:t> </w:t>
            </w:r>
          </w:p>
        </w:tc>
        <w:tc>
          <w:tcPr>
            <w:tcW w:w="1189" w:type="dxa"/>
            <w:tcBorders>
              <w:bottom w:val="single" w:sz="12" w:space="0" w:color="636466"/>
            </w:tcBorders>
            <w:vAlign w:val="center"/>
          </w:tcPr>
          <w:p>
            <w:pPr>
              <w:pStyle w:val="TableContents"/>
              <w:bidi w:val="0"/>
              <w:spacing w:before="0" w:after="283"/>
              <w:jc w:val="left"/>
              <w:rPr/>
            </w:pPr>
            <w:r>
              <w:rPr/>
              <w:t> </w:t>
            </w:r>
          </w:p>
        </w:tc>
        <w:tc>
          <w:tcPr>
            <w:tcW w:w="240" w:type="dxa"/>
            <w:tcBorders>
              <w:bottom w:val="single" w:sz="12" w:space="0" w:color="636466"/>
            </w:tcBorders>
            <w:vAlign w:val="center"/>
          </w:tcPr>
          <w:p>
            <w:pPr>
              <w:pStyle w:val="TableContents"/>
              <w:bidi w:val="0"/>
              <w:spacing w:before="0" w:after="283"/>
              <w:jc w:val="center"/>
              <w:rPr/>
            </w:pPr>
            <w:r>
              <w:rPr/>
              <w:t> </w:t>
            </w:r>
          </w:p>
        </w:tc>
        <w:tc>
          <w:tcPr>
            <w:tcW w:w="1189" w:type="dxa"/>
            <w:tcBorders>
              <w:bottom w:val="single" w:sz="12" w:space="0" w:color="636466"/>
            </w:tcBorders>
            <w:vAlign w:val="center"/>
          </w:tcPr>
          <w:p>
            <w:pPr>
              <w:pStyle w:val="TableContents"/>
              <w:bidi w:val="0"/>
              <w:spacing w:before="0" w:after="283"/>
              <w:jc w:val="left"/>
              <w:rPr/>
            </w:pPr>
            <w:r>
              <w:rPr/>
              <w:t> </w:t>
            </w:r>
          </w:p>
        </w:tc>
        <w:tc>
          <w:tcPr>
            <w:tcW w:w="240" w:type="dxa"/>
            <w:tcBorders>
              <w:bottom w:val="single" w:sz="12" w:space="0" w:color="636466"/>
            </w:tcBorders>
            <w:vAlign w:val="center"/>
          </w:tcPr>
          <w:p>
            <w:pPr>
              <w:pStyle w:val="TableContents"/>
              <w:bidi w:val="0"/>
              <w:spacing w:before="0" w:after="283"/>
              <w:jc w:val="center"/>
              <w:rPr/>
            </w:pPr>
            <w:r>
              <w:rPr/>
              <w:t> </w:t>
            </w:r>
          </w:p>
        </w:tc>
        <w:tc>
          <w:tcPr>
            <w:tcW w:w="1291" w:type="dxa"/>
            <w:tcBorders>
              <w:bottom w:val="single" w:sz="12" w:space="0" w:color="636466"/>
            </w:tcBorders>
            <w:vAlign w:val="center"/>
          </w:tcPr>
          <w:p>
            <w:pPr>
              <w:pStyle w:val="TableContents"/>
              <w:bidi w:val="0"/>
              <w:spacing w:before="0" w:after="283"/>
              <w:jc w:val="left"/>
              <w:rPr/>
            </w:pPr>
            <w:r>
              <w:rPr/>
              <w:t> </w:t>
            </w:r>
          </w:p>
        </w:tc>
        <w:tc>
          <w:tcPr>
            <w:tcW w:w="240" w:type="dxa"/>
            <w:tcBorders>
              <w:bottom w:val="single" w:sz="12" w:space="0" w:color="636466"/>
            </w:tcBorders>
            <w:vAlign w:val="center"/>
          </w:tcPr>
          <w:p>
            <w:pPr>
              <w:pStyle w:val="TableContents"/>
              <w:bidi w:val="0"/>
              <w:spacing w:before="0" w:after="283"/>
              <w:jc w:val="center"/>
              <w:rPr/>
            </w:pPr>
            <w:r>
              <w:rPr/>
              <w:t> </w:t>
            </w:r>
          </w:p>
        </w:tc>
        <w:tc>
          <w:tcPr>
            <w:tcW w:w="1011" w:type="dxa"/>
            <w:tcBorders>
              <w:bottom w:val="single" w:sz="12" w:space="0" w:color="636466"/>
            </w:tcBorders>
            <w:vAlign w:val="center"/>
          </w:tcPr>
          <w:p>
            <w:pPr>
              <w:pStyle w:val="TableContents"/>
              <w:bidi w:val="0"/>
              <w:spacing w:before="0" w:after="283"/>
              <w:jc w:val="center"/>
              <w:rPr>
                <w:b/>
                <w:color w:val="C12E33"/>
              </w:rPr>
            </w:pPr>
            <w:r>
              <w:rPr>
                <w:b/>
                <w:color w:val="C12E33"/>
              </w:rPr>
              <w:t>146%</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8"/>
        <w:gridCol w:w="9957"/>
      </w:tblGrid>
      <w:tr>
        <w:trPr/>
        <w:tc>
          <w:tcPr>
            <w:tcW w:w="248" w:type="dxa"/>
            <w:tcBorders/>
            <w:vAlign w:val="center"/>
          </w:tcPr>
          <w:p>
            <w:pPr>
              <w:pStyle w:val="TableContents"/>
              <w:bidi w:val="0"/>
              <w:spacing w:before="0" w:after="283"/>
              <w:jc w:val="left"/>
              <w:rPr>
                <w:position w:val="8"/>
                <w:sz w:val="19"/>
              </w:rPr>
            </w:pPr>
            <w:r>
              <w:rPr>
                <w:position w:val="8"/>
                <w:sz w:val="19"/>
              </w:rPr>
              <w:t>(1)</w:t>
            </w:r>
          </w:p>
        </w:tc>
        <w:tc>
          <w:tcPr>
            <w:tcW w:w="9957" w:type="dxa"/>
            <w:tcBorders/>
            <w:vAlign w:val="center"/>
          </w:tcPr>
          <w:p>
            <w:pPr>
              <w:pStyle w:val="TableContents"/>
              <w:bidi w:val="0"/>
              <w:spacing w:before="0" w:after="283"/>
              <w:jc w:val="left"/>
              <w:rPr/>
            </w:pPr>
            <w:r>
              <w:rPr/>
              <w:t>For a definition of performance metrics used for PSU purposes, see Appendix B on page 102.  </w:t>
            </w:r>
          </w:p>
        </w:tc>
      </w:tr>
      <w:tr>
        <w:trPr/>
        <w:tc>
          <w:tcPr>
            <w:tcW w:w="248" w:type="dxa"/>
            <w:tcBorders/>
            <w:vAlign w:val="center"/>
          </w:tcPr>
          <w:p>
            <w:pPr>
              <w:pStyle w:val="TableContents"/>
              <w:bidi w:val="0"/>
              <w:spacing w:before="0" w:after="283"/>
              <w:jc w:val="left"/>
              <w:rPr>
                <w:position w:val="8"/>
                <w:sz w:val="19"/>
              </w:rPr>
            </w:pPr>
            <w:r>
              <w:rPr>
                <w:position w:val="8"/>
                <w:sz w:val="19"/>
              </w:rPr>
              <w:t>(2)</w:t>
            </w:r>
          </w:p>
        </w:tc>
        <w:tc>
          <w:tcPr>
            <w:tcW w:w="9957" w:type="dxa"/>
            <w:tcBorders/>
            <w:vAlign w:val="center"/>
          </w:tcPr>
          <w:p>
            <w:pPr>
              <w:pStyle w:val="TableContents"/>
              <w:bidi w:val="0"/>
              <w:spacing w:before="0" w:after="283"/>
              <w:jc w:val="left"/>
              <w:rPr/>
            </w:pPr>
            <w:r>
              <w:rPr/>
              <w:t>2025 EPS (GAAP) of $4.96 was adjusted to $6.88, in accordance with the definition we use for measuring PSU performance.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 evaluating performance for the 2023-2025 PSUs, the HCC Committee concluded that changes in laws and regulations impacting tariffs should be neutralized for PSU purposes, because they are externally imposed, unpredictable and unrelated to operational execution. This adjustment is consistent with the HCC Committee’s belief that PSU outcomes should reflect business performance—not external policy shifts that employees cannot control. Such adjustments to maintain the validity of the originally established goals are permitted under the terms and conditions of the 2023 PSU award.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00" w:type="dxa"/>
          <w:left w:w="0" w:type="dxa"/>
          <w:bottom w:w="0" w:type="dxa"/>
          <w:right w:w="0" w:type="dxa"/>
        </w:tblCellMar>
      </w:tblPr>
      <w:tblGrid>
        <w:gridCol w:w="10205"/>
      </w:tblGrid>
      <w:tr>
        <w:trPr/>
        <w:tc>
          <w:tcPr>
            <w:tcW w:w="10205" w:type="dxa"/>
            <w:tcBorders>
              <w:top w:val="single" w:sz="12" w:space="0" w:color="C12E33"/>
            </w:tcBorders>
            <w:shd w:fill="EDEDEE" w:val="clear"/>
            <w:vAlign w:val="center"/>
          </w:tcPr>
          <w:p>
            <w:pPr>
              <w:pStyle w:val="TableContents"/>
              <w:bidi w:val="0"/>
              <w:spacing w:before="0" w:after="0"/>
              <w:ind w:left="0" w:right="0" w:hanging="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CHANGES TO LONG-TERM INCENTIVES IN 2026</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As described on page 6, PSUs granted in February 2026 will vest based on RTX’s performance relative to the following metrics and weightings: EPS (30%), ROIC (30%), TSR vs. Core A&amp;D Peers (20%), and TSR vs. S&amp;P 500 Index Companies (20%). In addition, beginning with the 2026 PSU award, Textron will replace Safran in our Core A&amp;D Peer group.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STOCK APPRECIATION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current LTI award program also includes grants of SARs, which entitle the award recipient to receive, upon exercise, shares of RTX Common Stock with a market value equal to the difference between the market price of RTX Common Stock on the date the SARs are exercised and the exercise price that was set at the grant date (i.e., the closing price of RTX Common Stock on the date of grant). SARs vest and become exercisable three years from the grant date if the recipient is employed by the Company on the vesting date, with exceptions for death, disability, qualifying separation within two years of a change-in-control, retirement and certain involuntary terminations. SARs expire 10 years from the grant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Arial;Helvetica;Sans-Serif" w:hAnsi="Arial;Helvetica;Sans-Serif"/>
          <w:b w:val="false"/>
          <w:i w:val="false"/>
          <w:caps w:val="false"/>
          <w:smallCaps w:val="false"/>
          <w:sz w:val="15"/>
        </w:rPr>
      </w:pPr>
      <w:r>
        <w:rPr>
          <w:rFonts w:ascii="Arial;Helvetica;Sans-Serif" w:hAnsi="Arial;Helvetica;Sans-Serif"/>
          <w:b/>
          <w:i w:val="false"/>
          <w:caps w:val="false"/>
          <w:smallCaps w:val="false"/>
          <w:sz w:val="15"/>
        </w:rPr>
        <w:t>RTX</w:t>
      </w:r>
      <w:r>
        <w:rPr>
          <w:rFonts w:ascii="Arial;Helvetica;Sans-Serif" w:hAnsi="Arial;Helvetica;Sans-Serif"/>
          <w:b w:val="false"/>
          <w:i w:val="false"/>
          <w:caps w:val="false"/>
          <w:smallCaps w:val="false"/>
          <w:sz w:val="15"/>
        </w:rPr>
        <w:t xml:space="preserve"> 2026 PROXY STATEMENT    </w:t>
      </w:r>
      <w:r>
        <w:rPr>
          <w:rFonts w:ascii="Arial;Helvetica;Sans-Serif" w:hAnsi="Arial;Helvetica;Sans-Serif"/>
          <w:b/>
          <w:i w:val="false"/>
          <w:caps w:val="false"/>
          <w:smallCaps w:val="false"/>
          <w:sz w:val="15"/>
        </w:rPr>
        <w:t>51</w:t>
      </w:r>
    </w:p>
    <w:p>
      <w:pPr>
        <w:pStyle w:val="HorizontalLine"/>
        <w:pBdr>
          <w:bottom w:val="double" w:sz="2" w:space="0" w:color="808080"/>
        </w:pBdr>
        <w:bidi w:val="0"/>
        <w:spacing w:before="0" w:after="283"/>
        <w:jc w:val="left"/>
        <w:rPr/>
      </w:pPr>
      <w:r>
        <w:rPr/>
      </w:r>
    </w:p>
    <w:p>
      <w:pPr>
        <w:pStyle w:val="TextBody"/>
        <w:bidi w:val="0"/>
        <w:spacing w:before="200" w:after="200"/>
        <w:jc w:val="left"/>
        <w:rPr/>
      </w:pPr>
      <w:hyperlink w:anchor="toc">
        <w:r>
          <w:rPr>
            <w:rStyle w:val="InternetLink"/>
            <w:rFonts w:ascii="Arial;Helvetica;Sans-Serif" w:hAnsi="Arial;Helvetica;Sans-Serif"/>
            <w:b/>
            <w:i w:val="false"/>
            <w:caps w:val="false"/>
            <w:smallCaps w:val="false"/>
            <w:sz w:val="16"/>
          </w:rPr>
          <w:t>Table of Contents</w:t>
        </w:r>
      </w:hyperlink>
    </w:p>
    <w:p>
      <w:pPr>
        <w:pStyle w:val="TextBody"/>
        <w:bidi w:val="0"/>
        <w:spacing w:before="0" w:after="0"/>
        <w:ind w:left="0" w:right="0" w:hanging="0"/>
        <w:jc w:val="left"/>
        <w:rPr>
          <w:rFonts w:ascii="Arial;Helvetica;Sans-Serif" w:hAnsi="Arial;Helvetica;Sans-Serif"/>
          <w:b/>
          <w:i w:val="false"/>
          <w:caps w:val="false"/>
          <w:smallCaps w:val="false"/>
          <w:color w:val="C12E33"/>
          <w:sz w:val="15"/>
        </w:rPr>
      </w:pPr>
      <w:r>
        <w:rPr>
          <w:rFonts w:ascii="Arial;Helvetica;Sans-Serif" w:hAnsi="Arial;Helvetica;Sans-Serif"/>
          <w:b/>
          <w:i w:val="false"/>
          <w:caps w:val="false"/>
          <w:smallCaps w:val="false"/>
          <w:color w:val="C12E33"/>
          <w:sz w:val="15"/>
        </w:rPr>
        <w:t>COMPENSATION DISCUSSION AND ANALYSIS</w:t>
      </w:r>
    </w:p>
    <w:p>
      <w:pPr>
        <w:pStyle w:val="TextBody"/>
        <w:bidi w:val="0"/>
        <w:spacing w:before="0" w:after="0"/>
        <w:ind w:left="0" w:right="0" w:hanging="0"/>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2025 CEO PAY DECISIONS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color w:val="C12E33"/>
          <w:sz w:val="36"/>
        </w:rPr>
      </w:pPr>
      <w:bookmarkStart w:id="29" w:name="rtx014050_def14ab013"/>
      <w:bookmarkStart w:id="30" w:name="rtx014050a013"/>
      <w:bookmarkEnd w:id="29"/>
      <w:bookmarkEnd w:id="30"/>
      <w:r>
        <w:rPr>
          <w:rFonts w:ascii="Arial;Helvetica;Sans-Serif" w:hAnsi="Arial;Helvetica;Sans-Serif"/>
          <w:b/>
          <w:i w:val="false"/>
          <w:caps w:val="false"/>
          <w:smallCaps w:val="false"/>
          <w:color w:val="C12E33"/>
          <w:sz w:val="36"/>
        </w:rPr>
        <w:t>2025 CEO Pay Decisions</w:t>
      </w:r>
    </w:p>
    <w:p>
      <w:pPr>
        <w:pStyle w:val="TextBody"/>
        <w:bidi w:val="0"/>
        <w:spacing w:before="0" w:after="0"/>
        <w:ind w:left="0" w:right="0" w:hanging="0"/>
        <w:jc w:val="left"/>
        <w:rPr>
          <w:caps w:val="false"/>
          <w:smallCaps w:val="false"/>
          <w:color w:val="C12E33"/>
        </w:rPr>
      </w:pPr>
      <w:r>
        <w:rPr>
          <w:caps w:val="false"/>
          <w:smallCaps w:val="false"/>
          <w:color w:val="C12E33"/>
        </w:rPr>
        <w:t> </w:t>
      </w:r>
    </w:p>
    <w:tbl>
      <w:tblPr>
        <w:tblW w:w="6995" w:type="dxa"/>
        <w:jc w:val="left"/>
        <w:tblInd w:w="0" w:type="dxa"/>
        <w:tblLayout w:type="fixed"/>
        <w:tblCellMar>
          <w:top w:w="0" w:type="dxa"/>
          <w:left w:w="0" w:type="dxa"/>
          <w:bottom w:w="0" w:type="dxa"/>
          <w:right w:w="0" w:type="dxa"/>
        </w:tblCellMar>
      </w:tblPr>
      <w:tblGrid>
        <w:gridCol w:w="4670"/>
        <w:gridCol w:w="60"/>
        <w:gridCol w:w="2265"/>
      </w:tblGrid>
      <w:tr>
        <w:trPr/>
        <w:tc>
          <w:tcPr>
            <w:tcW w:w="4670" w:type="dxa"/>
            <w:tcBorders/>
            <w:vAlign w:val="center"/>
          </w:tcPr>
          <w:p>
            <w:pPr>
              <w:pStyle w:val="TableContents"/>
              <w:bidi w:val="0"/>
              <w:spacing w:before="120" w:after="0"/>
              <w:ind w:left="0" w:right="0" w:hanging="0"/>
              <w:jc w:val="left"/>
              <w:rPr>
                <w:b/>
                <w:sz w:val="30"/>
              </w:rPr>
            </w:pPr>
            <w:r>
              <w:rPr>
                <w:b/>
                <w:sz w:val="30"/>
              </w:rPr>
              <w:t>Christopher T. Calio</w:t>
            </w:r>
          </w:p>
          <w:p>
            <w:pPr>
              <w:pStyle w:val="TableContents"/>
              <w:bidi w:val="0"/>
              <w:spacing w:before="0" w:after="0"/>
              <w:ind w:left="0" w:right="0" w:hanging="0"/>
              <w:jc w:val="left"/>
              <w:rPr/>
            </w:pPr>
            <w:r>
              <w:rPr/>
              <w:t> </w:t>
            </w:r>
          </w:p>
          <w:p>
            <w:pPr>
              <w:pStyle w:val="TableContents"/>
              <w:bidi w:val="0"/>
              <w:spacing w:before="0" w:after="0"/>
              <w:ind w:left="0" w:right="0" w:hanging="0"/>
              <w:jc w:val="left"/>
              <w:rPr>
                <w:b/>
                <w:sz w:val="22"/>
              </w:rPr>
            </w:pPr>
            <w:r>
              <w:rPr>
                <w:b/>
                <w:sz w:val="22"/>
              </w:rPr>
              <w:t>Chairman, President &amp; Chief Executive Officer</w:t>
            </w:r>
          </w:p>
          <w:p>
            <w:pPr>
              <w:pStyle w:val="TableContents"/>
              <w:bidi w:val="0"/>
              <w:spacing w:before="0" w:after="0"/>
              <w:ind w:left="0" w:right="0" w:hanging="0"/>
              <w:jc w:val="left"/>
              <w:rPr/>
            </w:pPr>
            <w:r>
              <w:rPr/>
              <w:t> </w:t>
            </w:r>
          </w:p>
          <w:p>
            <w:pPr>
              <w:pStyle w:val="TableContents"/>
              <w:bidi w:val="0"/>
              <w:spacing w:before="0" w:after="0"/>
              <w:ind w:left="0" w:right="0" w:hanging="0"/>
              <w:jc w:val="left"/>
              <w:rPr>
                <w:rFonts w:ascii="Arial;Helvetica;Sans-Serif" w:hAnsi="Arial;Helvetica;Sans-Serif"/>
                <w:sz w:val="15"/>
              </w:rPr>
            </w:pPr>
            <w:r>
              <w:rPr>
                <w:rFonts w:ascii="Arial;Helvetica;Sans-Serif" w:hAnsi="Arial;Helvetica;Sans-Serif"/>
                <w:sz w:val="15"/>
              </w:rPr>
              <w:t>AGE 52</w:t>
              <w:br/>
              <w:t>RTX EXPERIENCE 20 YEARS</w:t>
            </w:r>
          </w:p>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283"/>
              <w:jc w:val="left"/>
              <w:rPr/>
            </w:pPr>
            <w:r>
              <w:rPr/>
              <w:t> </w:t>
            </w:r>
          </w:p>
        </w:tc>
        <w:tc>
          <w:tcPr>
            <w:tcW w:w="2265" w:type="dxa"/>
            <w:tcBorders/>
            <w:vAlign w:val="center"/>
          </w:tcPr>
          <w:p>
            <w:pPr>
              <w:pStyle w:val="TableContents"/>
              <w:bidi w:val="0"/>
              <w:spacing w:before="0" w:after="283"/>
              <w:jc w:val="right"/>
              <w:rPr/>
            </w:pPr>
            <w:r>
              <w:rPr/>
              <w:drawing>
                <wp:inline distT="0" distB="0" distL="0" distR="0">
                  <wp:extent cx="1428750" cy="3724275"/>
                  <wp:effectExtent l="0" t="0" r="0" b="0"/>
                  <wp:docPr id="322" name="Image2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2" name="Image222" descr=""/>
                          <pic:cNvPicPr>
                            <a:picLocks noChangeAspect="1" noChangeArrowheads="1"/>
                          </pic:cNvPicPr>
                        </pic:nvPicPr>
                        <pic:blipFill>
                          <a:blip r:embed="rId273"/>
                          <a:stretch>
                            <a:fillRect/>
                          </a:stretch>
                        </pic:blipFill>
                        <pic:spPr bwMode="auto">
                          <a:xfrm>
                            <a:off x="0" y="0"/>
                            <a:ext cx="1428750" cy="3724275"/>
                          </a:xfrm>
                          <a:prstGeom prst="rect">
                            <a:avLst/>
                          </a:prstGeom>
                        </pic:spPr>
                      </pic:pic>
                    </a:graphicData>
                  </a:graphic>
                </wp:inline>
              </w:drawing>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mc:AlternateContent>
          <mc:Choice Requires="wps">
            <w:drawing>
              <wp:anchor behindDoc="0" distT="0" distB="0" distL="0" distR="0" simplePos="0" locked="0" layoutInCell="1" allowOverlap="1" relativeHeight="88">
                <wp:simplePos x="0" y="0"/>
                <wp:positionH relativeFrom="column">
                  <wp:align>right</wp:align>
                </wp:positionH>
                <wp:positionV relativeFrom="line">
                  <wp:posOffset>635</wp:posOffset>
                </wp:positionV>
                <wp:extent cx="3110230" cy="6362700"/>
                <wp:effectExtent l="0" t="0" r="0" b="0"/>
                <wp:wrapSquare wrapText="left"/>
                <wp:docPr id="323" name="Frame52"/>
                <a:graphic xmlns:a="http://schemas.openxmlformats.org/drawingml/2006/main">
                  <a:graphicData uri="http://schemas.microsoft.com/office/word/2010/wordprocessingShape">
                    <wps:wsp>
                      <wps:cNvSpPr txBox="1"/>
                      <wps:spPr>
                        <a:xfrm>
                          <a:off x="0" y="0"/>
                          <a:ext cx="3110230" cy="6362700"/>
                        </a:xfrm>
                        <a:prstGeom prst="rect"/>
                        <a:solidFill>
                          <a:srgbClr val="FFFFFF"/>
                        </a:solidFill>
                      </wps:spPr>
                      <wps:txbx>
                        <w:txbxContent>
                          <w:p>
                            <w:pPr>
                              <w:pStyle w:val="TextBody"/>
                              <w:bidi w:val="0"/>
                              <w:spacing w:before="0" w:after="0"/>
                              <w:ind w:left="0" w:right="0" w:hanging="0"/>
                              <w:jc w:val="right"/>
                              <w:rPr>
                                <w:caps w:val="false"/>
                                <w:smallCaps w:val="false"/>
                              </w:rPr>
                            </w:pPr>
                            <w:r>
                              <w:rPr>
                                <w:caps w:val="false"/>
                                <w:smallCaps w:val="false"/>
                              </w:rPr>
                              <w:drawing>
                                <wp:inline distT="0" distB="0" distL="0" distR="0">
                                  <wp:extent cx="3810000" cy="6362700"/>
                                  <wp:effectExtent l="0" t="0" r="0" b="0"/>
                                  <wp:docPr id="324" name="Image2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4" name="Image223" descr=""/>
                                          <pic:cNvPicPr>
                                            <a:picLocks noChangeAspect="1" noChangeArrowheads="1"/>
                                          </pic:cNvPicPr>
                                        </pic:nvPicPr>
                                        <pic:blipFill>
                                          <a:blip r:embed="rId274"/>
                                          <a:stretch>
                                            <a:fillRect/>
                                          </a:stretch>
                                        </pic:blipFill>
                                        <pic:spPr bwMode="auto">
                                          <a:xfrm>
                                            <a:off x="0" y="0"/>
                                            <a:ext cx="3810000" cy="6362700"/>
                                          </a:xfrm>
                                          <a:prstGeom prst="rect">
                                            <a:avLst/>
                                          </a:prstGeom>
                                        </pic:spPr>
                                      </pic:pic>
                                    </a:graphicData>
                                  </a:graphic>
                                </wp:inline>
                              </w:drawing>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501pt;mso-wrap-distance-left:0pt;mso-wrap-distance-right:0pt;mso-wrap-distance-top:0pt;mso-wrap-distance-bottom:0pt;margin-top:0pt;mso-position-vertical:top;mso-position-vertical-relative:text;margin-left:265.35pt;mso-position-horizontal:right;mso-position-horizontal-relative:text">
                <v:textbox>
                  <w:txbxContent>
                    <w:p>
                      <w:pPr>
                        <w:pStyle w:val="TextBody"/>
                        <w:bidi w:val="0"/>
                        <w:spacing w:before="0" w:after="0"/>
                        <w:ind w:left="0" w:right="0" w:hanging="0"/>
                        <w:jc w:val="right"/>
                        <w:rPr>
                          <w:caps w:val="false"/>
                          <w:smallCaps w:val="false"/>
                        </w:rPr>
                      </w:pPr>
                      <w:r>
                        <w:rPr>
                          <w:caps w:val="false"/>
                          <w:smallCaps w:val="false"/>
                        </w:rPr>
                        <w:drawing>
                          <wp:inline distT="0" distB="0" distL="0" distR="0">
                            <wp:extent cx="3810000" cy="6362700"/>
                            <wp:effectExtent l="0" t="0" r="0" b="0"/>
                            <wp:docPr id="325" name="Image2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5" name="Image223" descr=""/>
                                    <pic:cNvPicPr>
                                      <a:picLocks noChangeAspect="1" noChangeArrowheads="1"/>
                                    </pic:cNvPicPr>
                                  </pic:nvPicPr>
                                  <pic:blipFill>
                                    <a:blip r:embed="rId275"/>
                                    <a:stretch>
                                      <a:fillRect/>
                                    </a:stretch>
                                  </pic:blipFill>
                                  <pic:spPr bwMode="auto">
                                    <a:xfrm>
                                      <a:off x="0" y="0"/>
                                      <a:ext cx="3810000" cy="6362700"/>
                                    </a:xfrm>
                                    <a:prstGeom prst="rect">
                                      <a:avLst/>
                                    </a:prstGeom>
                                  </pic:spPr>
                                </pic:pic>
                              </a:graphicData>
                            </a:graphic>
                          </wp:inline>
                        </w:drawing>
                      </w:r>
                    </w:p>
                  </w:txbxContent>
                </v:textbox>
                <w10:wrap type="square" side="left"/>
              </v:rect>
            </w:pict>
          </mc:Fallback>
        </mc:AlternateContent>
      </w:r>
      <w:r>
        <mc:AlternateContent>
          <mc:Choice Requires="wps">
            <w:drawing>
              <wp:anchor behindDoc="0" distT="0" distB="0" distL="0" distR="0" simplePos="0" locked="0" layoutInCell="1" allowOverlap="1" relativeHeight="311">
                <wp:simplePos x="0" y="0"/>
                <wp:positionH relativeFrom="column">
                  <wp:align>left</wp:align>
                </wp:positionH>
                <wp:positionV relativeFrom="line">
                  <wp:posOffset>635</wp:posOffset>
                </wp:positionV>
                <wp:extent cx="3110230" cy="3089910"/>
                <wp:effectExtent l="0" t="0" r="0" b="0"/>
                <wp:wrapSquare wrapText="right"/>
                <wp:docPr id="326" name="Frame51"/>
                <a:graphic xmlns:a="http://schemas.openxmlformats.org/drawingml/2006/main">
                  <a:graphicData uri="http://schemas.microsoft.com/office/word/2010/wordprocessingShape">
                    <wps:wsp>
                      <wps:cNvSpPr txBox="1"/>
                      <wps:spPr>
                        <a:xfrm>
                          <a:off x="0" y="0"/>
                          <a:ext cx="3110230" cy="3089910"/>
                        </a:xfrm>
                        <a:prstGeom prst="rect"/>
                        <a:solidFill>
                          <a:srgbClr val="FFFFFF"/>
                        </a:solidFill>
                      </wps:spPr>
                      <wps:txbx>
                        <w:txbxContent>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Mr. Calio served as President &amp; CEO until April 30, 2025, at which point he assumed the role of Chairman of the Board, in addition to his role as President &amp; CEO.</w:t>
                            </w:r>
                          </w:p>
                          <w:p>
                            <w:pPr>
                              <w:pStyle w:val="TextBody"/>
                              <w:bidi w:val="0"/>
                              <w:spacing w:before="0" w:after="0"/>
                              <w:ind w:left="0" w:right="0" w:hanging="0"/>
                              <w:jc w:val="left"/>
                              <w:rPr>
                                <w:caps w:val="false"/>
                                <w:smallCaps w:val="false"/>
                              </w:rPr>
                            </w:pPr>
                            <w:r>
                              <w:rPr>
                                <w:caps w:val="false"/>
                                <w:smallCaps w:val="false"/>
                              </w:rPr>
                              <w:t> </w:t>
                            </w:r>
                          </w:p>
                          <w:tbl>
                            <w:tblPr>
                              <w:tblW w:w="2555" w:type="dxa"/>
                              <w:jc w:val="left"/>
                              <w:tblInd w:w="0" w:type="dxa"/>
                              <w:tblLayout w:type="fixed"/>
                              <w:tblCellMar>
                                <w:top w:w="0" w:type="dxa"/>
                                <w:left w:w="0" w:type="dxa"/>
                                <w:bottom w:w="28" w:type="dxa"/>
                                <w:right w:w="0" w:type="dxa"/>
                              </w:tblCellMar>
                            </w:tblPr>
                            <w:tblGrid>
                              <w:gridCol w:w="2555"/>
                            </w:tblGrid>
                            <w:tr>
                              <w:trPr/>
                              <w:tc>
                                <w:tcPr>
                                  <w:tcW w:w="2555" w:type="dxa"/>
                                  <w:tcBorders>
                                    <w:bottom w:val="single" w:sz="2" w:space="0" w:color="C12E33"/>
                                  </w:tcBorders>
                                  <w:vAlign w:val="center"/>
                                </w:tcPr>
                                <w:p>
                                  <w:pPr>
                                    <w:pStyle w:val="TableContents"/>
                                    <w:bidi w:val="0"/>
                                    <w:spacing w:before="0" w:after="283"/>
                                    <w:jc w:val="left"/>
                                    <w:rPr>
                                      <w:b/>
                                    </w:rPr>
                                  </w:pPr>
                                  <w:r>
                                    <w:rPr>
                                      <w:b/>
                                    </w:rPr>
                                    <w:t>Compensation Overview</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 xml:space="preserve">Base Salary. </w:t>
                            </w:r>
                            <w:r>
                              <w:rPr>
                                <w:rFonts w:ascii="Arial;Helvetica;Sans-Serif" w:hAnsi="Arial;Helvetica;Sans-Serif"/>
                                <w:b w:val="false"/>
                                <w:i w:val="false"/>
                                <w:caps w:val="false"/>
                                <w:smallCaps w:val="false"/>
                                <w:sz w:val="20"/>
                              </w:rPr>
                              <w:t>Mr. Calio received a base salary increase from $1,450,000 to $1,550,000 during 2025. Following this increase, Mr. Calio's base salary was below the market median for his role.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 xml:space="preserve">Annual Incentive Award. </w:t>
                            </w:r>
                            <w:r>
                              <w:rPr>
                                <w:rFonts w:ascii="Arial;Helvetica;Sans-Serif" w:hAnsi="Arial;Helvetica;Sans-Serif"/>
                                <w:b w:val="false"/>
                                <w:i w:val="false"/>
                                <w:caps w:val="false"/>
                                <w:smallCaps w:val="false"/>
                                <w:sz w:val="20"/>
                              </w:rPr>
                              <w:t>The HCC Committee approved a performance factor of 164% of target for Corporate. The HCC Committee considered this factor, Mr. Calio’s leadership during 2025 and the individual performance considerations noted here, and approved an annual incentive award of $5.1 million. This amount is aligned with the Corporate performance factor.</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243.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Mr. Calio served as President &amp; CEO until April 30, 2025, at which point he assumed the role of Chairman of the Board, in addition to his role as President &amp; CEO.</w:t>
                      </w:r>
                    </w:p>
                    <w:p>
                      <w:pPr>
                        <w:pStyle w:val="TextBody"/>
                        <w:bidi w:val="0"/>
                        <w:spacing w:before="0" w:after="0"/>
                        <w:ind w:left="0" w:right="0" w:hanging="0"/>
                        <w:jc w:val="left"/>
                        <w:rPr>
                          <w:caps w:val="false"/>
                          <w:smallCaps w:val="false"/>
                        </w:rPr>
                      </w:pPr>
                      <w:r>
                        <w:rPr>
                          <w:caps w:val="false"/>
                          <w:smallCaps w:val="false"/>
                        </w:rPr>
                        <w:t> </w:t>
                      </w:r>
                    </w:p>
                    <w:tbl>
                      <w:tblPr>
                        <w:tblW w:w="2555" w:type="dxa"/>
                        <w:jc w:val="left"/>
                        <w:tblInd w:w="0" w:type="dxa"/>
                        <w:tblLayout w:type="fixed"/>
                        <w:tblCellMar>
                          <w:top w:w="0" w:type="dxa"/>
                          <w:left w:w="0" w:type="dxa"/>
                          <w:bottom w:w="28" w:type="dxa"/>
                          <w:right w:w="0" w:type="dxa"/>
                        </w:tblCellMar>
                      </w:tblPr>
                      <w:tblGrid>
                        <w:gridCol w:w="2555"/>
                      </w:tblGrid>
                      <w:tr>
                        <w:trPr/>
                        <w:tc>
                          <w:tcPr>
                            <w:tcW w:w="2555" w:type="dxa"/>
                            <w:tcBorders>
                              <w:bottom w:val="single" w:sz="2" w:space="0" w:color="C12E33"/>
                            </w:tcBorders>
                            <w:vAlign w:val="center"/>
                          </w:tcPr>
                          <w:p>
                            <w:pPr>
                              <w:pStyle w:val="TableContents"/>
                              <w:bidi w:val="0"/>
                              <w:spacing w:before="0" w:after="283"/>
                              <w:jc w:val="left"/>
                              <w:rPr>
                                <w:b/>
                              </w:rPr>
                            </w:pPr>
                            <w:r>
                              <w:rPr>
                                <w:b/>
                              </w:rPr>
                              <w:t>Compensation Overview</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 xml:space="preserve">Base Salary. </w:t>
                      </w:r>
                      <w:r>
                        <w:rPr>
                          <w:rFonts w:ascii="Arial;Helvetica;Sans-Serif" w:hAnsi="Arial;Helvetica;Sans-Serif"/>
                          <w:b w:val="false"/>
                          <w:i w:val="false"/>
                          <w:caps w:val="false"/>
                          <w:smallCaps w:val="false"/>
                          <w:sz w:val="20"/>
                        </w:rPr>
                        <w:t>Mr. Calio received a base salary increase from $1,450,000 to $1,550,000 during 2025. Following this increase, Mr. Calio's base salary was below the market median for his role.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 xml:space="preserve">Annual Incentive Award. </w:t>
                      </w:r>
                      <w:r>
                        <w:rPr>
                          <w:rFonts w:ascii="Arial;Helvetica;Sans-Serif" w:hAnsi="Arial;Helvetica;Sans-Serif"/>
                          <w:b w:val="false"/>
                          <w:i w:val="false"/>
                          <w:caps w:val="false"/>
                          <w:smallCaps w:val="false"/>
                          <w:sz w:val="20"/>
                        </w:rPr>
                        <w:t>The HCC Committee approved a performance factor of 164% of target for Corporate. The HCC Committee considered this factor, Mr. Calio’s leadership during 2025 and the individual performance considerations noted here, and approved an annual incentive award of $5.1 million. This amount is aligned with the Corporate performance factor.</w:t>
                      </w:r>
                    </w:p>
                  </w:txbxContent>
                </v:textbox>
                <w10:wrap type="square" side="right"/>
              </v:rect>
            </w:pict>
          </mc:Fallback>
        </mc:AlternateConten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 xml:space="preserve">LTI. </w:t>
      </w:r>
      <w:r>
        <w:rPr>
          <w:rFonts w:ascii="Arial;Helvetica;Sans-Serif" w:hAnsi="Arial;Helvetica;Sans-Serif"/>
          <w:b w:val="false"/>
          <w:i w:val="false"/>
          <w:caps w:val="false"/>
          <w:smallCaps w:val="false"/>
          <w:sz w:val="20"/>
        </w:rPr>
        <w:t>In consideration for Mr. Calio’s 2025 performance, the HCC Committee approved a 2026 LTI award of $21 million. This amount is an increase from his 2025 LTI award and is above the CPG median for his role.</w:t>
      </w:r>
    </w:p>
    <w:p>
      <w:pPr>
        <w:pStyle w:val="TextBody"/>
        <w:bidi w:val="0"/>
        <w:spacing w:before="0" w:after="0"/>
        <w:ind w:left="0" w:right="0" w:hanging="0"/>
        <w:jc w:val="left"/>
        <w:rPr>
          <w:caps w:val="false"/>
          <w:smallCaps w:val="false"/>
        </w:rPr>
      </w:pPr>
      <w:r>
        <w:rPr>
          <w:caps w:val="false"/>
          <w:smallCaps w:val="false"/>
        </w:rPr>
        <w:t> </w:t>
      </w:r>
    </w:p>
    <w:tbl>
      <w:tblPr>
        <w:tblW w:w="3575" w:type="dxa"/>
        <w:jc w:val="left"/>
        <w:tblInd w:w="0" w:type="dxa"/>
        <w:tblLayout w:type="fixed"/>
        <w:tblCellMar>
          <w:top w:w="0" w:type="dxa"/>
          <w:left w:w="0" w:type="dxa"/>
          <w:bottom w:w="28" w:type="dxa"/>
          <w:right w:w="0" w:type="dxa"/>
        </w:tblCellMar>
      </w:tblPr>
      <w:tblGrid>
        <w:gridCol w:w="3575"/>
      </w:tblGrid>
      <w:tr>
        <w:trPr/>
        <w:tc>
          <w:tcPr>
            <w:tcW w:w="3575" w:type="dxa"/>
            <w:tcBorders>
              <w:bottom w:val="single" w:sz="2" w:space="0" w:color="C12E33"/>
            </w:tcBorders>
            <w:vAlign w:val="center"/>
          </w:tcPr>
          <w:p>
            <w:pPr>
              <w:pStyle w:val="TableContents"/>
              <w:bidi w:val="0"/>
              <w:spacing w:before="0" w:after="283"/>
              <w:jc w:val="left"/>
              <w:rPr>
                <w:b/>
              </w:rPr>
            </w:pPr>
            <w:r>
              <w:rPr>
                <w:b/>
              </w:rPr>
              <w:t>Individual Performance Highlights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Mr. Calio exhibited strong leadership driving RTX results, including:</w:t>
      </w:r>
    </w:p>
    <w:p>
      <w:pPr>
        <w:pStyle w:val="TextBody"/>
        <w:bidi w:val="0"/>
        <w:spacing w:before="0" w:after="0"/>
        <w:ind w:left="0" w:right="0" w:hanging="0"/>
        <w:jc w:val="left"/>
        <w:rPr>
          <w:caps w:val="false"/>
          <w:smallCaps w:val="false"/>
        </w:rPr>
      </w:pPr>
      <w:r>
        <w:rPr>
          <w:caps w:val="false"/>
          <w:smallCaps w:val="false"/>
        </w:rPr>
        <w:t> </w:t>
      </w:r>
      <w:r>
        <mc:AlternateContent>
          <mc:Choice Requires="wps">
            <w:drawing>
              <wp:anchor behindDoc="0" distT="0" distB="0" distL="0" distR="0" simplePos="0" locked="0" layoutInCell="1" allowOverlap="1" relativeHeight="312">
                <wp:simplePos x="0" y="0"/>
                <wp:positionH relativeFrom="column">
                  <wp:align>left</wp:align>
                </wp:positionH>
                <wp:positionV relativeFrom="line">
                  <wp:posOffset>635</wp:posOffset>
                </wp:positionV>
                <wp:extent cx="3110230" cy="2487930"/>
                <wp:effectExtent l="0" t="0" r="0" b="0"/>
                <wp:wrapSquare wrapText="right"/>
                <wp:docPr id="327" name="Frame53"/>
                <a:graphic xmlns:a="http://schemas.openxmlformats.org/drawingml/2006/main">
                  <a:graphicData uri="http://schemas.microsoft.com/office/word/2010/wordprocessingShape">
                    <wps:wsp>
                      <wps:cNvSpPr txBox="1"/>
                      <wps:spPr>
                        <a:xfrm>
                          <a:off x="0" y="0"/>
                          <a:ext cx="3110230" cy="2487930"/>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Exceeding the financial expectations we communicated to investors early in the year, despite tariff-related pressures and supplier challenges, which included:</w:t>
                                  </w:r>
                                </w:p>
                              </w:tc>
                            </w:tr>
                          </w:tbl>
                          <w:tbl>
                            <w:tblPr>
                              <w:tblW w:w="10205" w:type="dxa"/>
                              <w:jc w:val="left"/>
                              <w:tblInd w:w="0" w:type="dxa"/>
                              <w:tblLayout w:type="fixed"/>
                              <w:tblCellMar>
                                <w:top w:w="0" w:type="dxa"/>
                                <w:left w:w="0" w:type="dxa"/>
                                <w:bottom w:w="0" w:type="dxa"/>
                                <w:right w:w="0" w:type="dxa"/>
                              </w:tblCellMar>
                            </w:tblPr>
                            <w:tblGrid>
                              <w:gridCol w:w="135"/>
                              <w:gridCol w:w="140"/>
                              <w:gridCol w:w="9930"/>
                            </w:tblGrid>
                            <w:tr>
                              <w:trPr/>
                              <w:tc>
                                <w:tcPr>
                                  <w:tcW w:w="13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caps w:val="false"/>
                                      <w:smallCaps w:val="false"/>
                                    </w:rPr>
                                  </w:pPr>
                                  <w:r>
                                    <w:rPr>
                                      <w:caps w:val="false"/>
                                      <w:smallCaps w:val="false"/>
                                    </w:rPr>
                                    <w:t>–</w:t>
                                  </w:r>
                                </w:p>
                              </w:tc>
                              <w:tc>
                                <w:tcPr>
                                  <w:tcW w:w="993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Net sales growth of 9.7% (GAAP), 9.6% (adjusted) and organic sales growth of 11%, which includes organic sales growth at each business segment.</w:t>
                                  </w:r>
                                  <w:r>
                                    <w:rPr>
                                      <w:rFonts w:ascii="Arial;Helvetica;Sans-Serif" w:hAnsi="Arial;Helvetica;Sans-Serif"/>
                                      <w:b w:val="false"/>
                                      <w:i w:val="false"/>
                                      <w:caps w:val="false"/>
                                      <w:smallCaps w:val="false"/>
                                      <w:position w:val="7"/>
                                      <w:sz w:val="16"/>
                                      <w:sz w:val="20"/>
                                    </w:rPr>
                                    <w:t>(1)</w:t>
                                  </w:r>
                                </w:p>
                              </w:tc>
                            </w:tr>
                            <w:tr>
                              <w:trPr/>
                              <w:tc>
                                <w:tcPr>
                                  <w:tcW w:w="13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caps w:val="false"/>
                                      <w:smallCaps w:val="false"/>
                                    </w:rPr>
                                  </w:pPr>
                                  <w:r>
                                    <w:rPr>
                                      <w:caps w:val="false"/>
                                      <w:smallCaps w:val="false"/>
                                    </w:rPr>
                                    <w:t>–</w:t>
                                  </w:r>
                                </w:p>
                              </w:tc>
                              <w:tc>
                                <w:tcPr>
                                  <w:tcW w:w="993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Diluted EPS of $4.96 (GAAP) and $6.29 (adjusted).</w:t>
                                  </w:r>
                                  <w:r>
                                    <w:rPr>
                                      <w:rFonts w:ascii="Arial;Helvetica;Sans-Serif" w:hAnsi="Arial;Helvetica;Sans-Serif"/>
                                      <w:b w:val="false"/>
                                      <w:i w:val="false"/>
                                      <w:caps w:val="false"/>
                                      <w:smallCaps w:val="false"/>
                                      <w:position w:val="7"/>
                                      <w:sz w:val="16"/>
                                      <w:sz w:val="20"/>
                                    </w:rPr>
                                    <w:t>(1)</w:t>
                                  </w:r>
                                </w:p>
                              </w:tc>
                            </w:tr>
                            <w:tr>
                              <w:trPr/>
                              <w:tc>
                                <w:tcPr>
                                  <w:tcW w:w="13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caps w:val="false"/>
                                      <w:smallCaps w:val="false"/>
                                    </w:rPr>
                                  </w:pPr>
                                  <w:r>
                                    <w:rPr>
                                      <w:caps w:val="false"/>
                                      <w:smallCaps w:val="false"/>
                                    </w:rPr>
                                    <w:t>–</w:t>
                                  </w:r>
                                </w:p>
                              </w:tc>
                              <w:tc>
                                <w:tcPr>
                                  <w:tcW w:w="993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$10.6 billion in cash flow from operating activities and over $2.6 billion invested in capital expenditures, resulting in $7.9 billion in free cash flow.</w:t>
                                  </w:r>
                                  <w:r>
                                    <w:rPr>
                                      <w:rFonts w:ascii="Arial;Helvetica;Sans-Serif" w:hAnsi="Arial;Helvetica;Sans-Serif"/>
                                      <w:b w:val="false"/>
                                      <w:i w:val="false"/>
                                      <w:caps w:val="false"/>
                                      <w:smallCaps w:val="false"/>
                                      <w:position w:val="7"/>
                                      <w:sz w:val="16"/>
                                      <w:sz w:val="20"/>
                                    </w:rPr>
                                    <w:t>(1)</w:t>
                                  </w:r>
                                </w:p>
                              </w:tc>
                            </w:tr>
                            <w:tr>
                              <w:trPr/>
                              <w:tc>
                                <w:tcPr>
                                  <w:tcW w:w="13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caps w:val="false"/>
                                      <w:smallCaps w:val="false"/>
                                    </w:rPr>
                                  </w:pPr>
                                  <w:r>
                                    <w:rPr>
                                      <w:caps w:val="false"/>
                                      <w:smallCaps w:val="false"/>
                                    </w:rPr>
                                    <w:t>–</w:t>
                                  </w:r>
                                </w:p>
                              </w:tc>
                              <w:tc>
                                <w:tcPr>
                                  <w:tcW w:w="993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Adjusted operating profit increased by 12% year-over-year, with growth and margin expansion across all three segments.</w:t>
                                  </w:r>
                                  <w:r>
                                    <w:rPr>
                                      <w:rFonts w:ascii="Arial;Helvetica;Sans-Serif" w:hAnsi="Arial;Helvetica;Sans-Serif"/>
                                      <w:b w:val="false"/>
                                      <w:i w:val="false"/>
                                      <w:caps w:val="false"/>
                                      <w:smallCaps w:val="false"/>
                                      <w:position w:val="7"/>
                                      <w:sz w:val="16"/>
                                      <w:sz w:val="20"/>
                                    </w:rPr>
                                    <w:t>(1)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195.9pt;mso-wrap-distance-left:0pt;mso-wrap-distance-right:0pt;mso-wrap-distance-top:0pt;mso-wrap-distance-bottom:0pt;margin-top:0pt;mso-position-vertical:top;mso-position-vertical-relative:text;margin-left:0pt;mso-position-horizontal:left;mso-position-horizontal-relative:text">
                <v:textbox>
                  <w:txbxContent>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Exceeding the financial expectations we communicated to investors early in the year, despite tariff-related pressures and supplier challenges, which included:</w:t>
                            </w:r>
                          </w:p>
                        </w:tc>
                      </w:tr>
                    </w:tbl>
                    <w:tbl>
                      <w:tblPr>
                        <w:tblW w:w="10205" w:type="dxa"/>
                        <w:jc w:val="left"/>
                        <w:tblInd w:w="0" w:type="dxa"/>
                        <w:tblLayout w:type="fixed"/>
                        <w:tblCellMar>
                          <w:top w:w="0" w:type="dxa"/>
                          <w:left w:w="0" w:type="dxa"/>
                          <w:bottom w:w="0" w:type="dxa"/>
                          <w:right w:w="0" w:type="dxa"/>
                        </w:tblCellMar>
                      </w:tblPr>
                      <w:tblGrid>
                        <w:gridCol w:w="135"/>
                        <w:gridCol w:w="140"/>
                        <w:gridCol w:w="9930"/>
                      </w:tblGrid>
                      <w:tr>
                        <w:trPr/>
                        <w:tc>
                          <w:tcPr>
                            <w:tcW w:w="13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caps w:val="false"/>
                                <w:smallCaps w:val="false"/>
                              </w:rPr>
                            </w:pPr>
                            <w:r>
                              <w:rPr>
                                <w:caps w:val="false"/>
                                <w:smallCaps w:val="false"/>
                              </w:rPr>
                              <w:t>–</w:t>
                            </w:r>
                          </w:p>
                        </w:tc>
                        <w:tc>
                          <w:tcPr>
                            <w:tcW w:w="993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Net sales growth of 9.7% (GAAP), 9.6% (adjusted) and organic sales growth of 11%, which includes organic sales growth at each business segment.</w:t>
                            </w:r>
                            <w:r>
                              <w:rPr>
                                <w:rFonts w:ascii="Arial;Helvetica;Sans-Serif" w:hAnsi="Arial;Helvetica;Sans-Serif"/>
                                <w:b w:val="false"/>
                                <w:i w:val="false"/>
                                <w:caps w:val="false"/>
                                <w:smallCaps w:val="false"/>
                                <w:position w:val="7"/>
                                <w:sz w:val="16"/>
                                <w:sz w:val="20"/>
                              </w:rPr>
                              <w:t>(1)</w:t>
                            </w:r>
                          </w:p>
                        </w:tc>
                      </w:tr>
                      <w:tr>
                        <w:trPr/>
                        <w:tc>
                          <w:tcPr>
                            <w:tcW w:w="13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caps w:val="false"/>
                                <w:smallCaps w:val="false"/>
                              </w:rPr>
                            </w:pPr>
                            <w:r>
                              <w:rPr>
                                <w:caps w:val="false"/>
                                <w:smallCaps w:val="false"/>
                              </w:rPr>
                              <w:t>–</w:t>
                            </w:r>
                          </w:p>
                        </w:tc>
                        <w:tc>
                          <w:tcPr>
                            <w:tcW w:w="993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Diluted EPS of $4.96 (GAAP) and $6.29 (adjusted).</w:t>
                            </w:r>
                            <w:r>
                              <w:rPr>
                                <w:rFonts w:ascii="Arial;Helvetica;Sans-Serif" w:hAnsi="Arial;Helvetica;Sans-Serif"/>
                                <w:b w:val="false"/>
                                <w:i w:val="false"/>
                                <w:caps w:val="false"/>
                                <w:smallCaps w:val="false"/>
                                <w:position w:val="7"/>
                                <w:sz w:val="16"/>
                                <w:sz w:val="20"/>
                              </w:rPr>
                              <w:t>(1)</w:t>
                            </w:r>
                          </w:p>
                        </w:tc>
                      </w:tr>
                      <w:tr>
                        <w:trPr/>
                        <w:tc>
                          <w:tcPr>
                            <w:tcW w:w="13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caps w:val="false"/>
                                <w:smallCaps w:val="false"/>
                              </w:rPr>
                            </w:pPr>
                            <w:r>
                              <w:rPr>
                                <w:caps w:val="false"/>
                                <w:smallCaps w:val="false"/>
                              </w:rPr>
                              <w:t>–</w:t>
                            </w:r>
                          </w:p>
                        </w:tc>
                        <w:tc>
                          <w:tcPr>
                            <w:tcW w:w="993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$10.6 billion in cash flow from operating activities and over $2.6 billion invested in capital expenditures, resulting in $7.9 billion in free cash flow.</w:t>
                            </w:r>
                            <w:r>
                              <w:rPr>
                                <w:rFonts w:ascii="Arial;Helvetica;Sans-Serif" w:hAnsi="Arial;Helvetica;Sans-Serif"/>
                                <w:b w:val="false"/>
                                <w:i w:val="false"/>
                                <w:caps w:val="false"/>
                                <w:smallCaps w:val="false"/>
                                <w:position w:val="7"/>
                                <w:sz w:val="16"/>
                                <w:sz w:val="20"/>
                              </w:rPr>
                              <w:t>(1)</w:t>
                            </w:r>
                          </w:p>
                        </w:tc>
                      </w:tr>
                      <w:tr>
                        <w:trPr/>
                        <w:tc>
                          <w:tcPr>
                            <w:tcW w:w="13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caps w:val="false"/>
                                <w:smallCaps w:val="false"/>
                              </w:rPr>
                            </w:pPr>
                            <w:r>
                              <w:rPr>
                                <w:caps w:val="false"/>
                                <w:smallCaps w:val="false"/>
                              </w:rPr>
                              <w:t>–</w:t>
                            </w:r>
                          </w:p>
                        </w:tc>
                        <w:tc>
                          <w:tcPr>
                            <w:tcW w:w="993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Adjusted operating profit increased by 12% year-over-year, with growth and margin expansion across all three segments.</w:t>
                            </w:r>
                            <w:r>
                              <w:rPr>
                                <w:rFonts w:ascii="Arial;Helvetica;Sans-Serif" w:hAnsi="Arial;Helvetica;Sans-Serif"/>
                                <w:b w:val="false"/>
                                <w:i w:val="false"/>
                                <w:caps w:val="false"/>
                                <w:smallCaps w:val="false"/>
                                <w:position w:val="7"/>
                                <w:sz w:val="16"/>
                                <w:sz w:val="20"/>
                              </w:rPr>
                              <w:t>(1)</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313">
                <wp:simplePos x="0" y="0"/>
                <wp:positionH relativeFrom="column">
                  <wp:align>right</wp:align>
                </wp:positionH>
                <wp:positionV relativeFrom="line">
                  <wp:posOffset>635</wp:posOffset>
                </wp:positionV>
                <wp:extent cx="3110230" cy="2091690"/>
                <wp:effectExtent l="0" t="0" r="0" b="0"/>
                <wp:wrapSquare wrapText="left"/>
                <wp:docPr id="328" name="Frame54"/>
                <a:graphic xmlns:a="http://schemas.openxmlformats.org/drawingml/2006/main">
                  <a:graphicData uri="http://schemas.microsoft.com/office/word/2010/wordprocessingShape">
                    <wps:wsp>
                      <wps:cNvSpPr txBox="1"/>
                      <wps:spPr>
                        <a:xfrm>
                          <a:off x="0" y="0"/>
                          <a:ext cx="3110230" cy="2091690"/>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Achieving record backlog of $268 billion, a 23% increase since the end of 2024.</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Driving greater technology collaboration across our business units in areas such as hybrid-electric propulsion, rotating detonation engines, attritable engines, microelectronics, high-temperature materials and autonomy—transformative capabilities for our customers that can enable expanded and new market opportunities.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Expanding manufacturing capacity for critical products, such as GTF engine MRO, munitions and Lower Tier Air and Missile Defense Sensors (LTAMDS).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Completing the divestiture of two non-core businesses during the year—Collins Aerospace’s actuation and flight control business and the Simmonds Precision Products business.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164.7pt;mso-wrap-distance-left:0pt;mso-wrap-distance-right:0pt;mso-wrap-distance-top:0pt;mso-wrap-distance-bottom:0pt;margin-top:0pt;mso-position-vertical:top;mso-position-vertical-relative:text;margin-left:20.4pt;mso-position-horizontal:right;mso-position-horizontal-relative:text">
                <v:textbox>
                  <w:txbxContent>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Achieving record backlog of $268 billion, a 23% increase since the end of 2024.</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Driving greater technology collaboration across our business units in areas such as hybrid-electric propulsion, rotating detonation engines, attritable engines, microelectronics, high-temperature materials and autonomy—transformative capabilities for our customers that can enable expanded and new market opportunities.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Expanding manufacturing capacity for critical products, such as GTF engine MRO, munitions and Lower Tier Air and Missile Defense Sensors (LTAMDS).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Completing the divestiture of two non-core businesses during the year—Collins Aerospace’s actuation and flight control business and the Simmonds Precision Products business. </w:t>
                            </w:r>
                          </w:p>
                        </w:tc>
                      </w:tr>
                    </w:tbl>
                    <w:p>
                      <w:pPr>
                        <w:pStyle w:val="TextBody"/>
                        <w:bidi w:val="0"/>
                        <w:spacing w:before="0" w:after="283"/>
                        <w:jc w:val="left"/>
                        <w:rPr/>
                      </w:pPr>
                      <w:r>
                        <w:rPr/>
                      </w:r>
                    </w:p>
                  </w:txbxContent>
                </v:textbox>
                <w10:wrap type="square" side="left"/>
              </v:rect>
            </w:pict>
          </mc:Fallback>
        </mc:AlternateContent>
      </w:r>
    </w:p>
    <w:tbl>
      <w:tblPr>
        <w:tblW w:w="4585" w:type="dxa"/>
        <w:jc w:val="left"/>
        <w:tblInd w:w="0" w:type="dxa"/>
        <w:tblLayout w:type="fixed"/>
        <w:tblCellMar>
          <w:top w:w="0" w:type="dxa"/>
          <w:left w:w="0" w:type="dxa"/>
          <w:bottom w:w="0" w:type="dxa"/>
          <w:right w:w="0" w:type="dxa"/>
        </w:tblCellMar>
      </w:tblPr>
      <w:tblGrid>
        <w:gridCol w:w="290"/>
        <w:gridCol w:w="4295"/>
      </w:tblGrid>
      <w:tr>
        <w:trPr/>
        <w:tc>
          <w:tcPr>
            <w:tcW w:w="290" w:type="dxa"/>
            <w:tcBorders/>
            <w:vAlign w:val="center"/>
          </w:tcPr>
          <w:p>
            <w:pPr>
              <w:pStyle w:val="TableContents"/>
              <w:bidi w:val="0"/>
              <w:spacing w:before="0" w:after="283"/>
              <w:jc w:val="left"/>
              <w:rPr/>
            </w:pPr>
            <w:r>
              <w:rPr/>
              <w:t>(1)</w:t>
            </w:r>
          </w:p>
        </w:tc>
        <w:tc>
          <w:tcPr>
            <w:tcW w:w="4295" w:type="dxa"/>
            <w:tcBorders/>
            <w:vAlign w:val="center"/>
          </w:tcPr>
          <w:p>
            <w:pPr>
              <w:pStyle w:val="TableContents"/>
              <w:bidi w:val="0"/>
              <w:spacing w:before="0" w:after="283"/>
              <w:jc w:val="left"/>
              <w:rPr/>
            </w:pPr>
            <w:r>
              <w:rPr/>
              <w:t>See Appendix A on pages 99-101 for details.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15"/>
        </w:rPr>
      </w:pPr>
      <w:r>
        <w:rPr>
          <w:rFonts w:ascii="Arial;Helvetica;Sans-Serif" w:hAnsi="Arial;Helvetica;Sans-Serif"/>
          <w:b/>
          <w:i w:val="false"/>
          <w:caps w:val="false"/>
          <w:smallCaps w:val="false"/>
          <w:sz w:val="15"/>
        </w:rPr>
        <w:t>52    RTX</w:t>
      </w:r>
      <w:r>
        <w:rPr>
          <w:rFonts w:ascii="Arial;Helvetica;Sans-Serif" w:hAnsi="Arial;Helvetica;Sans-Serif"/>
          <w:b w:val="false"/>
          <w:i w:val="false"/>
          <w:caps w:val="false"/>
          <w:smallCaps w:val="false"/>
          <w:sz w:val="15"/>
        </w:rPr>
        <w:t xml:space="preserve"> 2026 PROXY STATEMENT</w:t>
      </w:r>
    </w:p>
    <w:p>
      <w:pPr>
        <w:pStyle w:val="HorizontalLine"/>
        <w:pBdr>
          <w:bottom w:val="double" w:sz="2" w:space="0" w:color="808080"/>
        </w:pBdr>
        <w:bidi w:val="0"/>
        <w:spacing w:before="0" w:after="283"/>
        <w:jc w:val="left"/>
        <w:rPr/>
      </w:pPr>
      <w:r>
        <w:rPr/>
      </w:r>
    </w:p>
    <w:p>
      <w:pPr>
        <w:pStyle w:val="TextBody"/>
        <w:bidi w:val="0"/>
        <w:spacing w:before="200" w:after="200"/>
        <w:jc w:val="left"/>
        <w:rPr/>
      </w:pPr>
      <w:hyperlink w:anchor="toc">
        <w:r>
          <w:rPr>
            <w:rStyle w:val="InternetLink"/>
            <w:rFonts w:ascii="Arial;Helvetica;Sans-Serif" w:hAnsi="Arial;Helvetica;Sans-Serif"/>
            <w:b/>
            <w:i w:val="false"/>
            <w:caps w:val="false"/>
            <w:smallCaps w:val="false"/>
            <w:sz w:val="16"/>
          </w:rPr>
          <w:t>Table of Contents</w:t>
        </w:r>
      </w:hyperlink>
    </w:p>
    <w:p>
      <w:pPr>
        <w:pStyle w:val="TextBody"/>
        <w:bidi w:val="0"/>
        <w:spacing w:before="0" w:after="0"/>
        <w:ind w:left="0" w:right="0" w:hanging="0"/>
        <w:jc w:val="right"/>
        <w:rPr>
          <w:rFonts w:ascii="Arial;Helvetica;Sans-Serif" w:hAnsi="Arial;Helvetica;Sans-Serif"/>
          <w:b/>
          <w:i w:val="false"/>
          <w:caps w:val="false"/>
          <w:smallCaps w:val="false"/>
          <w:color w:val="C12E33"/>
          <w:sz w:val="15"/>
        </w:rPr>
      </w:pPr>
      <w:r>
        <w:rPr>
          <w:rFonts w:ascii="Arial;Helvetica;Sans-Serif" w:hAnsi="Arial;Helvetica;Sans-Serif"/>
          <w:b/>
          <w:i w:val="false"/>
          <w:caps w:val="false"/>
          <w:smallCaps w:val="false"/>
          <w:color w:val="C12E33"/>
          <w:sz w:val="15"/>
        </w:rPr>
        <w:t>COMPENSATION DISCUSSION AND ANALYSIS</w:t>
      </w:r>
    </w:p>
    <w:p>
      <w:pPr>
        <w:pStyle w:val="TextBody"/>
        <w:bidi w:val="0"/>
        <w:spacing w:before="0" w:after="0"/>
        <w:ind w:left="0" w:right="0" w:hanging="0"/>
        <w:jc w:val="righ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2025 CEO PAY DECISIONS</w:t>
      </w:r>
    </w:p>
    <w:p>
      <w:pPr>
        <w:pStyle w:val="TextBody"/>
        <w:bidi w:val="0"/>
        <w:spacing w:before="0" w:after="0"/>
        <w:ind w:left="0" w:right="0" w:hanging="0"/>
        <w:jc w:val="right"/>
        <w:rPr>
          <w:caps w:val="false"/>
          <w:smallCaps w:val="false"/>
        </w:rPr>
      </w:pPr>
      <w:r>
        <w:rPr>
          <w:caps w:val="false"/>
          <w:smallCaps w:val="false"/>
        </w:rPr>
        <w:t> </w:t>
      </w:r>
    </w:p>
    <w:tbl>
      <w:tblPr>
        <w:tblW w:w="3695" w:type="dxa"/>
        <w:jc w:val="left"/>
        <w:tblInd w:w="0" w:type="dxa"/>
        <w:tblLayout w:type="fixed"/>
        <w:tblCellMar>
          <w:top w:w="0" w:type="dxa"/>
          <w:left w:w="0" w:type="dxa"/>
          <w:bottom w:w="28" w:type="dxa"/>
          <w:right w:w="0" w:type="dxa"/>
        </w:tblCellMar>
      </w:tblPr>
      <w:tblGrid>
        <w:gridCol w:w="3695"/>
      </w:tblGrid>
      <w:tr>
        <w:trPr/>
        <w:tc>
          <w:tcPr>
            <w:tcW w:w="3695" w:type="dxa"/>
            <w:tcBorders>
              <w:bottom w:val="single" w:sz="2" w:space="0" w:color="C12E33"/>
            </w:tcBorders>
            <w:vAlign w:val="center"/>
          </w:tcPr>
          <w:p>
            <w:pPr>
              <w:pStyle w:val="TableContents"/>
              <w:bidi w:val="0"/>
              <w:spacing w:before="0" w:after="283"/>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What is total direct compensation?</w:t>
            </w:r>
          </w:p>
        </w:tc>
      </w:tr>
    </w:tbl>
    <w:p>
      <w:pPr>
        <w:pStyle w:val="TextBody"/>
        <w:bidi w:val="0"/>
        <w:spacing w:before="0" w:after="0"/>
        <w:ind w:left="0" w:right="0" w:hanging="0"/>
        <w:jc w:val="left"/>
        <w:rPr>
          <w:caps w:val="false"/>
          <w:smallCaps w:val="false"/>
          <w:shd w:fill="EDEDEE" w:val="clear"/>
        </w:rPr>
      </w:pPr>
      <w:r>
        <w:rPr>
          <w:caps w:val="false"/>
          <w:smallCaps w:val="false"/>
          <w:shd w:fill="EDEDEE" w:val="clear"/>
        </w:rPr>
        <w:t> </w:t>
      </w:r>
    </w:p>
    <w:p>
      <w:pPr>
        <w:pStyle w:val="TextBody"/>
        <w:bidi w:val="0"/>
        <w:spacing w:before="0" w:after="0"/>
        <w:ind w:left="0" w:right="0" w:hanging="0"/>
        <w:jc w:val="left"/>
        <w:rPr>
          <w:rFonts w:ascii="Arial;Helvetica;Sans-Serif" w:hAnsi="Arial;Helvetica;Sans-Serif"/>
          <w:b w:val="false"/>
          <w:i w:val="false"/>
          <w:caps w:val="false"/>
          <w:smallCaps w:val="false"/>
          <w:sz w:val="20"/>
          <w:shd w:fill="EDEDEE" w:val="clear"/>
        </w:rPr>
      </w:pPr>
      <w:r>
        <w:rPr>
          <w:rFonts w:ascii="Arial;Helvetica;Sans-Serif" w:hAnsi="Arial;Helvetica;Sans-Serif"/>
          <w:b w:val="false"/>
          <w:i w:val="false"/>
          <w:caps w:val="false"/>
          <w:smallCaps w:val="false"/>
          <w:sz w:val="20"/>
          <w:shd w:fill="EDEDEE" w:val="clear"/>
        </w:rPr>
        <w:t>In contrast to the Summary Compensation Table (on page 64), our discussion of CEO and NEO pay decisions in this Proxy Statement (pages 52-57) uses a measure called total direct compensation, which the HCC Committee believes provides a more accurate picture of its annual pay decisions and reflects its most recent assessment of Company, business unit and individual performance, and the competitive market for each NEO’s role. Total direct compensation includes 2025 base salary as of year-end, 2025 annual incentive for the completed performance year and LTI as described below.</w:t>
      </w:r>
    </w:p>
    <w:p>
      <w:pPr>
        <w:pStyle w:val="TextBody"/>
        <w:bidi w:val="0"/>
        <w:spacing w:before="0" w:after="0"/>
        <w:ind w:left="0" w:right="0" w:hanging="0"/>
        <w:jc w:val="left"/>
        <w:rPr>
          <w:caps w:val="false"/>
          <w:smallCaps w:val="false"/>
          <w:shd w:fill="EDEDEE" w:val="clear"/>
        </w:rPr>
      </w:pPr>
      <w:r>
        <w:rPr>
          <w:caps w:val="false"/>
          <w:smallCaps w:val="false"/>
          <w:shd w:fill="EDEDEE" w:val="clear"/>
        </w:rPr>
        <w:t> </w:t>
      </w:r>
    </w:p>
    <w:p>
      <w:pPr>
        <w:pStyle w:val="TextBody"/>
        <w:bidi w:val="0"/>
        <w:spacing w:before="0" w:after="0"/>
        <w:ind w:left="0" w:right="0" w:hanging="0"/>
        <w:jc w:val="left"/>
        <w:rPr>
          <w:rFonts w:ascii="Arial;Helvetica;Sans-Serif" w:hAnsi="Arial;Helvetica;Sans-Serif"/>
          <w:b/>
          <w:i w:val="false"/>
          <w:caps w:val="false"/>
          <w:smallCaps w:val="false"/>
          <w:sz w:val="20"/>
          <w:shd w:fill="EDEDEE" w:val="clear"/>
        </w:rPr>
      </w:pPr>
      <w:r>
        <w:rPr>
          <w:rFonts w:ascii="Arial;Helvetica;Sans-Serif" w:hAnsi="Arial;Helvetica;Sans-Serif"/>
          <w:b/>
          <w:i w:val="false"/>
          <w:caps w:val="false"/>
          <w:smallCaps w:val="false"/>
          <w:sz w:val="20"/>
          <w:shd w:fill="EDEDEE" w:val="clear"/>
        </w:rPr>
        <w:t>How the HCC Committee Views LTI Award Values</w:t>
      </w:r>
    </w:p>
    <w:p>
      <w:pPr>
        <w:pStyle w:val="TextBody"/>
        <w:bidi w:val="0"/>
        <w:spacing w:before="0" w:after="0"/>
        <w:ind w:left="0" w:right="0" w:hanging="0"/>
        <w:jc w:val="left"/>
        <w:rPr>
          <w:caps w:val="false"/>
          <w:smallCaps w:val="false"/>
          <w:shd w:fill="EDEDEE" w:val="clear"/>
        </w:rPr>
      </w:pPr>
      <w:r>
        <w:rPr>
          <w:caps w:val="false"/>
          <w:smallCaps w:val="false"/>
          <w:shd w:fill="EDEDEE" w:val="clear"/>
        </w:rPr>
        <w:t> </w:t>
      </w:r>
    </w:p>
    <w:tbl>
      <w:tblPr>
        <w:tblW w:w="10205" w:type="dxa"/>
        <w:jc w:val="left"/>
        <w:tblInd w:w="0" w:type="dxa"/>
        <w:tblLayout w:type="fixed"/>
        <w:tblCellMar>
          <w:top w:w="40" w:type="dxa"/>
          <w:left w:w="0" w:type="dxa"/>
          <w:bottom w:w="40" w:type="dxa"/>
          <w:right w:w="0" w:type="dxa"/>
        </w:tblCellMar>
      </w:tblPr>
      <w:tblGrid>
        <w:gridCol w:w="1554"/>
        <w:gridCol w:w="300"/>
        <w:gridCol w:w="3183"/>
        <w:gridCol w:w="300"/>
        <w:gridCol w:w="4868"/>
      </w:tblGrid>
      <w:tr>
        <w:trPr/>
        <w:tc>
          <w:tcPr>
            <w:tcW w:w="1554" w:type="dxa"/>
            <w:tcBorders>
              <w:top w:val="single" w:sz="2" w:space="0" w:color="000000"/>
              <w:bottom w:val="single" w:sz="2" w:space="0" w:color="000000"/>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b/>
                <w:sz w:val="20"/>
              </w:rPr>
              <w:t>Total Direct</w:t>
            </w:r>
            <w:r>
              <w:rPr>
                <w:rFonts w:ascii="Arial;Helvetica;Sans-Serif" w:hAnsi="Arial;Helvetica;Sans-Serif"/>
                <w:sz w:val="20"/>
              </w:rPr>
              <w:br/>
            </w:r>
            <w:r>
              <w:rPr>
                <w:rFonts w:ascii="Arial;Helvetica;Sans-Serif" w:hAnsi="Arial;Helvetica;Sans-Serif"/>
                <w:b/>
                <w:sz w:val="20"/>
              </w:rPr>
              <w:t>Compensation</w:t>
            </w:r>
          </w:p>
        </w:tc>
        <w:tc>
          <w:tcPr>
            <w:tcW w:w="300" w:type="dxa"/>
            <w:tcBorders>
              <w:top w:val="single" w:sz="2" w:space="0" w:color="000000"/>
              <w:bottom w:val="single" w:sz="2" w:space="0" w:color="000000"/>
            </w:tcBorders>
            <w:vAlign w:val="center"/>
          </w:tcPr>
          <w:p>
            <w:pPr>
              <w:pStyle w:val="TableContents"/>
              <w:bidi w:val="0"/>
              <w:spacing w:before="0" w:after="283"/>
              <w:jc w:val="left"/>
              <w:rPr/>
            </w:pPr>
            <w:r>
              <w:rPr/>
              <w:t>     </w:t>
            </w:r>
          </w:p>
        </w:tc>
        <w:tc>
          <w:tcPr>
            <w:tcW w:w="3183" w:type="dxa"/>
            <w:tcBorders>
              <w:top w:val="single" w:sz="2" w:space="0" w:color="000000"/>
              <w:bottom w:val="single" w:sz="2" w:space="0" w:color="000000"/>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Includes the value of LTI awards approved by the HCC Committee and granted in February 2026.</w:t>
            </w:r>
          </w:p>
        </w:tc>
        <w:tc>
          <w:tcPr>
            <w:tcW w:w="300" w:type="dxa"/>
            <w:tcBorders>
              <w:top w:val="single" w:sz="2" w:space="0" w:color="000000"/>
              <w:bottom w:val="single" w:sz="2" w:space="0" w:color="000000"/>
            </w:tcBorders>
            <w:vAlign w:val="center"/>
          </w:tcPr>
          <w:p>
            <w:pPr>
              <w:pStyle w:val="TableContents"/>
              <w:bidi w:val="0"/>
              <w:spacing w:before="0" w:after="283"/>
              <w:jc w:val="left"/>
              <w:rPr/>
            </w:pPr>
            <w:r>
              <w:rPr/>
              <w:t>     </w:t>
            </w:r>
          </w:p>
        </w:tc>
        <w:tc>
          <w:tcPr>
            <w:tcW w:w="4868" w:type="dxa"/>
            <w:tcBorders>
              <w:top w:val="single" w:sz="2" w:space="0" w:color="000000"/>
              <w:bottom w:val="single" w:sz="2" w:space="0" w:color="000000"/>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Award values relate to the HCC Committee’s assessment of 2025 performance and the competitive market pay for each NEO’s role at the time of grant.</w:t>
            </w:r>
          </w:p>
        </w:tc>
      </w:tr>
      <w:tr>
        <w:trPr/>
        <w:tc>
          <w:tcPr>
            <w:tcW w:w="1554" w:type="dxa"/>
            <w:tcBorders>
              <w:bottom w:val="single" w:sz="2" w:space="0" w:color="000000"/>
            </w:tcBorders>
            <w:tcMar>
              <w:top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b/>
                <w:sz w:val="20"/>
              </w:rPr>
              <w:t>Summary</w:t>
            </w:r>
            <w:r>
              <w:rPr>
                <w:rFonts w:ascii="Arial;Helvetica;Sans-Serif" w:hAnsi="Arial;Helvetica;Sans-Serif"/>
                <w:sz w:val="20"/>
              </w:rPr>
              <w:br/>
            </w:r>
            <w:r>
              <w:rPr>
                <w:rFonts w:ascii="Arial;Helvetica;Sans-Serif" w:hAnsi="Arial;Helvetica;Sans-Serif"/>
                <w:b/>
                <w:sz w:val="20"/>
              </w:rPr>
              <w:t>Compensation Table</w:t>
            </w:r>
          </w:p>
        </w:tc>
        <w:tc>
          <w:tcPr>
            <w:tcW w:w="300" w:type="dxa"/>
            <w:tcBorders>
              <w:bottom w:val="single" w:sz="2" w:space="0" w:color="000000"/>
            </w:tcBorders>
            <w:tcMar>
              <w:top w:w="0" w:type="dxa"/>
            </w:tcMar>
            <w:vAlign w:val="center"/>
          </w:tcPr>
          <w:p>
            <w:pPr>
              <w:pStyle w:val="TableContents"/>
              <w:bidi w:val="0"/>
              <w:spacing w:before="0" w:after="283"/>
              <w:jc w:val="left"/>
              <w:rPr/>
            </w:pPr>
            <w:r>
              <w:rPr/>
              <w:t> </w:t>
            </w:r>
          </w:p>
        </w:tc>
        <w:tc>
          <w:tcPr>
            <w:tcW w:w="3183" w:type="dxa"/>
            <w:tcBorders>
              <w:bottom w:val="single" w:sz="2" w:space="0" w:color="000000"/>
            </w:tcBorders>
            <w:tcMar>
              <w:top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Includes the grant date fair value of LTI awards granted in February 2025.</w:t>
            </w:r>
          </w:p>
        </w:tc>
        <w:tc>
          <w:tcPr>
            <w:tcW w:w="300" w:type="dxa"/>
            <w:tcBorders>
              <w:bottom w:val="single" w:sz="2" w:space="0" w:color="000000"/>
            </w:tcBorders>
            <w:tcMar>
              <w:top w:w="0" w:type="dxa"/>
            </w:tcMar>
            <w:vAlign w:val="center"/>
          </w:tcPr>
          <w:p>
            <w:pPr>
              <w:pStyle w:val="TableContents"/>
              <w:bidi w:val="0"/>
              <w:spacing w:before="0" w:after="283"/>
              <w:jc w:val="left"/>
              <w:rPr/>
            </w:pPr>
            <w:r>
              <w:rPr/>
              <w:t> </w:t>
            </w:r>
          </w:p>
        </w:tc>
        <w:tc>
          <w:tcPr>
            <w:tcW w:w="4868" w:type="dxa"/>
            <w:tcBorders>
              <w:bottom w:val="single" w:sz="2" w:space="0" w:color="000000"/>
            </w:tcBorders>
            <w:tcMar>
              <w:top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Award values relate back to the HCC Committee’s assessment of 2024 performance and the competitive market pay for each NEO’s role at the time of grant.</w:t>
            </w:r>
          </w:p>
        </w:tc>
      </w:tr>
    </w:tbl>
    <w:p>
      <w:pPr>
        <w:pStyle w:val="TextBody"/>
        <w:bidi w:val="0"/>
        <w:spacing w:before="0" w:after="0"/>
        <w:ind w:left="0" w:right="0" w:hanging="0"/>
        <w:jc w:val="left"/>
        <w:rPr>
          <w:caps w:val="false"/>
          <w:smallCaps w:val="false"/>
          <w:shd w:fill="EDEDEE" w:val="clear"/>
        </w:rPr>
      </w:pPr>
      <w:r>
        <w:rPr>
          <w:caps w:val="false"/>
          <w:smallCaps w:val="false"/>
          <w:shd w:fill="EDEDEE" w:val="clear"/>
        </w:rPr>
        <w:t> </w:t>
      </w:r>
    </w:p>
    <w:p>
      <w:pPr>
        <w:pStyle w:val="TextBody"/>
        <w:bidi w:val="0"/>
        <w:spacing w:before="0" w:after="0"/>
        <w:ind w:left="0" w:right="0" w:hanging="0"/>
        <w:jc w:val="left"/>
        <w:rPr>
          <w:rFonts w:ascii="Arial;Helvetica;Sans-Serif" w:hAnsi="Arial;Helvetica;Sans-Serif"/>
          <w:b w:val="false"/>
          <w:i w:val="false"/>
          <w:caps w:val="false"/>
          <w:smallCaps w:val="false"/>
          <w:sz w:val="20"/>
          <w:shd w:fill="EDEDEE" w:val="clear"/>
        </w:rPr>
      </w:pPr>
      <w:r>
        <w:rPr>
          <w:rFonts w:ascii="Arial;Helvetica;Sans-Serif" w:hAnsi="Arial;Helvetica;Sans-Serif"/>
          <w:b w:val="false"/>
          <w:i w:val="false"/>
          <w:caps w:val="false"/>
          <w:smallCaps w:val="false"/>
          <w:sz w:val="20"/>
          <w:shd w:fill="EDEDEE" w:val="clear"/>
        </w:rPr>
        <w:t>SEC rules require the LTI awards granted in February 2025 to be reported in the Summary Compensation Table of this Proxy Statement, with a different valuation methodology than we use for total direct compensation. In addition, the compensation values reported in the Summary Compensation Table include certain elements (e.g., changes in pension values, which are impacted by assumptions, such as interest rates and other formulaic compensation and benefit components) that we exclude from total direct compensation because they are not tied to performance and fall outside the scope of the HCC Committee’s annual pay decisions.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color w:val="C12E33"/>
          <w:sz w:val="20"/>
        </w:rPr>
      </w:pPr>
      <w:r>
        <w:rPr>
          <w:rFonts w:ascii="Arial;Helvetica;Sans-Serif" w:hAnsi="Arial;Helvetica;Sans-Serif"/>
          <w:b/>
          <w:i w:val="false"/>
          <w:caps w:val="false"/>
          <w:smallCaps w:val="false"/>
          <w:color w:val="C12E33"/>
          <w:sz w:val="20"/>
        </w:rPr>
        <w:t>CEO TOTAL DIRECT COMPENSATION: THREE-YEAR COMPARISON</w:t>
      </w:r>
      <w:r>
        <w:rPr>
          <w:rFonts w:ascii="Arial;Helvetica;Sans-Serif" w:hAnsi="Arial;Helvetica;Sans-Serif"/>
          <w:b/>
          <w:i w:val="false"/>
          <w:caps w:val="false"/>
          <w:smallCaps w:val="false"/>
          <w:color w:val="C12E33"/>
          <w:position w:val="7"/>
          <w:sz w:val="16"/>
          <w:sz w:val="20"/>
        </w:rPr>
        <w:t>(1)</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As shown in the chart below, and as discussed in our Guiding Principles on page 42, the HCC Committee believes that a substantial portion of total direct compensation should be variable, contingent and directly linked to Company and individual performance. For 2025, 94% of Mr. Calio’s total direct compensation was “at-risk” variable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620000" cy="5743575"/>
            <wp:effectExtent l="0" t="0" r="0" b="0"/>
            <wp:docPr id="329" name="Image2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9" name="Image224" descr=""/>
                    <pic:cNvPicPr>
                      <a:picLocks noChangeAspect="1" noChangeArrowheads="1"/>
                    </pic:cNvPicPr>
                  </pic:nvPicPr>
                  <pic:blipFill>
                    <a:blip r:embed="rId276"/>
                    <a:stretch>
                      <a:fillRect/>
                    </a:stretch>
                  </pic:blipFill>
                  <pic:spPr bwMode="auto">
                    <a:xfrm>
                      <a:off x="0" y="0"/>
                      <a:ext cx="7620000" cy="574357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0"/>
        <w:gridCol w:w="9955"/>
      </w:tblGrid>
      <w:tr>
        <w:trPr/>
        <w:tc>
          <w:tcPr>
            <w:tcW w:w="250" w:type="dxa"/>
            <w:tcBorders/>
            <w:vAlign w:val="center"/>
          </w:tcPr>
          <w:p>
            <w:pPr>
              <w:pStyle w:val="TableContents"/>
              <w:bidi w:val="0"/>
              <w:spacing w:before="0" w:after="283"/>
              <w:jc w:val="left"/>
              <w:rPr/>
            </w:pPr>
            <w:r>
              <w:rPr/>
              <w:t>(1)</w:t>
            </w:r>
          </w:p>
        </w:tc>
        <w:tc>
          <w:tcPr>
            <w:tcW w:w="9955" w:type="dxa"/>
            <w:tcBorders/>
            <w:vAlign w:val="center"/>
          </w:tcPr>
          <w:p>
            <w:pPr>
              <w:pStyle w:val="TableContents"/>
              <w:bidi w:val="0"/>
              <w:spacing w:before="0" w:after="283"/>
              <w:jc w:val="left"/>
              <w:rPr/>
            </w:pPr>
            <w:r>
              <w:rPr/>
              <w:t>Mr. Calio was appointed President &amp; Chief Executive Officer effective May 2, 2024, and elected Chairman effective April 30, 2025. Prior to his appointments to those roles, he served in the following roles: President &amp; Chief Operating Officer (March 1, 2023, to May 1, 2024), and Chief Operating Officer (March 1, 2022, to February 28, 2023).</w:t>
            </w:r>
          </w:p>
        </w:tc>
      </w:tr>
      <w:tr>
        <w:trPr/>
        <w:tc>
          <w:tcPr>
            <w:tcW w:w="250" w:type="dxa"/>
            <w:tcBorders/>
            <w:vAlign w:val="center"/>
          </w:tcPr>
          <w:p>
            <w:pPr>
              <w:pStyle w:val="TableContents"/>
              <w:bidi w:val="0"/>
              <w:spacing w:before="0" w:after="283"/>
              <w:jc w:val="left"/>
              <w:rPr/>
            </w:pPr>
            <w:r>
              <w:rPr/>
              <w:t>(2)</w:t>
            </w:r>
          </w:p>
        </w:tc>
        <w:tc>
          <w:tcPr>
            <w:tcW w:w="9955" w:type="dxa"/>
            <w:tcBorders/>
            <w:vAlign w:val="center"/>
          </w:tcPr>
          <w:p>
            <w:pPr>
              <w:pStyle w:val="TableContents"/>
              <w:bidi w:val="0"/>
              <w:spacing w:before="0" w:after="283"/>
              <w:jc w:val="left"/>
              <w:rPr/>
            </w:pPr>
            <w:r>
              <w:rPr/>
              <w:t>Reflects annual LTI award values approved by the HCC Committee. These values differ from those reported in the Summary Compensation Table on page 64, which are calculated in accordance with FASB ASC Topic 718.</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Arial;Helvetica;Sans-Serif" w:hAnsi="Arial;Helvetica;Sans-Serif"/>
          <w:b w:val="false"/>
          <w:i w:val="false"/>
          <w:caps w:val="false"/>
          <w:smallCaps w:val="false"/>
          <w:sz w:val="15"/>
        </w:rPr>
      </w:pPr>
      <w:r>
        <w:rPr>
          <w:rFonts w:ascii="Arial;Helvetica;Sans-Serif" w:hAnsi="Arial;Helvetica;Sans-Serif"/>
          <w:b/>
          <w:i w:val="false"/>
          <w:caps w:val="false"/>
          <w:smallCaps w:val="false"/>
          <w:sz w:val="15"/>
        </w:rPr>
        <w:t>RTX</w:t>
      </w:r>
      <w:r>
        <w:rPr>
          <w:rFonts w:ascii="Arial;Helvetica;Sans-Serif" w:hAnsi="Arial;Helvetica;Sans-Serif"/>
          <w:b w:val="false"/>
          <w:i w:val="false"/>
          <w:caps w:val="false"/>
          <w:smallCaps w:val="false"/>
          <w:sz w:val="15"/>
        </w:rPr>
        <w:t xml:space="preserve"> 2026 PROXY STATEMENT    </w:t>
      </w:r>
      <w:r>
        <w:rPr>
          <w:rFonts w:ascii="Arial;Helvetica;Sans-Serif" w:hAnsi="Arial;Helvetica;Sans-Serif"/>
          <w:b/>
          <w:i w:val="false"/>
          <w:caps w:val="false"/>
          <w:smallCaps w:val="false"/>
          <w:sz w:val="15"/>
        </w:rPr>
        <w:t>53</w:t>
      </w:r>
    </w:p>
    <w:p>
      <w:pPr>
        <w:pStyle w:val="HorizontalLine"/>
        <w:pBdr>
          <w:bottom w:val="double" w:sz="2" w:space="0" w:color="808080"/>
        </w:pBdr>
        <w:bidi w:val="0"/>
        <w:spacing w:before="0" w:after="283"/>
        <w:jc w:val="left"/>
        <w:rPr/>
      </w:pPr>
      <w:r>
        <w:rPr/>
      </w:r>
    </w:p>
    <w:p>
      <w:pPr>
        <w:pStyle w:val="TextBody"/>
        <w:bidi w:val="0"/>
        <w:spacing w:before="200" w:after="200"/>
        <w:jc w:val="left"/>
        <w:rPr/>
      </w:pPr>
      <w:hyperlink w:anchor="toc">
        <w:r>
          <w:rPr>
            <w:rStyle w:val="InternetLink"/>
            <w:rFonts w:ascii="Arial;Helvetica;Sans-Serif" w:hAnsi="Arial;Helvetica;Sans-Serif"/>
            <w:b/>
            <w:i w:val="false"/>
            <w:caps w:val="false"/>
            <w:smallCaps w:val="false"/>
            <w:sz w:val="16"/>
          </w:rPr>
          <w:t>Table of Contents</w:t>
        </w:r>
      </w:hyperlink>
    </w:p>
    <w:p>
      <w:pPr>
        <w:pStyle w:val="TextBody"/>
        <w:bidi w:val="0"/>
        <w:spacing w:before="0" w:after="0"/>
        <w:ind w:left="0" w:right="0" w:hanging="0"/>
        <w:jc w:val="left"/>
        <w:rPr>
          <w:rFonts w:ascii="Arial;Helvetica;Sans-Serif" w:hAnsi="Arial;Helvetica;Sans-Serif"/>
          <w:b/>
          <w:i w:val="false"/>
          <w:caps w:val="false"/>
          <w:smallCaps w:val="false"/>
          <w:color w:val="C12E33"/>
          <w:sz w:val="15"/>
        </w:rPr>
      </w:pPr>
      <w:r>
        <w:rPr>
          <w:rFonts w:ascii="Arial;Helvetica;Sans-Serif" w:hAnsi="Arial;Helvetica;Sans-Serif"/>
          <w:b/>
          <w:i w:val="false"/>
          <w:caps w:val="false"/>
          <w:smallCaps w:val="false"/>
          <w:color w:val="C12E33"/>
          <w:sz w:val="15"/>
        </w:rPr>
        <w:t>COMPENSATION DISCUSSION AND ANALYSIS</w:t>
      </w:r>
    </w:p>
    <w:p>
      <w:pPr>
        <w:pStyle w:val="TextBody"/>
        <w:bidi w:val="0"/>
        <w:spacing w:before="0" w:after="0"/>
        <w:ind w:left="0" w:right="0" w:hanging="0"/>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2025 PAY DECISIONS FOR OTHER NEOS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color w:val="C12E33"/>
          <w:sz w:val="36"/>
        </w:rPr>
      </w:pPr>
      <w:bookmarkStart w:id="31" w:name="rtx014050a014"/>
      <w:bookmarkStart w:id="32" w:name="rtx014050_def14ab014"/>
      <w:bookmarkEnd w:id="31"/>
      <w:bookmarkEnd w:id="32"/>
      <w:r>
        <w:rPr>
          <w:rFonts w:ascii="Arial;Helvetica;Sans-Serif" w:hAnsi="Arial;Helvetica;Sans-Serif"/>
          <w:b/>
          <w:i w:val="false"/>
          <w:caps w:val="false"/>
          <w:smallCaps w:val="false"/>
          <w:color w:val="C12E33"/>
          <w:sz w:val="36"/>
        </w:rPr>
        <w:t>2025 Pay Decisions for Other NEOs</w:t>
      </w:r>
    </w:p>
    <w:p>
      <w:pPr>
        <w:pStyle w:val="TextBody"/>
        <w:bidi w:val="0"/>
        <w:spacing w:before="0" w:after="0"/>
        <w:ind w:left="0" w:right="0" w:hanging="0"/>
        <w:jc w:val="left"/>
        <w:rPr>
          <w:caps w:val="false"/>
          <w:smallCaps w:val="false"/>
          <w:color w:val="C12E33"/>
        </w:rPr>
      </w:pPr>
      <w:r>
        <w:rPr>
          <w:caps w:val="false"/>
          <w:smallCaps w:val="false"/>
          <w:color w:val="C12E33"/>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HCC Committee makes annual compensation decisions for our NEOs based on their individual performance, the overall performance of the Company and, where applicable, the NEO’s business unit or function. In the following pages, we describe the components of total direct compensation for each NEO for 2025, noting aspects of their individual performance that contributed to the HCC Committee’s pay decisions (see page 53 for an explanation of total direct compensation).</w:t>
      </w:r>
    </w:p>
    <w:p>
      <w:pPr>
        <w:pStyle w:val="TextBody"/>
        <w:bidi w:val="0"/>
        <w:spacing w:before="0" w:after="0"/>
        <w:ind w:left="0" w:right="0" w:hanging="0"/>
        <w:jc w:val="left"/>
        <w:rPr>
          <w:caps w:val="false"/>
          <w:smallCaps w:val="false"/>
        </w:rPr>
      </w:pPr>
      <w:r>
        <w:rPr>
          <w:caps w:val="false"/>
          <w:smallCaps w:val="false"/>
        </w:rPr>
        <w:t> </w:t>
      </w:r>
    </w:p>
    <w:tbl>
      <w:tblPr>
        <w:tblW w:w="7340" w:type="dxa"/>
        <w:jc w:val="left"/>
        <w:tblInd w:w="0" w:type="dxa"/>
        <w:tblLayout w:type="fixed"/>
        <w:tblCellMar>
          <w:top w:w="0" w:type="dxa"/>
          <w:left w:w="0" w:type="dxa"/>
          <w:bottom w:w="0" w:type="dxa"/>
          <w:right w:w="0" w:type="dxa"/>
        </w:tblCellMar>
      </w:tblPr>
      <w:tblGrid>
        <w:gridCol w:w="5015"/>
        <w:gridCol w:w="60"/>
        <w:gridCol w:w="2265"/>
      </w:tblGrid>
      <w:tr>
        <w:trPr/>
        <w:tc>
          <w:tcPr>
            <w:tcW w:w="5015" w:type="dxa"/>
            <w:tcBorders/>
            <w:vAlign w:val="center"/>
          </w:tcPr>
          <w:p>
            <w:pPr>
              <w:pStyle w:val="TableContents"/>
              <w:bidi w:val="0"/>
              <w:spacing w:before="120" w:after="0"/>
              <w:ind w:left="0" w:right="0" w:hanging="0"/>
              <w:jc w:val="left"/>
              <w:rPr>
                <w:b/>
                <w:sz w:val="30"/>
              </w:rPr>
            </w:pPr>
            <w:r>
              <w:rPr>
                <w:b/>
                <w:sz w:val="30"/>
              </w:rPr>
              <w:t>Neil G. Mitchill, Jr.</w:t>
            </w:r>
          </w:p>
          <w:p>
            <w:pPr>
              <w:pStyle w:val="TableContents"/>
              <w:bidi w:val="0"/>
              <w:spacing w:before="0" w:after="0"/>
              <w:ind w:left="0" w:right="0" w:hanging="0"/>
              <w:jc w:val="left"/>
              <w:rPr/>
            </w:pPr>
            <w:r>
              <w:rPr/>
              <w:t> </w:t>
            </w:r>
          </w:p>
          <w:p>
            <w:pPr>
              <w:pStyle w:val="TableContents"/>
              <w:bidi w:val="0"/>
              <w:spacing w:before="0" w:after="0"/>
              <w:ind w:left="0" w:right="0" w:hanging="0"/>
              <w:jc w:val="left"/>
              <w:rPr>
                <w:b/>
                <w:sz w:val="22"/>
              </w:rPr>
            </w:pPr>
            <w:r>
              <w:rPr>
                <w:b/>
                <w:sz w:val="22"/>
              </w:rPr>
              <w:t>Executive Vice President &amp; Chief Financial Officer</w:t>
            </w:r>
          </w:p>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sz w:val="15"/>
              </w:rPr>
              <w:t>AGE 50</w:t>
            </w:r>
            <w:r>
              <w:rPr/>
              <w:br/>
            </w:r>
            <w:r>
              <w:rPr>
                <w:sz w:val="15"/>
              </w:rPr>
              <w:t>RTX EXPERIENCE 11 YEARS</w:t>
            </w:r>
          </w:p>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283"/>
              <w:jc w:val="left"/>
              <w:rPr/>
            </w:pPr>
            <w:r>
              <w:rPr/>
              <w:t> </w:t>
            </w:r>
          </w:p>
        </w:tc>
        <w:tc>
          <w:tcPr>
            <w:tcW w:w="2265" w:type="dxa"/>
            <w:tcBorders/>
            <w:vAlign w:val="center"/>
          </w:tcPr>
          <w:p>
            <w:pPr>
              <w:pStyle w:val="TableContents"/>
              <w:bidi w:val="0"/>
              <w:spacing w:before="0" w:after="283"/>
              <w:jc w:val="right"/>
              <w:rPr/>
            </w:pPr>
            <w:r>
              <w:rPr/>
              <w:drawing>
                <wp:inline distT="0" distB="0" distL="0" distR="0">
                  <wp:extent cx="1428750" cy="3695700"/>
                  <wp:effectExtent l="0" t="0" r="0" b="0"/>
                  <wp:docPr id="330" name="Image2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0" name="Image225" descr=""/>
                          <pic:cNvPicPr>
                            <a:picLocks noChangeAspect="1" noChangeArrowheads="1"/>
                          </pic:cNvPicPr>
                        </pic:nvPicPr>
                        <pic:blipFill>
                          <a:blip r:embed="rId277"/>
                          <a:stretch>
                            <a:fillRect/>
                          </a:stretch>
                        </pic:blipFill>
                        <pic:spPr bwMode="auto">
                          <a:xfrm>
                            <a:off x="0" y="0"/>
                            <a:ext cx="1428750" cy="3695700"/>
                          </a:xfrm>
                          <a:prstGeom prst="rect">
                            <a:avLst/>
                          </a:prstGeom>
                        </pic:spPr>
                      </pic:pic>
                    </a:graphicData>
                  </a:graphic>
                </wp:inline>
              </w:drawing>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mc:AlternateContent>
          <mc:Choice Requires="wps">
            <w:drawing>
              <wp:anchor behindDoc="0" distT="0" distB="0" distL="0" distR="0" simplePos="0" locked="0" layoutInCell="1" allowOverlap="1" relativeHeight="92">
                <wp:simplePos x="0" y="0"/>
                <wp:positionH relativeFrom="column">
                  <wp:align>right</wp:align>
                </wp:positionH>
                <wp:positionV relativeFrom="line">
                  <wp:posOffset>635</wp:posOffset>
                </wp:positionV>
                <wp:extent cx="3110230" cy="6191250"/>
                <wp:effectExtent l="0" t="0" r="0" b="0"/>
                <wp:wrapSquare wrapText="left"/>
                <wp:docPr id="331" name="Frame56"/>
                <a:graphic xmlns:a="http://schemas.openxmlformats.org/drawingml/2006/main">
                  <a:graphicData uri="http://schemas.microsoft.com/office/word/2010/wordprocessingShape">
                    <wps:wsp>
                      <wps:cNvSpPr txBox="1"/>
                      <wps:spPr>
                        <a:xfrm>
                          <a:off x="0" y="0"/>
                          <a:ext cx="3110230" cy="6191250"/>
                        </a:xfrm>
                        <a:prstGeom prst="rect"/>
                        <a:solidFill>
                          <a:srgbClr val="FFFFFF"/>
                        </a:solidFill>
                      </wps:spPr>
                      <wps:txbx>
                        <w:txbxContent>
                          <w:p>
                            <w:pPr>
                              <w:pStyle w:val="TextBody"/>
                              <w:bidi w:val="0"/>
                              <w:spacing w:before="0" w:after="0"/>
                              <w:ind w:left="0" w:right="0" w:hanging="0"/>
                              <w:jc w:val="right"/>
                              <w:rPr>
                                <w:caps w:val="false"/>
                                <w:smallCaps w:val="false"/>
                              </w:rPr>
                            </w:pPr>
                            <w:r>
                              <w:rPr>
                                <w:caps w:val="false"/>
                                <w:smallCaps w:val="false"/>
                              </w:rPr>
                              <w:drawing>
                                <wp:inline distT="0" distB="0" distL="0" distR="0">
                                  <wp:extent cx="3810000" cy="6191250"/>
                                  <wp:effectExtent l="0" t="0" r="0" b="0"/>
                                  <wp:docPr id="332" name="Image2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2" name="Image226" descr=""/>
                                          <pic:cNvPicPr>
                                            <a:picLocks noChangeAspect="1" noChangeArrowheads="1"/>
                                          </pic:cNvPicPr>
                                        </pic:nvPicPr>
                                        <pic:blipFill>
                                          <a:blip r:embed="rId278"/>
                                          <a:stretch>
                                            <a:fillRect/>
                                          </a:stretch>
                                        </pic:blipFill>
                                        <pic:spPr bwMode="auto">
                                          <a:xfrm>
                                            <a:off x="0" y="0"/>
                                            <a:ext cx="3810000" cy="6191250"/>
                                          </a:xfrm>
                                          <a:prstGeom prst="rect">
                                            <a:avLst/>
                                          </a:prstGeom>
                                        </pic:spPr>
                                      </pic:pic>
                                    </a:graphicData>
                                  </a:graphic>
                                </wp:inline>
                              </w:drawing>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487.5pt;mso-wrap-distance-left:0pt;mso-wrap-distance-right:0pt;mso-wrap-distance-top:0pt;mso-wrap-distance-bottom:0pt;margin-top:0pt;mso-position-vertical:top;mso-position-vertical-relative:text;margin-left:265.35pt;mso-position-horizontal:right;mso-position-horizontal-relative:text">
                <v:textbox>
                  <w:txbxContent>
                    <w:p>
                      <w:pPr>
                        <w:pStyle w:val="TextBody"/>
                        <w:bidi w:val="0"/>
                        <w:spacing w:before="0" w:after="0"/>
                        <w:ind w:left="0" w:right="0" w:hanging="0"/>
                        <w:jc w:val="right"/>
                        <w:rPr>
                          <w:caps w:val="false"/>
                          <w:smallCaps w:val="false"/>
                        </w:rPr>
                      </w:pPr>
                      <w:r>
                        <w:rPr>
                          <w:caps w:val="false"/>
                          <w:smallCaps w:val="false"/>
                        </w:rPr>
                        <w:drawing>
                          <wp:inline distT="0" distB="0" distL="0" distR="0">
                            <wp:extent cx="3810000" cy="6191250"/>
                            <wp:effectExtent l="0" t="0" r="0" b="0"/>
                            <wp:docPr id="333" name="Image2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3" name="Image226" descr=""/>
                                    <pic:cNvPicPr>
                                      <a:picLocks noChangeAspect="1" noChangeArrowheads="1"/>
                                    </pic:cNvPicPr>
                                  </pic:nvPicPr>
                                  <pic:blipFill>
                                    <a:blip r:embed="rId279"/>
                                    <a:stretch>
                                      <a:fillRect/>
                                    </a:stretch>
                                  </pic:blipFill>
                                  <pic:spPr bwMode="auto">
                                    <a:xfrm>
                                      <a:off x="0" y="0"/>
                                      <a:ext cx="3810000" cy="6191250"/>
                                    </a:xfrm>
                                    <a:prstGeom prst="rect">
                                      <a:avLst/>
                                    </a:prstGeom>
                                  </pic:spPr>
                                </pic:pic>
                              </a:graphicData>
                            </a:graphic>
                          </wp:inline>
                        </w:drawing>
                      </w:r>
                    </w:p>
                  </w:txbxContent>
                </v:textbox>
                <w10:wrap type="square" side="left"/>
              </v:rect>
            </w:pict>
          </mc:Fallback>
        </mc:AlternateContent>
      </w:r>
      <w:r>
        <mc:AlternateContent>
          <mc:Choice Requires="wps">
            <w:drawing>
              <wp:anchor behindDoc="0" distT="0" distB="0" distL="0" distR="0" simplePos="0" locked="0" layoutInCell="1" allowOverlap="1" relativeHeight="314">
                <wp:simplePos x="0" y="0"/>
                <wp:positionH relativeFrom="column">
                  <wp:align>left</wp:align>
                </wp:positionH>
                <wp:positionV relativeFrom="line">
                  <wp:posOffset>635</wp:posOffset>
                </wp:positionV>
                <wp:extent cx="3110230" cy="2476500"/>
                <wp:effectExtent l="0" t="0" r="0" b="0"/>
                <wp:wrapSquare wrapText="right"/>
                <wp:docPr id="334" name="Frame55"/>
                <a:graphic xmlns:a="http://schemas.openxmlformats.org/drawingml/2006/main">
                  <a:graphicData uri="http://schemas.microsoft.com/office/word/2010/wordprocessingShape">
                    <wps:wsp>
                      <wps:cNvSpPr txBox="1"/>
                      <wps:spPr>
                        <a:xfrm>
                          <a:off x="0" y="0"/>
                          <a:ext cx="3110230" cy="2476500"/>
                        </a:xfrm>
                        <a:prstGeom prst="rect"/>
                        <a:solidFill>
                          <a:srgbClr val="FFFFFF"/>
                        </a:solidFill>
                      </wps:spPr>
                      <wps:txbx>
                        <w:txbxContent>
                          <w:tbl>
                            <w:tblPr>
                              <w:tblW w:w="2615" w:type="dxa"/>
                              <w:jc w:val="left"/>
                              <w:tblInd w:w="0" w:type="dxa"/>
                              <w:tblLayout w:type="fixed"/>
                              <w:tblCellMar>
                                <w:top w:w="0" w:type="dxa"/>
                                <w:left w:w="0" w:type="dxa"/>
                                <w:bottom w:w="28" w:type="dxa"/>
                                <w:right w:w="0" w:type="dxa"/>
                              </w:tblCellMar>
                            </w:tblPr>
                            <w:tblGrid>
                              <w:gridCol w:w="2615"/>
                            </w:tblGrid>
                            <w:tr>
                              <w:trPr/>
                              <w:tc>
                                <w:tcPr>
                                  <w:tcW w:w="2615" w:type="dxa"/>
                                  <w:tcBorders>
                                    <w:bottom w:val="single" w:sz="2" w:space="0" w:color="C12E33"/>
                                  </w:tcBorders>
                                  <w:vAlign w:val="center"/>
                                </w:tcPr>
                                <w:p>
                                  <w:pPr>
                                    <w:pStyle w:val="TableContents"/>
                                    <w:bidi w:val="0"/>
                                    <w:spacing w:before="0" w:after="283"/>
                                    <w:jc w:val="left"/>
                                    <w:rPr>
                                      <w:b/>
                                    </w:rPr>
                                  </w:pPr>
                                  <w:r>
                                    <w:rPr>
                                      <w:b/>
                                    </w:rPr>
                                    <w:t xml:space="preserve">Compensation Overview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 xml:space="preserve">Base Salary. </w:t>
                            </w:r>
                            <w:r>
                              <w:rPr>
                                <w:rFonts w:ascii="Arial;Helvetica;Sans-Serif" w:hAnsi="Arial;Helvetica;Sans-Serif"/>
                                <w:b w:val="false"/>
                                <w:i w:val="false"/>
                                <w:caps w:val="false"/>
                                <w:smallCaps w:val="false"/>
                                <w:sz w:val="20"/>
                              </w:rPr>
                              <w:t>Mr. Mitchill received a base salary increase from $1,050,000 to $1,100,000 during 2025. Following this increase, Mr. Mitchill’s base salary was moderately above the market median for his role.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 xml:space="preserve">Annual Incentive Award. </w:t>
                            </w:r>
                            <w:r>
                              <w:rPr>
                                <w:rFonts w:ascii="Arial;Helvetica;Sans-Serif" w:hAnsi="Arial;Helvetica;Sans-Serif"/>
                                <w:b w:val="false"/>
                                <w:i w:val="false"/>
                                <w:caps w:val="false"/>
                                <w:smallCaps w:val="false"/>
                                <w:sz w:val="20"/>
                              </w:rPr>
                              <w:t>The HCC Committee approved a performance factor of 164% of target for Corporate. The HCC Committee considered this factor, Mr. Mitchill’s leadership of the RTX finance function and the individual performance considerations noted here, and approved a $2.525 million award for 2025. This amount is above the Corporate performance factor.</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195pt;mso-wrap-distance-left:0pt;mso-wrap-distance-right:0pt;mso-wrap-distance-top:0pt;mso-wrap-distance-bottom:0pt;margin-top:0pt;mso-position-vertical:top;mso-position-vertical-relative:text;margin-left:0pt;mso-position-horizontal:left;mso-position-horizontal-relative:text">
                <v:textbox>
                  <w:txbxContent>
                    <w:tbl>
                      <w:tblPr>
                        <w:tblW w:w="2615" w:type="dxa"/>
                        <w:jc w:val="left"/>
                        <w:tblInd w:w="0" w:type="dxa"/>
                        <w:tblLayout w:type="fixed"/>
                        <w:tblCellMar>
                          <w:top w:w="0" w:type="dxa"/>
                          <w:left w:w="0" w:type="dxa"/>
                          <w:bottom w:w="28" w:type="dxa"/>
                          <w:right w:w="0" w:type="dxa"/>
                        </w:tblCellMar>
                      </w:tblPr>
                      <w:tblGrid>
                        <w:gridCol w:w="2615"/>
                      </w:tblGrid>
                      <w:tr>
                        <w:trPr/>
                        <w:tc>
                          <w:tcPr>
                            <w:tcW w:w="2615" w:type="dxa"/>
                            <w:tcBorders>
                              <w:bottom w:val="single" w:sz="2" w:space="0" w:color="C12E33"/>
                            </w:tcBorders>
                            <w:vAlign w:val="center"/>
                          </w:tcPr>
                          <w:p>
                            <w:pPr>
                              <w:pStyle w:val="TableContents"/>
                              <w:bidi w:val="0"/>
                              <w:spacing w:before="0" w:after="283"/>
                              <w:jc w:val="left"/>
                              <w:rPr>
                                <w:b/>
                              </w:rPr>
                            </w:pPr>
                            <w:r>
                              <w:rPr>
                                <w:b/>
                              </w:rPr>
                              <w:t xml:space="preserve">Compensation Overview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 xml:space="preserve">Base Salary. </w:t>
                      </w:r>
                      <w:r>
                        <w:rPr>
                          <w:rFonts w:ascii="Arial;Helvetica;Sans-Serif" w:hAnsi="Arial;Helvetica;Sans-Serif"/>
                          <w:b w:val="false"/>
                          <w:i w:val="false"/>
                          <w:caps w:val="false"/>
                          <w:smallCaps w:val="false"/>
                          <w:sz w:val="20"/>
                        </w:rPr>
                        <w:t>Mr. Mitchill received a base salary increase from $1,050,000 to $1,100,000 during 2025. Following this increase, Mr. Mitchill’s base salary was moderately above the market median for his role.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 xml:space="preserve">Annual Incentive Award. </w:t>
                      </w:r>
                      <w:r>
                        <w:rPr>
                          <w:rFonts w:ascii="Arial;Helvetica;Sans-Serif" w:hAnsi="Arial;Helvetica;Sans-Serif"/>
                          <w:b w:val="false"/>
                          <w:i w:val="false"/>
                          <w:caps w:val="false"/>
                          <w:smallCaps w:val="false"/>
                          <w:sz w:val="20"/>
                        </w:rPr>
                        <w:t>The HCC Committee approved a performance factor of 164% of target for Corporate. The HCC Committee considered this factor, Mr. Mitchill’s leadership of the RTX finance function and the individual performance considerations noted here, and approved a $2.525 million award for 2025. This amount is above the Corporate performance factor.</w:t>
                      </w:r>
                    </w:p>
                  </w:txbxContent>
                </v:textbox>
                <w10:wrap type="square" side="right"/>
              </v:rect>
            </w:pict>
          </mc:Fallback>
        </mc:AlternateConten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 xml:space="preserve">LTI. </w:t>
      </w:r>
      <w:r>
        <w:rPr>
          <w:rFonts w:ascii="Arial;Helvetica;Sans-Serif" w:hAnsi="Arial;Helvetica;Sans-Serif"/>
          <w:b w:val="false"/>
          <w:i w:val="false"/>
          <w:caps w:val="false"/>
          <w:smallCaps w:val="false"/>
          <w:sz w:val="20"/>
        </w:rPr>
        <w:t>In consideration of Mr. Mitchill’s 2025 performance, the HCC Committee approved a $7.5 million 2026 LTI award, an amount that is above the market median for his role.</w:t>
      </w:r>
    </w:p>
    <w:p>
      <w:pPr>
        <w:pStyle w:val="TextBody"/>
        <w:bidi w:val="0"/>
        <w:spacing w:before="0" w:after="0"/>
        <w:ind w:left="0" w:right="0" w:hanging="0"/>
        <w:jc w:val="left"/>
        <w:rPr>
          <w:caps w:val="false"/>
          <w:smallCaps w:val="false"/>
        </w:rPr>
      </w:pPr>
      <w:r>
        <w:rPr>
          <w:caps w:val="false"/>
          <w:smallCaps w:val="false"/>
        </w:rPr>
        <w:t> </w:t>
      </w:r>
    </w:p>
    <w:tbl>
      <w:tblPr>
        <w:tblW w:w="3575" w:type="dxa"/>
        <w:jc w:val="left"/>
        <w:tblInd w:w="0" w:type="dxa"/>
        <w:tblLayout w:type="fixed"/>
        <w:tblCellMar>
          <w:top w:w="0" w:type="dxa"/>
          <w:left w:w="0" w:type="dxa"/>
          <w:bottom w:w="28" w:type="dxa"/>
          <w:right w:w="0" w:type="dxa"/>
        </w:tblCellMar>
      </w:tblPr>
      <w:tblGrid>
        <w:gridCol w:w="3575"/>
      </w:tblGrid>
      <w:tr>
        <w:trPr/>
        <w:tc>
          <w:tcPr>
            <w:tcW w:w="3575" w:type="dxa"/>
            <w:tcBorders>
              <w:bottom w:val="single" w:sz="2" w:space="0" w:color="C12E33"/>
            </w:tcBorders>
            <w:vAlign w:val="center"/>
          </w:tcPr>
          <w:p>
            <w:pPr>
              <w:pStyle w:val="TableContents"/>
              <w:bidi w:val="0"/>
              <w:spacing w:before="0" w:after="283"/>
              <w:jc w:val="left"/>
              <w:rPr>
                <w:b/>
              </w:rPr>
            </w:pPr>
            <w:r>
              <w:rPr>
                <w:b/>
              </w:rPr>
              <w:t>Individual Performance Highlights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Mr. Mitchill exhibited strong leadership in:</w:t>
      </w:r>
    </w:p>
    <w:p>
      <w:pPr>
        <w:pStyle w:val="TextBody"/>
        <w:bidi w:val="0"/>
        <w:spacing w:before="0" w:after="0"/>
        <w:ind w:left="0" w:right="0" w:hanging="0"/>
        <w:jc w:val="left"/>
        <w:rPr>
          <w:caps w:val="false"/>
          <w:smallCaps w:val="false"/>
        </w:rPr>
      </w:pPr>
      <w:r>
        <w:rPr>
          <w:caps w:val="false"/>
          <w:smallCaps w:val="false"/>
        </w:rPr>
        <w:t> </w:t>
      </w:r>
      <w:r>
        <mc:AlternateContent>
          <mc:Choice Requires="wps">
            <w:drawing>
              <wp:anchor behindDoc="0" distT="0" distB="0" distL="0" distR="0" simplePos="0" locked="0" layoutInCell="1" allowOverlap="1" relativeHeight="315">
                <wp:simplePos x="0" y="0"/>
                <wp:positionH relativeFrom="column">
                  <wp:align>left</wp:align>
                </wp:positionH>
                <wp:positionV relativeFrom="line">
                  <wp:posOffset>635</wp:posOffset>
                </wp:positionV>
                <wp:extent cx="3110230" cy="1410970"/>
                <wp:effectExtent l="0" t="0" r="0" b="0"/>
                <wp:wrapSquare wrapText="right"/>
                <wp:docPr id="335" name="Frame57"/>
                <a:graphic xmlns:a="http://schemas.openxmlformats.org/drawingml/2006/main">
                  <a:graphicData uri="http://schemas.microsoft.com/office/word/2010/wordprocessingShape">
                    <wps:wsp>
                      <wps:cNvSpPr txBox="1"/>
                      <wps:spPr>
                        <a:xfrm>
                          <a:off x="0" y="0"/>
                          <a:ext cx="3110230" cy="1410970"/>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pPr>
                                  <w:r>
                                    <w:rPr/>
                                    <w:t>Overseeing the Company’s strong financial performance, which included exceeding the adjusted net sales, adjusted EPS and free cash flow expectations we communicated to investors for the year, despite headwinds from unplanned, incremental tariffs and supplier challenges.</w:t>
                                  </w:r>
                                </w:p>
                              </w:tc>
                            </w:tr>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pPr>
                                  <w:r>
                                    <w:rPr/>
                                    <w:t>Overseeing our robust investor outreach efforts, including participating in 8 investor conferences, and meeting individually with most of our top investors.</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111.1pt;mso-wrap-distance-left:0pt;mso-wrap-distance-right:0pt;mso-wrap-distance-top:0pt;mso-wrap-distance-bottom:0pt;margin-top:0pt;mso-position-vertical:top;mso-position-vertical-relative:text;margin-left:0pt;mso-position-horizontal:left;mso-position-horizontal-relative:text">
                <v:textbox>
                  <w:txbxContent>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pPr>
                            <w:r>
                              <w:rPr/>
                              <w:t>Overseeing the Company’s strong financial performance, which included exceeding the adjusted net sales, adjusted EPS and free cash flow expectations we communicated to investors for the year, despite headwinds from unplanned, incremental tariffs and supplier challenges.</w:t>
                            </w:r>
                          </w:p>
                        </w:tc>
                      </w:tr>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pPr>
                            <w:r>
                              <w:rPr/>
                              <w:t>Overseeing our robust investor outreach efforts, including participating in 8 investor conferences, and meeting individually with most of our top investors.</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316">
                <wp:simplePos x="0" y="0"/>
                <wp:positionH relativeFrom="column">
                  <wp:align>right</wp:align>
                </wp:positionH>
                <wp:positionV relativeFrom="line">
                  <wp:posOffset>635</wp:posOffset>
                </wp:positionV>
                <wp:extent cx="3110230" cy="2359025"/>
                <wp:effectExtent l="0" t="0" r="0" b="0"/>
                <wp:wrapSquare wrapText="left"/>
                <wp:docPr id="336" name="Frame58"/>
                <a:graphic xmlns:a="http://schemas.openxmlformats.org/drawingml/2006/main">
                  <a:graphicData uri="http://schemas.microsoft.com/office/word/2010/wordprocessingShape">
                    <wps:wsp>
                      <wps:cNvSpPr txBox="1"/>
                      <wps:spPr>
                        <a:xfrm>
                          <a:off x="0" y="0"/>
                          <a:ext cx="3110230" cy="2359025"/>
                        </a:xfrm>
                        <a:prstGeom prst="rect"/>
                        <a:solidFill>
                          <a:srgbClr val="FFFFFF"/>
                        </a:solidFill>
                      </wps:spPr>
                      <wps:txbx>
                        <w:txbxContent>
                          <w:tbl>
                            <w:tblPr>
                              <w:tblW w:w="6310" w:type="dxa"/>
                              <w:jc w:val="left"/>
                              <w:tblInd w:w="0" w:type="dxa"/>
                              <w:tblLayout w:type="fixed"/>
                              <w:tblCellMar>
                                <w:top w:w="0" w:type="dxa"/>
                                <w:left w:w="0" w:type="dxa"/>
                                <w:bottom w:w="0" w:type="dxa"/>
                                <w:right w:w="0" w:type="dxa"/>
                              </w:tblCellMar>
                            </w:tblPr>
                            <w:tblGrid>
                              <w:gridCol w:w="185"/>
                              <w:gridCol w:w="6125"/>
                            </w:tblGrid>
                            <w:tr>
                              <w:trPr/>
                              <w:tc>
                                <w:tcPr>
                                  <w:tcW w:w="185" w:type="dxa"/>
                                  <w:tcBorders/>
                                  <w:vAlign w:val="center"/>
                                </w:tcPr>
                                <w:p>
                                  <w:pPr>
                                    <w:pStyle w:val="TableContents"/>
                                    <w:bidi w:val="0"/>
                                    <w:spacing w:before="0" w:after="283"/>
                                    <w:jc w:val="left"/>
                                    <w:rPr/>
                                  </w:pPr>
                                  <w:r>
                                    <w:rPr/>
                                    <w:t>●</w:t>
                                  </w:r>
                                </w:p>
                              </w:tc>
                              <w:tc>
                                <w:tcPr>
                                  <w:tcW w:w="6125" w:type="dxa"/>
                                  <w:tcBorders/>
                                  <w:vAlign w:val="center"/>
                                </w:tcPr>
                                <w:p>
                                  <w:pPr>
                                    <w:pStyle w:val="TableContents"/>
                                    <w:bidi w:val="0"/>
                                    <w:spacing w:before="0" w:after="283"/>
                                    <w:jc w:val="left"/>
                                    <w:rPr/>
                                  </w:pPr>
                                  <w:r>
                                    <w:rPr/>
                                    <w:t>Leading RTX’s disciplined capital allocation strategy, including:</w:t>
                                  </w:r>
                                </w:p>
                              </w:tc>
                            </w:tr>
                          </w:tbl>
                          <w:tbl>
                            <w:tblPr>
                              <w:tblW w:w="10205" w:type="dxa"/>
                              <w:jc w:val="left"/>
                              <w:tblInd w:w="0" w:type="dxa"/>
                              <w:tblLayout w:type="fixed"/>
                              <w:tblCellMar>
                                <w:top w:w="0" w:type="dxa"/>
                                <w:left w:w="0" w:type="dxa"/>
                                <w:bottom w:w="0" w:type="dxa"/>
                                <w:right w:w="0" w:type="dxa"/>
                              </w:tblCellMar>
                            </w:tblPr>
                            <w:tblGrid>
                              <w:gridCol w:w="135"/>
                              <w:gridCol w:w="140"/>
                              <w:gridCol w:w="9930"/>
                            </w:tblGrid>
                            <w:tr>
                              <w:trPr/>
                              <w:tc>
                                <w:tcPr>
                                  <w:tcW w:w="13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caps w:val="false"/>
                                      <w:smallCaps w:val="false"/>
                                    </w:rPr>
                                  </w:pPr>
                                  <w:r>
                                    <w:rPr>
                                      <w:caps w:val="false"/>
                                      <w:smallCaps w:val="false"/>
                                    </w:rPr>
                                    <w:t>–</w:t>
                                  </w:r>
                                </w:p>
                              </w:tc>
                              <w:tc>
                                <w:tcPr>
                                  <w:tcW w:w="993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Investing $7.7 billion in Company- and customer- funded research and development spend and capital expenditures.</w:t>
                                  </w:r>
                                </w:p>
                              </w:tc>
                            </w:tr>
                            <w:tr>
                              <w:trPr/>
                              <w:tc>
                                <w:tcPr>
                                  <w:tcW w:w="13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caps w:val="false"/>
                                      <w:smallCaps w:val="false"/>
                                    </w:rPr>
                                  </w:pPr>
                                  <w:r>
                                    <w:rPr>
                                      <w:caps w:val="false"/>
                                      <w:smallCaps w:val="false"/>
                                    </w:rPr>
                                    <w:t>–</w:t>
                                  </w:r>
                                </w:p>
                              </w:tc>
                              <w:tc>
                                <w:tcPr>
                                  <w:tcW w:w="993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Increasing annual dividend rate by 7.9%</w:t>
                                  </w:r>
                                  <w:r>
                                    <w:rPr>
                                      <w:rFonts w:ascii="Arial;Helvetica;Sans-Serif" w:hAnsi="Arial;Helvetica;Sans-Serif"/>
                                      <w:b w:val="false"/>
                                      <w:i w:val="false"/>
                                      <w:caps w:val="false"/>
                                      <w:smallCaps w:val="false"/>
                                      <w:position w:val="7"/>
                                      <w:sz w:val="16"/>
                                      <w:sz w:val="20"/>
                                    </w:rPr>
                                    <w:t>(1)</w:t>
                                  </w:r>
                                  <w:r>
                                    <w:rPr>
                                      <w:rFonts w:ascii="Arial;Helvetica;Sans-Serif" w:hAnsi="Arial;Helvetica;Sans-Serif"/>
                                      <w:b w:val="false"/>
                                      <w:i w:val="false"/>
                                      <w:caps w:val="false"/>
                                      <w:smallCaps w:val="false"/>
                                      <w:sz w:val="20"/>
                                    </w:rPr>
                                    <w:t>, returning over $3.6 billion of capital to shareowners.</w:t>
                                  </w:r>
                                </w:p>
                              </w:tc>
                            </w:tr>
                            <w:tr>
                              <w:trPr/>
                              <w:tc>
                                <w:tcPr>
                                  <w:tcW w:w="13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caps w:val="false"/>
                                      <w:smallCaps w:val="false"/>
                                    </w:rPr>
                                  </w:pPr>
                                  <w:r>
                                    <w:rPr>
                                      <w:caps w:val="false"/>
                                      <w:smallCaps w:val="false"/>
                                    </w:rPr>
                                    <w:t>–</w:t>
                                  </w:r>
                                </w:p>
                              </w:tc>
                              <w:tc>
                                <w:tcPr>
                                  <w:tcW w:w="993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Paying down $3.4 billion of debt.</w:t>
                                  </w:r>
                                </w:p>
                              </w:tc>
                            </w:tr>
                            <w:tr>
                              <w:trPr/>
                              <w:tc>
                                <w:tcPr>
                                  <w:tcW w:w="13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caps w:val="false"/>
                                      <w:smallCaps w:val="false"/>
                                    </w:rPr>
                                  </w:pPr>
                                  <w:r>
                                    <w:rPr>
                                      <w:caps w:val="false"/>
                                      <w:smallCaps w:val="false"/>
                                    </w:rPr>
                                    <w:t>–</w:t>
                                  </w:r>
                                </w:p>
                              </w:tc>
                              <w:tc>
                                <w:tcPr>
                                  <w:tcW w:w="993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Deploying $85 million of capital investments in a combination of 11 new startup companies and 8 follow-on investments through RTX Ventures.</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185.75pt;mso-wrap-distance-left:0pt;mso-wrap-distance-right:0pt;mso-wrap-distance-top:0pt;mso-wrap-distance-bottom:0pt;margin-top:0pt;mso-position-vertical:top;mso-position-vertical-relative:text;margin-left:20.4pt;mso-position-horizontal:right;mso-position-horizontal-relative:text">
                <v:textbox>
                  <w:txbxContent>
                    <w:tbl>
                      <w:tblPr>
                        <w:tblW w:w="6310" w:type="dxa"/>
                        <w:jc w:val="left"/>
                        <w:tblInd w:w="0" w:type="dxa"/>
                        <w:tblLayout w:type="fixed"/>
                        <w:tblCellMar>
                          <w:top w:w="0" w:type="dxa"/>
                          <w:left w:w="0" w:type="dxa"/>
                          <w:bottom w:w="0" w:type="dxa"/>
                          <w:right w:w="0" w:type="dxa"/>
                        </w:tblCellMar>
                      </w:tblPr>
                      <w:tblGrid>
                        <w:gridCol w:w="185"/>
                        <w:gridCol w:w="6125"/>
                      </w:tblGrid>
                      <w:tr>
                        <w:trPr/>
                        <w:tc>
                          <w:tcPr>
                            <w:tcW w:w="185" w:type="dxa"/>
                            <w:tcBorders/>
                            <w:vAlign w:val="center"/>
                          </w:tcPr>
                          <w:p>
                            <w:pPr>
                              <w:pStyle w:val="TableContents"/>
                              <w:bidi w:val="0"/>
                              <w:spacing w:before="0" w:after="283"/>
                              <w:jc w:val="left"/>
                              <w:rPr/>
                            </w:pPr>
                            <w:r>
                              <w:rPr/>
                              <w:t>●</w:t>
                            </w:r>
                          </w:p>
                        </w:tc>
                        <w:tc>
                          <w:tcPr>
                            <w:tcW w:w="6125" w:type="dxa"/>
                            <w:tcBorders/>
                            <w:vAlign w:val="center"/>
                          </w:tcPr>
                          <w:p>
                            <w:pPr>
                              <w:pStyle w:val="TableContents"/>
                              <w:bidi w:val="0"/>
                              <w:spacing w:before="0" w:after="283"/>
                              <w:jc w:val="left"/>
                              <w:rPr/>
                            </w:pPr>
                            <w:r>
                              <w:rPr/>
                              <w:t>Leading RTX’s disciplined capital allocation strategy, including:</w:t>
                            </w:r>
                          </w:p>
                        </w:tc>
                      </w:tr>
                    </w:tbl>
                    <w:tbl>
                      <w:tblPr>
                        <w:tblW w:w="10205" w:type="dxa"/>
                        <w:jc w:val="left"/>
                        <w:tblInd w:w="0" w:type="dxa"/>
                        <w:tblLayout w:type="fixed"/>
                        <w:tblCellMar>
                          <w:top w:w="0" w:type="dxa"/>
                          <w:left w:w="0" w:type="dxa"/>
                          <w:bottom w:w="0" w:type="dxa"/>
                          <w:right w:w="0" w:type="dxa"/>
                        </w:tblCellMar>
                      </w:tblPr>
                      <w:tblGrid>
                        <w:gridCol w:w="135"/>
                        <w:gridCol w:w="140"/>
                        <w:gridCol w:w="9930"/>
                      </w:tblGrid>
                      <w:tr>
                        <w:trPr/>
                        <w:tc>
                          <w:tcPr>
                            <w:tcW w:w="13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caps w:val="false"/>
                                <w:smallCaps w:val="false"/>
                              </w:rPr>
                            </w:pPr>
                            <w:r>
                              <w:rPr>
                                <w:caps w:val="false"/>
                                <w:smallCaps w:val="false"/>
                              </w:rPr>
                              <w:t>–</w:t>
                            </w:r>
                          </w:p>
                        </w:tc>
                        <w:tc>
                          <w:tcPr>
                            <w:tcW w:w="993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Investing $7.7 billion in Company- and customer- funded research and development spend and capital expenditures.</w:t>
                            </w:r>
                          </w:p>
                        </w:tc>
                      </w:tr>
                      <w:tr>
                        <w:trPr/>
                        <w:tc>
                          <w:tcPr>
                            <w:tcW w:w="13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caps w:val="false"/>
                                <w:smallCaps w:val="false"/>
                              </w:rPr>
                            </w:pPr>
                            <w:r>
                              <w:rPr>
                                <w:caps w:val="false"/>
                                <w:smallCaps w:val="false"/>
                              </w:rPr>
                              <w:t>–</w:t>
                            </w:r>
                          </w:p>
                        </w:tc>
                        <w:tc>
                          <w:tcPr>
                            <w:tcW w:w="993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Increasing annual dividend rate by 7.9%</w:t>
                            </w:r>
                            <w:r>
                              <w:rPr>
                                <w:rFonts w:ascii="Arial;Helvetica;Sans-Serif" w:hAnsi="Arial;Helvetica;Sans-Serif"/>
                                <w:b w:val="false"/>
                                <w:i w:val="false"/>
                                <w:caps w:val="false"/>
                                <w:smallCaps w:val="false"/>
                                <w:position w:val="7"/>
                                <w:sz w:val="16"/>
                                <w:sz w:val="20"/>
                              </w:rPr>
                              <w:t>(1)</w:t>
                            </w:r>
                            <w:r>
                              <w:rPr>
                                <w:rFonts w:ascii="Arial;Helvetica;Sans-Serif" w:hAnsi="Arial;Helvetica;Sans-Serif"/>
                                <w:b w:val="false"/>
                                <w:i w:val="false"/>
                                <w:caps w:val="false"/>
                                <w:smallCaps w:val="false"/>
                                <w:sz w:val="20"/>
                              </w:rPr>
                              <w:t>, returning over $3.6 billion of capital to shareowners.</w:t>
                            </w:r>
                          </w:p>
                        </w:tc>
                      </w:tr>
                      <w:tr>
                        <w:trPr/>
                        <w:tc>
                          <w:tcPr>
                            <w:tcW w:w="13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caps w:val="false"/>
                                <w:smallCaps w:val="false"/>
                              </w:rPr>
                            </w:pPr>
                            <w:r>
                              <w:rPr>
                                <w:caps w:val="false"/>
                                <w:smallCaps w:val="false"/>
                              </w:rPr>
                              <w:t>–</w:t>
                            </w:r>
                          </w:p>
                        </w:tc>
                        <w:tc>
                          <w:tcPr>
                            <w:tcW w:w="993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Paying down $3.4 billion of debt.</w:t>
                            </w:r>
                          </w:p>
                        </w:tc>
                      </w:tr>
                      <w:tr>
                        <w:trPr/>
                        <w:tc>
                          <w:tcPr>
                            <w:tcW w:w="13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caps w:val="false"/>
                                <w:smallCaps w:val="false"/>
                              </w:rPr>
                            </w:pPr>
                            <w:r>
                              <w:rPr>
                                <w:caps w:val="false"/>
                                <w:smallCaps w:val="false"/>
                              </w:rPr>
                              <w:t>–</w:t>
                            </w:r>
                          </w:p>
                        </w:tc>
                        <w:tc>
                          <w:tcPr>
                            <w:tcW w:w="993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Deploying $85 million of capital investments in a combination of 11 new startup companies and 8 follow-on investments through RTX Ventures.</w:t>
                            </w:r>
                          </w:p>
                        </w:tc>
                      </w:tr>
                    </w:tbl>
                    <w:p>
                      <w:pPr>
                        <w:pStyle w:val="TextBody"/>
                        <w:bidi w:val="0"/>
                        <w:spacing w:before="0" w:after="283"/>
                        <w:jc w:val="left"/>
                        <w:rPr/>
                      </w:pPr>
                      <w:r>
                        <w:rPr/>
                      </w:r>
                    </w:p>
                  </w:txbxContent>
                </v:textbox>
                <w10:wrap type="square" side="left"/>
              </v:rect>
            </w:pict>
          </mc:Fallback>
        </mc:AlternateContent>
      </w:r>
    </w:p>
    <w:tbl>
      <w:tblPr>
        <w:tblW w:w="10205" w:type="dxa"/>
        <w:jc w:val="left"/>
        <w:tblInd w:w="0" w:type="dxa"/>
        <w:tblLayout w:type="fixed"/>
        <w:tblCellMar>
          <w:top w:w="0" w:type="dxa"/>
          <w:left w:w="0" w:type="dxa"/>
          <w:bottom w:w="0" w:type="dxa"/>
          <w:right w:w="0" w:type="dxa"/>
        </w:tblCellMar>
      </w:tblPr>
      <w:tblGrid>
        <w:gridCol w:w="302"/>
        <w:gridCol w:w="9903"/>
      </w:tblGrid>
      <w:tr>
        <w:trPr/>
        <w:tc>
          <w:tcPr>
            <w:tcW w:w="302" w:type="dxa"/>
            <w:tcBorders/>
            <w:vAlign w:val="center"/>
          </w:tcPr>
          <w:p>
            <w:pPr>
              <w:pStyle w:val="TableContents"/>
              <w:bidi w:val="0"/>
              <w:spacing w:before="0" w:after="283"/>
              <w:jc w:val="left"/>
              <w:rPr/>
            </w:pPr>
            <w:r>
              <w:rPr/>
              <w:t>(1)</w:t>
            </w:r>
          </w:p>
        </w:tc>
        <w:tc>
          <w:tcPr>
            <w:tcW w:w="9903" w:type="dxa"/>
            <w:tcBorders/>
            <w:vAlign w:val="center"/>
          </w:tcPr>
          <w:p>
            <w:pPr>
              <w:pStyle w:val="TableContents"/>
              <w:bidi w:val="0"/>
              <w:spacing w:before="0" w:after="283"/>
              <w:jc w:val="left"/>
              <w:rPr/>
            </w:pPr>
            <w:r>
              <w:rPr/>
              <w:t>In the second quarter of 2025, we increased our quarterly dividend from $0.63 per share to $0.68 per share.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15"/>
        </w:rPr>
      </w:pPr>
      <w:r>
        <w:rPr>
          <w:rFonts w:ascii="Arial;Helvetica;Sans-Serif" w:hAnsi="Arial;Helvetica;Sans-Serif"/>
          <w:b/>
          <w:i w:val="false"/>
          <w:caps w:val="false"/>
          <w:smallCaps w:val="false"/>
          <w:sz w:val="15"/>
        </w:rPr>
        <w:t>54    RTX</w:t>
      </w:r>
      <w:r>
        <w:rPr>
          <w:rFonts w:ascii="Arial;Helvetica;Sans-Serif" w:hAnsi="Arial;Helvetica;Sans-Serif"/>
          <w:b w:val="false"/>
          <w:i w:val="false"/>
          <w:caps w:val="false"/>
          <w:smallCaps w:val="false"/>
          <w:sz w:val="15"/>
        </w:rPr>
        <w:t xml:space="preserve"> 2026 PROXY STATEMENT</w:t>
      </w:r>
    </w:p>
    <w:p>
      <w:pPr>
        <w:pStyle w:val="HorizontalLine"/>
        <w:pBdr>
          <w:bottom w:val="double" w:sz="2" w:space="0" w:color="808080"/>
        </w:pBdr>
        <w:bidi w:val="0"/>
        <w:spacing w:before="0" w:after="283"/>
        <w:jc w:val="left"/>
        <w:rPr/>
      </w:pPr>
      <w:r>
        <w:rPr/>
      </w:r>
    </w:p>
    <w:p>
      <w:pPr>
        <w:pStyle w:val="TextBody"/>
        <w:bidi w:val="0"/>
        <w:spacing w:before="200" w:after="200"/>
        <w:jc w:val="left"/>
        <w:rPr/>
      </w:pPr>
      <w:hyperlink w:anchor="toc">
        <w:r>
          <w:rPr>
            <w:rStyle w:val="InternetLink"/>
            <w:rFonts w:ascii="Arial;Helvetica;Sans-Serif" w:hAnsi="Arial;Helvetica;Sans-Serif"/>
            <w:b/>
            <w:i w:val="false"/>
            <w:caps w:val="false"/>
            <w:smallCaps w:val="false"/>
            <w:sz w:val="16"/>
          </w:rPr>
          <w:t>Table of Contents</w:t>
        </w:r>
      </w:hyperlink>
    </w:p>
    <w:p>
      <w:pPr>
        <w:pStyle w:val="TextBody"/>
        <w:bidi w:val="0"/>
        <w:spacing w:before="0" w:after="0"/>
        <w:ind w:left="0" w:right="0" w:hanging="0"/>
        <w:jc w:val="right"/>
        <w:rPr>
          <w:rFonts w:ascii="Arial;Helvetica;Sans-Serif" w:hAnsi="Arial;Helvetica;Sans-Serif"/>
          <w:b/>
          <w:i w:val="false"/>
          <w:caps w:val="false"/>
          <w:smallCaps w:val="false"/>
          <w:color w:val="C12E33"/>
          <w:sz w:val="15"/>
        </w:rPr>
      </w:pPr>
      <w:r>
        <w:rPr>
          <w:rFonts w:ascii="Arial;Helvetica;Sans-Serif" w:hAnsi="Arial;Helvetica;Sans-Serif"/>
          <w:b/>
          <w:i w:val="false"/>
          <w:caps w:val="false"/>
          <w:smallCaps w:val="false"/>
          <w:color w:val="C12E33"/>
          <w:sz w:val="15"/>
        </w:rPr>
        <w:t>COMPENSATION DISCUSSION AND ANALYSIS</w:t>
      </w:r>
    </w:p>
    <w:p>
      <w:pPr>
        <w:pStyle w:val="TextBody"/>
        <w:bidi w:val="0"/>
        <w:spacing w:before="0" w:after="0"/>
        <w:ind w:left="0" w:right="0" w:hanging="0"/>
        <w:jc w:val="righ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2025 PAY DECISIONS FOR OTHER NEOS</w:t>
      </w:r>
    </w:p>
    <w:p>
      <w:pPr>
        <w:pStyle w:val="TextBody"/>
        <w:bidi w:val="0"/>
        <w:spacing w:before="0" w:after="0"/>
        <w:ind w:left="0" w:right="0" w:hanging="0"/>
        <w:jc w:val="right"/>
        <w:rPr>
          <w:caps w:val="false"/>
          <w:smallCaps w:val="false"/>
        </w:rPr>
      </w:pPr>
      <w:r>
        <w:rPr>
          <w:caps w:val="false"/>
          <w:smallCaps w:val="false"/>
        </w:rPr>
        <w:t> </w:t>
      </w:r>
    </w:p>
    <w:tbl>
      <w:tblPr>
        <w:tblW w:w="4370" w:type="dxa"/>
        <w:jc w:val="left"/>
        <w:tblInd w:w="0" w:type="dxa"/>
        <w:tblLayout w:type="fixed"/>
        <w:tblCellMar>
          <w:top w:w="0" w:type="dxa"/>
          <w:left w:w="0" w:type="dxa"/>
          <w:bottom w:w="0" w:type="dxa"/>
          <w:right w:w="0" w:type="dxa"/>
        </w:tblCellMar>
      </w:tblPr>
      <w:tblGrid>
        <w:gridCol w:w="2045"/>
        <w:gridCol w:w="60"/>
        <w:gridCol w:w="2265"/>
      </w:tblGrid>
      <w:tr>
        <w:trPr/>
        <w:tc>
          <w:tcPr>
            <w:tcW w:w="2045" w:type="dxa"/>
            <w:tcBorders/>
            <w:vAlign w:val="center"/>
          </w:tcPr>
          <w:p>
            <w:pPr>
              <w:pStyle w:val="TableContents"/>
              <w:bidi w:val="0"/>
              <w:spacing w:before="120" w:after="0"/>
              <w:ind w:left="0" w:right="0" w:hanging="0"/>
              <w:jc w:val="left"/>
              <w:rPr>
                <w:b/>
                <w:sz w:val="30"/>
              </w:rPr>
            </w:pPr>
            <w:r>
              <w:rPr>
                <w:b/>
                <w:sz w:val="30"/>
              </w:rPr>
              <w:t>Philip J. Jasper</w:t>
            </w:r>
          </w:p>
          <w:p>
            <w:pPr>
              <w:pStyle w:val="TableContents"/>
              <w:bidi w:val="0"/>
              <w:spacing w:before="0" w:after="0"/>
              <w:ind w:left="0" w:right="0" w:hanging="0"/>
              <w:jc w:val="left"/>
              <w:rPr/>
            </w:pPr>
            <w:r>
              <w:rPr/>
              <w:t> </w:t>
            </w:r>
          </w:p>
          <w:p>
            <w:pPr>
              <w:pStyle w:val="TableContents"/>
              <w:bidi w:val="0"/>
              <w:spacing w:before="0" w:after="0"/>
              <w:ind w:left="0" w:right="0" w:hanging="0"/>
              <w:jc w:val="left"/>
              <w:rPr>
                <w:b/>
                <w:sz w:val="22"/>
              </w:rPr>
            </w:pPr>
            <w:r>
              <w:rPr>
                <w:b/>
                <w:sz w:val="22"/>
              </w:rPr>
              <w:t>President, Raytheon</w:t>
            </w:r>
          </w:p>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sz w:val="15"/>
              </w:rPr>
              <w:t>AGE 57</w:t>
            </w:r>
            <w:r>
              <w:rPr/>
              <w:br/>
            </w:r>
            <w:r>
              <w:rPr>
                <w:sz w:val="15"/>
              </w:rPr>
              <w:t>RTX EXPERIENCE 34 YEARS</w:t>
            </w:r>
          </w:p>
        </w:tc>
        <w:tc>
          <w:tcPr>
            <w:tcW w:w="60" w:type="dxa"/>
            <w:tcBorders/>
            <w:vAlign w:val="center"/>
          </w:tcPr>
          <w:p>
            <w:pPr>
              <w:pStyle w:val="TableContents"/>
              <w:bidi w:val="0"/>
              <w:spacing w:before="0" w:after="283"/>
              <w:jc w:val="left"/>
              <w:rPr/>
            </w:pPr>
            <w:r>
              <w:rPr/>
              <w:t> </w:t>
            </w:r>
          </w:p>
        </w:tc>
        <w:tc>
          <w:tcPr>
            <w:tcW w:w="2265" w:type="dxa"/>
            <w:tcBorders/>
            <w:vAlign w:val="center"/>
          </w:tcPr>
          <w:p>
            <w:pPr>
              <w:pStyle w:val="TableContents"/>
              <w:bidi w:val="0"/>
              <w:spacing w:before="0" w:after="283"/>
              <w:jc w:val="right"/>
              <w:rPr/>
            </w:pPr>
            <w:r>
              <w:rPr/>
              <w:drawing>
                <wp:inline distT="0" distB="0" distL="0" distR="0">
                  <wp:extent cx="1428750" cy="3771900"/>
                  <wp:effectExtent l="0" t="0" r="0" b="0"/>
                  <wp:docPr id="337" name="Image2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7" name="Image227" descr=""/>
                          <pic:cNvPicPr>
                            <a:picLocks noChangeAspect="1" noChangeArrowheads="1"/>
                          </pic:cNvPicPr>
                        </pic:nvPicPr>
                        <pic:blipFill>
                          <a:blip r:embed="rId280"/>
                          <a:stretch>
                            <a:fillRect/>
                          </a:stretch>
                        </pic:blipFill>
                        <pic:spPr bwMode="auto">
                          <a:xfrm>
                            <a:off x="0" y="0"/>
                            <a:ext cx="1428750" cy="3771900"/>
                          </a:xfrm>
                          <a:prstGeom prst="rect">
                            <a:avLst/>
                          </a:prstGeom>
                        </pic:spPr>
                      </pic:pic>
                    </a:graphicData>
                  </a:graphic>
                </wp:inline>
              </w:drawing>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mc:AlternateContent>
          <mc:Choice Requires="wps">
            <w:drawing>
              <wp:anchor behindDoc="0" distT="0" distB="0" distL="0" distR="0" simplePos="0" locked="0" layoutInCell="1" allowOverlap="1" relativeHeight="95">
                <wp:simplePos x="0" y="0"/>
                <wp:positionH relativeFrom="column">
                  <wp:align>right</wp:align>
                </wp:positionH>
                <wp:positionV relativeFrom="line">
                  <wp:posOffset>635</wp:posOffset>
                </wp:positionV>
                <wp:extent cx="3110230" cy="1151890"/>
                <wp:effectExtent l="0" t="0" r="0" b="0"/>
                <wp:wrapSquare wrapText="left"/>
                <wp:docPr id="338" name="Frame60"/>
                <a:graphic xmlns:a="http://schemas.openxmlformats.org/drawingml/2006/main">
                  <a:graphicData uri="http://schemas.microsoft.com/office/word/2010/wordprocessingShape">
                    <wps:wsp>
                      <wps:cNvSpPr txBox="1"/>
                      <wps:spPr>
                        <a:xfrm>
                          <a:off x="0" y="0"/>
                          <a:ext cx="3110230" cy="1151890"/>
                        </a:xfrm>
                        <a:prstGeom prst="rect"/>
                        <a:solidFill>
                          <a:srgbClr val="FFFFFF"/>
                        </a:solidFill>
                      </wps:spPr>
                      <wps:txbx>
                        <w:txbxContent>
                          <w:p>
                            <w:pPr>
                              <w:pStyle w:val="TextBody"/>
                              <w:bidi w:val="0"/>
                              <w:spacing w:before="0" w:after="0"/>
                              <w:ind w:left="0" w:right="0" w:hanging="0"/>
                              <w:jc w:val="right"/>
                              <w:rPr>
                                <w:caps w:val="false"/>
                                <w:smallCaps w:val="false"/>
                              </w:rPr>
                            </w:pPr>
                            <w:r>
                              <w:rPr>
                                <w:caps w:val="false"/>
                                <w:smallCaps w:val="false"/>
                              </w:rPr>
                              <w:drawing>
                                <wp:inline distT="0" distB="0" distL="0" distR="0">
                                  <wp:extent cx="3810000" cy="1151890"/>
                                  <wp:effectExtent l="0" t="0" r="0" b="0"/>
                                  <wp:docPr id="339" name="Image2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9" name="Image228" descr=""/>
                                          <pic:cNvPicPr>
                                            <a:picLocks noChangeAspect="1" noChangeArrowheads="1"/>
                                          </pic:cNvPicPr>
                                        </pic:nvPicPr>
                                        <pic:blipFill>
                                          <a:blip r:embed="rId281"/>
                                          <a:stretch>
                                            <a:fillRect/>
                                          </a:stretch>
                                        </pic:blipFill>
                                        <pic:spPr bwMode="auto">
                                          <a:xfrm>
                                            <a:off x="0" y="0"/>
                                            <a:ext cx="3810000" cy="1151890"/>
                                          </a:xfrm>
                                          <a:prstGeom prst="rect">
                                            <a:avLst/>
                                          </a:prstGeom>
                                        </pic:spPr>
                                      </pic:pic>
                                    </a:graphicData>
                                  </a:graphic>
                                </wp:inline>
                              </w:drawing>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90.7pt;mso-wrap-distance-left:0pt;mso-wrap-distance-right:0pt;mso-wrap-distance-top:0pt;mso-wrap-distance-bottom:0pt;margin-top:0pt;mso-position-vertical:top;mso-position-vertical-relative:text;margin-left:265.35pt;mso-position-horizontal:right;mso-position-horizontal-relative:text">
                <v:textbox>
                  <w:txbxContent>
                    <w:p>
                      <w:pPr>
                        <w:pStyle w:val="TextBody"/>
                        <w:bidi w:val="0"/>
                        <w:spacing w:before="0" w:after="0"/>
                        <w:ind w:left="0" w:right="0" w:hanging="0"/>
                        <w:jc w:val="right"/>
                        <w:rPr>
                          <w:caps w:val="false"/>
                          <w:smallCaps w:val="false"/>
                        </w:rPr>
                      </w:pPr>
                      <w:r>
                        <w:rPr>
                          <w:caps w:val="false"/>
                          <w:smallCaps w:val="false"/>
                        </w:rPr>
                        <w:drawing>
                          <wp:inline distT="0" distB="0" distL="0" distR="0">
                            <wp:extent cx="3810000" cy="1151890"/>
                            <wp:effectExtent l="0" t="0" r="0" b="0"/>
                            <wp:docPr id="340" name="Image2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0" name="Image228" descr=""/>
                                    <pic:cNvPicPr>
                                      <a:picLocks noChangeAspect="1" noChangeArrowheads="1"/>
                                    </pic:cNvPicPr>
                                  </pic:nvPicPr>
                                  <pic:blipFill>
                                    <a:blip r:embed="rId282"/>
                                    <a:stretch>
                                      <a:fillRect/>
                                    </a:stretch>
                                  </pic:blipFill>
                                  <pic:spPr bwMode="auto">
                                    <a:xfrm>
                                      <a:off x="0" y="0"/>
                                      <a:ext cx="3810000" cy="1151890"/>
                                    </a:xfrm>
                                    <a:prstGeom prst="rect">
                                      <a:avLst/>
                                    </a:prstGeom>
                                  </pic:spPr>
                                </pic:pic>
                              </a:graphicData>
                            </a:graphic>
                          </wp:inline>
                        </w:drawing>
                      </w:r>
                    </w:p>
                  </w:txbxContent>
                </v:textbox>
                <w10:wrap type="square" side="left"/>
              </v:rect>
            </w:pict>
          </mc:Fallback>
        </mc:AlternateContent>
      </w:r>
      <w:r>
        <mc:AlternateContent>
          <mc:Choice Requires="wps">
            <w:drawing>
              <wp:anchor behindDoc="0" distT="0" distB="0" distL="0" distR="0" simplePos="0" locked="0" layoutInCell="1" allowOverlap="1" relativeHeight="317">
                <wp:simplePos x="0" y="0"/>
                <wp:positionH relativeFrom="column">
                  <wp:align>left</wp:align>
                </wp:positionH>
                <wp:positionV relativeFrom="line">
                  <wp:posOffset>635</wp:posOffset>
                </wp:positionV>
                <wp:extent cx="3110230" cy="2505710"/>
                <wp:effectExtent l="0" t="0" r="0" b="0"/>
                <wp:wrapSquare wrapText="right"/>
                <wp:docPr id="341" name="Frame59"/>
                <a:graphic xmlns:a="http://schemas.openxmlformats.org/drawingml/2006/main">
                  <a:graphicData uri="http://schemas.microsoft.com/office/word/2010/wordprocessingShape">
                    <wps:wsp>
                      <wps:cNvSpPr txBox="1"/>
                      <wps:spPr>
                        <a:xfrm>
                          <a:off x="0" y="0"/>
                          <a:ext cx="3110230" cy="2505710"/>
                        </a:xfrm>
                        <a:prstGeom prst="rect"/>
                        <a:solidFill>
                          <a:srgbClr val="FFFFFF"/>
                        </a:solidFill>
                      </wps:spPr>
                      <wps:txbx>
                        <w:txbxContent>
                          <w:tbl>
                            <w:tblPr>
                              <w:tblW w:w="2615" w:type="dxa"/>
                              <w:jc w:val="left"/>
                              <w:tblInd w:w="0" w:type="dxa"/>
                              <w:tblLayout w:type="fixed"/>
                              <w:tblCellMar>
                                <w:top w:w="0" w:type="dxa"/>
                                <w:left w:w="0" w:type="dxa"/>
                                <w:bottom w:w="28" w:type="dxa"/>
                                <w:right w:w="0" w:type="dxa"/>
                              </w:tblCellMar>
                            </w:tblPr>
                            <w:tblGrid>
                              <w:gridCol w:w="2615"/>
                            </w:tblGrid>
                            <w:tr>
                              <w:trPr/>
                              <w:tc>
                                <w:tcPr>
                                  <w:tcW w:w="2615" w:type="dxa"/>
                                  <w:tcBorders>
                                    <w:bottom w:val="single" w:sz="2" w:space="0" w:color="C12E33"/>
                                  </w:tcBorders>
                                  <w:vAlign w:val="center"/>
                                </w:tcPr>
                                <w:p>
                                  <w:pPr>
                                    <w:pStyle w:val="TableContents"/>
                                    <w:bidi w:val="0"/>
                                    <w:spacing w:before="0" w:after="283"/>
                                    <w:jc w:val="left"/>
                                    <w:rPr>
                                      <w:b/>
                                    </w:rPr>
                                  </w:pPr>
                                  <w:r>
                                    <w:rPr>
                                      <w:b/>
                                    </w:rPr>
                                    <w:t xml:space="preserve">Compensation Overview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 xml:space="preserve">Base Salary. </w:t>
                            </w:r>
                            <w:r>
                              <w:rPr>
                                <w:rFonts w:ascii="Arial;Helvetica;Sans-Serif" w:hAnsi="Arial;Helvetica;Sans-Serif"/>
                                <w:b w:val="false"/>
                                <w:i w:val="false"/>
                                <w:caps w:val="false"/>
                                <w:smallCaps w:val="false"/>
                                <w:sz w:val="20"/>
                              </w:rPr>
                              <w:t>Mr. Jasper received a base salary increase from $790,000 to $835,000 in 2025. Following this increase, Mr. Jasper’s base salary is slightly below the market median for his role.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 xml:space="preserve">Annual Incentive Award. </w:t>
                            </w:r>
                            <w:r>
                              <w:rPr>
                                <w:rFonts w:ascii="Arial;Helvetica;Sans-Serif" w:hAnsi="Arial;Helvetica;Sans-Serif"/>
                                <w:b w:val="false"/>
                                <w:i w:val="false"/>
                                <w:caps w:val="false"/>
                                <w:smallCaps w:val="false"/>
                                <w:sz w:val="20"/>
                              </w:rPr>
                              <w:t>The HCC Committee approved a performance factor of 152% of target for Raytheon. The HCC Committee considered this factor, Mr. Jasper’s leadership of our Raytheon business unit and the individual performance considerations noted here, and approved a $1.54 million award, an amount that is above the Raytheon performance factor.</w:t>
                            </w:r>
                          </w:p>
                          <w:p>
                            <w:pPr>
                              <w:pStyle w:val="TextBody"/>
                              <w:bidi w:val="0"/>
                              <w:spacing w:before="0" w:after="0"/>
                              <w:ind w:left="0" w:right="0" w:hanging="0"/>
                              <w:jc w:val="left"/>
                              <w:rPr>
                                <w:caps w:val="false"/>
                                <w:smallCaps w:val="false"/>
                              </w:rPr>
                            </w:pPr>
                            <w:r>
                              <w:rPr>
                                <w:caps w:val="false"/>
                                <w:smallCaps w:val="false"/>
                              </w:rPr>
                              <w:t>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197.3pt;mso-wrap-distance-left:0pt;mso-wrap-distance-right:0pt;mso-wrap-distance-top:0pt;mso-wrap-distance-bottom:0pt;margin-top:0pt;mso-position-vertical:top;mso-position-vertical-relative:text;margin-left:0pt;mso-position-horizontal:left;mso-position-horizontal-relative:text">
                <v:textbox>
                  <w:txbxContent>
                    <w:tbl>
                      <w:tblPr>
                        <w:tblW w:w="2615" w:type="dxa"/>
                        <w:jc w:val="left"/>
                        <w:tblInd w:w="0" w:type="dxa"/>
                        <w:tblLayout w:type="fixed"/>
                        <w:tblCellMar>
                          <w:top w:w="0" w:type="dxa"/>
                          <w:left w:w="0" w:type="dxa"/>
                          <w:bottom w:w="28" w:type="dxa"/>
                          <w:right w:w="0" w:type="dxa"/>
                        </w:tblCellMar>
                      </w:tblPr>
                      <w:tblGrid>
                        <w:gridCol w:w="2615"/>
                      </w:tblGrid>
                      <w:tr>
                        <w:trPr/>
                        <w:tc>
                          <w:tcPr>
                            <w:tcW w:w="2615" w:type="dxa"/>
                            <w:tcBorders>
                              <w:bottom w:val="single" w:sz="2" w:space="0" w:color="C12E33"/>
                            </w:tcBorders>
                            <w:vAlign w:val="center"/>
                          </w:tcPr>
                          <w:p>
                            <w:pPr>
                              <w:pStyle w:val="TableContents"/>
                              <w:bidi w:val="0"/>
                              <w:spacing w:before="0" w:after="283"/>
                              <w:jc w:val="left"/>
                              <w:rPr>
                                <w:b/>
                              </w:rPr>
                            </w:pPr>
                            <w:r>
                              <w:rPr>
                                <w:b/>
                              </w:rPr>
                              <w:t xml:space="preserve">Compensation Overview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 xml:space="preserve">Base Salary. </w:t>
                      </w:r>
                      <w:r>
                        <w:rPr>
                          <w:rFonts w:ascii="Arial;Helvetica;Sans-Serif" w:hAnsi="Arial;Helvetica;Sans-Serif"/>
                          <w:b w:val="false"/>
                          <w:i w:val="false"/>
                          <w:caps w:val="false"/>
                          <w:smallCaps w:val="false"/>
                          <w:sz w:val="20"/>
                        </w:rPr>
                        <w:t>Mr. Jasper received a base salary increase from $790,000 to $835,000 in 2025. Following this increase, Mr. Jasper’s base salary is slightly below the market median for his role.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 xml:space="preserve">Annual Incentive Award. </w:t>
                      </w:r>
                      <w:r>
                        <w:rPr>
                          <w:rFonts w:ascii="Arial;Helvetica;Sans-Serif" w:hAnsi="Arial;Helvetica;Sans-Serif"/>
                          <w:b w:val="false"/>
                          <w:i w:val="false"/>
                          <w:caps w:val="false"/>
                          <w:smallCaps w:val="false"/>
                          <w:sz w:val="20"/>
                        </w:rPr>
                        <w:t>The HCC Committee approved a performance factor of 152% of target for Raytheon. The HCC Committee considered this factor, Mr. Jasper’s leadership of our Raytheon business unit and the individual performance considerations noted here, and approved a $1.54 million award, an amount that is above the Raytheon performance factor.</w:t>
                      </w:r>
                    </w:p>
                    <w:p>
                      <w:pPr>
                        <w:pStyle w:val="TextBody"/>
                        <w:bidi w:val="0"/>
                        <w:spacing w:before="0" w:after="0"/>
                        <w:ind w:left="0" w:right="0" w:hanging="0"/>
                        <w:jc w:val="left"/>
                        <w:rPr>
                          <w:caps w:val="false"/>
                          <w:smallCaps w:val="false"/>
                        </w:rPr>
                      </w:pPr>
                      <w:r>
                        <w:rPr>
                          <w:caps w:val="false"/>
                          <w:smallCaps w:val="false"/>
                        </w:rPr>
                        <w:t> </w:t>
                      </w:r>
                    </w:p>
                  </w:txbxContent>
                </v:textbox>
                <w10:wrap type="square" side="right"/>
              </v:rect>
            </w:pict>
          </mc:Fallback>
        </mc:AlternateConten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 xml:space="preserve">LTI. </w:t>
      </w:r>
      <w:r>
        <w:rPr>
          <w:rFonts w:ascii="Arial;Helvetica;Sans-Serif" w:hAnsi="Arial;Helvetica;Sans-Serif"/>
          <w:b w:val="false"/>
          <w:i w:val="false"/>
          <w:caps w:val="false"/>
          <w:smallCaps w:val="false"/>
          <w:sz w:val="20"/>
        </w:rPr>
        <w:t>In consideration of Mr. Jasper’s 2025 performance, the HCC Committee approved a $4.75 million 2026 LTI award, an amount that is above the market median for his role.</w:t>
      </w:r>
    </w:p>
    <w:p>
      <w:pPr>
        <w:pStyle w:val="TextBody"/>
        <w:bidi w:val="0"/>
        <w:spacing w:before="0" w:after="0"/>
        <w:ind w:left="0" w:right="0" w:hanging="0"/>
        <w:jc w:val="left"/>
        <w:rPr>
          <w:caps w:val="false"/>
          <w:smallCaps w:val="false"/>
        </w:rPr>
      </w:pPr>
      <w:r>
        <w:rPr>
          <w:caps w:val="false"/>
          <w:smallCaps w:val="false"/>
        </w:rPr>
        <w:t> </w:t>
      </w:r>
    </w:p>
    <w:tbl>
      <w:tblPr>
        <w:tblW w:w="3575" w:type="dxa"/>
        <w:jc w:val="left"/>
        <w:tblInd w:w="0" w:type="dxa"/>
        <w:tblLayout w:type="fixed"/>
        <w:tblCellMar>
          <w:top w:w="0" w:type="dxa"/>
          <w:left w:w="0" w:type="dxa"/>
          <w:bottom w:w="28" w:type="dxa"/>
          <w:right w:w="0" w:type="dxa"/>
        </w:tblCellMar>
      </w:tblPr>
      <w:tblGrid>
        <w:gridCol w:w="3575"/>
      </w:tblGrid>
      <w:tr>
        <w:trPr/>
        <w:tc>
          <w:tcPr>
            <w:tcW w:w="3575" w:type="dxa"/>
            <w:tcBorders>
              <w:bottom w:val="single" w:sz="2" w:space="0" w:color="C12E33"/>
            </w:tcBorders>
            <w:vAlign w:val="center"/>
          </w:tcPr>
          <w:p>
            <w:pPr>
              <w:pStyle w:val="TableContents"/>
              <w:bidi w:val="0"/>
              <w:spacing w:before="0" w:after="283"/>
              <w:jc w:val="left"/>
              <w:rPr>
                <w:b/>
              </w:rPr>
            </w:pPr>
            <w:r>
              <w:rPr>
                <w:b/>
              </w:rPr>
              <w:t>Individual Performance Highlights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Mr. Jasper exhibited strong leadership driving Raytheon results, including:</w:t>
      </w:r>
    </w:p>
    <w:p>
      <w:pPr>
        <w:pStyle w:val="TextBody"/>
        <w:bidi w:val="0"/>
        <w:spacing w:before="0" w:after="0"/>
        <w:ind w:left="0" w:right="0" w:hanging="0"/>
        <w:jc w:val="left"/>
        <w:rPr>
          <w:caps w:val="false"/>
          <w:smallCaps w:val="false"/>
        </w:rPr>
      </w:pPr>
      <w:r>
        <w:rPr>
          <w:caps w:val="false"/>
          <w:smallCaps w:val="false"/>
        </w:rPr>
        <w:t> </w:t>
      </w:r>
      <w:r>
        <mc:AlternateContent>
          <mc:Choice Requires="wps">
            <w:drawing>
              <wp:anchor behindDoc="0" distT="0" distB="0" distL="0" distR="0" simplePos="0" locked="0" layoutInCell="1" allowOverlap="1" relativeHeight="318">
                <wp:simplePos x="0" y="0"/>
                <wp:positionH relativeFrom="column">
                  <wp:align>left</wp:align>
                </wp:positionH>
                <wp:positionV relativeFrom="line">
                  <wp:posOffset>635</wp:posOffset>
                </wp:positionV>
                <wp:extent cx="3110230" cy="3448685"/>
                <wp:effectExtent l="0" t="0" r="0" b="0"/>
                <wp:wrapSquare wrapText="right"/>
                <wp:docPr id="342" name="Frame61"/>
                <a:graphic xmlns:a="http://schemas.openxmlformats.org/drawingml/2006/main">
                  <a:graphicData uri="http://schemas.microsoft.com/office/word/2010/wordprocessingShape">
                    <wps:wsp>
                      <wps:cNvSpPr txBox="1"/>
                      <wps:spPr>
                        <a:xfrm>
                          <a:off x="0" y="0"/>
                          <a:ext cx="3110230" cy="3448685"/>
                        </a:xfrm>
                        <a:prstGeom prst="rect"/>
                        <a:solidFill>
                          <a:srgbClr val="FFFFFF"/>
                        </a:solidFill>
                      </wps:spPr>
                      <wps:txbx>
                        <w:txbxContent>
                          <w:tbl>
                            <w:tblPr>
                              <w:tblW w:w="3475" w:type="dxa"/>
                              <w:jc w:val="left"/>
                              <w:tblInd w:w="0" w:type="dxa"/>
                              <w:tblLayout w:type="fixed"/>
                              <w:tblCellMar>
                                <w:top w:w="0" w:type="dxa"/>
                                <w:left w:w="0" w:type="dxa"/>
                                <w:bottom w:w="0" w:type="dxa"/>
                                <w:right w:w="0" w:type="dxa"/>
                              </w:tblCellMar>
                            </w:tblPr>
                            <w:tblGrid>
                              <w:gridCol w:w="170"/>
                              <w:gridCol w:w="3305"/>
                            </w:tblGrid>
                            <w:tr>
                              <w:trPr/>
                              <w:tc>
                                <w:tcPr>
                                  <w:tcW w:w="170" w:type="dxa"/>
                                  <w:tcBorders/>
                                  <w:vAlign w:val="center"/>
                                </w:tcPr>
                                <w:p>
                                  <w:pPr>
                                    <w:pStyle w:val="TableContents"/>
                                    <w:bidi w:val="0"/>
                                    <w:spacing w:before="0" w:after="283"/>
                                    <w:jc w:val="left"/>
                                    <w:rPr/>
                                  </w:pPr>
                                  <w:r>
                                    <w:rPr/>
                                    <w:t>●</w:t>
                                  </w:r>
                                </w:p>
                              </w:tc>
                              <w:tc>
                                <w:tcPr>
                                  <w:tcW w:w="3305" w:type="dxa"/>
                                  <w:tcBorders/>
                                  <w:vAlign w:val="center"/>
                                </w:tcPr>
                                <w:p>
                                  <w:pPr>
                                    <w:pStyle w:val="TableContents"/>
                                    <w:bidi w:val="0"/>
                                    <w:spacing w:before="0" w:after="283"/>
                                    <w:jc w:val="left"/>
                                    <w:rPr/>
                                  </w:pPr>
                                  <w:r>
                                    <w:rPr/>
                                    <w:t>Significant financial achievements:</w:t>
                                  </w:r>
                                </w:p>
                              </w:tc>
                            </w:tr>
                          </w:tbl>
                          <w:tbl>
                            <w:tblPr>
                              <w:tblW w:w="9760" w:type="dxa"/>
                              <w:jc w:val="left"/>
                              <w:tblInd w:w="0" w:type="dxa"/>
                              <w:tblLayout w:type="fixed"/>
                              <w:tblCellMar>
                                <w:top w:w="0" w:type="dxa"/>
                                <w:left w:w="0" w:type="dxa"/>
                                <w:bottom w:w="0" w:type="dxa"/>
                                <w:right w:w="0" w:type="dxa"/>
                              </w:tblCellMar>
                            </w:tblPr>
                            <w:tblGrid>
                              <w:gridCol w:w="135"/>
                              <w:gridCol w:w="140"/>
                              <w:gridCol w:w="9485"/>
                            </w:tblGrid>
                            <w:tr>
                              <w:trPr/>
                              <w:tc>
                                <w:tcPr>
                                  <w:tcW w:w="13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485" w:type="dxa"/>
                                  <w:tcBorders/>
                                  <w:vAlign w:val="center"/>
                                </w:tcPr>
                                <w:p>
                                  <w:pPr>
                                    <w:pStyle w:val="TableContents"/>
                                    <w:bidi w:val="0"/>
                                    <w:spacing w:before="0" w:after="283"/>
                                    <w:jc w:val="left"/>
                                    <w:rPr/>
                                  </w:pPr>
                                  <w:r>
                                    <w:rPr/>
                                    <w:t>Net sales growth of 5.0% (GAAP) and 4.7% (adjusted), which includes 6% organic sales growth.</w:t>
                                  </w:r>
                                  <w:r>
                                    <w:rPr>
                                      <w:position w:val="8"/>
                                      <w:sz w:val="19"/>
                                    </w:rPr>
                                    <w:t>(1)</w:t>
                                  </w:r>
                                </w:p>
                              </w:tc>
                            </w:tr>
                            <w:tr>
                              <w:trPr/>
                              <w:tc>
                                <w:tcPr>
                                  <w:tcW w:w="13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485" w:type="dxa"/>
                                  <w:tcBorders/>
                                  <w:vAlign w:val="center"/>
                                </w:tcPr>
                                <w:p>
                                  <w:pPr>
                                    <w:pStyle w:val="TableContents"/>
                                    <w:bidi w:val="0"/>
                                    <w:spacing w:before="0" w:after="283"/>
                                    <w:jc w:val="left"/>
                                    <w:rPr/>
                                  </w:pPr>
                                  <w:r>
                                    <w:rPr/>
                                    <w:t>Backlog increase from $63 billion in 2024 to $75 billion in 2025 at accretive margins.</w:t>
                                  </w:r>
                                </w:p>
                              </w:tc>
                            </w:tr>
                            <w:tr>
                              <w:trPr/>
                              <w:tc>
                                <w:tcPr>
                                  <w:tcW w:w="13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485" w:type="dxa"/>
                                  <w:tcBorders/>
                                  <w:vAlign w:val="center"/>
                                </w:tcPr>
                                <w:p>
                                  <w:pPr>
                                    <w:pStyle w:val="TableContents"/>
                                    <w:bidi w:val="0"/>
                                    <w:spacing w:before="0" w:after="283"/>
                                    <w:jc w:val="left"/>
                                    <w:rPr/>
                                  </w:pPr>
                                  <w:r>
                                    <w:rPr/>
                                    <w:t>Return on sales of 11.5% (GAAP and adjusted).</w:t>
                                  </w:r>
                                  <w:r>
                                    <w:rPr>
                                      <w:position w:val="8"/>
                                      <w:sz w:val="19"/>
                                    </w:rPr>
                                    <w:t>(1)</w:t>
                                  </w:r>
                                </w:p>
                              </w:tc>
                            </w:tr>
                            <w:tr>
                              <w:trPr/>
                              <w:tc>
                                <w:tcPr>
                                  <w:tcW w:w="13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485" w:type="dxa"/>
                                  <w:tcBorders/>
                                  <w:vAlign w:val="center"/>
                                </w:tcPr>
                                <w:p>
                                  <w:pPr>
                                    <w:pStyle w:val="TableContents"/>
                                    <w:bidi w:val="0"/>
                                    <w:spacing w:before="0" w:after="283"/>
                                    <w:jc w:val="left"/>
                                    <w:rPr/>
                                  </w:pPr>
                                  <w:r>
                                    <w:rPr/>
                                    <w:t>Operating profit up 24% (GAAP) and 18% (adjusted).</w:t>
                                  </w:r>
                                  <w:r>
                                    <w:rPr>
                                      <w:position w:val="8"/>
                                      <w:sz w:val="19"/>
                                    </w:rPr>
                                    <w:t>(1)</w:t>
                                  </w:r>
                                </w:p>
                              </w:tc>
                            </w:tr>
                          </w:tbl>
                          <w:tbl>
                            <w:tblPr>
                              <w:tblW w:w="4900" w:type="dxa"/>
                              <w:jc w:val="left"/>
                              <w:tblInd w:w="0" w:type="dxa"/>
                              <w:tblLayout w:type="fixed"/>
                              <w:tblCellMar>
                                <w:top w:w="0" w:type="dxa"/>
                                <w:left w:w="0" w:type="dxa"/>
                                <w:bottom w:w="0" w:type="dxa"/>
                                <w:right w:w="0" w:type="dxa"/>
                              </w:tblCellMar>
                            </w:tblPr>
                            <w:tblGrid>
                              <w:gridCol w:w="185"/>
                              <w:gridCol w:w="4715"/>
                            </w:tblGrid>
                            <w:tr>
                              <w:trPr/>
                              <w:tc>
                                <w:tcPr>
                                  <w:tcW w:w="185" w:type="dxa"/>
                                  <w:tcBorders/>
                                  <w:vAlign w:val="center"/>
                                </w:tcPr>
                                <w:p>
                                  <w:pPr>
                                    <w:pStyle w:val="TableContents"/>
                                    <w:bidi w:val="0"/>
                                    <w:spacing w:before="0" w:after="283"/>
                                    <w:jc w:val="left"/>
                                    <w:rPr/>
                                  </w:pPr>
                                  <w:r>
                                    <w:rPr/>
                                    <w:t>●</w:t>
                                  </w:r>
                                </w:p>
                              </w:tc>
                              <w:tc>
                                <w:tcPr>
                                  <w:tcW w:w="4715" w:type="dxa"/>
                                  <w:tcBorders/>
                                  <w:vAlign w:val="center"/>
                                </w:tcPr>
                                <w:p>
                                  <w:pPr>
                                    <w:pStyle w:val="TableContents"/>
                                    <w:bidi w:val="0"/>
                                    <w:spacing w:before="0" w:after="283"/>
                                    <w:jc w:val="left"/>
                                    <w:rPr/>
                                  </w:pPr>
                                  <w:r>
                                    <w:rPr/>
                                    <w:t>Customer wins and operational accomplishments:</w:t>
                                  </w:r>
                                </w:p>
                              </w:tc>
                            </w:tr>
                          </w:tbl>
                          <w:tbl>
                            <w:tblPr>
                              <w:tblW w:w="8050" w:type="dxa"/>
                              <w:jc w:val="left"/>
                              <w:tblInd w:w="0" w:type="dxa"/>
                              <w:tblLayout w:type="fixed"/>
                              <w:tblCellMar>
                                <w:top w:w="0" w:type="dxa"/>
                                <w:left w:w="0" w:type="dxa"/>
                                <w:bottom w:w="0" w:type="dxa"/>
                                <w:right w:w="0" w:type="dxa"/>
                              </w:tblCellMar>
                            </w:tblPr>
                            <w:tblGrid>
                              <w:gridCol w:w="135"/>
                              <w:gridCol w:w="140"/>
                              <w:gridCol w:w="7775"/>
                            </w:tblGrid>
                            <w:tr>
                              <w:trPr/>
                              <w:tc>
                                <w:tcPr>
                                  <w:tcW w:w="13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775" w:type="dxa"/>
                                  <w:tcBorders/>
                                  <w:vAlign w:val="center"/>
                                </w:tcPr>
                                <w:p>
                                  <w:pPr>
                                    <w:pStyle w:val="TableContents"/>
                                    <w:bidi w:val="0"/>
                                    <w:spacing w:before="0" w:after="283"/>
                                    <w:jc w:val="left"/>
                                    <w:rPr/>
                                  </w:pPr>
                                  <w:r>
                                    <w:rPr/>
                                    <w:t>Doubled Advanced Medium-Range Air-to-Air Missile year-over-year production.</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271.55pt;mso-wrap-distance-left:0pt;mso-wrap-distance-right:0pt;mso-wrap-distance-top:0pt;mso-wrap-distance-bottom:0pt;margin-top:0pt;mso-position-vertical:top;mso-position-vertical-relative:text;margin-left:0pt;mso-position-horizontal:left;mso-position-horizontal-relative:text">
                <v:textbox>
                  <w:txbxContent>
                    <w:tbl>
                      <w:tblPr>
                        <w:tblW w:w="3475" w:type="dxa"/>
                        <w:jc w:val="left"/>
                        <w:tblInd w:w="0" w:type="dxa"/>
                        <w:tblLayout w:type="fixed"/>
                        <w:tblCellMar>
                          <w:top w:w="0" w:type="dxa"/>
                          <w:left w:w="0" w:type="dxa"/>
                          <w:bottom w:w="0" w:type="dxa"/>
                          <w:right w:w="0" w:type="dxa"/>
                        </w:tblCellMar>
                      </w:tblPr>
                      <w:tblGrid>
                        <w:gridCol w:w="170"/>
                        <w:gridCol w:w="3305"/>
                      </w:tblGrid>
                      <w:tr>
                        <w:trPr/>
                        <w:tc>
                          <w:tcPr>
                            <w:tcW w:w="170" w:type="dxa"/>
                            <w:tcBorders/>
                            <w:vAlign w:val="center"/>
                          </w:tcPr>
                          <w:p>
                            <w:pPr>
                              <w:pStyle w:val="TableContents"/>
                              <w:bidi w:val="0"/>
                              <w:spacing w:before="0" w:after="283"/>
                              <w:jc w:val="left"/>
                              <w:rPr/>
                            </w:pPr>
                            <w:r>
                              <w:rPr/>
                              <w:t>●</w:t>
                            </w:r>
                          </w:p>
                        </w:tc>
                        <w:tc>
                          <w:tcPr>
                            <w:tcW w:w="3305" w:type="dxa"/>
                            <w:tcBorders/>
                            <w:vAlign w:val="center"/>
                          </w:tcPr>
                          <w:p>
                            <w:pPr>
                              <w:pStyle w:val="TableContents"/>
                              <w:bidi w:val="0"/>
                              <w:spacing w:before="0" w:after="283"/>
                              <w:jc w:val="left"/>
                              <w:rPr/>
                            </w:pPr>
                            <w:r>
                              <w:rPr/>
                              <w:t>Significant financial achievements:</w:t>
                            </w:r>
                          </w:p>
                        </w:tc>
                      </w:tr>
                    </w:tbl>
                    <w:tbl>
                      <w:tblPr>
                        <w:tblW w:w="9760" w:type="dxa"/>
                        <w:jc w:val="left"/>
                        <w:tblInd w:w="0" w:type="dxa"/>
                        <w:tblLayout w:type="fixed"/>
                        <w:tblCellMar>
                          <w:top w:w="0" w:type="dxa"/>
                          <w:left w:w="0" w:type="dxa"/>
                          <w:bottom w:w="0" w:type="dxa"/>
                          <w:right w:w="0" w:type="dxa"/>
                        </w:tblCellMar>
                      </w:tblPr>
                      <w:tblGrid>
                        <w:gridCol w:w="135"/>
                        <w:gridCol w:w="140"/>
                        <w:gridCol w:w="9485"/>
                      </w:tblGrid>
                      <w:tr>
                        <w:trPr/>
                        <w:tc>
                          <w:tcPr>
                            <w:tcW w:w="13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485" w:type="dxa"/>
                            <w:tcBorders/>
                            <w:vAlign w:val="center"/>
                          </w:tcPr>
                          <w:p>
                            <w:pPr>
                              <w:pStyle w:val="TableContents"/>
                              <w:bidi w:val="0"/>
                              <w:spacing w:before="0" w:after="283"/>
                              <w:jc w:val="left"/>
                              <w:rPr/>
                            </w:pPr>
                            <w:r>
                              <w:rPr/>
                              <w:t>Net sales growth of 5.0% (GAAP) and 4.7% (adjusted), which includes 6% organic sales growth.</w:t>
                            </w:r>
                            <w:r>
                              <w:rPr>
                                <w:position w:val="8"/>
                                <w:sz w:val="19"/>
                              </w:rPr>
                              <w:t>(1)</w:t>
                            </w:r>
                          </w:p>
                        </w:tc>
                      </w:tr>
                      <w:tr>
                        <w:trPr/>
                        <w:tc>
                          <w:tcPr>
                            <w:tcW w:w="13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485" w:type="dxa"/>
                            <w:tcBorders/>
                            <w:vAlign w:val="center"/>
                          </w:tcPr>
                          <w:p>
                            <w:pPr>
                              <w:pStyle w:val="TableContents"/>
                              <w:bidi w:val="0"/>
                              <w:spacing w:before="0" w:after="283"/>
                              <w:jc w:val="left"/>
                              <w:rPr/>
                            </w:pPr>
                            <w:r>
                              <w:rPr/>
                              <w:t>Backlog increase from $63 billion in 2024 to $75 billion in 2025 at accretive margins.</w:t>
                            </w:r>
                          </w:p>
                        </w:tc>
                      </w:tr>
                      <w:tr>
                        <w:trPr/>
                        <w:tc>
                          <w:tcPr>
                            <w:tcW w:w="13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485" w:type="dxa"/>
                            <w:tcBorders/>
                            <w:vAlign w:val="center"/>
                          </w:tcPr>
                          <w:p>
                            <w:pPr>
                              <w:pStyle w:val="TableContents"/>
                              <w:bidi w:val="0"/>
                              <w:spacing w:before="0" w:after="283"/>
                              <w:jc w:val="left"/>
                              <w:rPr/>
                            </w:pPr>
                            <w:r>
                              <w:rPr/>
                              <w:t>Return on sales of 11.5% (GAAP and adjusted).</w:t>
                            </w:r>
                            <w:r>
                              <w:rPr>
                                <w:position w:val="8"/>
                                <w:sz w:val="19"/>
                              </w:rPr>
                              <w:t>(1)</w:t>
                            </w:r>
                          </w:p>
                        </w:tc>
                      </w:tr>
                      <w:tr>
                        <w:trPr/>
                        <w:tc>
                          <w:tcPr>
                            <w:tcW w:w="13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485" w:type="dxa"/>
                            <w:tcBorders/>
                            <w:vAlign w:val="center"/>
                          </w:tcPr>
                          <w:p>
                            <w:pPr>
                              <w:pStyle w:val="TableContents"/>
                              <w:bidi w:val="0"/>
                              <w:spacing w:before="0" w:after="283"/>
                              <w:jc w:val="left"/>
                              <w:rPr/>
                            </w:pPr>
                            <w:r>
                              <w:rPr/>
                              <w:t>Operating profit up 24% (GAAP) and 18% (adjusted).</w:t>
                            </w:r>
                            <w:r>
                              <w:rPr>
                                <w:position w:val="8"/>
                                <w:sz w:val="19"/>
                              </w:rPr>
                              <w:t>(1)</w:t>
                            </w:r>
                          </w:p>
                        </w:tc>
                      </w:tr>
                    </w:tbl>
                    <w:tbl>
                      <w:tblPr>
                        <w:tblW w:w="4900" w:type="dxa"/>
                        <w:jc w:val="left"/>
                        <w:tblInd w:w="0" w:type="dxa"/>
                        <w:tblLayout w:type="fixed"/>
                        <w:tblCellMar>
                          <w:top w:w="0" w:type="dxa"/>
                          <w:left w:w="0" w:type="dxa"/>
                          <w:bottom w:w="0" w:type="dxa"/>
                          <w:right w:w="0" w:type="dxa"/>
                        </w:tblCellMar>
                      </w:tblPr>
                      <w:tblGrid>
                        <w:gridCol w:w="185"/>
                        <w:gridCol w:w="4715"/>
                      </w:tblGrid>
                      <w:tr>
                        <w:trPr/>
                        <w:tc>
                          <w:tcPr>
                            <w:tcW w:w="185" w:type="dxa"/>
                            <w:tcBorders/>
                            <w:vAlign w:val="center"/>
                          </w:tcPr>
                          <w:p>
                            <w:pPr>
                              <w:pStyle w:val="TableContents"/>
                              <w:bidi w:val="0"/>
                              <w:spacing w:before="0" w:after="283"/>
                              <w:jc w:val="left"/>
                              <w:rPr/>
                            </w:pPr>
                            <w:r>
                              <w:rPr/>
                              <w:t>●</w:t>
                            </w:r>
                          </w:p>
                        </w:tc>
                        <w:tc>
                          <w:tcPr>
                            <w:tcW w:w="4715" w:type="dxa"/>
                            <w:tcBorders/>
                            <w:vAlign w:val="center"/>
                          </w:tcPr>
                          <w:p>
                            <w:pPr>
                              <w:pStyle w:val="TableContents"/>
                              <w:bidi w:val="0"/>
                              <w:spacing w:before="0" w:after="283"/>
                              <w:jc w:val="left"/>
                              <w:rPr/>
                            </w:pPr>
                            <w:r>
                              <w:rPr/>
                              <w:t>Customer wins and operational accomplishments:</w:t>
                            </w:r>
                          </w:p>
                        </w:tc>
                      </w:tr>
                    </w:tbl>
                    <w:tbl>
                      <w:tblPr>
                        <w:tblW w:w="8050" w:type="dxa"/>
                        <w:jc w:val="left"/>
                        <w:tblInd w:w="0" w:type="dxa"/>
                        <w:tblLayout w:type="fixed"/>
                        <w:tblCellMar>
                          <w:top w:w="0" w:type="dxa"/>
                          <w:left w:w="0" w:type="dxa"/>
                          <w:bottom w:w="0" w:type="dxa"/>
                          <w:right w:w="0" w:type="dxa"/>
                        </w:tblCellMar>
                      </w:tblPr>
                      <w:tblGrid>
                        <w:gridCol w:w="135"/>
                        <w:gridCol w:w="140"/>
                        <w:gridCol w:w="7775"/>
                      </w:tblGrid>
                      <w:tr>
                        <w:trPr/>
                        <w:tc>
                          <w:tcPr>
                            <w:tcW w:w="13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775" w:type="dxa"/>
                            <w:tcBorders/>
                            <w:vAlign w:val="center"/>
                          </w:tcPr>
                          <w:p>
                            <w:pPr>
                              <w:pStyle w:val="TableContents"/>
                              <w:bidi w:val="0"/>
                              <w:spacing w:before="0" w:after="283"/>
                              <w:jc w:val="left"/>
                              <w:rPr/>
                            </w:pPr>
                            <w:r>
                              <w:rPr/>
                              <w:t>Doubled Advanced Medium-Range Air-to-Air Missile year-over-year production.</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319">
                <wp:simplePos x="0" y="0"/>
                <wp:positionH relativeFrom="column">
                  <wp:align>right</wp:align>
                </wp:positionH>
                <wp:positionV relativeFrom="line">
                  <wp:posOffset>635</wp:posOffset>
                </wp:positionV>
                <wp:extent cx="3110230" cy="2296160"/>
                <wp:effectExtent l="0" t="0" r="0" b="0"/>
                <wp:wrapSquare wrapText="left"/>
                <wp:docPr id="343" name="Frame62"/>
                <a:graphic xmlns:a="http://schemas.openxmlformats.org/drawingml/2006/main">
                  <a:graphicData uri="http://schemas.microsoft.com/office/word/2010/wordprocessingShape">
                    <wps:wsp>
                      <wps:cNvSpPr txBox="1"/>
                      <wps:spPr>
                        <a:xfrm>
                          <a:off x="0" y="0"/>
                          <a:ext cx="3110230" cy="2296160"/>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135"/>
                              <w:gridCol w:w="140"/>
                              <w:gridCol w:w="9930"/>
                            </w:tblGrid>
                            <w:tr>
                              <w:trPr/>
                              <w:tc>
                                <w:tcPr>
                                  <w:tcW w:w="13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930" w:type="dxa"/>
                                  <w:tcBorders/>
                                  <w:vAlign w:val="center"/>
                                </w:tcPr>
                                <w:p>
                                  <w:pPr>
                                    <w:pStyle w:val="TableContents"/>
                                    <w:bidi w:val="0"/>
                                    <w:spacing w:before="0" w:after="283"/>
                                    <w:jc w:val="left"/>
                                    <w:rPr/>
                                  </w:pPr>
                                  <w:r>
                                    <w:rPr/>
                                    <w:t>Proactively established munitions acceleration team to support customer priorities to notably increase production of key munitions.</w:t>
                                  </w:r>
                                </w:p>
                              </w:tc>
                            </w:tr>
                            <w:tr>
                              <w:trPr/>
                              <w:tc>
                                <w:tcPr>
                                  <w:tcW w:w="13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930" w:type="dxa"/>
                                  <w:tcBorders/>
                                  <w:vAlign w:val="center"/>
                                </w:tcPr>
                                <w:p>
                                  <w:pPr>
                                    <w:pStyle w:val="TableContents"/>
                                    <w:bidi w:val="0"/>
                                    <w:spacing w:before="0" w:after="283"/>
                                    <w:jc w:val="left"/>
                                    <w:rPr/>
                                  </w:pPr>
                                  <w:r>
                                    <w:rPr/>
                                    <w:t>Site capacity at Raytheon’s Redstone Missile Integration Facility in Huntsville, Alabama increased by 50%. </w:t>
                                  </w:r>
                                </w:p>
                              </w:tc>
                            </w:tr>
                            <w:tr>
                              <w:trPr/>
                              <w:tc>
                                <w:tcPr>
                                  <w:tcW w:w="13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930" w:type="dxa"/>
                                  <w:tcBorders/>
                                  <w:vAlign w:val="center"/>
                                </w:tcPr>
                                <w:p>
                                  <w:pPr>
                                    <w:pStyle w:val="TableContents"/>
                                    <w:bidi w:val="0"/>
                                    <w:spacing w:before="0" w:after="283"/>
                                    <w:jc w:val="left"/>
                                    <w:rPr/>
                                  </w:pPr>
                                  <w:r>
                                    <w:rPr/>
                                    <w:t>Transitioned Lower Tier Air and Missile Defense Sensor (LTAMDS) to production after achieving Milestone C. </w:t>
                                  </w:r>
                                </w:p>
                              </w:tc>
                            </w:tr>
                            <w:tr>
                              <w:trPr/>
                              <w:tc>
                                <w:tcPr>
                                  <w:tcW w:w="13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930" w:type="dxa"/>
                                  <w:tcBorders/>
                                  <w:vAlign w:val="center"/>
                                </w:tcPr>
                                <w:p>
                                  <w:pPr>
                                    <w:pStyle w:val="TableContents"/>
                                    <w:bidi w:val="0"/>
                                    <w:spacing w:before="0" w:after="283"/>
                                    <w:jc w:val="left"/>
                                    <w:rPr/>
                                  </w:pPr>
                                  <w:r>
                                    <w:rPr/>
                                    <w:t>Awarded $1.1 billion contract from the U.S. Navy to produce AIM-9X Block II missiles, which will increase production to 2,500 missiles per year.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180.8pt;mso-wrap-distance-left:0pt;mso-wrap-distance-right:0pt;mso-wrap-distance-top:0pt;mso-wrap-distance-bottom:0pt;margin-top:0pt;mso-position-vertical:top;mso-position-vertical-relative:text;margin-left:265.35pt;mso-position-horizontal:right;mso-position-horizontal-relative:text">
                <v:textbox>
                  <w:txbxContent>
                    <w:tbl>
                      <w:tblPr>
                        <w:tblW w:w="10205" w:type="dxa"/>
                        <w:jc w:val="left"/>
                        <w:tblInd w:w="0" w:type="dxa"/>
                        <w:tblLayout w:type="fixed"/>
                        <w:tblCellMar>
                          <w:top w:w="0" w:type="dxa"/>
                          <w:left w:w="0" w:type="dxa"/>
                          <w:bottom w:w="0" w:type="dxa"/>
                          <w:right w:w="0" w:type="dxa"/>
                        </w:tblCellMar>
                      </w:tblPr>
                      <w:tblGrid>
                        <w:gridCol w:w="135"/>
                        <w:gridCol w:w="140"/>
                        <w:gridCol w:w="9930"/>
                      </w:tblGrid>
                      <w:tr>
                        <w:trPr/>
                        <w:tc>
                          <w:tcPr>
                            <w:tcW w:w="13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930" w:type="dxa"/>
                            <w:tcBorders/>
                            <w:vAlign w:val="center"/>
                          </w:tcPr>
                          <w:p>
                            <w:pPr>
                              <w:pStyle w:val="TableContents"/>
                              <w:bidi w:val="0"/>
                              <w:spacing w:before="0" w:after="283"/>
                              <w:jc w:val="left"/>
                              <w:rPr/>
                            </w:pPr>
                            <w:r>
                              <w:rPr/>
                              <w:t>Proactively established munitions acceleration team to support customer priorities to notably increase production of key munitions.</w:t>
                            </w:r>
                          </w:p>
                        </w:tc>
                      </w:tr>
                      <w:tr>
                        <w:trPr/>
                        <w:tc>
                          <w:tcPr>
                            <w:tcW w:w="13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930" w:type="dxa"/>
                            <w:tcBorders/>
                            <w:vAlign w:val="center"/>
                          </w:tcPr>
                          <w:p>
                            <w:pPr>
                              <w:pStyle w:val="TableContents"/>
                              <w:bidi w:val="0"/>
                              <w:spacing w:before="0" w:after="283"/>
                              <w:jc w:val="left"/>
                              <w:rPr/>
                            </w:pPr>
                            <w:r>
                              <w:rPr/>
                              <w:t>Site capacity at Raytheon’s Redstone Missile Integration Facility in Huntsville, Alabama increased by 50%. </w:t>
                            </w:r>
                          </w:p>
                        </w:tc>
                      </w:tr>
                      <w:tr>
                        <w:trPr/>
                        <w:tc>
                          <w:tcPr>
                            <w:tcW w:w="13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930" w:type="dxa"/>
                            <w:tcBorders/>
                            <w:vAlign w:val="center"/>
                          </w:tcPr>
                          <w:p>
                            <w:pPr>
                              <w:pStyle w:val="TableContents"/>
                              <w:bidi w:val="0"/>
                              <w:spacing w:before="0" w:after="283"/>
                              <w:jc w:val="left"/>
                              <w:rPr/>
                            </w:pPr>
                            <w:r>
                              <w:rPr/>
                              <w:t>Transitioned Lower Tier Air and Missile Defense Sensor (LTAMDS) to production after achieving Milestone C. </w:t>
                            </w:r>
                          </w:p>
                        </w:tc>
                      </w:tr>
                      <w:tr>
                        <w:trPr/>
                        <w:tc>
                          <w:tcPr>
                            <w:tcW w:w="13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930" w:type="dxa"/>
                            <w:tcBorders/>
                            <w:vAlign w:val="center"/>
                          </w:tcPr>
                          <w:p>
                            <w:pPr>
                              <w:pStyle w:val="TableContents"/>
                              <w:bidi w:val="0"/>
                              <w:spacing w:before="0" w:after="283"/>
                              <w:jc w:val="left"/>
                              <w:rPr/>
                            </w:pPr>
                            <w:r>
                              <w:rPr/>
                              <w:t>Awarded $1.1 billion contract from the U.S. Navy to produce AIM-9X Block II missiles, which will increase production to 2,500 missiles per year. </w:t>
                            </w:r>
                          </w:p>
                        </w:tc>
                      </w:tr>
                    </w:tbl>
                    <w:p>
                      <w:pPr>
                        <w:pStyle w:val="TextBody"/>
                        <w:bidi w:val="0"/>
                        <w:spacing w:before="0" w:after="283"/>
                        <w:jc w:val="left"/>
                        <w:rPr/>
                      </w:pPr>
                      <w:r>
                        <w:rPr/>
                      </w:r>
                    </w:p>
                  </w:txbxContent>
                </v:textbox>
                <w10:wrap type="square" side="left"/>
              </v:rect>
            </w:pict>
          </mc:Fallback>
        </mc:AlternateContent>
      </w:r>
    </w:p>
    <w:tbl>
      <w:tblPr>
        <w:tblW w:w="4615" w:type="dxa"/>
        <w:jc w:val="left"/>
        <w:tblInd w:w="0" w:type="dxa"/>
        <w:tblLayout w:type="fixed"/>
        <w:tblCellMar>
          <w:top w:w="0" w:type="dxa"/>
          <w:left w:w="0" w:type="dxa"/>
          <w:bottom w:w="0" w:type="dxa"/>
          <w:right w:w="0" w:type="dxa"/>
        </w:tblCellMar>
      </w:tblPr>
      <w:tblGrid>
        <w:gridCol w:w="305"/>
        <w:gridCol w:w="4310"/>
      </w:tblGrid>
      <w:tr>
        <w:trPr/>
        <w:tc>
          <w:tcPr>
            <w:tcW w:w="305" w:type="dxa"/>
            <w:tcBorders/>
            <w:vAlign w:val="center"/>
          </w:tcPr>
          <w:p>
            <w:pPr>
              <w:pStyle w:val="TableContents"/>
              <w:bidi w:val="0"/>
              <w:spacing w:before="0" w:after="283"/>
              <w:jc w:val="left"/>
              <w:rPr/>
            </w:pPr>
            <w:r>
              <w:rPr/>
              <w:t>(1)</w:t>
            </w:r>
          </w:p>
        </w:tc>
        <w:tc>
          <w:tcPr>
            <w:tcW w:w="4310" w:type="dxa"/>
            <w:tcBorders/>
            <w:vAlign w:val="center"/>
          </w:tcPr>
          <w:p>
            <w:pPr>
              <w:pStyle w:val="TableContents"/>
              <w:bidi w:val="0"/>
              <w:spacing w:before="0" w:after="283"/>
              <w:jc w:val="left"/>
              <w:rPr/>
            </w:pPr>
            <w:r>
              <w:rPr/>
              <w:t>See Appendix A on pages 99-101 for details.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Arial;Helvetica;Sans-Serif" w:hAnsi="Arial;Helvetica;Sans-Serif"/>
          <w:b w:val="false"/>
          <w:i w:val="false"/>
          <w:caps w:val="false"/>
          <w:smallCaps w:val="false"/>
          <w:sz w:val="15"/>
        </w:rPr>
      </w:pPr>
      <w:r>
        <w:rPr>
          <w:rFonts w:ascii="Arial;Helvetica;Sans-Serif" w:hAnsi="Arial;Helvetica;Sans-Serif"/>
          <w:b/>
          <w:i w:val="false"/>
          <w:caps w:val="false"/>
          <w:smallCaps w:val="false"/>
          <w:sz w:val="15"/>
        </w:rPr>
        <w:t>RTX</w:t>
      </w:r>
      <w:r>
        <w:rPr>
          <w:rFonts w:ascii="Arial;Helvetica;Sans-Serif" w:hAnsi="Arial;Helvetica;Sans-Serif"/>
          <w:b w:val="false"/>
          <w:i w:val="false"/>
          <w:caps w:val="false"/>
          <w:smallCaps w:val="false"/>
          <w:sz w:val="15"/>
        </w:rPr>
        <w:t xml:space="preserve"> 2026 PROXY STATEMENT    </w:t>
      </w:r>
      <w:r>
        <w:rPr>
          <w:rFonts w:ascii="Arial;Helvetica;Sans-Serif" w:hAnsi="Arial;Helvetica;Sans-Serif"/>
          <w:b/>
          <w:i w:val="false"/>
          <w:caps w:val="false"/>
          <w:smallCaps w:val="false"/>
          <w:sz w:val="15"/>
        </w:rPr>
        <w:t>55</w:t>
      </w:r>
    </w:p>
    <w:p>
      <w:pPr>
        <w:pStyle w:val="HorizontalLine"/>
        <w:pBdr>
          <w:bottom w:val="double" w:sz="2" w:space="0" w:color="808080"/>
        </w:pBdr>
        <w:bidi w:val="0"/>
        <w:spacing w:before="0" w:after="283"/>
        <w:jc w:val="left"/>
        <w:rPr/>
      </w:pPr>
      <w:r>
        <w:rPr/>
      </w:r>
    </w:p>
    <w:p>
      <w:pPr>
        <w:pStyle w:val="TextBody"/>
        <w:bidi w:val="0"/>
        <w:spacing w:before="200" w:after="200"/>
        <w:jc w:val="left"/>
        <w:rPr/>
      </w:pPr>
      <w:hyperlink w:anchor="toc">
        <w:r>
          <w:rPr>
            <w:rStyle w:val="InternetLink"/>
            <w:rFonts w:ascii="Arial;Helvetica;Sans-Serif" w:hAnsi="Arial;Helvetica;Sans-Serif"/>
            <w:b/>
            <w:i w:val="false"/>
            <w:caps w:val="false"/>
            <w:smallCaps w:val="false"/>
            <w:sz w:val="16"/>
          </w:rPr>
          <w:t>Table of Contents</w:t>
        </w:r>
      </w:hyperlink>
    </w:p>
    <w:p>
      <w:pPr>
        <w:pStyle w:val="TextBody"/>
        <w:bidi w:val="0"/>
        <w:spacing w:before="0" w:after="0"/>
        <w:ind w:left="0" w:right="0" w:hanging="0"/>
        <w:jc w:val="left"/>
        <w:rPr>
          <w:rFonts w:ascii="Arial;Helvetica;Sans-Serif" w:hAnsi="Arial;Helvetica;Sans-Serif"/>
          <w:b/>
          <w:i w:val="false"/>
          <w:caps w:val="false"/>
          <w:smallCaps w:val="false"/>
          <w:color w:val="C12E33"/>
          <w:sz w:val="15"/>
        </w:rPr>
      </w:pPr>
      <w:r>
        <w:rPr>
          <w:rFonts w:ascii="Arial;Helvetica;Sans-Serif" w:hAnsi="Arial;Helvetica;Sans-Serif"/>
          <w:b/>
          <w:i w:val="false"/>
          <w:caps w:val="false"/>
          <w:smallCaps w:val="false"/>
          <w:color w:val="C12E33"/>
          <w:sz w:val="15"/>
        </w:rPr>
        <w:t>COMPENSATION DISCUSSION AND ANALYSIS</w:t>
      </w:r>
    </w:p>
    <w:p>
      <w:pPr>
        <w:pStyle w:val="TextBody"/>
        <w:bidi w:val="0"/>
        <w:spacing w:before="0" w:after="0"/>
        <w:ind w:left="0" w:right="0" w:hanging="0"/>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2025 PAY DECISIONS FOR OTHER NEOS</w:t>
      </w:r>
    </w:p>
    <w:p>
      <w:pPr>
        <w:pStyle w:val="TextBody"/>
        <w:bidi w:val="0"/>
        <w:spacing w:before="0" w:after="0"/>
        <w:ind w:left="0" w:right="0" w:hanging="0"/>
        <w:jc w:val="left"/>
        <w:rPr>
          <w:caps w:val="false"/>
          <w:smallCaps w:val="false"/>
        </w:rPr>
      </w:pPr>
      <w:r>
        <w:rPr>
          <w:caps w:val="false"/>
          <w:smallCaps w:val="false"/>
        </w:rPr>
        <w:t> </w:t>
      </w:r>
    </w:p>
    <w:tbl>
      <w:tblPr>
        <w:tblW w:w="5030" w:type="dxa"/>
        <w:jc w:val="left"/>
        <w:tblInd w:w="0" w:type="dxa"/>
        <w:tblLayout w:type="fixed"/>
        <w:tblCellMar>
          <w:top w:w="0" w:type="dxa"/>
          <w:left w:w="0" w:type="dxa"/>
          <w:bottom w:w="0" w:type="dxa"/>
          <w:right w:w="0" w:type="dxa"/>
        </w:tblCellMar>
      </w:tblPr>
      <w:tblGrid>
        <w:gridCol w:w="2705"/>
        <w:gridCol w:w="60"/>
        <w:gridCol w:w="2265"/>
      </w:tblGrid>
      <w:tr>
        <w:trPr/>
        <w:tc>
          <w:tcPr>
            <w:tcW w:w="2705" w:type="dxa"/>
            <w:tcBorders/>
            <w:vAlign w:val="center"/>
          </w:tcPr>
          <w:p>
            <w:pPr>
              <w:pStyle w:val="TableContents"/>
              <w:bidi w:val="0"/>
              <w:spacing w:before="120" w:after="0"/>
              <w:ind w:left="0" w:right="0" w:hanging="0"/>
              <w:jc w:val="left"/>
              <w:rPr>
                <w:b/>
                <w:sz w:val="30"/>
              </w:rPr>
            </w:pPr>
            <w:r>
              <w:rPr>
                <w:b/>
                <w:sz w:val="30"/>
              </w:rPr>
              <w:t>Shane G. Eddy</w:t>
            </w:r>
          </w:p>
          <w:p>
            <w:pPr>
              <w:pStyle w:val="TableContents"/>
              <w:bidi w:val="0"/>
              <w:spacing w:before="0" w:after="0"/>
              <w:ind w:left="0" w:right="0" w:hanging="0"/>
              <w:jc w:val="left"/>
              <w:rPr/>
            </w:pPr>
            <w:r>
              <w:rPr/>
              <w:t> </w:t>
            </w:r>
          </w:p>
          <w:p>
            <w:pPr>
              <w:pStyle w:val="TableContents"/>
              <w:bidi w:val="0"/>
              <w:spacing w:before="0" w:after="0"/>
              <w:ind w:left="0" w:right="0" w:hanging="0"/>
              <w:jc w:val="left"/>
              <w:rPr>
                <w:b/>
                <w:sz w:val="22"/>
              </w:rPr>
            </w:pPr>
            <w:r>
              <w:rPr>
                <w:b/>
                <w:sz w:val="22"/>
              </w:rPr>
              <w:t>President, Pratt &amp; Whitney</w:t>
            </w:r>
          </w:p>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sz w:val="15"/>
              </w:rPr>
              <w:t>AGE 61</w:t>
            </w:r>
            <w:r>
              <w:rPr/>
              <w:br/>
            </w:r>
            <w:r>
              <w:rPr>
                <w:sz w:val="15"/>
              </w:rPr>
              <w:t>RTX EXPERIENCE 16 YEARS</w:t>
            </w:r>
          </w:p>
        </w:tc>
        <w:tc>
          <w:tcPr>
            <w:tcW w:w="60" w:type="dxa"/>
            <w:tcBorders/>
            <w:vAlign w:val="center"/>
          </w:tcPr>
          <w:p>
            <w:pPr>
              <w:pStyle w:val="TableContents"/>
              <w:bidi w:val="0"/>
              <w:spacing w:before="0" w:after="283"/>
              <w:jc w:val="left"/>
              <w:rPr/>
            </w:pPr>
            <w:r>
              <w:rPr/>
              <w:t> </w:t>
            </w:r>
          </w:p>
        </w:tc>
        <w:tc>
          <w:tcPr>
            <w:tcW w:w="2265" w:type="dxa"/>
            <w:tcBorders/>
            <w:vAlign w:val="center"/>
          </w:tcPr>
          <w:p>
            <w:pPr>
              <w:pStyle w:val="TableContents"/>
              <w:bidi w:val="0"/>
              <w:spacing w:before="0" w:after="283"/>
              <w:jc w:val="right"/>
              <w:rPr/>
            </w:pPr>
            <w:r>
              <w:rPr/>
              <w:drawing>
                <wp:inline distT="0" distB="0" distL="0" distR="0">
                  <wp:extent cx="1428750" cy="3771900"/>
                  <wp:effectExtent l="0" t="0" r="0" b="0"/>
                  <wp:docPr id="344" name="Image2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4" name="Image229" descr=""/>
                          <pic:cNvPicPr>
                            <a:picLocks noChangeAspect="1" noChangeArrowheads="1"/>
                          </pic:cNvPicPr>
                        </pic:nvPicPr>
                        <pic:blipFill>
                          <a:blip r:embed="rId283"/>
                          <a:stretch>
                            <a:fillRect/>
                          </a:stretch>
                        </pic:blipFill>
                        <pic:spPr bwMode="auto">
                          <a:xfrm>
                            <a:off x="0" y="0"/>
                            <a:ext cx="1428750" cy="3771900"/>
                          </a:xfrm>
                          <a:prstGeom prst="rect">
                            <a:avLst/>
                          </a:prstGeom>
                        </pic:spPr>
                      </pic:pic>
                    </a:graphicData>
                  </a:graphic>
                </wp:inline>
              </w:drawing>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mc:AlternateContent>
          <mc:Choice Requires="wps">
            <w:drawing>
              <wp:anchor behindDoc="0" distT="0" distB="0" distL="0" distR="0" simplePos="0" locked="0" layoutInCell="1" allowOverlap="1" relativeHeight="98">
                <wp:simplePos x="0" y="0"/>
                <wp:positionH relativeFrom="column">
                  <wp:align>right</wp:align>
                </wp:positionH>
                <wp:positionV relativeFrom="line">
                  <wp:posOffset>635</wp:posOffset>
                </wp:positionV>
                <wp:extent cx="3110230" cy="6229350"/>
                <wp:effectExtent l="0" t="0" r="0" b="0"/>
                <wp:wrapSquare wrapText="left"/>
                <wp:docPr id="345" name="Frame64"/>
                <a:graphic xmlns:a="http://schemas.openxmlformats.org/drawingml/2006/main">
                  <a:graphicData uri="http://schemas.microsoft.com/office/word/2010/wordprocessingShape">
                    <wps:wsp>
                      <wps:cNvSpPr txBox="1"/>
                      <wps:spPr>
                        <a:xfrm>
                          <a:off x="0" y="0"/>
                          <a:ext cx="3110230" cy="6229350"/>
                        </a:xfrm>
                        <a:prstGeom prst="rect"/>
                        <a:solidFill>
                          <a:srgbClr val="FFFFFF"/>
                        </a:solidFill>
                      </wps:spPr>
                      <wps:txbx>
                        <w:txbxContent>
                          <w:p>
                            <w:pPr>
                              <w:pStyle w:val="TextBody"/>
                              <w:bidi w:val="0"/>
                              <w:spacing w:before="0" w:after="0"/>
                              <w:ind w:left="0" w:right="0" w:hanging="0"/>
                              <w:jc w:val="right"/>
                              <w:rPr>
                                <w:caps w:val="false"/>
                                <w:smallCaps w:val="false"/>
                              </w:rPr>
                            </w:pPr>
                            <w:r>
                              <w:rPr>
                                <w:caps w:val="false"/>
                                <w:smallCaps w:val="false"/>
                              </w:rPr>
                              <w:drawing>
                                <wp:inline distT="0" distB="0" distL="0" distR="0">
                                  <wp:extent cx="3810000" cy="6229350"/>
                                  <wp:effectExtent l="0" t="0" r="0" b="0"/>
                                  <wp:docPr id="346" name="Image2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6" name="Image230" descr=""/>
                                          <pic:cNvPicPr>
                                            <a:picLocks noChangeAspect="1" noChangeArrowheads="1"/>
                                          </pic:cNvPicPr>
                                        </pic:nvPicPr>
                                        <pic:blipFill>
                                          <a:blip r:embed="rId284"/>
                                          <a:stretch>
                                            <a:fillRect/>
                                          </a:stretch>
                                        </pic:blipFill>
                                        <pic:spPr bwMode="auto">
                                          <a:xfrm>
                                            <a:off x="0" y="0"/>
                                            <a:ext cx="3810000" cy="6229350"/>
                                          </a:xfrm>
                                          <a:prstGeom prst="rect">
                                            <a:avLst/>
                                          </a:prstGeom>
                                        </pic:spPr>
                                      </pic:pic>
                                    </a:graphicData>
                                  </a:graphic>
                                </wp:inline>
                              </w:drawing>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490.5pt;mso-wrap-distance-left:0pt;mso-wrap-distance-right:0pt;mso-wrap-distance-top:0pt;mso-wrap-distance-bottom:0pt;margin-top:0pt;mso-position-vertical:top;mso-position-vertical-relative:text;margin-left:265.35pt;mso-position-horizontal:right;mso-position-horizontal-relative:text">
                <v:textbox>
                  <w:txbxContent>
                    <w:p>
                      <w:pPr>
                        <w:pStyle w:val="TextBody"/>
                        <w:bidi w:val="0"/>
                        <w:spacing w:before="0" w:after="0"/>
                        <w:ind w:left="0" w:right="0" w:hanging="0"/>
                        <w:jc w:val="right"/>
                        <w:rPr>
                          <w:caps w:val="false"/>
                          <w:smallCaps w:val="false"/>
                        </w:rPr>
                      </w:pPr>
                      <w:r>
                        <w:rPr>
                          <w:caps w:val="false"/>
                          <w:smallCaps w:val="false"/>
                        </w:rPr>
                        <w:drawing>
                          <wp:inline distT="0" distB="0" distL="0" distR="0">
                            <wp:extent cx="3810000" cy="6229350"/>
                            <wp:effectExtent l="0" t="0" r="0" b="0"/>
                            <wp:docPr id="347" name="Image2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7" name="Image230" descr=""/>
                                    <pic:cNvPicPr>
                                      <a:picLocks noChangeAspect="1" noChangeArrowheads="1"/>
                                    </pic:cNvPicPr>
                                  </pic:nvPicPr>
                                  <pic:blipFill>
                                    <a:blip r:embed="rId285"/>
                                    <a:stretch>
                                      <a:fillRect/>
                                    </a:stretch>
                                  </pic:blipFill>
                                  <pic:spPr bwMode="auto">
                                    <a:xfrm>
                                      <a:off x="0" y="0"/>
                                      <a:ext cx="3810000" cy="6229350"/>
                                    </a:xfrm>
                                    <a:prstGeom prst="rect">
                                      <a:avLst/>
                                    </a:prstGeom>
                                  </pic:spPr>
                                </pic:pic>
                              </a:graphicData>
                            </a:graphic>
                          </wp:inline>
                        </w:drawing>
                      </w:r>
                    </w:p>
                  </w:txbxContent>
                </v:textbox>
                <w10:wrap type="square" side="left"/>
              </v:rect>
            </w:pict>
          </mc:Fallback>
        </mc:AlternateContent>
      </w:r>
      <w:r>
        <mc:AlternateContent>
          <mc:Choice Requires="wps">
            <w:drawing>
              <wp:anchor behindDoc="0" distT="0" distB="0" distL="0" distR="0" simplePos="0" locked="0" layoutInCell="1" allowOverlap="1" relativeHeight="320">
                <wp:simplePos x="0" y="0"/>
                <wp:positionH relativeFrom="column">
                  <wp:align>left</wp:align>
                </wp:positionH>
                <wp:positionV relativeFrom="line">
                  <wp:posOffset>635</wp:posOffset>
                </wp:positionV>
                <wp:extent cx="3110230" cy="2651760"/>
                <wp:effectExtent l="0" t="0" r="0" b="0"/>
                <wp:wrapSquare wrapText="right"/>
                <wp:docPr id="348" name="Frame63"/>
                <a:graphic xmlns:a="http://schemas.openxmlformats.org/drawingml/2006/main">
                  <a:graphicData uri="http://schemas.microsoft.com/office/word/2010/wordprocessingShape">
                    <wps:wsp>
                      <wps:cNvSpPr txBox="1"/>
                      <wps:spPr>
                        <a:xfrm>
                          <a:off x="0" y="0"/>
                          <a:ext cx="3110230" cy="2651760"/>
                        </a:xfrm>
                        <a:prstGeom prst="rect"/>
                        <a:solidFill>
                          <a:srgbClr val="FFFFFF"/>
                        </a:solidFill>
                      </wps:spPr>
                      <wps:txbx>
                        <w:txbxContent>
                          <w:tbl>
                            <w:tblPr>
                              <w:tblW w:w="2615" w:type="dxa"/>
                              <w:jc w:val="left"/>
                              <w:tblInd w:w="0" w:type="dxa"/>
                              <w:tblLayout w:type="fixed"/>
                              <w:tblCellMar>
                                <w:top w:w="0" w:type="dxa"/>
                                <w:left w:w="0" w:type="dxa"/>
                                <w:bottom w:w="28" w:type="dxa"/>
                                <w:right w:w="0" w:type="dxa"/>
                              </w:tblCellMar>
                            </w:tblPr>
                            <w:tblGrid>
                              <w:gridCol w:w="2615"/>
                            </w:tblGrid>
                            <w:tr>
                              <w:trPr/>
                              <w:tc>
                                <w:tcPr>
                                  <w:tcW w:w="2615" w:type="dxa"/>
                                  <w:tcBorders>
                                    <w:bottom w:val="single" w:sz="2" w:space="0" w:color="C12E33"/>
                                  </w:tcBorders>
                                  <w:vAlign w:val="center"/>
                                </w:tcPr>
                                <w:p>
                                  <w:pPr>
                                    <w:pStyle w:val="TableContents"/>
                                    <w:bidi w:val="0"/>
                                    <w:spacing w:before="0" w:after="283"/>
                                    <w:jc w:val="left"/>
                                    <w:rPr>
                                      <w:b/>
                                    </w:rPr>
                                  </w:pPr>
                                  <w:r>
                                    <w:rPr>
                                      <w:b/>
                                    </w:rPr>
                                    <w:t xml:space="preserve">Compensation Overview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 xml:space="preserve">Base Salary. </w:t>
                            </w:r>
                            <w:r>
                              <w:rPr>
                                <w:rFonts w:ascii="Arial;Helvetica;Sans-Serif" w:hAnsi="Arial;Helvetica;Sans-Serif"/>
                                <w:b w:val="false"/>
                                <w:i w:val="false"/>
                                <w:caps w:val="false"/>
                                <w:smallCaps w:val="false"/>
                                <w:sz w:val="20"/>
                              </w:rPr>
                              <w:t>Mr. Eddy received a base salary increase from $810,000 to $840,000 during 2025. Following this increase, Mr. Eddy’s base salary is slightly below the market median for his role.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 xml:space="preserve">Annual Incentive Award. </w:t>
                            </w:r>
                            <w:r>
                              <w:rPr>
                                <w:rFonts w:ascii="Arial;Helvetica;Sans-Serif" w:hAnsi="Arial;Helvetica;Sans-Serif"/>
                                <w:b w:val="false"/>
                                <w:i w:val="false"/>
                                <w:caps w:val="false"/>
                                <w:smallCaps w:val="false"/>
                                <w:sz w:val="20"/>
                              </w:rPr>
                              <w:t>The HCC Committee approved a performance factor of 146% of target for Pratt &amp; Whitney. The HCC Committee considered this factor, Mr. Eddy’s leadership of our Pratt &amp; Whitney business unit and the individual performance considerations noted here, and approved a $1.425 million award, an amount that is aligned with the Pratt &amp; Whitney performance factor.</w:t>
                            </w:r>
                          </w:p>
                          <w:p>
                            <w:pPr>
                              <w:pStyle w:val="TextBody"/>
                              <w:bidi w:val="0"/>
                              <w:spacing w:before="0" w:after="0"/>
                              <w:ind w:left="0" w:right="0" w:hanging="0"/>
                              <w:jc w:val="left"/>
                              <w:rPr>
                                <w:caps w:val="false"/>
                                <w:smallCaps w:val="false"/>
                              </w:rPr>
                            </w:pPr>
                            <w:r>
                              <w:rPr>
                                <w:caps w:val="false"/>
                                <w:smallCaps w:val="false"/>
                              </w:rPr>
                              <w:t>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208.8pt;mso-wrap-distance-left:0pt;mso-wrap-distance-right:0pt;mso-wrap-distance-top:0pt;mso-wrap-distance-bottom:0pt;margin-top:0pt;mso-position-vertical:top;mso-position-vertical-relative:text;margin-left:0pt;mso-position-horizontal:left;mso-position-horizontal-relative:text">
                <v:textbox>
                  <w:txbxContent>
                    <w:tbl>
                      <w:tblPr>
                        <w:tblW w:w="2615" w:type="dxa"/>
                        <w:jc w:val="left"/>
                        <w:tblInd w:w="0" w:type="dxa"/>
                        <w:tblLayout w:type="fixed"/>
                        <w:tblCellMar>
                          <w:top w:w="0" w:type="dxa"/>
                          <w:left w:w="0" w:type="dxa"/>
                          <w:bottom w:w="28" w:type="dxa"/>
                          <w:right w:w="0" w:type="dxa"/>
                        </w:tblCellMar>
                      </w:tblPr>
                      <w:tblGrid>
                        <w:gridCol w:w="2615"/>
                      </w:tblGrid>
                      <w:tr>
                        <w:trPr/>
                        <w:tc>
                          <w:tcPr>
                            <w:tcW w:w="2615" w:type="dxa"/>
                            <w:tcBorders>
                              <w:bottom w:val="single" w:sz="2" w:space="0" w:color="C12E33"/>
                            </w:tcBorders>
                            <w:vAlign w:val="center"/>
                          </w:tcPr>
                          <w:p>
                            <w:pPr>
                              <w:pStyle w:val="TableContents"/>
                              <w:bidi w:val="0"/>
                              <w:spacing w:before="0" w:after="283"/>
                              <w:jc w:val="left"/>
                              <w:rPr>
                                <w:b/>
                              </w:rPr>
                            </w:pPr>
                            <w:r>
                              <w:rPr>
                                <w:b/>
                              </w:rPr>
                              <w:t xml:space="preserve">Compensation Overview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 xml:space="preserve">Base Salary. </w:t>
                      </w:r>
                      <w:r>
                        <w:rPr>
                          <w:rFonts w:ascii="Arial;Helvetica;Sans-Serif" w:hAnsi="Arial;Helvetica;Sans-Serif"/>
                          <w:b w:val="false"/>
                          <w:i w:val="false"/>
                          <w:caps w:val="false"/>
                          <w:smallCaps w:val="false"/>
                          <w:sz w:val="20"/>
                        </w:rPr>
                        <w:t>Mr. Eddy received a base salary increase from $810,000 to $840,000 during 2025. Following this increase, Mr. Eddy’s base salary is slightly below the market median for his role.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 xml:space="preserve">Annual Incentive Award. </w:t>
                      </w:r>
                      <w:r>
                        <w:rPr>
                          <w:rFonts w:ascii="Arial;Helvetica;Sans-Serif" w:hAnsi="Arial;Helvetica;Sans-Serif"/>
                          <w:b w:val="false"/>
                          <w:i w:val="false"/>
                          <w:caps w:val="false"/>
                          <w:smallCaps w:val="false"/>
                          <w:sz w:val="20"/>
                        </w:rPr>
                        <w:t>The HCC Committee approved a performance factor of 146% of target for Pratt &amp; Whitney. The HCC Committee considered this factor, Mr. Eddy’s leadership of our Pratt &amp; Whitney business unit and the individual performance considerations noted here, and approved a $1.425 million award, an amount that is aligned with the Pratt &amp; Whitney performance factor.</w:t>
                      </w:r>
                    </w:p>
                    <w:p>
                      <w:pPr>
                        <w:pStyle w:val="TextBody"/>
                        <w:bidi w:val="0"/>
                        <w:spacing w:before="0" w:after="0"/>
                        <w:ind w:left="0" w:right="0" w:hanging="0"/>
                        <w:jc w:val="left"/>
                        <w:rPr>
                          <w:caps w:val="false"/>
                          <w:smallCaps w:val="false"/>
                        </w:rPr>
                      </w:pPr>
                      <w:r>
                        <w:rPr>
                          <w:caps w:val="false"/>
                          <w:smallCaps w:val="false"/>
                        </w:rPr>
                        <w:t> </w:t>
                      </w:r>
                    </w:p>
                  </w:txbxContent>
                </v:textbox>
                <w10:wrap type="square" side="right"/>
              </v:rect>
            </w:pict>
          </mc:Fallback>
        </mc:AlternateConten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 xml:space="preserve">LTI. </w:t>
      </w:r>
      <w:r>
        <w:rPr>
          <w:rFonts w:ascii="Arial;Helvetica;Sans-Serif" w:hAnsi="Arial;Helvetica;Sans-Serif"/>
          <w:b w:val="false"/>
          <w:i w:val="false"/>
          <w:caps w:val="false"/>
          <w:smallCaps w:val="false"/>
          <w:sz w:val="20"/>
        </w:rPr>
        <w:t>In consideration of Mr. Eddy’s 2025 performance, the HCC Committee approved a $4.50 million 2026 LTI award, an amount that is slightly above the market median for his role.</w:t>
      </w:r>
    </w:p>
    <w:p>
      <w:pPr>
        <w:pStyle w:val="TextBody"/>
        <w:bidi w:val="0"/>
        <w:spacing w:before="0" w:after="0"/>
        <w:ind w:left="0" w:right="0" w:hanging="0"/>
        <w:jc w:val="left"/>
        <w:rPr>
          <w:caps w:val="false"/>
          <w:smallCaps w:val="false"/>
        </w:rPr>
      </w:pPr>
      <w:r>
        <w:rPr>
          <w:caps w:val="false"/>
          <w:smallCaps w:val="false"/>
        </w:rPr>
        <w:t> </w:t>
      </w:r>
    </w:p>
    <w:tbl>
      <w:tblPr>
        <w:tblW w:w="3575" w:type="dxa"/>
        <w:jc w:val="left"/>
        <w:tblInd w:w="0" w:type="dxa"/>
        <w:tblLayout w:type="fixed"/>
        <w:tblCellMar>
          <w:top w:w="0" w:type="dxa"/>
          <w:left w:w="0" w:type="dxa"/>
          <w:bottom w:w="28" w:type="dxa"/>
          <w:right w:w="0" w:type="dxa"/>
        </w:tblCellMar>
      </w:tblPr>
      <w:tblGrid>
        <w:gridCol w:w="3575"/>
      </w:tblGrid>
      <w:tr>
        <w:trPr/>
        <w:tc>
          <w:tcPr>
            <w:tcW w:w="3575" w:type="dxa"/>
            <w:tcBorders>
              <w:bottom w:val="single" w:sz="2" w:space="0" w:color="C12E33"/>
            </w:tcBorders>
            <w:vAlign w:val="center"/>
          </w:tcPr>
          <w:p>
            <w:pPr>
              <w:pStyle w:val="TableContents"/>
              <w:bidi w:val="0"/>
              <w:spacing w:before="0" w:after="283"/>
              <w:jc w:val="left"/>
              <w:rPr>
                <w:b/>
              </w:rPr>
            </w:pPr>
            <w:r>
              <w:rPr>
                <w:b/>
              </w:rPr>
              <w:t>Individual Performance Highlights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Mr. Eddy exhibited strong leadership driving Pratt &amp; Whitney results, including:</w:t>
      </w:r>
    </w:p>
    <w:p>
      <w:pPr>
        <w:pStyle w:val="TextBody"/>
        <w:bidi w:val="0"/>
        <w:spacing w:before="0" w:after="0"/>
        <w:ind w:left="0" w:right="0" w:hanging="0"/>
        <w:jc w:val="left"/>
        <w:rPr>
          <w:caps w:val="false"/>
          <w:smallCaps w:val="false"/>
        </w:rPr>
      </w:pPr>
      <w:r>
        <w:rPr>
          <w:caps w:val="false"/>
          <w:smallCaps w:val="false"/>
        </w:rPr>
        <w:t> </w:t>
      </w:r>
      <w:r>
        <mc:AlternateContent>
          <mc:Choice Requires="wps">
            <w:drawing>
              <wp:anchor behindDoc="0" distT="0" distB="0" distL="0" distR="0" simplePos="0" locked="0" layoutInCell="1" allowOverlap="1" relativeHeight="321">
                <wp:simplePos x="0" y="0"/>
                <wp:positionH relativeFrom="column">
                  <wp:align>left</wp:align>
                </wp:positionH>
                <wp:positionV relativeFrom="line">
                  <wp:posOffset>635</wp:posOffset>
                </wp:positionV>
                <wp:extent cx="3110230" cy="3623945"/>
                <wp:effectExtent l="0" t="0" r="0" b="0"/>
                <wp:wrapSquare wrapText="right"/>
                <wp:docPr id="349" name="Frame65"/>
                <a:graphic xmlns:a="http://schemas.openxmlformats.org/drawingml/2006/main">
                  <a:graphicData uri="http://schemas.microsoft.com/office/word/2010/wordprocessingShape">
                    <wps:wsp>
                      <wps:cNvSpPr txBox="1"/>
                      <wps:spPr>
                        <a:xfrm>
                          <a:off x="0" y="0"/>
                          <a:ext cx="3110230" cy="3623945"/>
                        </a:xfrm>
                        <a:prstGeom prst="rect"/>
                        <a:solidFill>
                          <a:srgbClr val="FFFFFF"/>
                        </a:solidFill>
                      </wps:spPr>
                      <wps:txbx>
                        <w:txbxContent>
                          <w:tbl>
                            <w:tblPr>
                              <w:tblW w:w="3505" w:type="dxa"/>
                              <w:jc w:val="left"/>
                              <w:tblInd w:w="0" w:type="dxa"/>
                              <w:tblLayout w:type="fixed"/>
                              <w:tblCellMar>
                                <w:top w:w="0" w:type="dxa"/>
                                <w:left w:w="0" w:type="dxa"/>
                                <w:bottom w:w="0" w:type="dxa"/>
                                <w:right w:w="0" w:type="dxa"/>
                              </w:tblCellMar>
                            </w:tblPr>
                            <w:tblGrid>
                              <w:gridCol w:w="185"/>
                              <w:gridCol w:w="3320"/>
                            </w:tblGrid>
                            <w:tr>
                              <w:trPr/>
                              <w:tc>
                                <w:tcPr>
                                  <w:tcW w:w="185" w:type="dxa"/>
                                  <w:tcBorders/>
                                  <w:vAlign w:val="center"/>
                                </w:tcPr>
                                <w:p>
                                  <w:pPr>
                                    <w:pStyle w:val="TableContents"/>
                                    <w:bidi w:val="0"/>
                                    <w:spacing w:before="0" w:after="283"/>
                                    <w:jc w:val="left"/>
                                    <w:rPr/>
                                  </w:pPr>
                                  <w:r>
                                    <w:rPr/>
                                    <w:t>●</w:t>
                                  </w:r>
                                </w:p>
                              </w:tc>
                              <w:tc>
                                <w:tcPr>
                                  <w:tcW w:w="3320" w:type="dxa"/>
                                  <w:tcBorders/>
                                  <w:vAlign w:val="center"/>
                                </w:tcPr>
                                <w:p>
                                  <w:pPr>
                                    <w:pStyle w:val="TableContents"/>
                                    <w:bidi w:val="0"/>
                                    <w:spacing w:before="0" w:after="283"/>
                                    <w:jc w:val="left"/>
                                    <w:rPr/>
                                  </w:pPr>
                                  <w:r>
                                    <w:rPr/>
                                    <w:t>Significant financial achievements:</w:t>
                                  </w:r>
                                </w:p>
                              </w:tc>
                            </w:tr>
                          </w:tbl>
                          <w:tbl>
                            <w:tblPr>
                              <w:tblW w:w="9295" w:type="dxa"/>
                              <w:jc w:val="left"/>
                              <w:tblInd w:w="0" w:type="dxa"/>
                              <w:tblLayout w:type="fixed"/>
                              <w:tblCellMar>
                                <w:top w:w="0" w:type="dxa"/>
                                <w:left w:w="0" w:type="dxa"/>
                                <w:bottom w:w="0" w:type="dxa"/>
                                <w:right w:w="0" w:type="dxa"/>
                              </w:tblCellMar>
                            </w:tblPr>
                            <w:tblGrid>
                              <w:gridCol w:w="135"/>
                              <w:gridCol w:w="140"/>
                              <w:gridCol w:w="9020"/>
                            </w:tblGrid>
                            <w:tr>
                              <w:trPr/>
                              <w:tc>
                                <w:tcPr>
                                  <w:tcW w:w="13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020" w:type="dxa"/>
                                  <w:tcBorders/>
                                  <w:vAlign w:val="center"/>
                                </w:tcPr>
                                <w:p>
                                  <w:pPr>
                                    <w:pStyle w:val="TableContents"/>
                                    <w:bidi w:val="0"/>
                                    <w:spacing w:before="0" w:after="283"/>
                                    <w:jc w:val="left"/>
                                    <w:rPr/>
                                  </w:pPr>
                                  <w:r>
                                    <w:rPr/>
                                    <w:t>Net sales growth of 17.3% (GAAP and adjusted), which includes 17% organic sales growth.</w:t>
                                  </w:r>
                                  <w:r>
                                    <w:rPr>
                                      <w:position w:val="8"/>
                                      <w:sz w:val="19"/>
                                    </w:rPr>
                                    <w:t>(1)</w:t>
                                  </w:r>
                                </w:p>
                              </w:tc>
                            </w:tr>
                            <w:tr>
                              <w:trPr/>
                              <w:tc>
                                <w:tcPr>
                                  <w:tcW w:w="13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020" w:type="dxa"/>
                                  <w:tcBorders/>
                                  <w:vAlign w:val="center"/>
                                </w:tcPr>
                                <w:p>
                                  <w:pPr>
                                    <w:pStyle w:val="TableContents"/>
                                    <w:bidi w:val="0"/>
                                    <w:spacing w:before="0" w:after="283"/>
                                    <w:jc w:val="left"/>
                                    <w:rPr/>
                                  </w:pPr>
                                  <w:r>
                                    <w:rPr/>
                                    <w:t>Return on sales of 7.9% (GAAP) and 8.3% (adjusted).</w:t>
                                  </w:r>
                                  <w:r>
                                    <w:rPr>
                                      <w:position w:val="8"/>
                                      <w:sz w:val="19"/>
                                    </w:rPr>
                                    <w:t>(1)</w:t>
                                  </w:r>
                                </w:p>
                              </w:tc>
                            </w:tr>
                            <w:tr>
                              <w:trPr/>
                              <w:tc>
                                <w:tcPr>
                                  <w:tcW w:w="13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020" w:type="dxa"/>
                                  <w:tcBorders/>
                                  <w:vAlign w:val="center"/>
                                </w:tcPr>
                                <w:p>
                                  <w:pPr>
                                    <w:pStyle w:val="TableContents"/>
                                    <w:bidi w:val="0"/>
                                    <w:spacing w:before="0" w:after="283"/>
                                    <w:jc w:val="left"/>
                                    <w:rPr/>
                                  </w:pPr>
                                  <w:r>
                                    <w:rPr/>
                                    <w:t>Operating profit up 29% (GAAP) and 19% (adjusted).</w:t>
                                  </w:r>
                                  <w:r>
                                    <w:rPr>
                                      <w:position w:val="8"/>
                                      <w:sz w:val="19"/>
                                    </w:rPr>
                                    <w:t>(1)</w:t>
                                  </w:r>
                                </w:p>
                              </w:tc>
                            </w:tr>
                          </w:tbl>
                          <w:tbl>
                            <w:tblPr>
                              <w:tblW w:w="4960" w:type="dxa"/>
                              <w:jc w:val="left"/>
                              <w:tblInd w:w="0" w:type="dxa"/>
                              <w:tblLayout w:type="fixed"/>
                              <w:tblCellMar>
                                <w:top w:w="0" w:type="dxa"/>
                                <w:left w:w="0" w:type="dxa"/>
                                <w:bottom w:w="0" w:type="dxa"/>
                                <w:right w:w="0" w:type="dxa"/>
                              </w:tblCellMar>
                            </w:tblPr>
                            <w:tblGrid>
                              <w:gridCol w:w="185"/>
                              <w:gridCol w:w="4775"/>
                            </w:tblGrid>
                            <w:tr>
                              <w:trPr/>
                              <w:tc>
                                <w:tcPr>
                                  <w:tcW w:w="185" w:type="dxa"/>
                                  <w:tcBorders/>
                                  <w:vAlign w:val="center"/>
                                </w:tcPr>
                                <w:p>
                                  <w:pPr>
                                    <w:pStyle w:val="TableContents"/>
                                    <w:bidi w:val="0"/>
                                    <w:spacing w:before="0" w:after="283"/>
                                    <w:jc w:val="left"/>
                                    <w:rPr/>
                                  </w:pPr>
                                  <w:r>
                                    <w:rPr/>
                                    <w:t>●</w:t>
                                  </w:r>
                                </w:p>
                              </w:tc>
                              <w:tc>
                                <w:tcPr>
                                  <w:tcW w:w="4775" w:type="dxa"/>
                                  <w:tcBorders/>
                                  <w:vAlign w:val="center"/>
                                </w:tcPr>
                                <w:p>
                                  <w:pPr>
                                    <w:pStyle w:val="TableContents"/>
                                    <w:bidi w:val="0"/>
                                    <w:spacing w:before="0" w:after="283"/>
                                    <w:jc w:val="left"/>
                                    <w:rPr/>
                                  </w:pPr>
                                  <w:r>
                                    <w:rPr/>
                                    <w:t xml:space="preserve">Customer wins and operational accomplishments: </w:t>
                                  </w:r>
                                </w:p>
                              </w:tc>
                            </w:tr>
                          </w:tbl>
                          <w:tbl>
                            <w:tblPr>
                              <w:tblW w:w="10205" w:type="dxa"/>
                              <w:jc w:val="left"/>
                              <w:tblInd w:w="0" w:type="dxa"/>
                              <w:tblLayout w:type="fixed"/>
                              <w:tblCellMar>
                                <w:top w:w="0" w:type="dxa"/>
                                <w:left w:w="0" w:type="dxa"/>
                                <w:bottom w:w="0" w:type="dxa"/>
                                <w:right w:w="0" w:type="dxa"/>
                              </w:tblCellMar>
                            </w:tblPr>
                            <w:tblGrid>
                              <w:gridCol w:w="135"/>
                              <w:gridCol w:w="140"/>
                              <w:gridCol w:w="9930"/>
                            </w:tblGrid>
                            <w:tr>
                              <w:trPr/>
                              <w:tc>
                                <w:tcPr>
                                  <w:tcW w:w="13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930" w:type="dxa"/>
                                  <w:tcBorders/>
                                  <w:vAlign w:val="center"/>
                                </w:tcPr>
                                <w:p>
                                  <w:pPr>
                                    <w:pStyle w:val="TableContents"/>
                                    <w:bidi w:val="0"/>
                                    <w:spacing w:before="0" w:after="283"/>
                                    <w:jc w:val="left"/>
                                    <w:rPr/>
                                  </w:pPr>
                                  <w:r>
                                    <w:rPr/>
                                    <w:t>Improved RPW1100G-JM engine Maintenance, Repair &amp; Overall (“MRO”) output by 26% year-over year.</w:t>
                                  </w:r>
                                </w:p>
                              </w:tc>
                            </w:tr>
                            <w:tr>
                              <w:trPr/>
                              <w:tc>
                                <w:tcPr>
                                  <w:tcW w:w="13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930" w:type="dxa"/>
                                  <w:tcBorders/>
                                  <w:vAlign w:val="center"/>
                                </w:tcPr>
                                <w:p>
                                  <w:pPr>
                                    <w:pStyle w:val="TableContents"/>
                                    <w:bidi w:val="0"/>
                                    <w:spacing w:before="0" w:after="283"/>
                                    <w:jc w:val="left"/>
                                    <w:rPr/>
                                  </w:pPr>
                                  <w:r>
                                    <w:rPr/>
                                    <w:t>Increased output of critical parts, including doubling airfoil production at our Asheville, North Carolina, facility,</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285.35pt;mso-wrap-distance-left:0pt;mso-wrap-distance-right:0pt;mso-wrap-distance-top:0pt;mso-wrap-distance-bottom:0pt;margin-top:0pt;mso-position-vertical:top;mso-position-vertical-relative:text;margin-left:0pt;mso-position-horizontal:left;mso-position-horizontal-relative:text">
                <v:textbox>
                  <w:txbxContent>
                    <w:tbl>
                      <w:tblPr>
                        <w:tblW w:w="3505" w:type="dxa"/>
                        <w:jc w:val="left"/>
                        <w:tblInd w:w="0" w:type="dxa"/>
                        <w:tblLayout w:type="fixed"/>
                        <w:tblCellMar>
                          <w:top w:w="0" w:type="dxa"/>
                          <w:left w:w="0" w:type="dxa"/>
                          <w:bottom w:w="0" w:type="dxa"/>
                          <w:right w:w="0" w:type="dxa"/>
                        </w:tblCellMar>
                      </w:tblPr>
                      <w:tblGrid>
                        <w:gridCol w:w="185"/>
                        <w:gridCol w:w="3320"/>
                      </w:tblGrid>
                      <w:tr>
                        <w:trPr/>
                        <w:tc>
                          <w:tcPr>
                            <w:tcW w:w="185" w:type="dxa"/>
                            <w:tcBorders/>
                            <w:vAlign w:val="center"/>
                          </w:tcPr>
                          <w:p>
                            <w:pPr>
                              <w:pStyle w:val="TableContents"/>
                              <w:bidi w:val="0"/>
                              <w:spacing w:before="0" w:after="283"/>
                              <w:jc w:val="left"/>
                              <w:rPr/>
                            </w:pPr>
                            <w:r>
                              <w:rPr/>
                              <w:t>●</w:t>
                            </w:r>
                          </w:p>
                        </w:tc>
                        <w:tc>
                          <w:tcPr>
                            <w:tcW w:w="3320" w:type="dxa"/>
                            <w:tcBorders/>
                            <w:vAlign w:val="center"/>
                          </w:tcPr>
                          <w:p>
                            <w:pPr>
                              <w:pStyle w:val="TableContents"/>
                              <w:bidi w:val="0"/>
                              <w:spacing w:before="0" w:after="283"/>
                              <w:jc w:val="left"/>
                              <w:rPr/>
                            </w:pPr>
                            <w:r>
                              <w:rPr/>
                              <w:t>Significant financial achievements:</w:t>
                            </w:r>
                          </w:p>
                        </w:tc>
                      </w:tr>
                    </w:tbl>
                    <w:tbl>
                      <w:tblPr>
                        <w:tblW w:w="9295" w:type="dxa"/>
                        <w:jc w:val="left"/>
                        <w:tblInd w:w="0" w:type="dxa"/>
                        <w:tblLayout w:type="fixed"/>
                        <w:tblCellMar>
                          <w:top w:w="0" w:type="dxa"/>
                          <w:left w:w="0" w:type="dxa"/>
                          <w:bottom w:w="0" w:type="dxa"/>
                          <w:right w:w="0" w:type="dxa"/>
                        </w:tblCellMar>
                      </w:tblPr>
                      <w:tblGrid>
                        <w:gridCol w:w="135"/>
                        <w:gridCol w:w="140"/>
                        <w:gridCol w:w="9020"/>
                      </w:tblGrid>
                      <w:tr>
                        <w:trPr/>
                        <w:tc>
                          <w:tcPr>
                            <w:tcW w:w="13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020" w:type="dxa"/>
                            <w:tcBorders/>
                            <w:vAlign w:val="center"/>
                          </w:tcPr>
                          <w:p>
                            <w:pPr>
                              <w:pStyle w:val="TableContents"/>
                              <w:bidi w:val="0"/>
                              <w:spacing w:before="0" w:after="283"/>
                              <w:jc w:val="left"/>
                              <w:rPr/>
                            </w:pPr>
                            <w:r>
                              <w:rPr/>
                              <w:t>Net sales growth of 17.3% (GAAP and adjusted), which includes 17% organic sales growth.</w:t>
                            </w:r>
                            <w:r>
                              <w:rPr>
                                <w:position w:val="8"/>
                                <w:sz w:val="19"/>
                              </w:rPr>
                              <w:t>(1)</w:t>
                            </w:r>
                          </w:p>
                        </w:tc>
                      </w:tr>
                      <w:tr>
                        <w:trPr/>
                        <w:tc>
                          <w:tcPr>
                            <w:tcW w:w="13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020" w:type="dxa"/>
                            <w:tcBorders/>
                            <w:vAlign w:val="center"/>
                          </w:tcPr>
                          <w:p>
                            <w:pPr>
                              <w:pStyle w:val="TableContents"/>
                              <w:bidi w:val="0"/>
                              <w:spacing w:before="0" w:after="283"/>
                              <w:jc w:val="left"/>
                              <w:rPr/>
                            </w:pPr>
                            <w:r>
                              <w:rPr/>
                              <w:t>Return on sales of 7.9% (GAAP) and 8.3% (adjusted).</w:t>
                            </w:r>
                            <w:r>
                              <w:rPr>
                                <w:position w:val="8"/>
                                <w:sz w:val="19"/>
                              </w:rPr>
                              <w:t>(1)</w:t>
                            </w:r>
                          </w:p>
                        </w:tc>
                      </w:tr>
                      <w:tr>
                        <w:trPr/>
                        <w:tc>
                          <w:tcPr>
                            <w:tcW w:w="13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020" w:type="dxa"/>
                            <w:tcBorders/>
                            <w:vAlign w:val="center"/>
                          </w:tcPr>
                          <w:p>
                            <w:pPr>
                              <w:pStyle w:val="TableContents"/>
                              <w:bidi w:val="0"/>
                              <w:spacing w:before="0" w:after="283"/>
                              <w:jc w:val="left"/>
                              <w:rPr/>
                            </w:pPr>
                            <w:r>
                              <w:rPr/>
                              <w:t>Operating profit up 29% (GAAP) and 19% (adjusted).</w:t>
                            </w:r>
                            <w:r>
                              <w:rPr>
                                <w:position w:val="8"/>
                                <w:sz w:val="19"/>
                              </w:rPr>
                              <w:t>(1)</w:t>
                            </w:r>
                          </w:p>
                        </w:tc>
                      </w:tr>
                    </w:tbl>
                    <w:tbl>
                      <w:tblPr>
                        <w:tblW w:w="4960" w:type="dxa"/>
                        <w:jc w:val="left"/>
                        <w:tblInd w:w="0" w:type="dxa"/>
                        <w:tblLayout w:type="fixed"/>
                        <w:tblCellMar>
                          <w:top w:w="0" w:type="dxa"/>
                          <w:left w:w="0" w:type="dxa"/>
                          <w:bottom w:w="0" w:type="dxa"/>
                          <w:right w:w="0" w:type="dxa"/>
                        </w:tblCellMar>
                      </w:tblPr>
                      <w:tblGrid>
                        <w:gridCol w:w="185"/>
                        <w:gridCol w:w="4775"/>
                      </w:tblGrid>
                      <w:tr>
                        <w:trPr/>
                        <w:tc>
                          <w:tcPr>
                            <w:tcW w:w="185" w:type="dxa"/>
                            <w:tcBorders/>
                            <w:vAlign w:val="center"/>
                          </w:tcPr>
                          <w:p>
                            <w:pPr>
                              <w:pStyle w:val="TableContents"/>
                              <w:bidi w:val="0"/>
                              <w:spacing w:before="0" w:after="283"/>
                              <w:jc w:val="left"/>
                              <w:rPr/>
                            </w:pPr>
                            <w:r>
                              <w:rPr/>
                              <w:t>●</w:t>
                            </w:r>
                          </w:p>
                        </w:tc>
                        <w:tc>
                          <w:tcPr>
                            <w:tcW w:w="4775" w:type="dxa"/>
                            <w:tcBorders/>
                            <w:vAlign w:val="center"/>
                          </w:tcPr>
                          <w:p>
                            <w:pPr>
                              <w:pStyle w:val="TableContents"/>
                              <w:bidi w:val="0"/>
                              <w:spacing w:before="0" w:after="283"/>
                              <w:jc w:val="left"/>
                              <w:rPr/>
                            </w:pPr>
                            <w:r>
                              <w:rPr/>
                              <w:t xml:space="preserve">Customer wins and operational accomplishments: </w:t>
                            </w:r>
                          </w:p>
                        </w:tc>
                      </w:tr>
                    </w:tbl>
                    <w:tbl>
                      <w:tblPr>
                        <w:tblW w:w="10205" w:type="dxa"/>
                        <w:jc w:val="left"/>
                        <w:tblInd w:w="0" w:type="dxa"/>
                        <w:tblLayout w:type="fixed"/>
                        <w:tblCellMar>
                          <w:top w:w="0" w:type="dxa"/>
                          <w:left w:w="0" w:type="dxa"/>
                          <w:bottom w:w="0" w:type="dxa"/>
                          <w:right w:w="0" w:type="dxa"/>
                        </w:tblCellMar>
                      </w:tblPr>
                      <w:tblGrid>
                        <w:gridCol w:w="135"/>
                        <w:gridCol w:w="140"/>
                        <w:gridCol w:w="9930"/>
                      </w:tblGrid>
                      <w:tr>
                        <w:trPr/>
                        <w:tc>
                          <w:tcPr>
                            <w:tcW w:w="13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930" w:type="dxa"/>
                            <w:tcBorders/>
                            <w:vAlign w:val="center"/>
                          </w:tcPr>
                          <w:p>
                            <w:pPr>
                              <w:pStyle w:val="TableContents"/>
                              <w:bidi w:val="0"/>
                              <w:spacing w:before="0" w:after="283"/>
                              <w:jc w:val="left"/>
                              <w:rPr/>
                            </w:pPr>
                            <w:r>
                              <w:rPr/>
                              <w:t>Improved RPW1100G-JM engine Maintenance, Repair &amp; Overall (“MRO”) output by 26% year-over year.</w:t>
                            </w:r>
                          </w:p>
                        </w:tc>
                      </w:tr>
                      <w:tr>
                        <w:trPr/>
                        <w:tc>
                          <w:tcPr>
                            <w:tcW w:w="13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930" w:type="dxa"/>
                            <w:tcBorders/>
                            <w:vAlign w:val="center"/>
                          </w:tcPr>
                          <w:p>
                            <w:pPr>
                              <w:pStyle w:val="TableContents"/>
                              <w:bidi w:val="0"/>
                              <w:spacing w:before="0" w:after="283"/>
                              <w:jc w:val="left"/>
                              <w:rPr/>
                            </w:pPr>
                            <w:r>
                              <w:rPr/>
                              <w:t>Increased output of critical parts, including doubling airfoil production at our Asheville, North Carolina, facility,</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322">
                <wp:simplePos x="0" y="0"/>
                <wp:positionH relativeFrom="column">
                  <wp:align>right</wp:align>
                </wp:positionH>
                <wp:positionV relativeFrom="line">
                  <wp:posOffset>635</wp:posOffset>
                </wp:positionV>
                <wp:extent cx="3110230" cy="1945640"/>
                <wp:effectExtent l="0" t="0" r="0" b="0"/>
                <wp:wrapSquare wrapText="left"/>
                <wp:docPr id="350" name="Frame66"/>
                <a:graphic xmlns:a="http://schemas.openxmlformats.org/drawingml/2006/main">
                  <a:graphicData uri="http://schemas.microsoft.com/office/word/2010/wordprocessingShape">
                    <wps:wsp>
                      <wps:cNvSpPr txBox="1"/>
                      <wps:spPr>
                        <a:xfrm>
                          <a:off x="0" y="0"/>
                          <a:ext cx="3110230" cy="1945640"/>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135"/>
                              <w:gridCol w:w="140"/>
                              <w:gridCol w:w="9930"/>
                            </w:tblGrid>
                            <w:tr>
                              <w:trPr/>
                              <w:tc>
                                <w:tcPr>
                                  <w:tcW w:w="13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930" w:type="dxa"/>
                                  <w:tcBorders/>
                                  <w:vAlign w:val="center"/>
                                </w:tcPr>
                                <w:p>
                                  <w:pPr>
                                    <w:pStyle w:val="TableContents"/>
                                    <w:bidi w:val="0"/>
                                    <w:spacing w:before="0" w:after="283"/>
                                    <w:jc w:val="left"/>
                                    <w:rPr/>
                                  </w:pPr>
                                  <w:r>
                                    <w:rPr/>
                                    <w:t>and increasing Isothermal Forging output by 13% from 2024 to 2025.</w:t>
                                  </w:r>
                                </w:p>
                              </w:tc>
                            </w:tr>
                            <w:tr>
                              <w:trPr/>
                              <w:tc>
                                <w:tcPr>
                                  <w:tcW w:w="13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930" w:type="dxa"/>
                                  <w:tcBorders/>
                                  <w:vAlign w:val="center"/>
                                </w:tcPr>
                                <w:p>
                                  <w:pPr>
                                    <w:pStyle w:val="TableContents"/>
                                    <w:bidi w:val="0"/>
                                    <w:spacing w:before="0" w:after="283"/>
                                    <w:jc w:val="left"/>
                                    <w:rPr/>
                                  </w:pPr>
                                  <w:r>
                                    <w:rPr/>
                                    <w:t>Achieved Federal Aviation Administration (“FAA”) and European Aviation Safety Agency (“EASA”) engine certification for the GTF Advantage engine.</w:t>
                                  </w:r>
                                </w:p>
                              </w:tc>
                            </w:tr>
                            <w:tr>
                              <w:trPr/>
                              <w:tc>
                                <w:tcPr>
                                  <w:tcW w:w="13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930" w:type="dxa"/>
                                  <w:tcBorders/>
                                  <w:vAlign w:val="center"/>
                                </w:tcPr>
                                <w:p>
                                  <w:pPr>
                                    <w:pStyle w:val="TableContents"/>
                                    <w:bidi w:val="0"/>
                                    <w:spacing w:before="0" w:after="283"/>
                                    <w:jc w:val="left"/>
                                    <w:rPr/>
                                  </w:pPr>
                                  <w:r>
                                    <w:rPr/>
                                    <w:t>Received EASA certification for the first GTF-powered A321XLR to enter into service.</w:t>
                                  </w:r>
                                </w:p>
                              </w:tc>
                            </w:tr>
                            <w:tr>
                              <w:trPr/>
                              <w:tc>
                                <w:tcPr>
                                  <w:tcW w:w="13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930" w:type="dxa"/>
                                  <w:tcBorders/>
                                  <w:vAlign w:val="center"/>
                                </w:tcPr>
                                <w:p>
                                  <w:pPr>
                                    <w:pStyle w:val="TableContents"/>
                                    <w:bidi w:val="0"/>
                                    <w:spacing w:before="0" w:after="283"/>
                                    <w:jc w:val="left"/>
                                    <w:rPr/>
                                  </w:pPr>
                                  <w:r>
                                    <w:rPr/>
                                    <w:t>Achieved $5.3 billion in F135 engine orders, including $2.9 billion for F135 production contracts and $2.4 billion for F135 sustainment contracts.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153.2pt;mso-wrap-distance-left:0pt;mso-wrap-distance-right:0pt;mso-wrap-distance-top:0pt;mso-wrap-distance-bottom:0pt;margin-top:0pt;mso-position-vertical:top;mso-position-vertical-relative:text;margin-left:20.4pt;mso-position-horizontal:right;mso-position-horizontal-relative:text">
                <v:textbox>
                  <w:txbxContent>
                    <w:tbl>
                      <w:tblPr>
                        <w:tblW w:w="10205" w:type="dxa"/>
                        <w:jc w:val="left"/>
                        <w:tblInd w:w="0" w:type="dxa"/>
                        <w:tblLayout w:type="fixed"/>
                        <w:tblCellMar>
                          <w:top w:w="0" w:type="dxa"/>
                          <w:left w:w="0" w:type="dxa"/>
                          <w:bottom w:w="0" w:type="dxa"/>
                          <w:right w:w="0" w:type="dxa"/>
                        </w:tblCellMar>
                      </w:tblPr>
                      <w:tblGrid>
                        <w:gridCol w:w="135"/>
                        <w:gridCol w:w="140"/>
                        <w:gridCol w:w="9930"/>
                      </w:tblGrid>
                      <w:tr>
                        <w:trPr/>
                        <w:tc>
                          <w:tcPr>
                            <w:tcW w:w="13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930" w:type="dxa"/>
                            <w:tcBorders/>
                            <w:vAlign w:val="center"/>
                          </w:tcPr>
                          <w:p>
                            <w:pPr>
                              <w:pStyle w:val="TableContents"/>
                              <w:bidi w:val="0"/>
                              <w:spacing w:before="0" w:after="283"/>
                              <w:jc w:val="left"/>
                              <w:rPr/>
                            </w:pPr>
                            <w:r>
                              <w:rPr/>
                              <w:t>and increasing Isothermal Forging output by 13% from 2024 to 2025.</w:t>
                            </w:r>
                          </w:p>
                        </w:tc>
                      </w:tr>
                      <w:tr>
                        <w:trPr/>
                        <w:tc>
                          <w:tcPr>
                            <w:tcW w:w="13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930" w:type="dxa"/>
                            <w:tcBorders/>
                            <w:vAlign w:val="center"/>
                          </w:tcPr>
                          <w:p>
                            <w:pPr>
                              <w:pStyle w:val="TableContents"/>
                              <w:bidi w:val="0"/>
                              <w:spacing w:before="0" w:after="283"/>
                              <w:jc w:val="left"/>
                              <w:rPr/>
                            </w:pPr>
                            <w:r>
                              <w:rPr/>
                              <w:t>Achieved Federal Aviation Administration (“FAA”) and European Aviation Safety Agency (“EASA”) engine certification for the GTF Advantage engine.</w:t>
                            </w:r>
                          </w:p>
                        </w:tc>
                      </w:tr>
                      <w:tr>
                        <w:trPr/>
                        <w:tc>
                          <w:tcPr>
                            <w:tcW w:w="13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930" w:type="dxa"/>
                            <w:tcBorders/>
                            <w:vAlign w:val="center"/>
                          </w:tcPr>
                          <w:p>
                            <w:pPr>
                              <w:pStyle w:val="TableContents"/>
                              <w:bidi w:val="0"/>
                              <w:spacing w:before="0" w:after="283"/>
                              <w:jc w:val="left"/>
                              <w:rPr/>
                            </w:pPr>
                            <w:r>
                              <w:rPr/>
                              <w:t>Received EASA certification for the first GTF-powered A321XLR to enter into service.</w:t>
                            </w:r>
                          </w:p>
                        </w:tc>
                      </w:tr>
                      <w:tr>
                        <w:trPr/>
                        <w:tc>
                          <w:tcPr>
                            <w:tcW w:w="13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930" w:type="dxa"/>
                            <w:tcBorders/>
                            <w:vAlign w:val="center"/>
                          </w:tcPr>
                          <w:p>
                            <w:pPr>
                              <w:pStyle w:val="TableContents"/>
                              <w:bidi w:val="0"/>
                              <w:spacing w:before="0" w:after="283"/>
                              <w:jc w:val="left"/>
                              <w:rPr/>
                            </w:pPr>
                            <w:r>
                              <w:rPr/>
                              <w:t>Achieved $5.3 billion in F135 engine orders, including $2.9 billion for F135 production contracts and $2.4 billion for F135 sustainment contracts. </w:t>
                            </w:r>
                          </w:p>
                        </w:tc>
                      </w:tr>
                    </w:tbl>
                    <w:p>
                      <w:pPr>
                        <w:pStyle w:val="TextBody"/>
                        <w:bidi w:val="0"/>
                        <w:spacing w:before="0" w:after="283"/>
                        <w:jc w:val="left"/>
                        <w:rPr/>
                      </w:pPr>
                      <w:r>
                        <w:rPr/>
                      </w:r>
                    </w:p>
                  </w:txbxContent>
                </v:textbox>
                <w10:wrap type="square" side="left"/>
              </v:rect>
            </w:pict>
          </mc:Fallback>
        </mc:AlternateContent>
      </w:r>
    </w:p>
    <w:tbl>
      <w:tblPr>
        <w:tblW w:w="4615" w:type="dxa"/>
        <w:jc w:val="left"/>
        <w:tblInd w:w="0" w:type="dxa"/>
        <w:tblLayout w:type="fixed"/>
        <w:tblCellMar>
          <w:top w:w="0" w:type="dxa"/>
          <w:left w:w="0" w:type="dxa"/>
          <w:bottom w:w="0" w:type="dxa"/>
          <w:right w:w="0" w:type="dxa"/>
        </w:tblCellMar>
      </w:tblPr>
      <w:tblGrid>
        <w:gridCol w:w="305"/>
        <w:gridCol w:w="4310"/>
      </w:tblGrid>
      <w:tr>
        <w:trPr/>
        <w:tc>
          <w:tcPr>
            <w:tcW w:w="305" w:type="dxa"/>
            <w:tcBorders/>
            <w:vAlign w:val="center"/>
          </w:tcPr>
          <w:p>
            <w:pPr>
              <w:pStyle w:val="TableContents"/>
              <w:bidi w:val="0"/>
              <w:spacing w:before="0" w:after="283"/>
              <w:jc w:val="left"/>
              <w:rPr/>
            </w:pPr>
            <w:r>
              <w:rPr/>
              <w:t>(1)</w:t>
            </w:r>
          </w:p>
        </w:tc>
        <w:tc>
          <w:tcPr>
            <w:tcW w:w="4310" w:type="dxa"/>
            <w:tcBorders/>
            <w:vAlign w:val="center"/>
          </w:tcPr>
          <w:p>
            <w:pPr>
              <w:pStyle w:val="TableContents"/>
              <w:bidi w:val="0"/>
              <w:spacing w:before="0" w:after="283"/>
              <w:jc w:val="left"/>
              <w:rPr/>
            </w:pPr>
            <w:r>
              <w:rPr/>
              <w:t>See Appendix A on pages 99-101 for details.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15"/>
        </w:rPr>
      </w:pPr>
      <w:r>
        <w:rPr>
          <w:rFonts w:ascii="Arial;Helvetica;Sans-Serif" w:hAnsi="Arial;Helvetica;Sans-Serif"/>
          <w:b/>
          <w:i w:val="false"/>
          <w:caps w:val="false"/>
          <w:smallCaps w:val="false"/>
          <w:sz w:val="15"/>
        </w:rPr>
        <w:t>56    RTX</w:t>
      </w:r>
      <w:r>
        <w:rPr>
          <w:rFonts w:ascii="Arial;Helvetica;Sans-Serif" w:hAnsi="Arial;Helvetica;Sans-Serif"/>
          <w:b w:val="false"/>
          <w:i w:val="false"/>
          <w:caps w:val="false"/>
          <w:smallCaps w:val="false"/>
          <w:sz w:val="15"/>
        </w:rPr>
        <w:t xml:space="preserve"> 2026 PROXY STATEMENT</w:t>
      </w:r>
    </w:p>
    <w:p>
      <w:pPr>
        <w:pStyle w:val="HorizontalLine"/>
        <w:pBdr>
          <w:bottom w:val="double" w:sz="2" w:space="0" w:color="808080"/>
        </w:pBdr>
        <w:bidi w:val="0"/>
        <w:spacing w:before="0" w:after="283"/>
        <w:jc w:val="left"/>
        <w:rPr/>
      </w:pPr>
      <w:r>
        <w:rPr/>
      </w:r>
    </w:p>
    <w:p>
      <w:pPr>
        <w:pStyle w:val="TextBody"/>
        <w:bidi w:val="0"/>
        <w:spacing w:before="200" w:after="200"/>
        <w:jc w:val="left"/>
        <w:rPr/>
      </w:pPr>
      <w:hyperlink w:anchor="toc">
        <w:r>
          <w:rPr>
            <w:rStyle w:val="InternetLink"/>
            <w:rFonts w:ascii="Arial;Helvetica;Sans-Serif" w:hAnsi="Arial;Helvetica;Sans-Serif"/>
            <w:b/>
            <w:i w:val="false"/>
            <w:caps w:val="false"/>
            <w:smallCaps w:val="false"/>
            <w:sz w:val="16"/>
          </w:rPr>
          <w:t>Table of Contents</w:t>
        </w:r>
      </w:hyperlink>
    </w:p>
    <w:p>
      <w:pPr>
        <w:pStyle w:val="TextBody"/>
        <w:bidi w:val="0"/>
        <w:spacing w:before="0" w:after="0"/>
        <w:ind w:left="0" w:right="0" w:hanging="0"/>
        <w:jc w:val="right"/>
        <w:rPr>
          <w:rFonts w:ascii="Arial;Helvetica;Sans-Serif" w:hAnsi="Arial;Helvetica;Sans-Serif"/>
          <w:b/>
          <w:i w:val="false"/>
          <w:caps w:val="false"/>
          <w:smallCaps w:val="false"/>
          <w:color w:val="C12E33"/>
          <w:sz w:val="15"/>
        </w:rPr>
      </w:pPr>
      <w:r>
        <w:rPr>
          <w:rFonts w:ascii="Arial;Helvetica;Sans-Serif" w:hAnsi="Arial;Helvetica;Sans-Serif"/>
          <w:b/>
          <w:i w:val="false"/>
          <w:caps w:val="false"/>
          <w:smallCaps w:val="false"/>
          <w:color w:val="C12E33"/>
          <w:sz w:val="15"/>
        </w:rPr>
        <w:t>COMPENSATION DISCUSSION AND ANALYSIS</w:t>
      </w:r>
    </w:p>
    <w:p>
      <w:pPr>
        <w:pStyle w:val="TextBody"/>
        <w:bidi w:val="0"/>
        <w:spacing w:before="0" w:after="0"/>
        <w:ind w:left="0" w:right="0" w:hanging="0"/>
        <w:jc w:val="righ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2025 PAY DECISIONS FOR OTHER NEOS</w:t>
      </w:r>
    </w:p>
    <w:p>
      <w:pPr>
        <w:pStyle w:val="TextBody"/>
        <w:bidi w:val="0"/>
        <w:spacing w:before="0" w:after="0"/>
        <w:ind w:left="0" w:right="0" w:hanging="0"/>
        <w:jc w:val="left"/>
        <w:rPr>
          <w:caps w:val="false"/>
          <w:smallCaps w:val="false"/>
        </w:rPr>
      </w:pPr>
      <w:r>
        <w:rPr>
          <w:caps w:val="false"/>
          <w:smallCaps w:val="false"/>
        </w:rPr>
        <w:t> </w:t>
      </w:r>
    </w:p>
    <w:tbl>
      <w:tblPr>
        <w:tblW w:w="5615" w:type="dxa"/>
        <w:jc w:val="left"/>
        <w:tblInd w:w="0" w:type="dxa"/>
        <w:tblLayout w:type="fixed"/>
        <w:tblCellMar>
          <w:top w:w="0" w:type="dxa"/>
          <w:left w:w="0" w:type="dxa"/>
          <w:bottom w:w="0" w:type="dxa"/>
          <w:right w:w="0" w:type="dxa"/>
        </w:tblCellMar>
      </w:tblPr>
      <w:tblGrid>
        <w:gridCol w:w="2840"/>
        <w:gridCol w:w="60"/>
        <w:gridCol w:w="2715"/>
      </w:tblGrid>
      <w:tr>
        <w:trPr/>
        <w:tc>
          <w:tcPr>
            <w:tcW w:w="2840" w:type="dxa"/>
            <w:tcBorders/>
            <w:vAlign w:val="center"/>
          </w:tcPr>
          <w:p>
            <w:pPr>
              <w:pStyle w:val="TableContents"/>
              <w:bidi w:val="0"/>
              <w:spacing w:before="120" w:after="0"/>
              <w:ind w:left="0" w:right="0" w:hanging="0"/>
              <w:jc w:val="left"/>
              <w:rPr>
                <w:b/>
                <w:sz w:val="30"/>
              </w:rPr>
            </w:pPr>
            <w:r>
              <w:rPr>
                <w:b/>
                <w:sz w:val="30"/>
              </w:rPr>
              <w:t>Troy D. Brunk</w:t>
            </w:r>
          </w:p>
          <w:p>
            <w:pPr>
              <w:pStyle w:val="TableContents"/>
              <w:bidi w:val="0"/>
              <w:spacing w:before="0" w:after="0"/>
              <w:ind w:left="0" w:right="0" w:hanging="0"/>
              <w:jc w:val="left"/>
              <w:rPr/>
            </w:pPr>
            <w:r>
              <w:rPr/>
              <w:t> </w:t>
            </w:r>
          </w:p>
          <w:p>
            <w:pPr>
              <w:pStyle w:val="TableContents"/>
              <w:bidi w:val="0"/>
              <w:spacing w:before="0" w:after="0"/>
              <w:ind w:left="0" w:right="0" w:hanging="0"/>
              <w:jc w:val="left"/>
              <w:rPr>
                <w:b/>
                <w:sz w:val="22"/>
              </w:rPr>
            </w:pPr>
            <w:r>
              <w:rPr>
                <w:b/>
                <w:sz w:val="22"/>
              </w:rPr>
              <w:t>President, Collins Aerospace</w:t>
            </w:r>
          </w:p>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sz w:val="15"/>
              </w:rPr>
              <w:t>AGE 56</w:t>
            </w:r>
            <w:r>
              <w:rPr/>
              <w:br/>
            </w:r>
            <w:r>
              <w:rPr>
                <w:sz w:val="15"/>
              </w:rPr>
              <w:t>RTX EXPERIENCE 34 YEARS</w:t>
            </w:r>
          </w:p>
        </w:tc>
        <w:tc>
          <w:tcPr>
            <w:tcW w:w="60" w:type="dxa"/>
            <w:tcBorders/>
            <w:vAlign w:val="center"/>
          </w:tcPr>
          <w:p>
            <w:pPr>
              <w:pStyle w:val="TableContents"/>
              <w:bidi w:val="0"/>
              <w:spacing w:before="0" w:after="283"/>
              <w:jc w:val="left"/>
              <w:rPr/>
            </w:pPr>
            <w:r>
              <w:rPr/>
              <w:t> </w:t>
            </w:r>
          </w:p>
        </w:tc>
        <w:tc>
          <w:tcPr>
            <w:tcW w:w="2715" w:type="dxa"/>
            <w:tcBorders/>
            <w:vAlign w:val="center"/>
          </w:tcPr>
          <w:p>
            <w:pPr>
              <w:pStyle w:val="TableContents"/>
              <w:bidi w:val="0"/>
              <w:spacing w:before="0" w:after="283"/>
              <w:jc w:val="right"/>
              <w:rPr/>
            </w:pPr>
            <w:r>
              <w:rPr/>
              <w:drawing>
                <wp:inline distT="0" distB="0" distL="0" distR="0">
                  <wp:extent cx="1714500" cy="3676650"/>
                  <wp:effectExtent l="0" t="0" r="0" b="0"/>
                  <wp:docPr id="351" name="Image2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1" name="Image231" descr=""/>
                          <pic:cNvPicPr>
                            <a:picLocks noChangeAspect="1" noChangeArrowheads="1"/>
                          </pic:cNvPicPr>
                        </pic:nvPicPr>
                        <pic:blipFill>
                          <a:blip r:embed="rId286"/>
                          <a:stretch>
                            <a:fillRect/>
                          </a:stretch>
                        </pic:blipFill>
                        <pic:spPr bwMode="auto">
                          <a:xfrm>
                            <a:off x="0" y="0"/>
                            <a:ext cx="1714500" cy="3676650"/>
                          </a:xfrm>
                          <a:prstGeom prst="rect">
                            <a:avLst/>
                          </a:prstGeom>
                        </pic:spPr>
                      </pic:pic>
                    </a:graphicData>
                  </a:graphic>
                </wp:inline>
              </w:drawing>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 xml:space="preserve">LTI. </w:t>
      </w:r>
      <w:r>
        <w:rPr>
          <w:rFonts w:ascii="Arial;Helvetica;Sans-Serif" w:hAnsi="Arial;Helvetica;Sans-Serif"/>
          <w:b w:val="false"/>
          <w:i w:val="false"/>
          <w:caps w:val="false"/>
          <w:smallCaps w:val="false"/>
          <w:sz w:val="20"/>
        </w:rPr>
        <w:t>In February 2026, Mr. Brunk was awarded a $4.50 million 2026 LTI award, an amount that is slightly above the market median for his role.</w:t>
      </w:r>
      <w:r>
        <mc:AlternateContent>
          <mc:Choice Requires="wps">
            <w:drawing>
              <wp:anchor behindDoc="0" distT="0" distB="0" distL="0" distR="0" simplePos="0" locked="0" layoutInCell="1" allowOverlap="1" relativeHeight="101">
                <wp:simplePos x="0" y="0"/>
                <wp:positionH relativeFrom="column">
                  <wp:align>right</wp:align>
                </wp:positionH>
                <wp:positionV relativeFrom="line">
                  <wp:posOffset>635</wp:posOffset>
                </wp:positionV>
                <wp:extent cx="3110230" cy="6210300"/>
                <wp:effectExtent l="0" t="0" r="0" b="0"/>
                <wp:wrapSquare wrapText="left"/>
                <wp:docPr id="352" name="Frame68"/>
                <a:graphic xmlns:a="http://schemas.openxmlformats.org/drawingml/2006/main">
                  <a:graphicData uri="http://schemas.microsoft.com/office/word/2010/wordprocessingShape">
                    <wps:wsp>
                      <wps:cNvSpPr txBox="1"/>
                      <wps:spPr>
                        <a:xfrm>
                          <a:off x="0" y="0"/>
                          <a:ext cx="3110230" cy="6210300"/>
                        </a:xfrm>
                        <a:prstGeom prst="rect"/>
                        <a:solidFill>
                          <a:srgbClr val="FFFFFF"/>
                        </a:solidFill>
                      </wps:spPr>
                      <wps:txbx>
                        <w:txbxContent>
                          <w:p>
                            <w:pPr>
                              <w:pStyle w:val="TextBody"/>
                              <w:bidi w:val="0"/>
                              <w:spacing w:before="0" w:after="200"/>
                              <w:ind w:left="0" w:right="0" w:hanging="0"/>
                              <w:jc w:val="right"/>
                              <w:rPr>
                                <w:caps w:val="false"/>
                                <w:smallCaps w:val="false"/>
                              </w:rPr>
                            </w:pPr>
                            <w:r>
                              <w:rPr>
                                <w:caps w:val="false"/>
                                <w:smallCaps w:val="false"/>
                              </w:rPr>
                              <w:drawing>
                                <wp:inline distT="0" distB="0" distL="0" distR="0">
                                  <wp:extent cx="3810000" cy="6210300"/>
                                  <wp:effectExtent l="0" t="0" r="0" b="0"/>
                                  <wp:docPr id="353" name="Image2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3" name="Image232" descr=""/>
                                          <pic:cNvPicPr>
                                            <a:picLocks noChangeAspect="1" noChangeArrowheads="1"/>
                                          </pic:cNvPicPr>
                                        </pic:nvPicPr>
                                        <pic:blipFill>
                                          <a:blip r:embed="rId287"/>
                                          <a:stretch>
                                            <a:fillRect/>
                                          </a:stretch>
                                        </pic:blipFill>
                                        <pic:spPr bwMode="auto">
                                          <a:xfrm>
                                            <a:off x="0" y="0"/>
                                            <a:ext cx="3810000" cy="6210300"/>
                                          </a:xfrm>
                                          <a:prstGeom prst="rect">
                                            <a:avLst/>
                                          </a:prstGeom>
                                        </pic:spPr>
                                      </pic:pic>
                                    </a:graphicData>
                                  </a:graphic>
                                </wp:inline>
                              </w:drawing>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489pt;mso-wrap-distance-left:0pt;mso-wrap-distance-right:0pt;mso-wrap-distance-top:0pt;mso-wrap-distance-bottom:0pt;margin-top:0pt;mso-position-vertical:top;mso-position-vertical-relative:text;margin-left:265.35pt;mso-position-horizontal:right;mso-position-horizontal-relative:text">
                <v:textbox>
                  <w:txbxContent>
                    <w:p>
                      <w:pPr>
                        <w:pStyle w:val="TextBody"/>
                        <w:bidi w:val="0"/>
                        <w:spacing w:before="0" w:after="200"/>
                        <w:ind w:left="0" w:right="0" w:hanging="0"/>
                        <w:jc w:val="right"/>
                        <w:rPr>
                          <w:caps w:val="false"/>
                          <w:smallCaps w:val="false"/>
                        </w:rPr>
                      </w:pPr>
                      <w:r>
                        <w:rPr>
                          <w:caps w:val="false"/>
                          <w:smallCaps w:val="false"/>
                        </w:rPr>
                        <w:drawing>
                          <wp:inline distT="0" distB="0" distL="0" distR="0">
                            <wp:extent cx="3810000" cy="6210300"/>
                            <wp:effectExtent l="0" t="0" r="0" b="0"/>
                            <wp:docPr id="354" name="Image2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4" name="Image232" descr=""/>
                                    <pic:cNvPicPr>
                                      <a:picLocks noChangeAspect="1" noChangeArrowheads="1"/>
                                    </pic:cNvPicPr>
                                  </pic:nvPicPr>
                                  <pic:blipFill>
                                    <a:blip r:embed="rId288"/>
                                    <a:stretch>
                                      <a:fillRect/>
                                    </a:stretch>
                                  </pic:blipFill>
                                  <pic:spPr bwMode="auto">
                                    <a:xfrm>
                                      <a:off x="0" y="0"/>
                                      <a:ext cx="3810000" cy="6210300"/>
                                    </a:xfrm>
                                    <a:prstGeom prst="rect">
                                      <a:avLst/>
                                    </a:prstGeom>
                                  </pic:spPr>
                                </pic:pic>
                              </a:graphicData>
                            </a:graphic>
                          </wp:inline>
                        </w:drawing>
                      </w:r>
                    </w:p>
                  </w:txbxContent>
                </v:textbox>
                <w10:wrap type="square" side="left"/>
              </v:rect>
            </w:pict>
          </mc:Fallback>
        </mc:AlternateContent>
      </w:r>
      <w:r>
        <mc:AlternateContent>
          <mc:Choice Requires="wps">
            <w:drawing>
              <wp:anchor behindDoc="0" distT="0" distB="0" distL="0" distR="0" simplePos="0" locked="0" layoutInCell="1" allowOverlap="1" relativeHeight="323">
                <wp:simplePos x="0" y="0"/>
                <wp:positionH relativeFrom="column">
                  <wp:align>left</wp:align>
                </wp:positionH>
                <wp:positionV relativeFrom="line">
                  <wp:posOffset>635</wp:posOffset>
                </wp:positionV>
                <wp:extent cx="3110230" cy="2505710"/>
                <wp:effectExtent l="0" t="0" r="0" b="0"/>
                <wp:wrapSquare wrapText="right"/>
                <wp:docPr id="355" name="Frame67"/>
                <a:graphic xmlns:a="http://schemas.openxmlformats.org/drawingml/2006/main">
                  <a:graphicData uri="http://schemas.microsoft.com/office/word/2010/wordprocessingShape">
                    <wps:wsp>
                      <wps:cNvSpPr txBox="1"/>
                      <wps:spPr>
                        <a:xfrm>
                          <a:off x="0" y="0"/>
                          <a:ext cx="3110230" cy="2505710"/>
                        </a:xfrm>
                        <a:prstGeom prst="rect"/>
                        <a:solidFill>
                          <a:srgbClr val="FFFFFF"/>
                        </a:solidFill>
                      </wps:spPr>
                      <wps:txbx>
                        <w:txbxContent>
                          <w:tbl>
                            <w:tblPr>
                              <w:tblW w:w="2615" w:type="dxa"/>
                              <w:jc w:val="left"/>
                              <w:tblInd w:w="0" w:type="dxa"/>
                              <w:tblLayout w:type="fixed"/>
                              <w:tblCellMar>
                                <w:top w:w="0" w:type="dxa"/>
                                <w:left w:w="0" w:type="dxa"/>
                                <w:bottom w:w="28" w:type="dxa"/>
                                <w:right w:w="0" w:type="dxa"/>
                              </w:tblCellMar>
                            </w:tblPr>
                            <w:tblGrid>
                              <w:gridCol w:w="2615"/>
                            </w:tblGrid>
                            <w:tr>
                              <w:trPr/>
                              <w:tc>
                                <w:tcPr>
                                  <w:tcW w:w="2615" w:type="dxa"/>
                                  <w:tcBorders>
                                    <w:bottom w:val="single" w:sz="2" w:space="0" w:color="C12E33"/>
                                  </w:tcBorders>
                                  <w:vAlign w:val="center"/>
                                </w:tcPr>
                                <w:p>
                                  <w:pPr>
                                    <w:pStyle w:val="TableContents"/>
                                    <w:bidi w:val="0"/>
                                    <w:spacing w:before="0" w:after="283"/>
                                    <w:jc w:val="left"/>
                                    <w:rPr>
                                      <w:b/>
                                    </w:rPr>
                                  </w:pPr>
                                  <w:r>
                                    <w:rPr>
                                      <w:b/>
                                    </w:rPr>
                                    <w:t xml:space="preserve">Compensation Overview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 xml:space="preserve">Base Salary. </w:t>
                            </w:r>
                            <w:r>
                              <w:rPr>
                                <w:rFonts w:ascii="Arial;Helvetica;Sans-Serif" w:hAnsi="Arial;Helvetica;Sans-Serif"/>
                                <w:b w:val="false"/>
                                <w:i w:val="false"/>
                                <w:caps w:val="false"/>
                                <w:smallCaps w:val="false"/>
                                <w:sz w:val="20"/>
                              </w:rPr>
                              <w:t>Mr. Brunk received a base salary increase from $750,000 to $790,000 in 2025. Following the adjustment, Mr. Brunk’s base salary is below the market median for his role.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 xml:space="preserve">Annual Incentive Award. </w:t>
                            </w:r>
                            <w:r>
                              <w:rPr>
                                <w:rFonts w:ascii="Arial;Helvetica;Sans-Serif" w:hAnsi="Arial;Helvetica;Sans-Serif"/>
                                <w:b w:val="false"/>
                                <w:i w:val="false"/>
                                <w:caps w:val="false"/>
                                <w:smallCaps w:val="false"/>
                                <w:sz w:val="20"/>
                              </w:rPr>
                              <w:t>The HCC Committee approved a performance factor of 143% of target for Collins Aerospace. The HCC Committee considered this factor, Mr. Brunk’s leadership of Collins Aerospace and the individual performance considerations noted here, and approved a $1.32 million award. This amount aligns with the Collins Aerospace performance factor.</w:t>
                            </w:r>
                          </w:p>
                          <w:p>
                            <w:pPr>
                              <w:pStyle w:val="TextBody"/>
                              <w:bidi w:val="0"/>
                              <w:spacing w:before="0" w:after="0"/>
                              <w:ind w:left="0" w:right="0" w:hanging="0"/>
                              <w:jc w:val="left"/>
                              <w:rPr>
                                <w:caps w:val="false"/>
                                <w:smallCaps w:val="false"/>
                              </w:rPr>
                            </w:pPr>
                            <w:r>
                              <w:rPr>
                                <w:caps w:val="false"/>
                                <w:smallCaps w:val="false"/>
                              </w:rPr>
                              <w:t>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197.3pt;mso-wrap-distance-left:0pt;mso-wrap-distance-right:0pt;mso-wrap-distance-top:0pt;mso-wrap-distance-bottom:0pt;margin-top:0pt;mso-position-vertical:top;mso-position-vertical-relative:text;margin-left:0pt;mso-position-horizontal:left;mso-position-horizontal-relative:text">
                <v:textbox>
                  <w:txbxContent>
                    <w:tbl>
                      <w:tblPr>
                        <w:tblW w:w="2615" w:type="dxa"/>
                        <w:jc w:val="left"/>
                        <w:tblInd w:w="0" w:type="dxa"/>
                        <w:tblLayout w:type="fixed"/>
                        <w:tblCellMar>
                          <w:top w:w="0" w:type="dxa"/>
                          <w:left w:w="0" w:type="dxa"/>
                          <w:bottom w:w="28" w:type="dxa"/>
                          <w:right w:w="0" w:type="dxa"/>
                        </w:tblCellMar>
                      </w:tblPr>
                      <w:tblGrid>
                        <w:gridCol w:w="2615"/>
                      </w:tblGrid>
                      <w:tr>
                        <w:trPr/>
                        <w:tc>
                          <w:tcPr>
                            <w:tcW w:w="2615" w:type="dxa"/>
                            <w:tcBorders>
                              <w:bottom w:val="single" w:sz="2" w:space="0" w:color="C12E33"/>
                            </w:tcBorders>
                            <w:vAlign w:val="center"/>
                          </w:tcPr>
                          <w:p>
                            <w:pPr>
                              <w:pStyle w:val="TableContents"/>
                              <w:bidi w:val="0"/>
                              <w:spacing w:before="0" w:after="283"/>
                              <w:jc w:val="left"/>
                              <w:rPr>
                                <w:b/>
                              </w:rPr>
                            </w:pPr>
                            <w:r>
                              <w:rPr>
                                <w:b/>
                              </w:rPr>
                              <w:t xml:space="preserve">Compensation Overview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 xml:space="preserve">Base Salary. </w:t>
                      </w:r>
                      <w:r>
                        <w:rPr>
                          <w:rFonts w:ascii="Arial;Helvetica;Sans-Serif" w:hAnsi="Arial;Helvetica;Sans-Serif"/>
                          <w:b w:val="false"/>
                          <w:i w:val="false"/>
                          <w:caps w:val="false"/>
                          <w:smallCaps w:val="false"/>
                          <w:sz w:val="20"/>
                        </w:rPr>
                        <w:t>Mr. Brunk received a base salary increase from $750,000 to $790,000 in 2025. Following the adjustment, Mr. Brunk’s base salary is below the market median for his role.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 xml:space="preserve">Annual Incentive Award. </w:t>
                      </w:r>
                      <w:r>
                        <w:rPr>
                          <w:rFonts w:ascii="Arial;Helvetica;Sans-Serif" w:hAnsi="Arial;Helvetica;Sans-Serif"/>
                          <w:b w:val="false"/>
                          <w:i w:val="false"/>
                          <w:caps w:val="false"/>
                          <w:smallCaps w:val="false"/>
                          <w:sz w:val="20"/>
                        </w:rPr>
                        <w:t>The HCC Committee approved a performance factor of 143% of target for Collins Aerospace. The HCC Committee considered this factor, Mr. Brunk’s leadership of Collins Aerospace and the individual performance considerations noted here, and approved a $1.32 million award. This amount aligns with the Collins Aerospace performance factor.</w:t>
                      </w:r>
                    </w:p>
                    <w:p>
                      <w:pPr>
                        <w:pStyle w:val="TextBody"/>
                        <w:bidi w:val="0"/>
                        <w:spacing w:before="0" w:after="0"/>
                        <w:ind w:left="0" w:right="0" w:hanging="0"/>
                        <w:jc w:val="left"/>
                        <w:rPr>
                          <w:caps w:val="false"/>
                          <w:smallCaps w:val="false"/>
                        </w:rPr>
                      </w:pPr>
                      <w:r>
                        <w:rPr>
                          <w:caps w:val="false"/>
                          <w:smallCaps w:val="false"/>
                        </w:rPr>
                        <w:t> </w:t>
                      </w:r>
                    </w:p>
                  </w:txbxContent>
                </v:textbox>
                <w10:wrap type="square" side="right"/>
              </v:rect>
            </w:pict>
          </mc:Fallback>
        </mc:AlternateContent>
      </w:r>
    </w:p>
    <w:p>
      <w:pPr>
        <w:pStyle w:val="TextBody"/>
        <w:bidi w:val="0"/>
        <w:spacing w:before="0" w:after="0"/>
        <w:ind w:left="0" w:right="0" w:hanging="0"/>
        <w:jc w:val="left"/>
        <w:rPr>
          <w:caps w:val="false"/>
          <w:smallCaps w:val="false"/>
        </w:rPr>
      </w:pPr>
      <w:r>
        <w:rPr>
          <w:caps w:val="false"/>
          <w:smallCaps w:val="false"/>
        </w:rPr>
        <w:t> </w:t>
      </w:r>
    </w:p>
    <w:tbl>
      <w:tblPr>
        <w:tblW w:w="3575" w:type="dxa"/>
        <w:jc w:val="left"/>
        <w:tblInd w:w="0" w:type="dxa"/>
        <w:tblLayout w:type="fixed"/>
        <w:tblCellMar>
          <w:top w:w="0" w:type="dxa"/>
          <w:left w:w="0" w:type="dxa"/>
          <w:bottom w:w="28" w:type="dxa"/>
          <w:right w:w="0" w:type="dxa"/>
        </w:tblCellMar>
      </w:tblPr>
      <w:tblGrid>
        <w:gridCol w:w="3575"/>
      </w:tblGrid>
      <w:tr>
        <w:trPr/>
        <w:tc>
          <w:tcPr>
            <w:tcW w:w="3575" w:type="dxa"/>
            <w:tcBorders>
              <w:bottom w:val="single" w:sz="2" w:space="0" w:color="C12E33"/>
            </w:tcBorders>
            <w:vAlign w:val="center"/>
          </w:tcPr>
          <w:p>
            <w:pPr>
              <w:pStyle w:val="TableContents"/>
              <w:bidi w:val="0"/>
              <w:spacing w:before="0" w:after="283"/>
              <w:jc w:val="left"/>
              <w:rPr>
                <w:b/>
              </w:rPr>
            </w:pPr>
            <w:r>
              <w:rPr>
                <w:b/>
              </w:rPr>
              <w:t>Individual Performance Highlights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Mr. Brunk exhibited strong leadership driving Collins Aerospace results, including:</w:t>
      </w:r>
    </w:p>
    <w:p>
      <w:pPr>
        <w:pStyle w:val="TextBody"/>
        <w:bidi w:val="0"/>
        <w:spacing w:before="0" w:after="0"/>
        <w:ind w:left="0" w:right="0" w:hanging="0"/>
        <w:jc w:val="left"/>
        <w:rPr>
          <w:caps w:val="false"/>
          <w:smallCaps w:val="false"/>
        </w:rPr>
      </w:pPr>
      <w:r>
        <w:rPr>
          <w:caps w:val="false"/>
          <w:smallCaps w:val="false"/>
        </w:rPr>
        <w:t> </w:t>
      </w:r>
      <w:r>
        <mc:AlternateContent>
          <mc:Choice Requires="wps">
            <w:drawing>
              <wp:anchor behindDoc="0" distT="0" distB="0" distL="0" distR="0" simplePos="0" locked="0" layoutInCell="1" allowOverlap="1" relativeHeight="324">
                <wp:simplePos x="0" y="0"/>
                <wp:positionH relativeFrom="column">
                  <wp:align>left</wp:align>
                </wp:positionH>
                <wp:positionV relativeFrom="line">
                  <wp:posOffset>635</wp:posOffset>
                </wp:positionV>
                <wp:extent cx="3110230" cy="3093720"/>
                <wp:effectExtent l="0" t="0" r="0" b="0"/>
                <wp:wrapSquare wrapText="right"/>
                <wp:docPr id="356" name="Frame69"/>
                <a:graphic xmlns:a="http://schemas.openxmlformats.org/drawingml/2006/main">
                  <a:graphicData uri="http://schemas.microsoft.com/office/word/2010/wordprocessingShape">
                    <wps:wsp>
                      <wps:cNvSpPr txBox="1"/>
                      <wps:spPr>
                        <a:xfrm>
                          <a:off x="0" y="0"/>
                          <a:ext cx="3110230" cy="3093720"/>
                        </a:xfrm>
                        <a:prstGeom prst="rect"/>
                        <a:solidFill>
                          <a:srgbClr val="FFFFFF"/>
                        </a:solidFill>
                      </wps:spPr>
                      <wps:txbx>
                        <w:txbxContent>
                          <w:tbl>
                            <w:tblPr>
                              <w:tblW w:w="3505" w:type="dxa"/>
                              <w:jc w:val="left"/>
                              <w:tblInd w:w="0" w:type="dxa"/>
                              <w:tblLayout w:type="fixed"/>
                              <w:tblCellMar>
                                <w:top w:w="0" w:type="dxa"/>
                                <w:left w:w="0" w:type="dxa"/>
                                <w:bottom w:w="0" w:type="dxa"/>
                                <w:right w:w="0" w:type="dxa"/>
                              </w:tblCellMar>
                            </w:tblPr>
                            <w:tblGrid>
                              <w:gridCol w:w="185"/>
                              <w:gridCol w:w="3320"/>
                            </w:tblGrid>
                            <w:tr>
                              <w:trPr/>
                              <w:tc>
                                <w:tcPr>
                                  <w:tcW w:w="185" w:type="dxa"/>
                                  <w:tcBorders/>
                                  <w:vAlign w:val="center"/>
                                </w:tcPr>
                                <w:p>
                                  <w:pPr>
                                    <w:pStyle w:val="TableContents"/>
                                    <w:bidi w:val="0"/>
                                    <w:spacing w:before="0" w:after="283"/>
                                    <w:jc w:val="left"/>
                                    <w:rPr/>
                                  </w:pPr>
                                  <w:r>
                                    <w:rPr/>
                                    <w:t>●</w:t>
                                  </w:r>
                                </w:p>
                              </w:tc>
                              <w:tc>
                                <w:tcPr>
                                  <w:tcW w:w="3320" w:type="dxa"/>
                                  <w:tcBorders/>
                                  <w:vAlign w:val="center"/>
                                </w:tcPr>
                                <w:p>
                                  <w:pPr>
                                    <w:pStyle w:val="TableContents"/>
                                    <w:bidi w:val="0"/>
                                    <w:spacing w:before="0" w:after="283"/>
                                    <w:jc w:val="left"/>
                                    <w:rPr/>
                                  </w:pPr>
                                  <w:r>
                                    <w:rPr/>
                                    <w:t>Significant financial achievements:</w:t>
                                  </w:r>
                                </w:p>
                              </w:tc>
                            </w:tr>
                          </w:tbl>
                          <w:tbl>
                            <w:tblPr>
                              <w:tblW w:w="9055" w:type="dxa"/>
                              <w:jc w:val="left"/>
                              <w:tblInd w:w="0" w:type="dxa"/>
                              <w:tblLayout w:type="fixed"/>
                              <w:tblCellMar>
                                <w:top w:w="0" w:type="dxa"/>
                                <w:left w:w="0" w:type="dxa"/>
                                <w:bottom w:w="0" w:type="dxa"/>
                                <w:right w:w="0" w:type="dxa"/>
                              </w:tblCellMar>
                            </w:tblPr>
                            <w:tblGrid>
                              <w:gridCol w:w="135"/>
                              <w:gridCol w:w="140"/>
                              <w:gridCol w:w="8780"/>
                            </w:tblGrid>
                            <w:tr>
                              <w:trPr/>
                              <w:tc>
                                <w:tcPr>
                                  <w:tcW w:w="13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780" w:type="dxa"/>
                                  <w:tcBorders/>
                                  <w:vAlign w:val="center"/>
                                </w:tcPr>
                                <w:p>
                                  <w:pPr>
                                    <w:pStyle w:val="TableContents"/>
                                    <w:bidi w:val="0"/>
                                    <w:spacing w:before="0" w:after="283"/>
                                    <w:jc w:val="left"/>
                                    <w:rPr/>
                                  </w:pPr>
                                  <w:r>
                                    <w:rPr/>
                                    <w:t>Net sales growth of 6.8% (GAAP and adjusted), which includes 9% organic sales growth.</w:t>
                                  </w:r>
                                  <w:r>
                                    <w:rPr>
                                      <w:position w:val="8"/>
                                      <w:sz w:val="19"/>
                                    </w:rPr>
                                    <w:t>(1)</w:t>
                                  </w:r>
                                </w:p>
                              </w:tc>
                            </w:tr>
                            <w:tr>
                              <w:trPr/>
                              <w:tc>
                                <w:tcPr>
                                  <w:tcW w:w="13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780" w:type="dxa"/>
                                  <w:tcBorders/>
                                  <w:vAlign w:val="center"/>
                                </w:tcPr>
                                <w:p>
                                  <w:pPr>
                                    <w:pStyle w:val="TableContents"/>
                                    <w:bidi w:val="0"/>
                                    <w:spacing w:before="0" w:after="283"/>
                                    <w:jc w:val="left"/>
                                    <w:rPr/>
                                  </w:pPr>
                                  <w:r>
                                    <w:rPr/>
                                    <w:t>Return on sales of 16.3% (GAAP) and 16.2% (adjusted).</w:t>
                                  </w:r>
                                  <w:r>
                                    <w:rPr>
                                      <w:position w:val="8"/>
                                      <w:sz w:val="19"/>
                                    </w:rPr>
                                    <w:t>(1)</w:t>
                                  </w:r>
                                </w:p>
                              </w:tc>
                            </w:tr>
                            <w:tr>
                              <w:trPr/>
                              <w:tc>
                                <w:tcPr>
                                  <w:tcW w:w="13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780" w:type="dxa"/>
                                  <w:tcBorders/>
                                  <w:vAlign w:val="center"/>
                                </w:tcPr>
                                <w:p>
                                  <w:pPr>
                                    <w:pStyle w:val="TableContents"/>
                                    <w:bidi w:val="0"/>
                                    <w:spacing w:before="0" w:after="283"/>
                                    <w:jc w:val="left"/>
                                    <w:rPr/>
                                  </w:pPr>
                                  <w:r>
                                    <w:rPr/>
                                    <w:t>Operating profit up 19% (GAAP) and 9% (adjusted).</w:t>
                                  </w:r>
                                  <w:r>
                                    <w:rPr>
                                      <w:position w:val="8"/>
                                      <w:sz w:val="19"/>
                                    </w:rPr>
                                    <w:t>(1)</w:t>
                                  </w:r>
                                </w:p>
                              </w:tc>
                            </w:tr>
                          </w:tbl>
                          <w:tbl>
                            <w:tblPr>
                              <w:tblW w:w="4960" w:type="dxa"/>
                              <w:jc w:val="left"/>
                              <w:tblInd w:w="0" w:type="dxa"/>
                              <w:tblLayout w:type="fixed"/>
                              <w:tblCellMar>
                                <w:top w:w="0" w:type="dxa"/>
                                <w:left w:w="0" w:type="dxa"/>
                                <w:bottom w:w="0" w:type="dxa"/>
                                <w:right w:w="0" w:type="dxa"/>
                              </w:tblCellMar>
                            </w:tblPr>
                            <w:tblGrid>
                              <w:gridCol w:w="185"/>
                              <w:gridCol w:w="4775"/>
                            </w:tblGrid>
                            <w:tr>
                              <w:trPr/>
                              <w:tc>
                                <w:tcPr>
                                  <w:tcW w:w="185" w:type="dxa"/>
                                  <w:tcBorders/>
                                  <w:vAlign w:val="center"/>
                                </w:tcPr>
                                <w:p>
                                  <w:pPr>
                                    <w:pStyle w:val="TableContents"/>
                                    <w:bidi w:val="0"/>
                                    <w:spacing w:before="0" w:after="283"/>
                                    <w:jc w:val="left"/>
                                    <w:rPr/>
                                  </w:pPr>
                                  <w:r>
                                    <w:rPr/>
                                    <w:t>●</w:t>
                                  </w:r>
                                </w:p>
                              </w:tc>
                              <w:tc>
                                <w:tcPr>
                                  <w:tcW w:w="4775" w:type="dxa"/>
                                  <w:tcBorders/>
                                  <w:vAlign w:val="center"/>
                                </w:tcPr>
                                <w:p>
                                  <w:pPr>
                                    <w:pStyle w:val="TableContents"/>
                                    <w:bidi w:val="0"/>
                                    <w:spacing w:before="0" w:after="283"/>
                                    <w:jc w:val="left"/>
                                    <w:rPr/>
                                  </w:pPr>
                                  <w:r>
                                    <w:rPr/>
                                    <w:t xml:space="preserve">Customer wins and operational accomplishments: </w:t>
                                  </w:r>
                                </w:p>
                              </w:tc>
                            </w:tr>
                          </w:tbl>
                          <w:tbl>
                            <w:tblPr>
                              <w:tblW w:w="10205" w:type="dxa"/>
                              <w:jc w:val="left"/>
                              <w:tblInd w:w="0" w:type="dxa"/>
                              <w:tblLayout w:type="fixed"/>
                              <w:tblCellMar>
                                <w:top w:w="0" w:type="dxa"/>
                                <w:left w:w="0" w:type="dxa"/>
                                <w:bottom w:w="0" w:type="dxa"/>
                                <w:right w:w="0" w:type="dxa"/>
                              </w:tblCellMar>
                            </w:tblPr>
                            <w:tblGrid>
                              <w:gridCol w:w="135"/>
                              <w:gridCol w:w="140"/>
                              <w:gridCol w:w="9930"/>
                            </w:tblGrid>
                            <w:tr>
                              <w:trPr/>
                              <w:tc>
                                <w:tcPr>
                                  <w:tcW w:w="13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930" w:type="dxa"/>
                                  <w:tcBorders/>
                                  <w:vAlign w:val="center"/>
                                </w:tcPr>
                                <w:p>
                                  <w:pPr>
                                    <w:pStyle w:val="TableContents"/>
                                    <w:bidi w:val="0"/>
                                    <w:spacing w:before="0" w:after="283"/>
                                    <w:jc w:val="left"/>
                                    <w:rPr/>
                                  </w:pPr>
                                  <w:r>
                                    <w:rPr/>
                                    <w:t>Secured a $438 million Federal Aviation Administration contract to deploy next-generation surveillance radars that will modernize the National Airspace System.</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243.6pt;mso-wrap-distance-left:0pt;mso-wrap-distance-right:0pt;mso-wrap-distance-top:0pt;mso-wrap-distance-bottom:0pt;margin-top:0pt;mso-position-vertical:top;mso-position-vertical-relative:text;margin-left:0pt;mso-position-horizontal:left;mso-position-horizontal-relative:text">
                <v:textbox>
                  <w:txbxContent>
                    <w:tbl>
                      <w:tblPr>
                        <w:tblW w:w="3505" w:type="dxa"/>
                        <w:jc w:val="left"/>
                        <w:tblInd w:w="0" w:type="dxa"/>
                        <w:tblLayout w:type="fixed"/>
                        <w:tblCellMar>
                          <w:top w:w="0" w:type="dxa"/>
                          <w:left w:w="0" w:type="dxa"/>
                          <w:bottom w:w="0" w:type="dxa"/>
                          <w:right w:w="0" w:type="dxa"/>
                        </w:tblCellMar>
                      </w:tblPr>
                      <w:tblGrid>
                        <w:gridCol w:w="185"/>
                        <w:gridCol w:w="3320"/>
                      </w:tblGrid>
                      <w:tr>
                        <w:trPr/>
                        <w:tc>
                          <w:tcPr>
                            <w:tcW w:w="185" w:type="dxa"/>
                            <w:tcBorders/>
                            <w:vAlign w:val="center"/>
                          </w:tcPr>
                          <w:p>
                            <w:pPr>
                              <w:pStyle w:val="TableContents"/>
                              <w:bidi w:val="0"/>
                              <w:spacing w:before="0" w:after="283"/>
                              <w:jc w:val="left"/>
                              <w:rPr/>
                            </w:pPr>
                            <w:r>
                              <w:rPr/>
                              <w:t>●</w:t>
                            </w:r>
                          </w:p>
                        </w:tc>
                        <w:tc>
                          <w:tcPr>
                            <w:tcW w:w="3320" w:type="dxa"/>
                            <w:tcBorders/>
                            <w:vAlign w:val="center"/>
                          </w:tcPr>
                          <w:p>
                            <w:pPr>
                              <w:pStyle w:val="TableContents"/>
                              <w:bidi w:val="0"/>
                              <w:spacing w:before="0" w:after="283"/>
                              <w:jc w:val="left"/>
                              <w:rPr/>
                            </w:pPr>
                            <w:r>
                              <w:rPr/>
                              <w:t>Significant financial achievements:</w:t>
                            </w:r>
                          </w:p>
                        </w:tc>
                      </w:tr>
                    </w:tbl>
                    <w:tbl>
                      <w:tblPr>
                        <w:tblW w:w="9055" w:type="dxa"/>
                        <w:jc w:val="left"/>
                        <w:tblInd w:w="0" w:type="dxa"/>
                        <w:tblLayout w:type="fixed"/>
                        <w:tblCellMar>
                          <w:top w:w="0" w:type="dxa"/>
                          <w:left w:w="0" w:type="dxa"/>
                          <w:bottom w:w="0" w:type="dxa"/>
                          <w:right w:w="0" w:type="dxa"/>
                        </w:tblCellMar>
                      </w:tblPr>
                      <w:tblGrid>
                        <w:gridCol w:w="135"/>
                        <w:gridCol w:w="140"/>
                        <w:gridCol w:w="8780"/>
                      </w:tblGrid>
                      <w:tr>
                        <w:trPr/>
                        <w:tc>
                          <w:tcPr>
                            <w:tcW w:w="13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780" w:type="dxa"/>
                            <w:tcBorders/>
                            <w:vAlign w:val="center"/>
                          </w:tcPr>
                          <w:p>
                            <w:pPr>
                              <w:pStyle w:val="TableContents"/>
                              <w:bidi w:val="0"/>
                              <w:spacing w:before="0" w:after="283"/>
                              <w:jc w:val="left"/>
                              <w:rPr/>
                            </w:pPr>
                            <w:r>
                              <w:rPr/>
                              <w:t>Net sales growth of 6.8% (GAAP and adjusted), which includes 9% organic sales growth.</w:t>
                            </w:r>
                            <w:r>
                              <w:rPr>
                                <w:position w:val="8"/>
                                <w:sz w:val="19"/>
                              </w:rPr>
                              <w:t>(1)</w:t>
                            </w:r>
                          </w:p>
                        </w:tc>
                      </w:tr>
                      <w:tr>
                        <w:trPr/>
                        <w:tc>
                          <w:tcPr>
                            <w:tcW w:w="13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780" w:type="dxa"/>
                            <w:tcBorders/>
                            <w:vAlign w:val="center"/>
                          </w:tcPr>
                          <w:p>
                            <w:pPr>
                              <w:pStyle w:val="TableContents"/>
                              <w:bidi w:val="0"/>
                              <w:spacing w:before="0" w:after="283"/>
                              <w:jc w:val="left"/>
                              <w:rPr/>
                            </w:pPr>
                            <w:r>
                              <w:rPr/>
                              <w:t>Return on sales of 16.3% (GAAP) and 16.2% (adjusted).</w:t>
                            </w:r>
                            <w:r>
                              <w:rPr>
                                <w:position w:val="8"/>
                                <w:sz w:val="19"/>
                              </w:rPr>
                              <w:t>(1)</w:t>
                            </w:r>
                          </w:p>
                        </w:tc>
                      </w:tr>
                      <w:tr>
                        <w:trPr/>
                        <w:tc>
                          <w:tcPr>
                            <w:tcW w:w="13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780" w:type="dxa"/>
                            <w:tcBorders/>
                            <w:vAlign w:val="center"/>
                          </w:tcPr>
                          <w:p>
                            <w:pPr>
                              <w:pStyle w:val="TableContents"/>
                              <w:bidi w:val="0"/>
                              <w:spacing w:before="0" w:after="283"/>
                              <w:jc w:val="left"/>
                              <w:rPr/>
                            </w:pPr>
                            <w:r>
                              <w:rPr/>
                              <w:t>Operating profit up 19% (GAAP) and 9% (adjusted).</w:t>
                            </w:r>
                            <w:r>
                              <w:rPr>
                                <w:position w:val="8"/>
                                <w:sz w:val="19"/>
                              </w:rPr>
                              <w:t>(1)</w:t>
                            </w:r>
                          </w:p>
                        </w:tc>
                      </w:tr>
                    </w:tbl>
                    <w:tbl>
                      <w:tblPr>
                        <w:tblW w:w="4960" w:type="dxa"/>
                        <w:jc w:val="left"/>
                        <w:tblInd w:w="0" w:type="dxa"/>
                        <w:tblLayout w:type="fixed"/>
                        <w:tblCellMar>
                          <w:top w:w="0" w:type="dxa"/>
                          <w:left w:w="0" w:type="dxa"/>
                          <w:bottom w:w="0" w:type="dxa"/>
                          <w:right w:w="0" w:type="dxa"/>
                        </w:tblCellMar>
                      </w:tblPr>
                      <w:tblGrid>
                        <w:gridCol w:w="185"/>
                        <w:gridCol w:w="4775"/>
                      </w:tblGrid>
                      <w:tr>
                        <w:trPr/>
                        <w:tc>
                          <w:tcPr>
                            <w:tcW w:w="185" w:type="dxa"/>
                            <w:tcBorders/>
                            <w:vAlign w:val="center"/>
                          </w:tcPr>
                          <w:p>
                            <w:pPr>
                              <w:pStyle w:val="TableContents"/>
                              <w:bidi w:val="0"/>
                              <w:spacing w:before="0" w:after="283"/>
                              <w:jc w:val="left"/>
                              <w:rPr/>
                            </w:pPr>
                            <w:r>
                              <w:rPr/>
                              <w:t>●</w:t>
                            </w:r>
                          </w:p>
                        </w:tc>
                        <w:tc>
                          <w:tcPr>
                            <w:tcW w:w="4775" w:type="dxa"/>
                            <w:tcBorders/>
                            <w:vAlign w:val="center"/>
                          </w:tcPr>
                          <w:p>
                            <w:pPr>
                              <w:pStyle w:val="TableContents"/>
                              <w:bidi w:val="0"/>
                              <w:spacing w:before="0" w:after="283"/>
                              <w:jc w:val="left"/>
                              <w:rPr/>
                            </w:pPr>
                            <w:r>
                              <w:rPr/>
                              <w:t xml:space="preserve">Customer wins and operational accomplishments: </w:t>
                            </w:r>
                          </w:p>
                        </w:tc>
                      </w:tr>
                    </w:tbl>
                    <w:tbl>
                      <w:tblPr>
                        <w:tblW w:w="10205" w:type="dxa"/>
                        <w:jc w:val="left"/>
                        <w:tblInd w:w="0" w:type="dxa"/>
                        <w:tblLayout w:type="fixed"/>
                        <w:tblCellMar>
                          <w:top w:w="0" w:type="dxa"/>
                          <w:left w:w="0" w:type="dxa"/>
                          <w:bottom w:w="0" w:type="dxa"/>
                          <w:right w:w="0" w:type="dxa"/>
                        </w:tblCellMar>
                      </w:tblPr>
                      <w:tblGrid>
                        <w:gridCol w:w="135"/>
                        <w:gridCol w:w="140"/>
                        <w:gridCol w:w="9930"/>
                      </w:tblGrid>
                      <w:tr>
                        <w:trPr/>
                        <w:tc>
                          <w:tcPr>
                            <w:tcW w:w="13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930" w:type="dxa"/>
                            <w:tcBorders/>
                            <w:vAlign w:val="center"/>
                          </w:tcPr>
                          <w:p>
                            <w:pPr>
                              <w:pStyle w:val="TableContents"/>
                              <w:bidi w:val="0"/>
                              <w:spacing w:before="0" w:after="283"/>
                              <w:jc w:val="left"/>
                              <w:rPr/>
                            </w:pPr>
                            <w:r>
                              <w:rPr/>
                              <w:t>Secured a $438 million Federal Aviation Administration contract to deploy next-generation surveillance radars that will modernize the National Airspace System.</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325">
                <wp:simplePos x="0" y="0"/>
                <wp:positionH relativeFrom="column">
                  <wp:align>right</wp:align>
                </wp:positionH>
                <wp:positionV relativeFrom="line">
                  <wp:posOffset>635</wp:posOffset>
                </wp:positionV>
                <wp:extent cx="3110230" cy="2120900"/>
                <wp:effectExtent l="0" t="0" r="0" b="0"/>
                <wp:wrapSquare wrapText="left"/>
                <wp:docPr id="357" name="Frame70"/>
                <a:graphic xmlns:a="http://schemas.openxmlformats.org/drawingml/2006/main">
                  <a:graphicData uri="http://schemas.microsoft.com/office/word/2010/wordprocessingShape">
                    <wps:wsp>
                      <wps:cNvSpPr txBox="1"/>
                      <wps:spPr>
                        <a:xfrm>
                          <a:off x="0" y="0"/>
                          <a:ext cx="3110230" cy="2120900"/>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135"/>
                              <w:gridCol w:w="140"/>
                              <w:gridCol w:w="9930"/>
                            </w:tblGrid>
                            <w:tr>
                              <w:trPr/>
                              <w:tc>
                                <w:tcPr>
                                  <w:tcW w:w="13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930" w:type="dxa"/>
                                  <w:tcBorders/>
                                  <w:vAlign w:val="center"/>
                                </w:tcPr>
                                <w:p>
                                  <w:pPr>
                                    <w:pStyle w:val="TableContents"/>
                                    <w:bidi w:val="0"/>
                                    <w:spacing w:before="0" w:after="283"/>
                                    <w:jc w:val="left"/>
                                    <w:rPr/>
                                  </w:pPr>
                                  <w:r>
                                    <w:rPr/>
                                    <w:t>Improved operational performance, achieving a 5% increase in on-time delivery.</w:t>
                                  </w:r>
                                </w:p>
                              </w:tc>
                            </w:tr>
                            <w:tr>
                              <w:trPr/>
                              <w:tc>
                                <w:tcPr>
                                  <w:tcW w:w="13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930" w:type="dxa"/>
                                  <w:tcBorders/>
                                  <w:vAlign w:val="center"/>
                                </w:tcPr>
                                <w:p>
                                  <w:pPr>
                                    <w:pStyle w:val="TableContents"/>
                                    <w:bidi w:val="0"/>
                                    <w:spacing w:before="0" w:after="283"/>
                                    <w:jc w:val="left"/>
                                    <w:rPr/>
                                  </w:pPr>
                                  <w:r>
                                    <w:rPr/>
                                    <w:t>Increased production volume to support an increase in aircraft production rates across our commercial platforms.</w:t>
                                  </w:r>
                                </w:p>
                              </w:tc>
                            </w:tr>
                            <w:tr>
                              <w:trPr/>
                              <w:tc>
                                <w:tcPr>
                                  <w:tcW w:w="13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930" w:type="dxa"/>
                                  <w:tcBorders/>
                                  <w:vAlign w:val="center"/>
                                </w:tcPr>
                                <w:p>
                                  <w:pPr>
                                    <w:pStyle w:val="TableContents"/>
                                    <w:bidi w:val="0"/>
                                    <w:spacing w:before="0" w:after="283"/>
                                    <w:jc w:val="left"/>
                                    <w:rPr/>
                                  </w:pPr>
                                  <w:r>
                                    <w:rPr/>
                                    <w:t>Demonstrated unprecedented speed and agility to support a critical next-generation encryption contract by achieving all major development milestones.</w:t>
                                  </w:r>
                                </w:p>
                              </w:tc>
                            </w:tr>
                            <w:tr>
                              <w:trPr/>
                              <w:tc>
                                <w:tcPr>
                                  <w:tcW w:w="13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930" w:type="dxa"/>
                                  <w:tcBorders/>
                                  <w:vAlign w:val="center"/>
                                </w:tcPr>
                                <w:p>
                                  <w:pPr>
                                    <w:pStyle w:val="TableContents"/>
                                    <w:bidi w:val="0"/>
                                    <w:spacing w:before="0" w:after="283"/>
                                    <w:jc w:val="left"/>
                                    <w:rPr/>
                                  </w:pPr>
                                  <w:r>
                                    <w:rPr/>
                                    <w:t>Advanced predictive health monitoring solutions for airlines as part of the Digital Alliance for Aviation.</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167pt;mso-wrap-distance-left:0pt;mso-wrap-distance-right:0pt;mso-wrap-distance-top:0pt;mso-wrap-distance-bottom:0pt;margin-top:0pt;mso-position-vertical:top;mso-position-vertical-relative:text;margin-left:20.4pt;mso-position-horizontal:right;mso-position-horizontal-relative:text">
                <v:textbox>
                  <w:txbxContent>
                    <w:tbl>
                      <w:tblPr>
                        <w:tblW w:w="10205" w:type="dxa"/>
                        <w:jc w:val="left"/>
                        <w:tblInd w:w="0" w:type="dxa"/>
                        <w:tblLayout w:type="fixed"/>
                        <w:tblCellMar>
                          <w:top w:w="0" w:type="dxa"/>
                          <w:left w:w="0" w:type="dxa"/>
                          <w:bottom w:w="0" w:type="dxa"/>
                          <w:right w:w="0" w:type="dxa"/>
                        </w:tblCellMar>
                      </w:tblPr>
                      <w:tblGrid>
                        <w:gridCol w:w="135"/>
                        <w:gridCol w:w="140"/>
                        <w:gridCol w:w="9930"/>
                      </w:tblGrid>
                      <w:tr>
                        <w:trPr/>
                        <w:tc>
                          <w:tcPr>
                            <w:tcW w:w="13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930" w:type="dxa"/>
                            <w:tcBorders/>
                            <w:vAlign w:val="center"/>
                          </w:tcPr>
                          <w:p>
                            <w:pPr>
                              <w:pStyle w:val="TableContents"/>
                              <w:bidi w:val="0"/>
                              <w:spacing w:before="0" w:after="283"/>
                              <w:jc w:val="left"/>
                              <w:rPr/>
                            </w:pPr>
                            <w:r>
                              <w:rPr/>
                              <w:t>Improved operational performance, achieving a 5% increase in on-time delivery.</w:t>
                            </w:r>
                          </w:p>
                        </w:tc>
                      </w:tr>
                      <w:tr>
                        <w:trPr/>
                        <w:tc>
                          <w:tcPr>
                            <w:tcW w:w="13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930" w:type="dxa"/>
                            <w:tcBorders/>
                            <w:vAlign w:val="center"/>
                          </w:tcPr>
                          <w:p>
                            <w:pPr>
                              <w:pStyle w:val="TableContents"/>
                              <w:bidi w:val="0"/>
                              <w:spacing w:before="0" w:after="283"/>
                              <w:jc w:val="left"/>
                              <w:rPr/>
                            </w:pPr>
                            <w:r>
                              <w:rPr/>
                              <w:t>Increased production volume to support an increase in aircraft production rates across our commercial platforms.</w:t>
                            </w:r>
                          </w:p>
                        </w:tc>
                      </w:tr>
                      <w:tr>
                        <w:trPr/>
                        <w:tc>
                          <w:tcPr>
                            <w:tcW w:w="13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930" w:type="dxa"/>
                            <w:tcBorders/>
                            <w:vAlign w:val="center"/>
                          </w:tcPr>
                          <w:p>
                            <w:pPr>
                              <w:pStyle w:val="TableContents"/>
                              <w:bidi w:val="0"/>
                              <w:spacing w:before="0" w:after="283"/>
                              <w:jc w:val="left"/>
                              <w:rPr/>
                            </w:pPr>
                            <w:r>
                              <w:rPr/>
                              <w:t>Demonstrated unprecedented speed and agility to support a critical next-generation encryption contract by achieving all major development milestones.</w:t>
                            </w:r>
                          </w:p>
                        </w:tc>
                      </w:tr>
                      <w:tr>
                        <w:trPr/>
                        <w:tc>
                          <w:tcPr>
                            <w:tcW w:w="13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930" w:type="dxa"/>
                            <w:tcBorders/>
                            <w:vAlign w:val="center"/>
                          </w:tcPr>
                          <w:p>
                            <w:pPr>
                              <w:pStyle w:val="TableContents"/>
                              <w:bidi w:val="0"/>
                              <w:spacing w:before="0" w:after="283"/>
                              <w:jc w:val="left"/>
                              <w:rPr/>
                            </w:pPr>
                            <w:r>
                              <w:rPr/>
                              <w:t>Advanced predictive health monitoring solutions for airlines as part of the Digital Alliance for Aviation.</w:t>
                            </w:r>
                          </w:p>
                        </w:tc>
                      </w:tr>
                    </w:tbl>
                    <w:p>
                      <w:pPr>
                        <w:pStyle w:val="TextBody"/>
                        <w:bidi w:val="0"/>
                        <w:spacing w:before="0" w:after="283"/>
                        <w:jc w:val="left"/>
                        <w:rPr/>
                      </w:pPr>
                      <w:r>
                        <w:rPr/>
                      </w:r>
                    </w:p>
                  </w:txbxContent>
                </v:textbox>
                <w10:wrap type="square" side="left"/>
              </v:rect>
            </w:pict>
          </mc:Fallback>
        </mc:AlternateContent>
      </w:r>
    </w:p>
    <w:tbl>
      <w:tblPr>
        <w:tblW w:w="4615" w:type="dxa"/>
        <w:jc w:val="left"/>
        <w:tblInd w:w="0" w:type="dxa"/>
        <w:tblLayout w:type="fixed"/>
        <w:tblCellMar>
          <w:top w:w="0" w:type="dxa"/>
          <w:left w:w="0" w:type="dxa"/>
          <w:bottom w:w="0" w:type="dxa"/>
          <w:right w:w="0" w:type="dxa"/>
        </w:tblCellMar>
      </w:tblPr>
      <w:tblGrid>
        <w:gridCol w:w="305"/>
        <w:gridCol w:w="4310"/>
      </w:tblGrid>
      <w:tr>
        <w:trPr/>
        <w:tc>
          <w:tcPr>
            <w:tcW w:w="305" w:type="dxa"/>
            <w:tcBorders/>
            <w:vAlign w:val="center"/>
          </w:tcPr>
          <w:p>
            <w:pPr>
              <w:pStyle w:val="TableContents"/>
              <w:bidi w:val="0"/>
              <w:spacing w:before="0" w:after="283"/>
              <w:jc w:val="left"/>
              <w:rPr/>
            </w:pPr>
            <w:r>
              <w:rPr/>
              <w:t>(1)</w:t>
            </w:r>
          </w:p>
        </w:tc>
        <w:tc>
          <w:tcPr>
            <w:tcW w:w="4310" w:type="dxa"/>
            <w:tcBorders/>
            <w:vAlign w:val="center"/>
          </w:tcPr>
          <w:p>
            <w:pPr>
              <w:pStyle w:val="TableContents"/>
              <w:bidi w:val="0"/>
              <w:spacing w:before="0" w:after="283"/>
              <w:jc w:val="left"/>
              <w:rPr/>
            </w:pPr>
            <w:r>
              <w:rPr/>
              <w:t>See Appendix A on pages 99-101 for details.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Arial;Helvetica;Sans-Serif" w:hAnsi="Arial;Helvetica;Sans-Serif"/>
          <w:b w:val="false"/>
          <w:i w:val="false"/>
          <w:caps w:val="false"/>
          <w:smallCaps w:val="false"/>
          <w:sz w:val="15"/>
        </w:rPr>
      </w:pPr>
      <w:r>
        <w:rPr>
          <w:rFonts w:ascii="Arial;Helvetica;Sans-Serif" w:hAnsi="Arial;Helvetica;Sans-Serif"/>
          <w:b/>
          <w:i w:val="false"/>
          <w:caps w:val="false"/>
          <w:smallCaps w:val="false"/>
          <w:sz w:val="15"/>
        </w:rPr>
        <w:t>RTX</w:t>
      </w:r>
      <w:r>
        <w:rPr>
          <w:rFonts w:ascii="Arial;Helvetica;Sans-Serif" w:hAnsi="Arial;Helvetica;Sans-Serif"/>
          <w:b w:val="false"/>
          <w:i w:val="false"/>
          <w:caps w:val="false"/>
          <w:smallCaps w:val="false"/>
          <w:sz w:val="15"/>
        </w:rPr>
        <w:t xml:space="preserve"> 2026 PROXY STATEMENT    </w:t>
      </w:r>
      <w:r>
        <w:rPr>
          <w:rFonts w:ascii="Arial;Helvetica;Sans-Serif" w:hAnsi="Arial;Helvetica;Sans-Serif"/>
          <w:b/>
          <w:i w:val="false"/>
          <w:caps w:val="false"/>
          <w:smallCaps w:val="false"/>
          <w:sz w:val="15"/>
        </w:rPr>
        <w:t>57</w:t>
      </w:r>
    </w:p>
    <w:p>
      <w:pPr>
        <w:pStyle w:val="HorizontalLine"/>
        <w:pBdr>
          <w:bottom w:val="double" w:sz="2" w:space="0" w:color="808080"/>
        </w:pBdr>
        <w:bidi w:val="0"/>
        <w:spacing w:before="0" w:after="283"/>
        <w:jc w:val="left"/>
        <w:rPr/>
      </w:pPr>
      <w:r>
        <w:rPr/>
      </w:r>
    </w:p>
    <w:p>
      <w:pPr>
        <w:pStyle w:val="TextBody"/>
        <w:bidi w:val="0"/>
        <w:spacing w:before="200" w:after="200"/>
        <w:jc w:val="left"/>
        <w:rPr/>
      </w:pPr>
      <w:hyperlink w:anchor="toc">
        <w:r>
          <w:rPr>
            <w:rStyle w:val="InternetLink"/>
            <w:rFonts w:ascii="Arial;Helvetica;Sans-Serif" w:hAnsi="Arial;Helvetica;Sans-Serif"/>
            <w:b/>
            <w:i w:val="false"/>
            <w:caps w:val="false"/>
            <w:smallCaps w:val="false"/>
            <w:sz w:val="16"/>
          </w:rPr>
          <w:t>Table of Contents</w:t>
        </w:r>
      </w:hyperlink>
    </w:p>
    <w:p>
      <w:pPr>
        <w:pStyle w:val="TextBody"/>
        <w:bidi w:val="0"/>
        <w:spacing w:before="0" w:after="0"/>
        <w:ind w:left="0" w:right="0" w:hanging="0"/>
        <w:jc w:val="left"/>
        <w:rPr>
          <w:rFonts w:ascii="Arial;Helvetica;Sans-Serif" w:hAnsi="Arial;Helvetica;Sans-Serif"/>
          <w:b/>
          <w:i w:val="false"/>
          <w:caps w:val="false"/>
          <w:smallCaps w:val="false"/>
          <w:color w:val="C12E33"/>
          <w:sz w:val="15"/>
        </w:rPr>
      </w:pPr>
      <w:r>
        <w:rPr>
          <w:rFonts w:ascii="Arial;Helvetica;Sans-Serif" w:hAnsi="Arial;Helvetica;Sans-Serif"/>
          <w:b/>
          <w:i w:val="false"/>
          <w:caps w:val="false"/>
          <w:smallCaps w:val="false"/>
          <w:color w:val="C12E33"/>
          <w:sz w:val="15"/>
        </w:rPr>
        <w:t>COMPENSATION DISCUSSION AND ANALYSIS</w:t>
      </w:r>
    </w:p>
    <w:p>
      <w:pPr>
        <w:pStyle w:val="TextBody"/>
        <w:bidi w:val="0"/>
        <w:spacing w:before="0" w:after="0"/>
        <w:ind w:left="0" w:right="0" w:hanging="0"/>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OTHER COMPENSATION ELEMENTS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color w:val="C12E33"/>
          <w:sz w:val="36"/>
        </w:rPr>
      </w:pPr>
      <w:bookmarkStart w:id="33" w:name="rtx014050a015"/>
      <w:bookmarkStart w:id="34" w:name="rtx014050_def14ab015"/>
      <w:bookmarkEnd w:id="33"/>
      <w:bookmarkEnd w:id="34"/>
      <w:r>
        <w:rPr>
          <w:rFonts w:ascii="Arial;Helvetica;Sans-Serif" w:hAnsi="Arial;Helvetica;Sans-Serif"/>
          <w:b/>
          <w:i w:val="false"/>
          <w:caps w:val="false"/>
          <w:smallCaps w:val="false"/>
          <w:color w:val="C12E33"/>
          <w:sz w:val="36"/>
        </w:rPr>
        <w:t>Other Compensation Elements</w:t>
      </w:r>
    </w:p>
    <w:p>
      <w:pPr>
        <w:pStyle w:val="TextBody"/>
        <w:bidi w:val="0"/>
        <w:spacing w:before="0" w:after="0"/>
        <w:ind w:left="0" w:right="0" w:hanging="0"/>
        <w:jc w:val="left"/>
        <w:rPr>
          <w:caps w:val="false"/>
          <w:smallCaps w:val="false"/>
          <w:color w:val="C12E33"/>
        </w:rPr>
      </w:pPr>
      <w:r>
        <w:rPr>
          <w:caps w:val="false"/>
          <w:smallCaps w:val="false"/>
          <w:color w:val="C12E33"/>
        </w:rPr>
        <w:t> </w:t>
      </w:r>
    </w:p>
    <w:p>
      <w:pPr>
        <w:pStyle w:val="TextBody"/>
        <w:bidi w:val="0"/>
        <w:spacing w:before="0" w:after="0"/>
        <w:ind w:left="0" w:right="0" w:hanging="0"/>
        <w:jc w:val="left"/>
        <w:rPr>
          <w:rFonts w:ascii="Arial;Helvetica;Sans-Serif" w:hAnsi="Arial;Helvetica;Sans-Serif"/>
          <w:b/>
          <w:i w:val="false"/>
          <w:caps w:val="false"/>
          <w:smallCaps w:val="false"/>
          <w:sz w:val="34"/>
        </w:rPr>
      </w:pPr>
      <w:bookmarkStart w:id="35" w:name="rtx014050_def14ab016"/>
      <w:bookmarkEnd w:id="35"/>
      <w:r>
        <w:rPr>
          <w:rFonts w:ascii="Arial;Helvetica;Sans-Serif" w:hAnsi="Arial;Helvetica;Sans-Serif"/>
          <w:b/>
          <w:i w:val="false"/>
          <w:caps w:val="false"/>
          <w:smallCaps w:val="false"/>
          <w:sz w:val="34"/>
        </w:rPr>
        <w:t>Retirement and Deferred Compensation Benefits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retirement and deferred compensation plans play an important role in our executive compensation program by providing an element of financial security that helps us attract and retain talented executives. Over the years, we have modified these programs to maintain a competitive position within an evolving market. Many of our NEOs were previously employed by companies that RTX acquired over the years, and therefore retain balances and/or receive pension accruals under various formulas of these acquired companies’ plans that have since been closed.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DEFINED BENEFIT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Company maintains the following qualified and nonqualified defined benefit plans that apply to our current NEOs: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Qualified Plans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40"/>
        <w:gridCol w:w="9880"/>
      </w:tblGrid>
      <w:tr>
        <w:trPr/>
        <w:tc>
          <w:tcPr>
            <w:tcW w:w="185" w:type="dxa"/>
            <w:tcBorders/>
            <w:vAlign w:val="center"/>
          </w:tcPr>
          <w:p>
            <w:pPr>
              <w:pStyle w:val="TableContents"/>
              <w:bidi w:val="0"/>
              <w:spacing w:before="0" w:after="283"/>
              <w:jc w:val="left"/>
              <w:rPr/>
            </w:pPr>
            <w:r>
              <w:rPr/>
              <w:t>●</w:t>
            </w:r>
          </w:p>
        </w:tc>
        <w:tc>
          <w:tcPr>
            <w:tcW w:w="10020" w:type="dxa"/>
            <w:gridSpan w:val="2"/>
            <w:tcBorders/>
            <w:vAlign w:val="center"/>
          </w:tcPr>
          <w:p>
            <w:pPr>
              <w:pStyle w:val="TableContents"/>
              <w:bidi w:val="0"/>
              <w:spacing w:before="0" w:after="283"/>
              <w:jc w:val="left"/>
              <w:rPr/>
            </w:pPr>
            <w:r>
              <w:rPr/>
              <w:t>The RTX Consolidated Pension Plan is an accumulation of all qualified pension plans of our legacy companies and companies acquired by our legacy companies.</w:t>
            </w:r>
          </w:p>
        </w:tc>
      </w:tr>
      <w:tr>
        <w:trPr/>
        <w:tc>
          <w:tcPr>
            <w:tcW w:w="18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80" w:type="dxa"/>
            <w:tcBorders/>
            <w:vAlign w:val="center"/>
          </w:tcPr>
          <w:p>
            <w:pPr>
              <w:pStyle w:val="TableContents"/>
              <w:bidi w:val="0"/>
              <w:spacing w:before="0" w:after="283"/>
              <w:jc w:val="left"/>
              <w:rPr/>
            </w:pPr>
            <w:r>
              <w:rPr/>
              <w:t>For legacy UTC employees, the relevant plan was closed to new hires on December 31, 2009, and pre-2010 hires stopped accruing benefits on December 31, 2019, when the plan was frozen, except with respect to interest credits on the Cash Balance formula.</w:t>
            </w:r>
          </w:p>
        </w:tc>
      </w:tr>
      <w:tr>
        <w:trPr/>
        <w:tc>
          <w:tcPr>
            <w:tcW w:w="18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80" w:type="dxa"/>
            <w:tcBorders/>
            <w:vAlign w:val="center"/>
          </w:tcPr>
          <w:p>
            <w:pPr>
              <w:pStyle w:val="TableContents"/>
              <w:bidi w:val="0"/>
              <w:spacing w:before="0" w:after="283"/>
              <w:jc w:val="left"/>
              <w:rPr/>
            </w:pPr>
            <w:r>
              <w:rPr/>
              <w:t>For legacy Rockwell Collins employees, the relevant plan was closed to new hires and employees stopped accruing benefits on September 30, 2006, when the plan was frozen. The plan was merged into the RTX Consolidated Pension Plan on December 31, 2018.</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Nonqualified Plans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pPr>
            <w:r>
              <w:rPr/>
              <w:t>The nonqualified UTC Pension Preservation Plan (“UTC PPP”) was closed to new hires on December 31, 2009. Legacy UTC employees hired prior to 2010 stopped accruing benefits on December 31, 2019, when the plan was frozen, except with respect to interest credits on the Cash Balance formula under the plan.</w:t>
            </w:r>
          </w:p>
        </w:tc>
      </w:tr>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pPr>
            <w:r>
              <w:rPr/>
              <w:t>The nonqualified Rockwell Collins Pension Plan was closed to new hires and employees stopped accruing benefits on September 30, 2006, when the plan was frozen. The plan was merged into the UTC PPP on December 31, 2018. The majority of the assets under this plan were distributed to participants upon UTC’s acquisition of Rockwell Collins in 2018, in accordance with the change-in-control provisions of this plan.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For additional details, refer to the Pension Benefits section on pages 69-70.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DEFINED CONTRIBUTION AND DEFERRED COMPENSATION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Company maintains the following active and closed qualified and nonqualified defined contribution and deferred compensation plans that apply to our current NEOs: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Qualified Plans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pPr>
            <w:r>
              <w:rPr/>
              <w:t>Under the RTX Corporation Savings Plan (“RTX Savings Plan”), all plan participants are eligible to receive Company matching contributions, and for employees (like each of our NEOs) who do not accrue pension benefits under the RTX Consolidated Pension Plan, an additional age-based Company retirement contribution.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Nonqualified Plans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pPr>
            <w:r>
              <w:rPr/>
              <w:t>The RTX Corporation Compensation Deferral Plan (“RTX CDP”) provides eligible employees (including each of our NEOs) an opportunity to defer up to 50% of base salary and/or 80% of their annual incentive award. This plan also provides Company matching contributions, and, for employees not accruing pension benefits (like each of our NEOs), Company retirement contributions on eligible earnings above the Internal Revenue Code (“IRC”) limit applicable to the qualified RTX Savings Plan.</w:t>
            </w:r>
          </w:p>
        </w:tc>
      </w:tr>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pPr>
            <w:r>
              <w:rPr/>
              <w:t>RTX executives are eligible to participate in the RTX Corporation Performance Share Unit Deferral Plan (“RTX PSU Deferral Plan”), which allows deferrals between 10%-100% of vested PSUs. </w:t>
            </w:r>
          </w:p>
        </w:tc>
      </w:tr>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pPr>
            <w:r>
              <w:rPr/>
              <w:t>The UTC Savings Restoration Plan, the UTC Company Automatic Contribution Excess Plan and the UTC Deferred Compensation Plan (applicable to legacy UTC employees) were closed to new contributions on December 31, 2022. The Rockwell Collins Non-Qualified Savings Plan is also maintained by the Company but closed to new contributions. Account balances for these closed plans remain subject to each participant’s distribution elections.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For additional details, see the Nonqualified Deferred Compensation section on pages 71-72.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15"/>
        </w:rPr>
      </w:pPr>
      <w:r>
        <w:rPr>
          <w:rFonts w:ascii="Arial;Helvetica;Sans-Serif" w:hAnsi="Arial;Helvetica;Sans-Serif"/>
          <w:b/>
          <w:i w:val="false"/>
          <w:caps w:val="false"/>
          <w:smallCaps w:val="false"/>
          <w:sz w:val="15"/>
        </w:rPr>
        <w:t xml:space="preserve">58    RTX </w:t>
      </w:r>
      <w:r>
        <w:rPr>
          <w:rFonts w:ascii="Arial;Helvetica;Sans-Serif" w:hAnsi="Arial;Helvetica;Sans-Serif"/>
          <w:b w:val="false"/>
          <w:i w:val="false"/>
          <w:caps w:val="false"/>
          <w:smallCaps w:val="false"/>
          <w:sz w:val="15"/>
        </w:rPr>
        <w:t>2026 PROXY STATEMENT</w:t>
      </w:r>
    </w:p>
    <w:p>
      <w:pPr>
        <w:pStyle w:val="HorizontalLine"/>
        <w:pBdr>
          <w:bottom w:val="double" w:sz="2" w:space="0" w:color="808080"/>
        </w:pBdr>
        <w:bidi w:val="0"/>
        <w:spacing w:before="0" w:after="283"/>
        <w:jc w:val="left"/>
        <w:rPr/>
      </w:pPr>
      <w:r>
        <w:rPr/>
      </w:r>
    </w:p>
    <w:p>
      <w:pPr>
        <w:pStyle w:val="TextBody"/>
        <w:bidi w:val="0"/>
        <w:spacing w:before="200" w:after="200"/>
        <w:jc w:val="left"/>
        <w:rPr/>
      </w:pPr>
      <w:hyperlink w:anchor="toc">
        <w:r>
          <w:rPr>
            <w:rStyle w:val="InternetLink"/>
            <w:rFonts w:ascii="Arial;Helvetica;Sans-Serif" w:hAnsi="Arial;Helvetica;Sans-Serif"/>
            <w:b/>
            <w:i w:val="false"/>
            <w:caps w:val="false"/>
            <w:smallCaps w:val="false"/>
            <w:sz w:val="16"/>
          </w:rPr>
          <w:t>Table of Contents</w:t>
        </w:r>
      </w:hyperlink>
    </w:p>
    <w:p>
      <w:pPr>
        <w:pStyle w:val="TextBody"/>
        <w:bidi w:val="0"/>
        <w:spacing w:before="0" w:after="0"/>
        <w:ind w:left="0" w:right="0" w:hanging="0"/>
        <w:jc w:val="right"/>
        <w:rPr>
          <w:rFonts w:ascii="Arial;Helvetica;Sans-Serif" w:hAnsi="Arial;Helvetica;Sans-Serif"/>
          <w:b/>
          <w:i w:val="false"/>
          <w:caps w:val="false"/>
          <w:smallCaps w:val="false"/>
          <w:color w:val="C12E33"/>
          <w:sz w:val="15"/>
        </w:rPr>
      </w:pPr>
      <w:r>
        <w:rPr>
          <w:rFonts w:ascii="Arial;Helvetica;Sans-Serif" w:hAnsi="Arial;Helvetica;Sans-Serif"/>
          <w:b/>
          <w:i w:val="false"/>
          <w:caps w:val="false"/>
          <w:smallCaps w:val="false"/>
          <w:color w:val="C12E33"/>
          <w:sz w:val="15"/>
        </w:rPr>
        <w:t>COMPENSATION DISCUSSION AND ANALYSIS</w:t>
      </w:r>
    </w:p>
    <w:p>
      <w:pPr>
        <w:pStyle w:val="TextBody"/>
        <w:bidi w:val="0"/>
        <w:spacing w:before="0" w:after="0"/>
        <w:ind w:left="0" w:right="0" w:hanging="0"/>
        <w:jc w:val="righ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OTHER COMPENSATION ELEMENTS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34"/>
        </w:rPr>
      </w:pPr>
      <w:bookmarkStart w:id="36" w:name="rtx014050_def14ab017"/>
      <w:bookmarkEnd w:id="36"/>
      <w:r>
        <w:rPr>
          <w:rFonts w:ascii="Arial;Helvetica;Sans-Serif" w:hAnsi="Arial;Helvetica;Sans-Serif"/>
          <w:b/>
          <w:i w:val="false"/>
          <w:caps w:val="false"/>
          <w:smallCaps w:val="false"/>
          <w:sz w:val="34"/>
        </w:rPr>
        <w:t>Perquisites and Other Benefits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approach to executive perquisites is based on the HCC Committee’s belief that the continued health and financial well-being of our senior leaders is of vital interest to the Company and our shareowners. The HCC Committee further believes that these benefits contribute to recruitment and retention of top talent and are consistent with market practice.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As one of the leading defense contractors to the U.S. government, we provide certain security benefits for our CEO (and Executive Chairman, if applicable), including personal use of the corporate aircraft, Company-provided cars and drivers (who are trained security personnel), and a home security benefit.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PERQUISITES AND BENEFITS</w:t>
      </w:r>
      <w:r>
        <w:rPr>
          <w:rFonts w:ascii="Arial;Helvetica;Sans-Serif" w:hAnsi="Arial;Helvetica;Sans-Serif"/>
          <w:b/>
          <w:i w:val="false"/>
          <w:caps w:val="false"/>
          <w:smallCaps w:val="false"/>
          <w:position w:val="7"/>
          <w:sz w:val="16"/>
          <w:sz w:val="20"/>
        </w:rPr>
        <w:t>(1)</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40" w:type="dxa"/>
          <w:left w:w="0" w:type="dxa"/>
          <w:bottom w:w="40" w:type="dxa"/>
          <w:right w:w="0" w:type="dxa"/>
        </w:tblCellMar>
      </w:tblPr>
      <w:tblGrid>
        <w:gridCol w:w="2273"/>
        <w:gridCol w:w="300"/>
        <w:gridCol w:w="7632"/>
      </w:tblGrid>
      <w:tr>
        <w:trPr/>
        <w:tc>
          <w:tcPr>
            <w:tcW w:w="2273" w:type="dxa"/>
            <w:tcBorders>
              <w:top w:val="single" w:sz="12" w:space="0" w:color="C12E33"/>
              <w:bottom w:val="single" w:sz="2" w:space="0" w:color="000000"/>
            </w:tcBorders>
            <w:vAlign w:val="center"/>
          </w:tcPr>
          <w:p>
            <w:pPr>
              <w:pStyle w:val="TableContents"/>
              <w:bidi w:val="0"/>
              <w:spacing w:before="0" w:after="283"/>
              <w:jc w:val="left"/>
              <w:rPr>
                <w:b/>
              </w:rPr>
            </w:pPr>
            <w:r>
              <w:rPr>
                <w:b/>
              </w:rPr>
              <w:t>Financial Planning</w:t>
            </w:r>
          </w:p>
        </w:tc>
        <w:tc>
          <w:tcPr>
            <w:tcW w:w="300" w:type="dxa"/>
            <w:tcBorders>
              <w:top w:val="single" w:sz="12" w:space="0" w:color="C12E33"/>
              <w:bottom w:val="single" w:sz="2" w:space="0" w:color="000000"/>
            </w:tcBorders>
            <w:vAlign w:val="center"/>
          </w:tcPr>
          <w:p>
            <w:pPr>
              <w:pStyle w:val="TableContents"/>
              <w:bidi w:val="0"/>
              <w:spacing w:before="0" w:after="283"/>
              <w:jc w:val="left"/>
              <w:rPr/>
            </w:pPr>
            <w:r>
              <w:rPr/>
              <w:t>     </w:t>
            </w:r>
          </w:p>
        </w:tc>
        <w:tc>
          <w:tcPr>
            <w:tcW w:w="7632" w:type="dxa"/>
            <w:tcBorders>
              <w:top w:val="single" w:sz="12" w:space="0" w:color="C12E33"/>
              <w:bottom w:val="single" w:sz="2" w:space="0" w:color="000000"/>
            </w:tcBorders>
            <w:vAlign w:val="center"/>
          </w:tcPr>
          <w:p>
            <w:pPr>
              <w:pStyle w:val="TableContents"/>
              <w:bidi w:val="0"/>
              <w:spacing w:before="0" w:after="283"/>
              <w:jc w:val="left"/>
              <w:rPr/>
            </w:pPr>
            <w:r>
              <w:rPr/>
              <w:t>All NEOs are eligible to receive a financial planning allowance, which is capped at $13,500 annually.</w:t>
            </w:r>
          </w:p>
        </w:tc>
      </w:tr>
      <w:tr>
        <w:trPr/>
        <w:tc>
          <w:tcPr>
            <w:tcW w:w="2273" w:type="dxa"/>
            <w:tcBorders>
              <w:bottom w:val="single" w:sz="2" w:space="0" w:color="000000"/>
            </w:tcBorders>
            <w:tcMar>
              <w:top w:w="0" w:type="dxa"/>
            </w:tcMar>
            <w:vAlign w:val="center"/>
          </w:tcPr>
          <w:p>
            <w:pPr>
              <w:pStyle w:val="TableContents"/>
              <w:bidi w:val="0"/>
              <w:spacing w:before="0" w:after="283"/>
              <w:jc w:val="left"/>
              <w:rPr/>
            </w:pPr>
            <w:r>
              <w:rPr>
                <w:b/>
              </w:rPr>
              <w:t>Enhanced Basic Life</w:t>
            </w:r>
            <w:r>
              <w:rPr/>
              <w:t xml:space="preserve"> </w:t>
            </w:r>
            <w:r>
              <w:rPr>
                <w:b/>
              </w:rPr>
              <w:t>Insurance</w:t>
            </w:r>
          </w:p>
        </w:tc>
        <w:tc>
          <w:tcPr>
            <w:tcW w:w="300" w:type="dxa"/>
            <w:tcBorders>
              <w:bottom w:val="single" w:sz="2" w:space="0" w:color="000000"/>
            </w:tcBorders>
            <w:tcMar>
              <w:top w:w="0" w:type="dxa"/>
            </w:tcMar>
            <w:vAlign w:val="center"/>
          </w:tcPr>
          <w:p>
            <w:pPr>
              <w:pStyle w:val="TableContents"/>
              <w:bidi w:val="0"/>
              <w:spacing w:before="0" w:after="283"/>
              <w:jc w:val="left"/>
              <w:rPr/>
            </w:pPr>
            <w:r>
              <w:rPr/>
              <w:t> </w:t>
            </w:r>
          </w:p>
        </w:tc>
        <w:tc>
          <w:tcPr>
            <w:tcW w:w="7632" w:type="dxa"/>
            <w:tcBorders>
              <w:bottom w:val="single" w:sz="2" w:space="0" w:color="000000"/>
            </w:tcBorders>
            <w:tcMar>
              <w:top w:w="0" w:type="dxa"/>
            </w:tcMar>
            <w:vAlign w:val="center"/>
          </w:tcPr>
          <w:p>
            <w:pPr>
              <w:pStyle w:val="TableContents"/>
              <w:bidi w:val="0"/>
              <w:spacing w:before="0" w:after="283"/>
              <w:jc w:val="left"/>
              <w:rPr/>
            </w:pPr>
            <w:r>
              <w:rPr/>
              <w:t>All NEOs are covered by an enhanced basic life insurance benefit while employed, equal to three times base salary.</w:t>
            </w:r>
          </w:p>
        </w:tc>
      </w:tr>
      <w:tr>
        <w:trPr/>
        <w:tc>
          <w:tcPr>
            <w:tcW w:w="2273" w:type="dxa"/>
            <w:tcBorders>
              <w:bottom w:val="single" w:sz="2" w:space="0" w:color="000000"/>
            </w:tcBorders>
            <w:tcMar>
              <w:top w:w="0" w:type="dxa"/>
            </w:tcMar>
            <w:vAlign w:val="center"/>
          </w:tcPr>
          <w:p>
            <w:pPr>
              <w:pStyle w:val="TableContents"/>
              <w:bidi w:val="0"/>
              <w:spacing w:before="0" w:after="283"/>
              <w:jc w:val="left"/>
              <w:rPr>
                <w:b/>
              </w:rPr>
            </w:pPr>
            <w:r>
              <w:rPr>
                <w:b/>
              </w:rPr>
              <w:t>Executive Physical</w:t>
            </w:r>
          </w:p>
        </w:tc>
        <w:tc>
          <w:tcPr>
            <w:tcW w:w="300" w:type="dxa"/>
            <w:tcBorders>
              <w:bottom w:val="single" w:sz="2" w:space="0" w:color="000000"/>
            </w:tcBorders>
            <w:tcMar>
              <w:top w:w="0" w:type="dxa"/>
            </w:tcMar>
            <w:vAlign w:val="center"/>
          </w:tcPr>
          <w:p>
            <w:pPr>
              <w:pStyle w:val="TableContents"/>
              <w:bidi w:val="0"/>
              <w:spacing w:before="0" w:after="283"/>
              <w:jc w:val="left"/>
              <w:rPr/>
            </w:pPr>
            <w:r>
              <w:rPr/>
              <w:t> </w:t>
            </w:r>
          </w:p>
        </w:tc>
        <w:tc>
          <w:tcPr>
            <w:tcW w:w="7632" w:type="dxa"/>
            <w:tcBorders>
              <w:bottom w:val="single" w:sz="2" w:space="0" w:color="000000"/>
            </w:tcBorders>
            <w:tcMar>
              <w:top w:w="0" w:type="dxa"/>
            </w:tcMar>
            <w:vAlign w:val="center"/>
          </w:tcPr>
          <w:p>
            <w:pPr>
              <w:pStyle w:val="TableContents"/>
              <w:bidi w:val="0"/>
              <w:spacing w:before="0" w:after="283"/>
              <w:jc w:val="left"/>
              <w:rPr/>
            </w:pPr>
            <w:r>
              <w:rPr/>
              <w:t>All NEOs are eligible to participate in the same healthcare benefits offered to other employees of the Company. They are also eligible for a comprehensive annual executive physical, a benefit that is capped at $5,000 annually.</w:t>
            </w:r>
          </w:p>
        </w:tc>
      </w:tr>
      <w:tr>
        <w:trPr/>
        <w:tc>
          <w:tcPr>
            <w:tcW w:w="2273" w:type="dxa"/>
            <w:tcBorders>
              <w:bottom w:val="single" w:sz="2" w:space="0" w:color="000000"/>
            </w:tcBorders>
            <w:tcMar>
              <w:top w:w="0" w:type="dxa"/>
            </w:tcMar>
            <w:vAlign w:val="center"/>
          </w:tcPr>
          <w:p>
            <w:pPr>
              <w:pStyle w:val="TableContents"/>
              <w:bidi w:val="0"/>
              <w:spacing w:before="0" w:after="283"/>
              <w:jc w:val="left"/>
              <w:rPr/>
            </w:pPr>
            <w:r>
              <w:rPr>
                <w:b/>
              </w:rPr>
              <w:t>ELG Long-Term Disability</w:t>
            </w:r>
            <w:r>
              <w:rPr/>
              <w:t xml:space="preserve"> </w:t>
            </w:r>
            <w:r>
              <w:rPr>
                <w:b/>
              </w:rPr>
              <w:t>Insurance</w:t>
            </w:r>
          </w:p>
        </w:tc>
        <w:tc>
          <w:tcPr>
            <w:tcW w:w="300" w:type="dxa"/>
            <w:tcBorders>
              <w:bottom w:val="single" w:sz="2" w:space="0" w:color="000000"/>
            </w:tcBorders>
            <w:tcMar>
              <w:top w:w="0" w:type="dxa"/>
            </w:tcMar>
            <w:vAlign w:val="center"/>
          </w:tcPr>
          <w:p>
            <w:pPr>
              <w:pStyle w:val="TableContents"/>
              <w:bidi w:val="0"/>
              <w:spacing w:before="0" w:after="283"/>
              <w:jc w:val="left"/>
              <w:rPr/>
            </w:pPr>
            <w:r>
              <w:rPr/>
              <w:t> </w:t>
            </w:r>
          </w:p>
        </w:tc>
        <w:tc>
          <w:tcPr>
            <w:tcW w:w="7632" w:type="dxa"/>
            <w:tcBorders>
              <w:bottom w:val="single" w:sz="2" w:space="0" w:color="000000"/>
            </w:tcBorders>
            <w:tcMar>
              <w:top w:w="0" w:type="dxa"/>
            </w:tcMar>
            <w:vAlign w:val="center"/>
          </w:tcPr>
          <w:p>
            <w:pPr>
              <w:pStyle w:val="TableContents"/>
              <w:bidi w:val="0"/>
              <w:spacing w:before="0" w:after="283"/>
              <w:jc w:val="left"/>
              <w:rPr/>
            </w:pPr>
            <w:r>
              <w:rPr/>
              <w:t>The ELG long-term disability program supplements the Company’s standard disability benefit and is paid only upon an ELG member’s disability. This annual benefit is equal to 80% of the sum of the executive’s base salary and target annual incentive award at the time of disability.</w:t>
            </w:r>
          </w:p>
        </w:tc>
      </w:tr>
      <w:tr>
        <w:trPr/>
        <w:tc>
          <w:tcPr>
            <w:tcW w:w="2273" w:type="dxa"/>
            <w:tcBorders>
              <w:bottom w:val="single" w:sz="2" w:space="0" w:color="000000"/>
            </w:tcBorders>
            <w:tcMar>
              <w:top w:w="0" w:type="dxa"/>
            </w:tcMar>
            <w:vAlign w:val="center"/>
          </w:tcPr>
          <w:p>
            <w:pPr>
              <w:pStyle w:val="TableContents"/>
              <w:bidi w:val="0"/>
              <w:spacing w:before="0" w:after="283"/>
              <w:jc w:val="left"/>
              <w:rPr>
                <w:b/>
              </w:rPr>
            </w:pPr>
            <w:r>
              <w:rPr>
                <w:b/>
              </w:rPr>
              <w:t>Personal Aircraft Usage</w:t>
            </w:r>
          </w:p>
        </w:tc>
        <w:tc>
          <w:tcPr>
            <w:tcW w:w="300" w:type="dxa"/>
            <w:tcBorders>
              <w:bottom w:val="single" w:sz="2" w:space="0" w:color="000000"/>
            </w:tcBorders>
            <w:tcMar>
              <w:top w:w="0" w:type="dxa"/>
            </w:tcMar>
            <w:vAlign w:val="center"/>
          </w:tcPr>
          <w:p>
            <w:pPr>
              <w:pStyle w:val="TableContents"/>
              <w:bidi w:val="0"/>
              <w:spacing w:before="0" w:after="283"/>
              <w:jc w:val="left"/>
              <w:rPr/>
            </w:pPr>
            <w:r>
              <w:rPr/>
              <w:t> </w:t>
            </w:r>
          </w:p>
        </w:tc>
        <w:tc>
          <w:tcPr>
            <w:tcW w:w="7632" w:type="dxa"/>
            <w:tcBorders>
              <w:bottom w:val="single" w:sz="2" w:space="0" w:color="000000"/>
            </w:tcBorders>
            <w:tcMar>
              <w:top w:w="0" w:type="dxa"/>
            </w:tcMar>
            <w:vAlign w:val="center"/>
          </w:tcPr>
          <w:p>
            <w:pPr>
              <w:pStyle w:val="TableContents"/>
              <w:bidi w:val="0"/>
              <w:spacing w:before="0" w:after="283"/>
              <w:jc w:val="left"/>
              <w:rPr/>
            </w:pPr>
            <w:r>
              <w:rPr/>
              <w:t>RTX’s policy generally allows only our CEO to use the corporate aircraft for personal use, though special approval may be given to other executives in extraordinary circumstances. The HCC Committee believes this is essential for security and personal safety, in addition to allowing for more efficient use of time.</w:t>
            </w:r>
          </w:p>
        </w:tc>
      </w:tr>
      <w:tr>
        <w:trPr/>
        <w:tc>
          <w:tcPr>
            <w:tcW w:w="2273" w:type="dxa"/>
            <w:tcBorders>
              <w:bottom w:val="single" w:sz="2" w:space="0" w:color="000000"/>
            </w:tcBorders>
            <w:tcMar>
              <w:top w:w="0" w:type="dxa"/>
            </w:tcMar>
            <w:vAlign w:val="center"/>
          </w:tcPr>
          <w:p>
            <w:pPr>
              <w:pStyle w:val="TableContents"/>
              <w:bidi w:val="0"/>
              <w:spacing w:before="0" w:after="283"/>
              <w:jc w:val="left"/>
              <w:rPr/>
            </w:pPr>
            <w:r>
              <w:rPr>
                <w:b/>
              </w:rPr>
              <w:t>Company-Provided Car</w:t>
            </w:r>
            <w:r>
              <w:rPr/>
              <w:t xml:space="preserve"> </w:t>
            </w:r>
            <w:r>
              <w:rPr>
                <w:b/>
              </w:rPr>
              <w:t>and Driver</w:t>
            </w:r>
          </w:p>
        </w:tc>
        <w:tc>
          <w:tcPr>
            <w:tcW w:w="300" w:type="dxa"/>
            <w:tcBorders>
              <w:bottom w:val="single" w:sz="2" w:space="0" w:color="000000"/>
            </w:tcBorders>
            <w:tcMar>
              <w:top w:w="0" w:type="dxa"/>
            </w:tcMar>
            <w:vAlign w:val="center"/>
          </w:tcPr>
          <w:p>
            <w:pPr>
              <w:pStyle w:val="TableContents"/>
              <w:bidi w:val="0"/>
              <w:spacing w:before="0" w:after="283"/>
              <w:jc w:val="left"/>
              <w:rPr/>
            </w:pPr>
            <w:r>
              <w:rPr/>
              <w:t> </w:t>
            </w:r>
          </w:p>
        </w:tc>
        <w:tc>
          <w:tcPr>
            <w:tcW w:w="7632" w:type="dxa"/>
            <w:tcBorders>
              <w:bottom w:val="single" w:sz="2" w:space="0" w:color="000000"/>
            </w:tcBorders>
            <w:tcMar>
              <w:top w:w="0" w:type="dxa"/>
            </w:tcMar>
            <w:vAlign w:val="center"/>
          </w:tcPr>
          <w:p>
            <w:pPr>
              <w:pStyle w:val="TableContents"/>
              <w:bidi w:val="0"/>
              <w:spacing w:before="0" w:after="283"/>
              <w:jc w:val="left"/>
              <w:rPr/>
            </w:pPr>
            <w:r>
              <w:rPr/>
              <w:t>For security and business efficiency reasons, our CEO has access to Company-provided cars and drivers (who are trained security personnel) when needed. They are primarily used for business purposes, but are also used in limited circumstances that have a personal element.</w:t>
            </w:r>
          </w:p>
        </w:tc>
      </w:tr>
      <w:tr>
        <w:trPr/>
        <w:tc>
          <w:tcPr>
            <w:tcW w:w="2273" w:type="dxa"/>
            <w:tcBorders>
              <w:bottom w:val="single" w:sz="2" w:space="0" w:color="000000"/>
            </w:tcBorders>
            <w:tcMar>
              <w:top w:w="0" w:type="dxa"/>
            </w:tcMar>
            <w:vAlign w:val="center"/>
          </w:tcPr>
          <w:p>
            <w:pPr>
              <w:pStyle w:val="TableContents"/>
              <w:bidi w:val="0"/>
              <w:spacing w:before="0" w:after="283"/>
              <w:jc w:val="left"/>
              <w:rPr>
                <w:b/>
              </w:rPr>
            </w:pPr>
            <w:r>
              <w:rPr>
                <w:b/>
              </w:rPr>
              <w:t>Security Benefit</w:t>
            </w:r>
          </w:p>
        </w:tc>
        <w:tc>
          <w:tcPr>
            <w:tcW w:w="300" w:type="dxa"/>
            <w:tcBorders>
              <w:bottom w:val="single" w:sz="2" w:space="0" w:color="000000"/>
            </w:tcBorders>
            <w:tcMar>
              <w:top w:w="0" w:type="dxa"/>
            </w:tcMar>
            <w:vAlign w:val="center"/>
          </w:tcPr>
          <w:p>
            <w:pPr>
              <w:pStyle w:val="TableContents"/>
              <w:bidi w:val="0"/>
              <w:spacing w:before="0" w:after="283"/>
              <w:jc w:val="left"/>
              <w:rPr/>
            </w:pPr>
            <w:r>
              <w:rPr/>
              <w:t> </w:t>
            </w:r>
          </w:p>
        </w:tc>
        <w:tc>
          <w:tcPr>
            <w:tcW w:w="7632" w:type="dxa"/>
            <w:tcBorders>
              <w:bottom w:val="single" w:sz="2" w:space="0" w:color="000000"/>
            </w:tcBorders>
            <w:tcMar>
              <w:top w:w="0" w:type="dxa"/>
            </w:tcMar>
            <w:vAlign w:val="center"/>
          </w:tcPr>
          <w:p>
            <w:pPr>
              <w:pStyle w:val="TableContents"/>
              <w:bidi w:val="0"/>
              <w:spacing w:before="0" w:after="283"/>
              <w:jc w:val="left"/>
              <w:rPr/>
            </w:pPr>
            <w:r>
              <w:rPr/>
              <w:t>The Company covers the cost of the installation, maintenance and monitoring of a security system at the personal residence of our CEO.</w:t>
            </w:r>
          </w:p>
        </w:tc>
      </w:tr>
      <w:tr>
        <w:trPr/>
        <w:tc>
          <w:tcPr>
            <w:tcW w:w="2273" w:type="dxa"/>
            <w:tcBorders>
              <w:bottom w:val="single" w:sz="12" w:space="0" w:color="636466"/>
            </w:tcBorders>
            <w:tcMar>
              <w:top w:w="0" w:type="dxa"/>
            </w:tcMar>
            <w:vAlign w:val="center"/>
          </w:tcPr>
          <w:p>
            <w:pPr>
              <w:pStyle w:val="TableContents"/>
              <w:bidi w:val="0"/>
              <w:spacing w:before="0" w:after="283"/>
              <w:jc w:val="left"/>
              <w:rPr/>
            </w:pPr>
            <w:r>
              <w:rPr>
                <w:b/>
              </w:rPr>
              <w:t>Entertainment and</w:t>
            </w:r>
            <w:r>
              <w:rPr/>
              <w:t xml:space="preserve"> </w:t>
            </w:r>
            <w:r>
              <w:rPr>
                <w:b/>
              </w:rPr>
              <w:t>Sporting Events</w:t>
            </w:r>
          </w:p>
        </w:tc>
        <w:tc>
          <w:tcPr>
            <w:tcW w:w="300" w:type="dxa"/>
            <w:tcBorders>
              <w:bottom w:val="single" w:sz="12" w:space="0" w:color="636466"/>
            </w:tcBorders>
            <w:tcMar>
              <w:top w:w="0" w:type="dxa"/>
            </w:tcMar>
            <w:vAlign w:val="center"/>
          </w:tcPr>
          <w:p>
            <w:pPr>
              <w:pStyle w:val="TableContents"/>
              <w:bidi w:val="0"/>
              <w:spacing w:before="0" w:after="283"/>
              <w:jc w:val="left"/>
              <w:rPr/>
            </w:pPr>
            <w:r>
              <w:rPr/>
              <w:t> </w:t>
            </w:r>
          </w:p>
        </w:tc>
        <w:tc>
          <w:tcPr>
            <w:tcW w:w="7632" w:type="dxa"/>
            <w:tcBorders>
              <w:bottom w:val="single" w:sz="12" w:space="0" w:color="636466"/>
            </w:tcBorders>
            <w:tcMar>
              <w:top w:w="0" w:type="dxa"/>
            </w:tcMar>
            <w:vAlign w:val="center"/>
          </w:tcPr>
          <w:p>
            <w:pPr>
              <w:pStyle w:val="TableContents"/>
              <w:bidi w:val="0"/>
              <w:spacing w:before="0" w:after="283"/>
              <w:jc w:val="left"/>
              <w:rPr/>
            </w:pPr>
            <w:r>
              <w:rPr/>
              <w:t>RTX’s senior executives participate in community and philanthropic activities for the benefit of the Company. This may include attending various cultural, charitable, civic, entertainment and sporting events for business development and relationship-building purposes and/or community involvement, and may require the purchase of tickets, catering and parking. Tickets may also be used for team-building events and sometimes are provided to employees, including our senior executives, for personal use.</w:t>
            </w:r>
          </w:p>
        </w:tc>
      </w:tr>
    </w:tbl>
    <w:tbl>
      <w:tblPr>
        <w:tblW w:w="10205" w:type="dxa"/>
        <w:jc w:val="left"/>
        <w:tblInd w:w="0" w:type="dxa"/>
        <w:tblLayout w:type="fixed"/>
        <w:tblCellMar>
          <w:top w:w="0" w:type="dxa"/>
          <w:left w:w="0" w:type="dxa"/>
          <w:bottom w:w="0" w:type="dxa"/>
          <w:right w:w="0" w:type="dxa"/>
        </w:tblCellMar>
      </w:tblPr>
      <w:tblGrid>
        <w:gridCol w:w="299"/>
        <w:gridCol w:w="9906"/>
      </w:tblGrid>
      <w:tr>
        <w:trPr/>
        <w:tc>
          <w:tcPr>
            <w:tcW w:w="299" w:type="dxa"/>
            <w:tcBorders/>
            <w:vAlign w:val="center"/>
          </w:tcPr>
          <w:p>
            <w:pPr>
              <w:pStyle w:val="TableContents"/>
              <w:bidi w:val="0"/>
              <w:spacing w:before="0" w:after="283"/>
              <w:jc w:val="left"/>
              <w:rPr/>
            </w:pPr>
            <w:r>
              <w:rPr/>
              <w:t>(1)</w:t>
            </w:r>
          </w:p>
        </w:tc>
        <w:tc>
          <w:tcPr>
            <w:tcW w:w="9906" w:type="dxa"/>
            <w:tcBorders/>
            <w:vAlign w:val="center"/>
          </w:tcPr>
          <w:p>
            <w:pPr>
              <w:pStyle w:val="TableContents"/>
              <w:bidi w:val="0"/>
              <w:spacing w:before="0" w:after="283"/>
              <w:jc w:val="left"/>
              <w:rPr/>
            </w:pPr>
            <w:r>
              <w:rPr/>
              <w:t>See footnote (6) of the Summary Compensation Table on page 65 for more details on these perquisites/benefits.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34"/>
        </w:rPr>
      </w:pPr>
      <w:bookmarkStart w:id="37" w:name="rtx014050_def14ab018"/>
      <w:bookmarkEnd w:id="37"/>
      <w:r>
        <w:rPr>
          <w:rFonts w:ascii="Arial;Helvetica;Sans-Serif" w:hAnsi="Arial;Helvetica;Sans-Serif"/>
          <w:b/>
          <w:i w:val="false"/>
          <w:caps w:val="false"/>
          <w:smallCaps w:val="false"/>
          <w:sz w:val="34"/>
        </w:rPr>
        <w:t>Severance and Change-in-Control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EXECUTIVE LEADERSHIP GROUP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ELG program covers the Company’s most senior leaders and key executives who are potential successors to senior leadership roles. The program has been in place since 1989, but has been modified over the years to align with best practices and to serve the evolving needs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 xml:space="preserve">Program. </w:t>
      </w:r>
      <w:r>
        <w:rPr>
          <w:rFonts w:ascii="Arial;Helvetica;Sans-Serif" w:hAnsi="Arial;Helvetica;Sans-Serif"/>
          <w:b w:val="false"/>
          <w:i w:val="false"/>
          <w:caps w:val="false"/>
          <w:smallCaps w:val="false"/>
          <w:sz w:val="20"/>
        </w:rPr>
        <w:t>The ELG program, which covers all of our NEOs, provides an RSU award with a grant value depending on role (currently no less than $1.5 million) upon an executive’s appointment to the ELG. The ELG RSU award acts as both a retention vehicle and cash severance replacement tool. The HCC Committee believes ELG RSUs more closely align our executives with the interest of our shareowners than a cash severance payment would.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ELG RSU awards vest only if there is a qualifying separation (defined on page 60) and the executive enters into an agreement containing certain restrictive covenants (explained on page 60). ELG RSUs earn dividend equivalents during the vesting period that are reinvested as additional RSUs each time the Company pays a dividend to shareowners. These RSUs are subject to the same vesting conditions as the underlying award.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Arial;Helvetica;Sans-Serif" w:hAnsi="Arial;Helvetica;Sans-Serif"/>
          <w:b w:val="false"/>
          <w:i w:val="false"/>
          <w:caps w:val="false"/>
          <w:smallCaps w:val="false"/>
          <w:sz w:val="15"/>
        </w:rPr>
      </w:pPr>
      <w:r>
        <w:rPr>
          <w:rFonts w:ascii="Arial;Helvetica;Sans-Serif" w:hAnsi="Arial;Helvetica;Sans-Serif"/>
          <w:b/>
          <w:i w:val="false"/>
          <w:caps w:val="false"/>
          <w:smallCaps w:val="false"/>
          <w:sz w:val="15"/>
        </w:rPr>
        <w:t xml:space="preserve">RTX </w:t>
      </w:r>
      <w:r>
        <w:rPr>
          <w:rFonts w:ascii="Arial;Helvetica;Sans-Serif" w:hAnsi="Arial;Helvetica;Sans-Serif"/>
          <w:b w:val="false"/>
          <w:i w:val="false"/>
          <w:caps w:val="false"/>
          <w:smallCaps w:val="false"/>
          <w:sz w:val="15"/>
        </w:rPr>
        <w:t>2026 PROXY STATEMENT    </w:t>
      </w:r>
      <w:r>
        <w:rPr>
          <w:rFonts w:ascii="Arial;Helvetica;Sans-Serif" w:hAnsi="Arial;Helvetica;Sans-Serif"/>
          <w:b/>
          <w:i w:val="false"/>
          <w:caps w:val="false"/>
          <w:smallCaps w:val="false"/>
          <w:sz w:val="15"/>
        </w:rPr>
        <w:t>59</w:t>
      </w:r>
    </w:p>
    <w:p>
      <w:pPr>
        <w:pStyle w:val="HorizontalLine"/>
        <w:pBdr>
          <w:bottom w:val="double" w:sz="2" w:space="0" w:color="808080"/>
        </w:pBdr>
        <w:bidi w:val="0"/>
        <w:spacing w:before="0" w:after="283"/>
        <w:jc w:val="left"/>
        <w:rPr/>
      </w:pPr>
      <w:r>
        <w:rPr/>
      </w:r>
    </w:p>
    <w:p>
      <w:pPr>
        <w:pStyle w:val="TextBody"/>
        <w:bidi w:val="0"/>
        <w:spacing w:before="200" w:after="200"/>
        <w:jc w:val="left"/>
        <w:rPr/>
      </w:pPr>
      <w:hyperlink w:anchor="toc">
        <w:r>
          <w:rPr>
            <w:rStyle w:val="InternetLink"/>
            <w:rFonts w:ascii="Arial;Helvetica;Sans-Serif" w:hAnsi="Arial;Helvetica;Sans-Serif"/>
            <w:b/>
            <w:i w:val="false"/>
            <w:caps w:val="false"/>
            <w:smallCaps w:val="false"/>
            <w:sz w:val="16"/>
          </w:rPr>
          <w:t>Table of Contents</w:t>
        </w:r>
      </w:hyperlink>
    </w:p>
    <w:p>
      <w:pPr>
        <w:pStyle w:val="TextBody"/>
        <w:bidi w:val="0"/>
        <w:spacing w:before="0" w:after="0"/>
        <w:ind w:left="0" w:right="0" w:hanging="0"/>
        <w:jc w:val="left"/>
        <w:rPr>
          <w:rFonts w:ascii="Arial;Helvetica;Sans-Serif" w:hAnsi="Arial;Helvetica;Sans-Serif"/>
          <w:b/>
          <w:i w:val="false"/>
          <w:caps w:val="false"/>
          <w:smallCaps w:val="false"/>
          <w:color w:val="C12E33"/>
          <w:sz w:val="15"/>
        </w:rPr>
      </w:pPr>
      <w:r>
        <w:rPr>
          <w:rFonts w:ascii="Arial;Helvetica;Sans-Serif" w:hAnsi="Arial;Helvetica;Sans-Serif"/>
          <w:b/>
          <w:i w:val="false"/>
          <w:caps w:val="false"/>
          <w:smallCaps w:val="false"/>
          <w:color w:val="C12E33"/>
          <w:sz w:val="15"/>
        </w:rPr>
        <w:t>COMPENSATION DISCUSSION AND ANALYSIS</w:t>
      </w:r>
    </w:p>
    <w:p>
      <w:pPr>
        <w:pStyle w:val="TextBody"/>
        <w:bidi w:val="0"/>
        <w:spacing w:before="0" w:after="0"/>
        <w:ind w:left="0" w:right="0" w:hanging="0"/>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OTHER COMPENSATION ELEMENTS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From time to time, the HCC Committee has granted ELG RSU awards to supplement the original ELG RSU award granted upon ELG appointment. These supplemental awards are generally intended to reinforce the long-term retention needs of the Company for certain critical ELG talent, or in conjunction with a role expansion. Supplemental ELG RSUs carry the same terms and conditions as the ELG RSU grant made upon ELG appointment.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 xml:space="preserve">Qualifying Separation. </w:t>
      </w:r>
      <w:r>
        <w:rPr>
          <w:rFonts w:ascii="Arial;Helvetica;Sans-Serif" w:hAnsi="Arial;Helvetica;Sans-Serif"/>
          <w:b w:val="false"/>
          <w:i w:val="false"/>
          <w:caps w:val="false"/>
          <w:smallCaps w:val="false"/>
          <w:sz w:val="20"/>
        </w:rPr>
        <w:t>Under the ELG program, a “qualifying separation” is defined as: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pPr>
            <w:r>
              <w:rPr/>
              <w:t xml:space="preserve">A mutually agreeable separation from the Company, including an ELG member’s position being eliminated or diminished by a divestiture, restructuring, shift in priorities or similar event following three years of ELG membership; </w:t>
            </w:r>
          </w:p>
        </w:tc>
      </w:tr>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pPr>
            <w:r>
              <w:rPr/>
              <w:t xml:space="preserve">Retirement on or after age 62 following three years of ELG membership; or </w:t>
            </w:r>
          </w:p>
        </w:tc>
      </w:tr>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pPr>
            <w:r>
              <w:rPr/>
              <w:t>Involuntary (not for cause) or voluntary (for good reason) terminations within two years after a change-in-control event.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 xml:space="preserve">Restrictive Covenants. </w:t>
      </w:r>
      <w:r>
        <w:rPr>
          <w:rFonts w:ascii="Arial;Helvetica;Sans-Serif" w:hAnsi="Arial;Helvetica;Sans-Serif"/>
          <w:b w:val="false"/>
          <w:i w:val="false"/>
          <w:caps w:val="false"/>
          <w:smallCaps w:val="false"/>
          <w:sz w:val="20"/>
        </w:rPr>
        <w:t>Regardless of whether ELG separation benefits are provided, all ELG members are subject to the following restrictive covenants under the ELG program and/or the terms of the RTX LTIP (as defined below): (i) a duty to protect confidential, sensitive and proprietary information; (ii) a two-year, post-employment employee non-solicitation agreement; (iii) a one-year, post-employment noncompetition agreement; (iv) a two-year, post-employment non-disparagement agreement; and (v) an intellectual property agreement. Where ELG separation benefits are provided, ELG members are subject to: (a) an additional one-year, post-employment noncompetition agreement; (b) a release of claims against the Company; and (c) a post-employment cooperation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RTX CORPORATION LONG-TERM INCENTIVE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Under the RTX Corporation Long-Term Incentive Plan, as amended and restated (“RTX LTIP”), if a change-in-control event occurs and a plan participant has a qualifying termination within two years of that event, the vesting of outstanding LTI awards granted to such participant under the RTX LTIP would accelerate. For performance-based awards, performance goals would be deemed achieved at the greater of actual or target performance levels.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 change-in-control is defined in the RTX LTIP to generally mean: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pPr>
            <w:r>
              <w:rPr/>
              <w:t xml:space="preserve">The acquisition by a person or a group of 20% or more of RTX’s outstanding shares or the combined voting power of RTX’s outstanding voting securities entitled to vote generally in the election of directors; </w:t>
            </w:r>
          </w:p>
        </w:tc>
      </w:tr>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pPr>
            <w:r>
              <w:rPr/>
              <w:t xml:space="preserve">Incumbent directors no longer constituting a majority of the Board; </w:t>
            </w:r>
          </w:p>
        </w:tc>
      </w:tr>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pPr>
            <w:r>
              <w:rPr/>
              <w:t xml:space="preserve">A merger or similar event where RTX shareowners own less than 50% of the voting shares of the new organization; or </w:t>
            </w:r>
          </w:p>
        </w:tc>
      </w:tr>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pPr>
            <w:r>
              <w:rPr/>
              <w:t>A complete liquidation or dissolution is approved by RTX’s shareowners.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 qualifying termination is defined in the RTX LTIP to mean:</w:t>
      </w:r>
    </w:p>
    <w:p>
      <w:pPr>
        <w:pStyle w:val="TextBody"/>
        <w:bidi w:val="0"/>
        <w:spacing w:before="0" w:after="0"/>
        <w:ind w:left="0" w:right="0" w:hanging="0"/>
        <w:jc w:val="left"/>
        <w:rPr>
          <w:caps w:val="false"/>
          <w:smallCaps w:val="false"/>
        </w:rPr>
      </w:pPr>
      <w:r>
        <w:rPr>
          <w:caps w:val="false"/>
          <w:smallCaps w:val="false"/>
        </w:rPr>
        <w:t> </w:t>
      </w:r>
    </w:p>
    <w:tbl>
      <w:tblPr>
        <w:tblW w:w="6520" w:type="dxa"/>
        <w:jc w:val="left"/>
        <w:tblInd w:w="0" w:type="dxa"/>
        <w:tblLayout w:type="fixed"/>
        <w:tblCellMar>
          <w:top w:w="0" w:type="dxa"/>
          <w:left w:w="0" w:type="dxa"/>
          <w:bottom w:w="0" w:type="dxa"/>
          <w:right w:w="0" w:type="dxa"/>
        </w:tblCellMar>
      </w:tblPr>
      <w:tblGrid>
        <w:gridCol w:w="185"/>
        <w:gridCol w:w="6335"/>
      </w:tblGrid>
      <w:tr>
        <w:trPr/>
        <w:tc>
          <w:tcPr>
            <w:tcW w:w="185" w:type="dxa"/>
            <w:tcBorders/>
            <w:vAlign w:val="center"/>
          </w:tcPr>
          <w:p>
            <w:pPr>
              <w:pStyle w:val="TableContents"/>
              <w:bidi w:val="0"/>
              <w:spacing w:before="0" w:after="283"/>
              <w:jc w:val="left"/>
              <w:rPr/>
            </w:pPr>
            <w:r>
              <w:rPr/>
              <w:t>●</w:t>
            </w:r>
          </w:p>
        </w:tc>
        <w:tc>
          <w:tcPr>
            <w:tcW w:w="6335" w:type="dxa"/>
            <w:tcBorders/>
            <w:vAlign w:val="center"/>
          </w:tcPr>
          <w:p>
            <w:pPr>
              <w:pStyle w:val="TableContents"/>
              <w:bidi w:val="0"/>
              <w:spacing w:before="0" w:after="283"/>
              <w:jc w:val="left"/>
              <w:rPr/>
            </w:pPr>
            <w:r>
              <w:rPr/>
              <w:t>An involuntary (not for cause) termination; or</w:t>
            </w:r>
          </w:p>
        </w:tc>
      </w:tr>
      <w:tr>
        <w:trPr/>
        <w:tc>
          <w:tcPr>
            <w:tcW w:w="185" w:type="dxa"/>
            <w:tcBorders/>
            <w:vAlign w:val="center"/>
          </w:tcPr>
          <w:p>
            <w:pPr>
              <w:pStyle w:val="TableContents"/>
              <w:bidi w:val="0"/>
              <w:spacing w:before="0" w:after="283"/>
              <w:jc w:val="left"/>
              <w:rPr/>
            </w:pPr>
            <w:r>
              <w:rPr/>
              <w:t>●</w:t>
            </w:r>
          </w:p>
        </w:tc>
        <w:tc>
          <w:tcPr>
            <w:tcW w:w="6335" w:type="dxa"/>
            <w:tcBorders/>
            <w:vAlign w:val="center"/>
          </w:tcPr>
          <w:p>
            <w:pPr>
              <w:pStyle w:val="TableContents"/>
              <w:bidi w:val="0"/>
              <w:spacing w:before="0" w:after="283"/>
              <w:jc w:val="left"/>
              <w:rPr/>
            </w:pPr>
            <w:r>
              <w:rPr/>
              <w:t>A voluntary termination for “good reason” (as defined in the plan).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15"/>
        </w:rPr>
      </w:pPr>
      <w:r>
        <w:rPr>
          <w:rFonts w:ascii="Arial;Helvetica;Sans-Serif" w:hAnsi="Arial;Helvetica;Sans-Serif"/>
          <w:b/>
          <w:i w:val="false"/>
          <w:caps w:val="false"/>
          <w:smallCaps w:val="false"/>
          <w:sz w:val="15"/>
        </w:rPr>
        <w:t xml:space="preserve">60    RTX </w:t>
      </w:r>
      <w:r>
        <w:rPr>
          <w:rFonts w:ascii="Arial;Helvetica;Sans-Serif" w:hAnsi="Arial;Helvetica;Sans-Serif"/>
          <w:b w:val="false"/>
          <w:i w:val="false"/>
          <w:caps w:val="false"/>
          <w:smallCaps w:val="false"/>
          <w:sz w:val="15"/>
        </w:rPr>
        <w:t>2026 PROXY STATEMENT</w:t>
      </w:r>
    </w:p>
    <w:p>
      <w:pPr>
        <w:pStyle w:val="HorizontalLine"/>
        <w:pBdr>
          <w:bottom w:val="double" w:sz="2" w:space="0" w:color="808080"/>
        </w:pBdr>
        <w:bidi w:val="0"/>
        <w:spacing w:before="0" w:after="283"/>
        <w:jc w:val="left"/>
        <w:rPr/>
      </w:pPr>
      <w:r>
        <w:rPr/>
      </w:r>
    </w:p>
    <w:p>
      <w:pPr>
        <w:pStyle w:val="TextBody"/>
        <w:bidi w:val="0"/>
        <w:spacing w:before="200" w:after="200"/>
        <w:jc w:val="left"/>
        <w:rPr/>
      </w:pPr>
      <w:hyperlink w:anchor="toc">
        <w:r>
          <w:rPr>
            <w:rStyle w:val="InternetLink"/>
            <w:rFonts w:ascii="Arial;Helvetica;Sans-Serif" w:hAnsi="Arial;Helvetica;Sans-Serif"/>
            <w:b/>
            <w:i w:val="false"/>
            <w:caps w:val="false"/>
            <w:smallCaps w:val="false"/>
            <w:sz w:val="16"/>
          </w:rPr>
          <w:t>Table of Contents</w:t>
        </w:r>
      </w:hyperlink>
    </w:p>
    <w:p>
      <w:pPr>
        <w:pStyle w:val="TextBody"/>
        <w:bidi w:val="0"/>
        <w:spacing w:before="0" w:after="0"/>
        <w:ind w:left="0" w:right="0" w:hanging="0"/>
        <w:jc w:val="right"/>
        <w:rPr>
          <w:rFonts w:ascii="Arial;Helvetica;Sans-Serif" w:hAnsi="Arial;Helvetica;Sans-Serif"/>
          <w:b/>
          <w:i w:val="false"/>
          <w:caps w:val="false"/>
          <w:smallCaps w:val="false"/>
          <w:color w:val="C12E33"/>
          <w:sz w:val="15"/>
        </w:rPr>
      </w:pPr>
      <w:r>
        <w:rPr>
          <w:rFonts w:ascii="Arial;Helvetica;Sans-Serif" w:hAnsi="Arial;Helvetica;Sans-Serif"/>
          <w:b/>
          <w:i w:val="false"/>
          <w:caps w:val="false"/>
          <w:smallCaps w:val="false"/>
          <w:color w:val="C12E33"/>
          <w:sz w:val="15"/>
        </w:rPr>
        <w:t>COMPENSATION DISCUSSION AND ANALYSIS</w:t>
      </w:r>
    </w:p>
    <w:p>
      <w:pPr>
        <w:pStyle w:val="TextBody"/>
        <w:bidi w:val="0"/>
        <w:spacing w:before="0" w:after="0"/>
        <w:ind w:left="0" w:right="0" w:hanging="0"/>
        <w:jc w:val="righ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OTHER EXECUTIVE COMPENSATION POLICIES AND PRACTICES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color w:val="C12E33"/>
          <w:sz w:val="36"/>
        </w:rPr>
      </w:pPr>
      <w:bookmarkStart w:id="38" w:name="rtx014050a016"/>
      <w:bookmarkStart w:id="39" w:name="rtx014050_def14ab019"/>
      <w:bookmarkEnd w:id="38"/>
      <w:bookmarkEnd w:id="39"/>
      <w:r>
        <w:rPr>
          <w:rFonts w:ascii="Arial;Helvetica;Sans-Serif" w:hAnsi="Arial;Helvetica;Sans-Serif"/>
          <w:b/>
          <w:i w:val="false"/>
          <w:caps w:val="false"/>
          <w:smallCaps w:val="false"/>
          <w:color w:val="C12E33"/>
          <w:sz w:val="36"/>
        </w:rPr>
        <w:t>Other Executive Compensation Policies and Practices</w:t>
      </w:r>
    </w:p>
    <w:p>
      <w:pPr>
        <w:pStyle w:val="TextBody"/>
        <w:bidi w:val="0"/>
        <w:spacing w:before="0" w:after="0"/>
        <w:ind w:left="0" w:right="0" w:hanging="0"/>
        <w:jc w:val="left"/>
        <w:rPr>
          <w:caps w:val="false"/>
          <w:smallCaps w:val="false"/>
          <w:color w:val="C12E33"/>
        </w:rPr>
      </w:pPr>
      <w:r>
        <w:rPr>
          <w:caps w:val="false"/>
          <w:smallCaps w:val="false"/>
          <w:color w:val="C12E33"/>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have adopted a number of practices and policies to help ensure that our executive compensation program operates as intended and aligns with our Guiding Principles (see page 42). In addition, the HCC Committee identifies, monitors and mitigates compensation risk in a number of important ways, as summarized on page 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34"/>
        </w:rPr>
      </w:pPr>
      <w:bookmarkStart w:id="40" w:name="rtx014050_def14ab020"/>
      <w:bookmarkEnd w:id="40"/>
      <w:r>
        <w:rPr>
          <w:rFonts w:ascii="Arial;Helvetica;Sans-Serif" w:hAnsi="Arial;Helvetica;Sans-Serif"/>
          <w:b/>
          <w:i w:val="false"/>
          <w:caps w:val="false"/>
          <w:smallCaps w:val="false"/>
          <w:sz w:val="34"/>
        </w:rPr>
        <w:t>Post-Employment Restrictive Covenants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ELG members may not engage in activities after termination or retirement that are detrimental to RTX, such as disclosing proprietary information, soliciting RTX employees or engaging in competitive activities. Violations can result in a clawback of annual and LTI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34"/>
        </w:rPr>
      </w:pPr>
      <w:bookmarkStart w:id="41" w:name="rtx014050_def14ab021"/>
      <w:bookmarkEnd w:id="41"/>
      <w:r>
        <w:rPr>
          <w:rFonts w:ascii="Arial;Helvetica;Sans-Serif" w:hAnsi="Arial;Helvetica;Sans-Serif"/>
          <w:b/>
          <w:i w:val="false"/>
          <w:caps w:val="false"/>
          <w:smallCaps w:val="false"/>
          <w:sz w:val="34"/>
        </w:rPr>
        <w:t>Clawback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RTX CORPORATION CLAWBACK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RTX Corporation Clawback Policy—our comprehensive policy on recoupment of compensation—covers all RTX employees. We have enhanced this policy several times over the years in response to shareowner feedback and to ensure that it continues to meet the evolving needs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Under this policy, in the event of a financial restatement (whether or not this involves misconduct on the part of the employee) or a recalculation of a financial metric affecting an award, the Company has the right to recover from any employee (including our NEOs and officers) annual incentive payments and gains realized from vested LTI awards (including both time-based and performance-based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Clawbacks of annual incentive awards and time-based and performance-based LTI awards, as well as of compensation realized from prior awards, also may be triggered by violations of our Code of Conduct, failure to adhere to employee health and safety standards, violations of post-employment restrictive covenants or the exposure of RTX to excessive risk, as determined under our Enterprise Risk Management program. In addition, we have the right to recover compensation when an employee’s negligence (including negligent supervision of a subordinate) causes significant harm to RTX. If required or otherwise appropriate, the Company may publicly disclose the circumstances surrounding the HCC Committee’s decision to seek recoupment. The Policy can be found on the Corporate Governance page of our website at </w:t>
      </w:r>
      <w:r>
        <w:rPr>
          <w:rFonts w:ascii="Arial;Helvetica;Sans-Serif" w:hAnsi="Arial;Helvetica;Sans-Serif"/>
          <w:b w:val="false"/>
          <w:i w:val="false"/>
          <w:caps w:val="false"/>
          <w:smallCaps w:val="false"/>
          <w:color w:val="C12E33"/>
          <w:sz w:val="20"/>
          <w:u w:val="single"/>
        </w:rPr>
        <w:t>https://www.rtx.com/who-we-are/corporate-governance#documents</w:t>
      </w:r>
      <w:r>
        <w:rPr>
          <w:rFonts w:ascii="Arial;Helvetica;Sans-Serif" w:hAnsi="Arial;Helvetica;San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RTX CORPORATION EXECUTIVE OFFICER CLAWBACK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The RTX Corporation Executive Officer Clawback Policy is intended to comply with Section 10D of the Exchange Act and Section 303A of the NYSE Listed Company Manual. This policy requires the Company to recoup erroneously awarded, covered incentive-based compensation from executive officers (as defined by the SEC) if any restatement is made to correct an error in previously issued financial statements due to material noncompliance with any financial reporting requirement under the securities laws. This policy supplements, but does not replace, the RTX Corporation Clawback Policy and can be found at </w:t>
      </w:r>
      <w:r>
        <w:rPr>
          <w:rFonts w:ascii="Arial;Helvetica;Sans-Serif" w:hAnsi="Arial;Helvetica;Sans-Serif"/>
          <w:b w:val="false"/>
          <w:i w:val="false"/>
          <w:caps w:val="false"/>
          <w:smallCaps w:val="false"/>
          <w:color w:val="C12E33"/>
          <w:sz w:val="20"/>
          <w:u w:val="single"/>
        </w:rPr>
        <w:t>https://www.rtx.com/who-we-are/corporate-governance#documents</w:t>
      </w:r>
      <w:r>
        <w:rPr>
          <w:rFonts w:ascii="Arial;Helvetica;Sans-Serif" w:hAnsi="Arial;Helvetica;San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rFonts w:ascii="Arial;Helvetica;Sans-Serif" w:hAnsi="Arial;Helvetica;Sans-Serif"/>
          <w:b/>
          <w:i w:val="false"/>
          <w:caps w:val="false"/>
          <w:smallCaps w:val="false"/>
          <w:sz w:val="34"/>
        </w:rPr>
      </w:pPr>
      <w:bookmarkStart w:id="42" w:name="rtx014050_def14ab022"/>
      <w:bookmarkEnd w:id="42"/>
      <w:r>
        <w:rPr>
          <w:rFonts w:ascii="Arial;Helvetica;Sans-Serif" w:hAnsi="Arial;Helvetica;Sans-Serif"/>
          <w:b/>
          <w:i w:val="false"/>
          <w:caps w:val="false"/>
          <w:smallCaps w:val="false"/>
          <w:sz w:val="34"/>
        </w:rPr>
        <w:t>Equity Award Granting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In December 2024, the Company adopted the RTX Corporation Equity Award Granting Policy. </w:t>
      </w:r>
      <w:bookmarkStart w:id="43" w:name="xdx_90F_eecd--AwardTmgMnpiCnsdrdFlag_dbT"/>
      <w:bookmarkStart w:id="44" w:name="xdx_901_eecd--AwardTmgHowMnpiCnsdrdTextB"/>
      <w:bookmarkEnd w:id="43"/>
      <w:bookmarkEnd w:id="44"/>
      <w:r>
        <w:rPr>
          <w:rFonts w:ascii="Arial;Helvetica;Sans-Serif" w:hAnsi="Arial;Helvetica;Sans-Serif"/>
          <w:b w:val="false"/>
          <w:i w:val="false"/>
          <w:caps w:val="false"/>
          <w:smallCaps w:val="false"/>
          <w:sz w:val="20"/>
        </w:rPr>
        <w:t>The policy provides that, in order to minimize the risk of award decisions being made while the Company is in possession of material non-public information, it is the Company’s intent to grant equity-based awards on regularly scheduled predetermined dates that fall outside of the period beginning four trading days before, and ending one trading day after, the filing or furnishing of any periodic report on Form 10-Q or Form 10-K, or any current report on Form 8-K that discloses material non-public information (“Grant Restriction Period”).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bookmarkStart w:id="45" w:name="xdx_98C_eecd--AwardTmgMethodTextBlock_c2"/>
      <w:bookmarkEnd w:id="45"/>
      <w:r>
        <w:rPr>
          <w:rFonts w:ascii="Arial;Helvetica;Sans-Serif" w:hAnsi="Arial;Helvetica;Sans-Serif"/>
          <w:b w:val="false"/>
          <w:i w:val="false"/>
          <w:caps w:val="false"/>
          <w:smallCaps w:val="false"/>
          <w:sz w:val="20"/>
        </w:rPr>
        <w:t xml:space="preserve">As outlined in the policy, annual equity-based awards to Company executives are to be granted </w:t>
      </w:r>
      <w:bookmarkStart w:id="46" w:name="xdx_900_eecd--AwardTmgPredtrmndFlag_dbT_"/>
      <w:bookmarkEnd w:id="46"/>
      <w:r>
        <w:rPr>
          <w:rFonts w:ascii="Arial;Helvetica;Sans-Serif" w:hAnsi="Arial;Helvetica;Sans-Serif"/>
          <w:b w:val="false"/>
          <w:i w:val="false"/>
          <w:caps w:val="false"/>
          <w:smallCaps w:val="false"/>
          <w:sz w:val="20"/>
        </w:rPr>
        <w:t>within the two-week period following the first regularly scheduled Board or HCC Committee meeting for the year. From time to time, the Company may also grant equity-based awards in connection with a new hire, promotion, retention or for various other reasons. Such grants are to be made on the first trading day of each month, unless the HCC Committee approves an exception. If such planned date falls within a Grant Restriction Period, the grant date shall be postponed, to the extent practicable, to the first trading day following the Grant Restriction Period. </w:t>
      </w:r>
    </w:p>
    <w:p>
      <w:pPr>
        <w:pStyle w:val="TextBody"/>
        <w:bidi w:val="0"/>
        <w:spacing w:before="0" w:after="0"/>
        <w:ind w:left="0" w:right="0" w:hanging="0"/>
        <w:jc w:val="left"/>
        <w:rPr>
          <w:caps w:val="false"/>
          <w:smallCaps w:val="false"/>
        </w:rPr>
      </w:pPr>
      <w:r>
        <w:rPr>
          <w:caps w:val="false"/>
          <w:smallCaps w:val="false"/>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right"/>
        <w:rPr>
          <w:rFonts w:ascii="Arial;Helvetica;Sans-Serif" w:hAnsi="Arial;Helvetica;Sans-Serif"/>
          <w:b w:val="false"/>
          <w:i w:val="false"/>
          <w:caps w:val="false"/>
          <w:smallCaps w:val="false"/>
          <w:sz w:val="15"/>
        </w:rPr>
      </w:pPr>
      <w:r>
        <w:rPr>
          <w:rFonts w:ascii="Arial;Helvetica;Sans-Serif" w:hAnsi="Arial;Helvetica;Sans-Serif"/>
          <w:b/>
          <w:i w:val="false"/>
          <w:caps w:val="false"/>
          <w:smallCaps w:val="false"/>
          <w:sz w:val="15"/>
        </w:rPr>
        <w:t xml:space="preserve">RTX </w:t>
      </w:r>
      <w:r>
        <w:rPr>
          <w:rFonts w:ascii="Arial;Helvetica;Sans-Serif" w:hAnsi="Arial;Helvetica;Sans-Serif"/>
          <w:b w:val="false"/>
          <w:i w:val="false"/>
          <w:caps w:val="false"/>
          <w:smallCaps w:val="false"/>
          <w:sz w:val="15"/>
        </w:rPr>
        <w:t>2026 PROXY STATEMENT    </w:t>
      </w:r>
      <w:r>
        <w:rPr>
          <w:rFonts w:ascii="Arial;Helvetica;Sans-Serif" w:hAnsi="Arial;Helvetica;Sans-Serif"/>
          <w:b/>
          <w:i w:val="false"/>
          <w:caps w:val="false"/>
          <w:smallCaps w:val="false"/>
          <w:sz w:val="15"/>
        </w:rPr>
        <w:t>61</w:t>
      </w:r>
    </w:p>
    <w:p>
      <w:pPr>
        <w:pStyle w:val="HorizontalLine"/>
        <w:pBdr>
          <w:bottom w:val="double" w:sz="2" w:space="0" w:color="808080"/>
        </w:pBdr>
        <w:bidi w:val="0"/>
        <w:spacing w:before="0" w:after="283"/>
        <w:jc w:val="left"/>
        <w:rPr/>
      </w:pPr>
      <w:r>
        <w:rPr/>
      </w:r>
    </w:p>
    <w:p>
      <w:pPr>
        <w:pStyle w:val="TextBody"/>
        <w:bidi w:val="0"/>
        <w:spacing w:before="200" w:after="200"/>
        <w:jc w:val="left"/>
        <w:rPr/>
      </w:pPr>
      <w:hyperlink w:anchor="toc">
        <w:r>
          <w:rPr>
            <w:rStyle w:val="InternetLink"/>
            <w:rFonts w:ascii="Arial;Helvetica;Sans-Serif" w:hAnsi="Arial;Helvetica;Sans-Serif"/>
            <w:b/>
            <w:i w:val="false"/>
            <w:caps w:val="false"/>
            <w:smallCaps w:val="false"/>
            <w:sz w:val="16"/>
          </w:rPr>
          <w:t>Table of Contents</w:t>
        </w:r>
      </w:hyperlink>
    </w:p>
    <w:p>
      <w:pPr>
        <w:pStyle w:val="TextBody"/>
        <w:bidi w:val="0"/>
        <w:spacing w:before="0" w:after="0"/>
        <w:ind w:left="0" w:right="0" w:hanging="0"/>
        <w:jc w:val="left"/>
        <w:rPr>
          <w:rFonts w:ascii="Arial;Helvetica;Sans-Serif" w:hAnsi="Arial;Helvetica;Sans-Serif"/>
          <w:b/>
          <w:i w:val="false"/>
          <w:caps w:val="false"/>
          <w:smallCaps w:val="false"/>
          <w:color w:val="C12E33"/>
          <w:sz w:val="15"/>
        </w:rPr>
      </w:pPr>
      <w:r>
        <w:rPr>
          <w:rFonts w:ascii="Arial;Helvetica;Sans-Serif" w:hAnsi="Arial;Helvetica;Sans-Serif"/>
          <w:b/>
          <w:i w:val="false"/>
          <w:caps w:val="false"/>
          <w:smallCaps w:val="false"/>
          <w:color w:val="C12E33"/>
          <w:sz w:val="15"/>
        </w:rPr>
        <w:t>COMPENSATION DISCUSSION AND ANALYSIS</w:t>
      </w:r>
    </w:p>
    <w:p>
      <w:pPr>
        <w:pStyle w:val="TextBody"/>
        <w:bidi w:val="0"/>
        <w:spacing w:before="0" w:after="0"/>
        <w:ind w:left="0" w:right="0" w:hanging="0"/>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OTHER EXECUTIVE COMPENSATION POLICIES AND PRACTICES</w:t>
      </w:r>
    </w:p>
    <w:p>
      <w:pPr>
        <w:pStyle w:val="TextBody"/>
        <w:bidi w:val="0"/>
        <w:spacing w:before="0" w:after="0"/>
        <w:ind w:left="0" w:right="0" w:hanging="0"/>
        <w:jc w:val="left"/>
        <w:rPr>
          <w:caps w:val="false"/>
          <w:smallCaps w:val="false"/>
        </w:rPr>
      </w:pPr>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RTX Corporation Board of Directors Deferred Stock Unit Plan outlines the grant timing for non-employee directors. Under the Plan, non-employee directors are granted annual Deferred Stock Unit awards on the date of our Annual Meeting of Shareowners. New directors joining the Board may be granted a whole or partial annual DSU award on the date they join the Board. For Board members appointed to a leadership role outside of the standard Board cycle, the grant date is the date of appointment.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34"/>
        </w:rPr>
      </w:pPr>
      <w:bookmarkStart w:id="47" w:name="rtx014050_def14ab023"/>
      <w:bookmarkEnd w:id="47"/>
      <w:r>
        <w:rPr>
          <w:rFonts w:ascii="Arial;Helvetica;Sans-Serif" w:hAnsi="Arial;Helvetica;Sans-Serif"/>
          <w:b/>
          <w:i w:val="false"/>
          <w:caps w:val="false"/>
          <w:smallCaps w:val="false"/>
          <w:sz w:val="34"/>
        </w:rPr>
        <w:t>Prohibitions on Certain Transactions Involving RTX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RTX does not allow its directors, officers or executives to enter into short sales of RTX Common Stock. Similarly, directors and executive officers may not pledge or assign an interest in RTX Common Stock or other equity interests as collateral for a loan. Transactions in put options, call options or other derivative securities that have the effect of hedging the value of RTX securities are also prohibited, whether or not those securities were granted to or held, directly or indirectly, by the director, officer or employee. In addition, RTX’s LTIP generally prohibits buyouts/repricing of underwater stock options and SARs without shareowner approval.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34"/>
        </w:rPr>
      </w:pPr>
      <w:bookmarkStart w:id="48" w:name="rtx014050_def14ab024"/>
      <w:bookmarkEnd w:id="48"/>
      <w:r>
        <w:rPr>
          <w:rFonts w:ascii="Arial;Helvetica;Sans-Serif" w:hAnsi="Arial;Helvetica;Sans-Serif"/>
          <w:b/>
          <w:i w:val="false"/>
          <w:caps w:val="false"/>
          <w:smallCaps w:val="false"/>
          <w:sz w:val="34"/>
        </w:rPr>
        <w:t>Employment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As a general matter, the HCC Committee does not believe that fixed-term executive employment contracts guaranteeing minimum levels of compensation over multiple years enhance shareowner value. Accordingly, our U.S.-based executives do not have such contracts. However, in rare cases involving mergers and acquisitions, the HCC Committee has found such contracts to be in the Company’s best interests. In addition, over the years, the Company has acquired companies whose employees have existing contractual agreements. We also enter into employment agreements with executives based outside the U.S. when local regulations and practices require such agreements.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34"/>
        </w:rPr>
      </w:pPr>
      <w:bookmarkStart w:id="49" w:name="rtx014050_def14ab025"/>
      <w:bookmarkEnd w:id="49"/>
      <w:r>
        <w:rPr>
          <w:rFonts w:ascii="Arial;Helvetica;Sans-Serif" w:hAnsi="Arial;Helvetica;Sans-Serif"/>
          <w:b/>
          <w:i w:val="false"/>
          <w:caps w:val="false"/>
          <w:smallCaps w:val="false"/>
          <w:sz w:val="34"/>
        </w:rPr>
        <w:t>Tax Deductibility of Incentive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While the HCC Committee considers corporate tax deductibility as one of several relevant factors in determining compensation, it retains the flexibility to design and maintain executive compensation arrangements that it believes will attract and retain executive talent, even if such compensation is not deductible by the Company for federal income tax purposes. For 2025, RTX’s deduction is limited to $1 million for annual compensation paid to each of our NEOs, as defined in IRC Section 162(m).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15"/>
        </w:rPr>
      </w:pPr>
      <w:r>
        <w:rPr>
          <w:rFonts w:ascii="Arial;Helvetica;Sans-Serif" w:hAnsi="Arial;Helvetica;Sans-Serif"/>
          <w:b/>
          <w:i w:val="false"/>
          <w:caps w:val="false"/>
          <w:smallCaps w:val="false"/>
          <w:sz w:val="15"/>
        </w:rPr>
        <w:t xml:space="preserve">62    RTX </w:t>
      </w:r>
      <w:r>
        <w:rPr>
          <w:rFonts w:ascii="Arial;Helvetica;Sans-Serif" w:hAnsi="Arial;Helvetica;Sans-Serif"/>
          <w:b w:val="false"/>
          <w:i w:val="false"/>
          <w:caps w:val="false"/>
          <w:smallCaps w:val="false"/>
          <w:sz w:val="15"/>
        </w:rPr>
        <w:t>2026 PROXY STATEMENT</w:t>
      </w:r>
    </w:p>
    <w:p>
      <w:pPr>
        <w:pStyle w:val="HorizontalLine"/>
        <w:pBdr>
          <w:bottom w:val="double" w:sz="2" w:space="0" w:color="808080"/>
        </w:pBdr>
        <w:bidi w:val="0"/>
        <w:spacing w:before="0" w:after="283"/>
        <w:jc w:val="left"/>
        <w:rPr/>
      </w:pPr>
      <w:r>
        <w:rPr/>
      </w:r>
    </w:p>
    <w:p>
      <w:pPr>
        <w:pStyle w:val="TextBody"/>
        <w:bidi w:val="0"/>
        <w:spacing w:before="200" w:after="200"/>
        <w:jc w:val="left"/>
        <w:rPr/>
      </w:pPr>
      <w:hyperlink w:anchor="toc">
        <w:r>
          <w:rPr>
            <w:rStyle w:val="InternetLink"/>
            <w:rFonts w:ascii="Arial;Helvetica;Sans-Serif" w:hAnsi="Arial;Helvetica;Sans-Serif"/>
            <w:b/>
            <w:i w:val="false"/>
            <w:caps w:val="false"/>
            <w:smallCaps w:val="false"/>
            <w:sz w:val="16"/>
          </w:rPr>
          <w:t>Table of Contents</w:t>
        </w:r>
      </w:hyperlink>
    </w:p>
    <w:p>
      <w:pPr>
        <w:pStyle w:val="TextBody"/>
        <w:bidi w:val="0"/>
        <w:spacing w:before="0" w:after="0"/>
        <w:ind w:left="0" w:right="0" w:hanging="0"/>
        <w:jc w:val="left"/>
        <w:rPr>
          <w:rFonts w:ascii="Arial;Helvetica;Sans-Serif" w:hAnsi="Arial;Helvetica;Sans-Serif"/>
          <w:b/>
          <w:i w:val="false"/>
          <w:caps w:val="false"/>
          <w:smallCaps w:val="false"/>
          <w:sz w:val="56"/>
        </w:rPr>
      </w:pPr>
      <w:bookmarkStart w:id="50" w:name="rtx014050a017"/>
      <w:bookmarkEnd w:id="50"/>
      <w:r>
        <w:rPr>
          <w:rFonts w:ascii="Arial;Helvetica;Sans-Serif" w:hAnsi="Arial;Helvetica;Sans-Serif"/>
          <w:b/>
          <w:i w:val="false"/>
          <w:caps w:val="false"/>
          <w:smallCaps w:val="false"/>
          <w:sz w:val="56"/>
        </w:rPr>
        <w:t>Report of the Human Capital &amp;</w:t>
        <w:br/>
        <w:t>Compensation Committee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160" w:type="dxa"/>
          <w:left w:w="0" w:type="dxa"/>
          <w:bottom w:w="0" w:type="dxa"/>
          <w:right w:w="0" w:type="dxa"/>
        </w:tblCellMar>
      </w:tblPr>
      <w:tblGrid>
        <w:gridCol w:w="10205"/>
      </w:tblGrid>
      <w:tr>
        <w:trPr/>
        <w:tc>
          <w:tcPr>
            <w:tcW w:w="10205" w:type="dxa"/>
            <w:tcBorders>
              <w:top w:val="single" w:sz="12" w:space="0" w:color="C12E33"/>
            </w:tcBorders>
            <w:shd w:fill="EDEDEE" w:val="clear"/>
            <w:vAlign w:val="center"/>
          </w:tcPr>
          <w:p>
            <w:pPr>
              <w:pStyle w:val="TableContents"/>
              <w:bidi w:val="0"/>
              <w:spacing w:before="0" w:after="283"/>
              <w:jc w:val="left"/>
              <w:rPr/>
            </w:pPr>
            <w:r>
              <w:rPr/>
              <w:t>The Human Capital &amp; Compensation Committee establishes and oversees the design and function of RTX’s executive compensation program. We have reviewed and discussed the foregoing Compensation Discussion and Analysis with the management of the Company and have recommended to the Board of Directors that the Compensation Discussion and Analysis be included in RTX’s Proxy Statement for the 2026 Annual Meeting of Shareowners.</w:t>
            </w:r>
          </w:p>
        </w:tc>
      </w:tr>
    </w:tbl>
    <w:p>
      <w:pPr>
        <w:pStyle w:val="TextBody"/>
        <w:bidi w:val="0"/>
        <w:spacing w:before="0" w:after="0"/>
        <w:ind w:left="0" w:right="0" w:hanging="0"/>
        <w:jc w:val="left"/>
        <w:rPr>
          <w:caps w:val="false"/>
          <w:smallCaps w:val="false"/>
        </w:rPr>
      </w:pPr>
      <w:r>
        <w:rPr>
          <w:caps w:val="false"/>
          <w:smallCaps w:val="false"/>
        </w:rPr>
        <w:t> </w:t>
      </w:r>
    </w:p>
    <w:tbl>
      <w:tblPr>
        <w:tblW w:w="6789" w:type="dxa"/>
        <w:jc w:val="left"/>
        <w:tblInd w:w="0" w:type="dxa"/>
        <w:tblLayout w:type="fixed"/>
        <w:tblCellMar>
          <w:top w:w="0" w:type="dxa"/>
          <w:left w:w="0" w:type="dxa"/>
          <w:bottom w:w="40" w:type="dxa"/>
          <w:right w:w="0" w:type="dxa"/>
        </w:tblCellMar>
      </w:tblPr>
      <w:tblGrid>
        <w:gridCol w:w="1129"/>
        <w:gridCol w:w="3435"/>
        <w:gridCol w:w="60"/>
        <w:gridCol w:w="2165"/>
      </w:tblGrid>
      <w:tr>
        <w:trPr/>
        <w:tc>
          <w:tcPr>
            <w:tcW w:w="4564" w:type="dxa"/>
            <w:gridSpan w:val="2"/>
            <w:tcBorders>
              <w:bottom w:val="single" w:sz="2" w:space="0" w:color="636466"/>
            </w:tcBorders>
            <w:vAlign w:val="center"/>
          </w:tcPr>
          <w:p>
            <w:pPr>
              <w:pStyle w:val="TableContents"/>
              <w:bidi w:val="0"/>
              <w:spacing w:before="0" w:after="283"/>
              <w:jc w:val="left"/>
              <w:rPr>
                <w:b/>
              </w:rPr>
            </w:pPr>
            <w:r>
              <w:rPr>
                <w:b/>
              </w:rPr>
              <w:t>Human Capital &amp; Compensation Committee</w:t>
            </w:r>
          </w:p>
        </w:tc>
        <w:tc>
          <w:tcPr>
            <w:tcW w:w="60" w:type="dxa"/>
            <w:tcBorders>
              <w:bottom w:val="single" w:sz="2" w:space="0" w:color="636466"/>
            </w:tcBorders>
            <w:vAlign w:val="center"/>
          </w:tcPr>
          <w:p>
            <w:pPr>
              <w:pStyle w:val="TableContents"/>
              <w:bidi w:val="0"/>
              <w:spacing w:before="0" w:after="283"/>
              <w:jc w:val="left"/>
              <w:rPr/>
            </w:pPr>
            <w:r>
              <w:rPr/>
              <w:t> </w:t>
            </w:r>
          </w:p>
        </w:tc>
        <w:tc>
          <w:tcPr>
            <w:tcW w:w="2165" w:type="dxa"/>
            <w:tcBorders>
              <w:bottom w:val="single" w:sz="2" w:space="0" w:color="636466"/>
            </w:tcBorders>
            <w:vAlign w:val="center"/>
          </w:tcPr>
          <w:p>
            <w:pPr>
              <w:pStyle w:val="TableContents"/>
              <w:bidi w:val="0"/>
              <w:spacing w:before="0" w:after="283"/>
              <w:jc w:val="left"/>
              <w:rPr/>
            </w:pPr>
            <w:r>
              <w:rPr/>
              <w:t> </w:t>
            </w:r>
          </w:p>
        </w:tc>
      </w:tr>
      <w:tr>
        <w:trPr/>
        <w:tc>
          <w:tcPr>
            <w:tcW w:w="1129" w:type="dxa"/>
            <w:vMerge w:val="restart"/>
            <w:tcBorders/>
            <w:tcMar>
              <w:bottom w:w="0" w:type="dxa"/>
            </w:tcMar>
            <w:vAlign w:val="center"/>
          </w:tcPr>
          <w:p>
            <w:pPr>
              <w:pStyle w:val="TableContents"/>
              <w:bidi w:val="0"/>
              <w:spacing w:before="0" w:after="283"/>
              <w:jc w:val="center"/>
              <w:rPr/>
            </w:pPr>
            <w:r>
              <w:rPr/>
              <w:drawing>
                <wp:inline distT="0" distB="0" distL="0" distR="0">
                  <wp:extent cx="542925" cy="1847850"/>
                  <wp:effectExtent l="0" t="0" r="0" b="0"/>
                  <wp:docPr id="358" name="Image2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8" name="Image233" descr=""/>
                          <pic:cNvPicPr>
                            <a:picLocks noChangeAspect="1" noChangeArrowheads="1"/>
                          </pic:cNvPicPr>
                        </pic:nvPicPr>
                        <pic:blipFill>
                          <a:blip r:embed="rId289"/>
                          <a:stretch>
                            <a:fillRect/>
                          </a:stretch>
                        </pic:blipFill>
                        <pic:spPr bwMode="auto">
                          <a:xfrm>
                            <a:off x="0" y="0"/>
                            <a:ext cx="542925" cy="1847850"/>
                          </a:xfrm>
                          <a:prstGeom prst="rect">
                            <a:avLst/>
                          </a:prstGeom>
                        </pic:spPr>
                      </pic:pic>
                    </a:graphicData>
                  </a:graphic>
                </wp:inline>
              </w:drawing>
            </w:r>
          </w:p>
        </w:tc>
        <w:tc>
          <w:tcPr>
            <w:tcW w:w="3435" w:type="dxa"/>
            <w:tcBorders>
              <w:left w:val="single" w:sz="2" w:space="0" w:color="636466"/>
              <w:right w:val="single" w:sz="2" w:space="0" w:color="636466"/>
            </w:tcBorders>
            <w:tcMar>
              <w:left w:w="300" w:type="dxa"/>
              <w:bottom w:w="0" w:type="dxa"/>
              <w:right w:w="28" w:type="dxa"/>
            </w:tcMar>
            <w:vAlign w:val="center"/>
          </w:tcPr>
          <w:p>
            <w:pPr>
              <w:pStyle w:val="TableContents"/>
              <w:bidi w:val="0"/>
              <w:spacing w:before="0" w:after="283"/>
              <w:jc w:val="left"/>
              <w:rPr>
                <w:b/>
              </w:rPr>
            </w:pPr>
            <w:r>
              <w:rPr>
                <w:b/>
              </w:rPr>
              <w:t>Tracy A. Atkinson, Chair</w:t>
            </w:r>
          </w:p>
        </w:tc>
        <w:tc>
          <w:tcPr>
            <w:tcW w:w="60" w:type="dxa"/>
            <w:tcBorders/>
            <w:tcMar>
              <w:bottom w:w="0" w:type="dxa"/>
            </w:tcMar>
            <w:vAlign w:val="center"/>
          </w:tcPr>
          <w:p>
            <w:pPr>
              <w:pStyle w:val="TableContents"/>
              <w:bidi w:val="0"/>
              <w:spacing w:before="0" w:after="283"/>
              <w:jc w:val="left"/>
              <w:rPr/>
            </w:pPr>
            <w:r>
              <w:rPr/>
              <w:t> </w:t>
            </w:r>
          </w:p>
        </w:tc>
        <w:tc>
          <w:tcPr>
            <w:tcW w:w="2165" w:type="dxa"/>
            <w:tcBorders/>
            <w:tcMar>
              <w:bottom w:w="0" w:type="dxa"/>
            </w:tcMar>
            <w:vAlign w:val="center"/>
          </w:tcPr>
          <w:p>
            <w:pPr>
              <w:pStyle w:val="TableContents"/>
              <w:bidi w:val="0"/>
              <w:spacing w:before="0" w:after="283"/>
              <w:jc w:val="left"/>
              <w:rPr>
                <w:b/>
              </w:rPr>
            </w:pPr>
            <w:r>
              <w:rPr>
                <w:b/>
              </w:rPr>
              <w:t xml:space="preserve">Fredric G. Reynolds </w:t>
            </w:r>
          </w:p>
        </w:tc>
      </w:tr>
      <w:tr>
        <w:trPr/>
        <w:tc>
          <w:tcPr>
            <w:tcW w:w="1129" w:type="dxa"/>
            <w:vMerge w:val="continue"/>
            <w:tcBorders/>
            <w:tcMar>
              <w:bottom w:w="0" w:type="dxa"/>
            </w:tcMar>
            <w:vAlign w:val="center"/>
          </w:tcPr>
          <w:p>
            <w:pPr>
              <w:pStyle w:val="Normal"/>
              <w:bidi w:val="0"/>
              <w:jc w:val="left"/>
              <w:rPr/>
            </w:pPr>
            <w:r>
              <w:rPr/>
            </w:r>
          </w:p>
        </w:tc>
        <w:tc>
          <w:tcPr>
            <w:tcW w:w="3435" w:type="dxa"/>
            <w:tcBorders>
              <w:left w:val="single" w:sz="2" w:space="0" w:color="636466"/>
              <w:right w:val="single" w:sz="2" w:space="0" w:color="636466"/>
            </w:tcBorders>
            <w:tcMar>
              <w:left w:w="300" w:type="dxa"/>
              <w:bottom w:w="0" w:type="dxa"/>
              <w:right w:w="28" w:type="dxa"/>
            </w:tcMar>
            <w:vAlign w:val="center"/>
          </w:tcPr>
          <w:p>
            <w:pPr>
              <w:pStyle w:val="TableContents"/>
              <w:bidi w:val="0"/>
              <w:spacing w:before="0" w:after="283"/>
              <w:jc w:val="left"/>
              <w:rPr>
                <w:b/>
              </w:rPr>
            </w:pPr>
            <w:r>
              <w:rPr>
                <w:b/>
              </w:rPr>
              <w:t>George R. Oliver</w:t>
            </w:r>
          </w:p>
        </w:tc>
        <w:tc>
          <w:tcPr>
            <w:tcW w:w="60" w:type="dxa"/>
            <w:tcBorders/>
            <w:tcMar>
              <w:bottom w:w="0" w:type="dxa"/>
            </w:tcMar>
            <w:vAlign w:val="center"/>
          </w:tcPr>
          <w:p>
            <w:pPr>
              <w:pStyle w:val="TableContents"/>
              <w:bidi w:val="0"/>
              <w:spacing w:before="0" w:after="283"/>
              <w:jc w:val="left"/>
              <w:rPr/>
            </w:pPr>
            <w:r>
              <w:rPr/>
              <w:t> </w:t>
            </w:r>
          </w:p>
        </w:tc>
        <w:tc>
          <w:tcPr>
            <w:tcW w:w="2165" w:type="dxa"/>
            <w:tcBorders/>
            <w:tcMar>
              <w:bottom w:w="0" w:type="dxa"/>
            </w:tcMar>
            <w:vAlign w:val="center"/>
          </w:tcPr>
          <w:p>
            <w:pPr>
              <w:pStyle w:val="TableContents"/>
              <w:bidi w:val="0"/>
              <w:spacing w:before="0" w:after="283"/>
              <w:jc w:val="left"/>
              <w:rPr>
                <w:b/>
              </w:rPr>
            </w:pPr>
            <w:r>
              <w:rPr>
                <w:b/>
              </w:rPr>
              <w:t>Brian C. Rogers</w:t>
            </w:r>
          </w:p>
        </w:tc>
      </w:tr>
      <w:tr>
        <w:trPr/>
        <w:tc>
          <w:tcPr>
            <w:tcW w:w="1129" w:type="dxa"/>
            <w:vMerge w:val="continue"/>
            <w:tcBorders/>
            <w:tcMar>
              <w:bottom w:w="0" w:type="dxa"/>
            </w:tcMar>
            <w:vAlign w:val="center"/>
          </w:tcPr>
          <w:p>
            <w:pPr>
              <w:pStyle w:val="Normal"/>
              <w:bidi w:val="0"/>
              <w:jc w:val="left"/>
              <w:rPr/>
            </w:pPr>
            <w:r>
              <w:rPr/>
            </w:r>
          </w:p>
        </w:tc>
        <w:tc>
          <w:tcPr>
            <w:tcW w:w="3435" w:type="dxa"/>
            <w:tcBorders>
              <w:left w:val="single" w:sz="2" w:space="0" w:color="636466"/>
              <w:right w:val="single" w:sz="2" w:space="0" w:color="636466"/>
            </w:tcBorders>
            <w:tcMar>
              <w:left w:w="300" w:type="dxa"/>
              <w:bottom w:w="0" w:type="dxa"/>
              <w:right w:w="28" w:type="dxa"/>
            </w:tcMar>
            <w:vAlign w:val="center"/>
          </w:tcPr>
          <w:p>
            <w:pPr>
              <w:pStyle w:val="TableContents"/>
              <w:bidi w:val="0"/>
              <w:spacing w:before="0" w:after="283"/>
              <w:jc w:val="left"/>
              <w:rPr>
                <w:b/>
              </w:rPr>
            </w:pPr>
            <w:r>
              <w:rPr>
                <w:b/>
              </w:rPr>
              <w:t>Ellen M. Pawlikowski</w:t>
            </w:r>
          </w:p>
        </w:tc>
        <w:tc>
          <w:tcPr>
            <w:tcW w:w="60" w:type="dxa"/>
            <w:tcBorders/>
            <w:tcMar>
              <w:bottom w:w="0" w:type="dxa"/>
            </w:tcMar>
            <w:vAlign w:val="center"/>
          </w:tcPr>
          <w:p>
            <w:pPr>
              <w:pStyle w:val="TableContents"/>
              <w:bidi w:val="0"/>
              <w:spacing w:before="0" w:after="283"/>
              <w:jc w:val="left"/>
              <w:rPr/>
            </w:pPr>
            <w:r>
              <w:rPr/>
              <w:t> </w:t>
            </w:r>
          </w:p>
        </w:tc>
        <w:tc>
          <w:tcPr>
            <w:tcW w:w="216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Arial;Helvetica;Sans-Serif" w:hAnsi="Arial;Helvetica;Sans-Serif"/>
          <w:b w:val="false"/>
          <w:i w:val="false"/>
          <w:caps w:val="false"/>
          <w:smallCaps w:val="false"/>
          <w:sz w:val="15"/>
        </w:rPr>
      </w:pPr>
      <w:r>
        <w:rPr>
          <w:rFonts w:ascii="Arial;Helvetica;Sans-Serif" w:hAnsi="Arial;Helvetica;Sans-Serif"/>
          <w:b/>
          <w:i w:val="false"/>
          <w:caps w:val="false"/>
          <w:smallCaps w:val="false"/>
          <w:sz w:val="15"/>
        </w:rPr>
        <w:t xml:space="preserve">RTX </w:t>
      </w:r>
      <w:r>
        <w:rPr>
          <w:rFonts w:ascii="Arial;Helvetica;Sans-Serif" w:hAnsi="Arial;Helvetica;Sans-Serif"/>
          <w:b w:val="false"/>
          <w:i w:val="false"/>
          <w:caps w:val="false"/>
          <w:smallCaps w:val="false"/>
          <w:sz w:val="15"/>
        </w:rPr>
        <w:t>2026 PROXY STATEMENT    </w:t>
      </w:r>
      <w:r>
        <w:rPr>
          <w:rFonts w:ascii="Arial;Helvetica;Sans-Serif" w:hAnsi="Arial;Helvetica;Sans-Serif"/>
          <w:b/>
          <w:i w:val="false"/>
          <w:caps w:val="false"/>
          <w:smallCaps w:val="false"/>
          <w:sz w:val="15"/>
        </w:rPr>
        <w:t>63</w:t>
      </w:r>
    </w:p>
    <w:p>
      <w:pPr>
        <w:pStyle w:val="HorizontalLine"/>
        <w:pBdr>
          <w:bottom w:val="double" w:sz="2" w:space="0" w:color="808080"/>
        </w:pBdr>
        <w:bidi w:val="0"/>
        <w:spacing w:before="0" w:after="283"/>
        <w:jc w:val="left"/>
        <w:rPr/>
      </w:pPr>
      <w:r>
        <w:rPr/>
      </w:r>
    </w:p>
    <w:p>
      <w:pPr>
        <w:pStyle w:val="TextBody"/>
        <w:bidi w:val="0"/>
        <w:spacing w:before="200" w:after="200"/>
        <w:jc w:val="left"/>
        <w:rPr/>
      </w:pPr>
      <w:hyperlink w:anchor="toc">
        <w:r>
          <w:rPr>
            <w:rStyle w:val="InternetLink"/>
            <w:rFonts w:ascii="Arial;Helvetica;Sans-Serif" w:hAnsi="Arial;Helvetica;Sans-Serif"/>
            <w:b/>
            <w:i w:val="false"/>
            <w:caps w:val="false"/>
            <w:smallCaps w:val="false"/>
            <w:sz w:val="16"/>
          </w:rPr>
          <w:t>Table of Contents</w:t>
        </w:r>
      </w:hyperlink>
    </w:p>
    <w:p>
      <w:pPr>
        <w:pStyle w:val="TextBody"/>
        <w:bidi w:val="0"/>
        <w:spacing w:before="0" w:after="0"/>
        <w:ind w:left="0" w:right="0" w:hanging="0"/>
        <w:jc w:val="left"/>
        <w:rPr>
          <w:rFonts w:ascii="Arial;Helvetica;Sans-Serif" w:hAnsi="Arial;Helvetica;Sans-Serif"/>
          <w:b/>
          <w:i w:val="false"/>
          <w:caps w:val="false"/>
          <w:smallCaps w:val="false"/>
          <w:sz w:val="56"/>
        </w:rPr>
      </w:pPr>
      <w:bookmarkStart w:id="51" w:name="rtx014050a018"/>
      <w:bookmarkEnd w:id="51"/>
      <w:r>
        <w:rPr>
          <w:rFonts w:ascii="Arial;Helvetica;Sans-Serif" w:hAnsi="Arial;Helvetica;Sans-Serif"/>
          <w:b/>
          <w:i w:val="false"/>
          <w:caps w:val="false"/>
          <w:smallCaps w:val="false"/>
          <w:sz w:val="56"/>
        </w:rPr>
        <w:t>Compensation Tables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34"/>
        </w:rPr>
      </w:pPr>
      <w:r>
        <w:rPr>
          <w:rFonts w:ascii="Arial;Helvetica;Sans-Serif" w:hAnsi="Arial;Helvetica;Sans-Serif"/>
          <w:b/>
          <w:i w:val="false"/>
          <w:caps w:val="false"/>
          <w:smallCaps w:val="false"/>
          <w:sz w:val="34"/>
        </w:rPr>
        <w:t>Summary Compensation Table</w:t>
      </w:r>
    </w:p>
    <w:p>
      <w:pPr>
        <w:pStyle w:val="TextBody"/>
        <w:bidi w:val="0"/>
        <w:spacing w:before="0" w:after="0"/>
        <w:ind w:left="0" w:right="0" w:hanging="0"/>
        <w:jc w:val="left"/>
        <w:rPr>
          <w:caps w:val="false"/>
          <w:smallCaps w:val="false"/>
        </w:rPr>
      </w:pPr>
      <w:r>
        <w:rPr>
          <w:caps w:val="false"/>
          <w:smallCaps w:val="false"/>
        </w:rPr>
        <w:t> </w:t>
      </w:r>
    </w:p>
    <w:tbl>
      <w:tblPr>
        <w:tblW w:w="10270" w:type="dxa"/>
        <w:jc w:val="left"/>
        <w:tblInd w:w="0" w:type="dxa"/>
        <w:tblLayout w:type="fixed"/>
        <w:tblCellMar>
          <w:top w:w="0" w:type="dxa"/>
          <w:left w:w="0" w:type="dxa"/>
          <w:bottom w:w="40" w:type="dxa"/>
          <w:right w:w="0" w:type="dxa"/>
        </w:tblCellMar>
      </w:tblPr>
      <w:tblGrid>
        <w:gridCol w:w="515"/>
        <w:gridCol w:w="300"/>
        <w:gridCol w:w="1100"/>
        <w:gridCol w:w="300"/>
        <w:gridCol w:w="1100"/>
        <w:gridCol w:w="300"/>
        <w:gridCol w:w="1220"/>
        <w:gridCol w:w="300"/>
        <w:gridCol w:w="1100"/>
        <w:gridCol w:w="300"/>
        <w:gridCol w:w="950"/>
        <w:gridCol w:w="300"/>
        <w:gridCol w:w="950"/>
        <w:gridCol w:w="300"/>
        <w:gridCol w:w="1235"/>
      </w:tblGrid>
      <w:tr>
        <w:trPr/>
        <w:tc>
          <w:tcPr>
            <w:tcW w:w="515" w:type="dxa"/>
            <w:tcBorders>
              <w:bottom w:val="single" w:sz="12" w:space="0" w:color="C12E33"/>
            </w:tcBorders>
            <w:vAlign w:val="center"/>
          </w:tcPr>
          <w:p>
            <w:pPr>
              <w:pStyle w:val="TableContents"/>
              <w:bidi w:val="0"/>
              <w:spacing w:before="0" w:after="283"/>
              <w:jc w:val="left"/>
              <w:rPr>
                <w:b/>
                <w:color w:val="636466"/>
                <w:sz w:val="15"/>
              </w:rPr>
            </w:pPr>
            <w:r>
              <w:rPr>
                <w:b/>
                <w:color w:val="636466"/>
                <w:sz w:val="15"/>
              </w:rPr>
              <w:t>Year</w:t>
            </w:r>
          </w:p>
        </w:tc>
        <w:tc>
          <w:tcPr>
            <w:tcW w:w="300" w:type="dxa"/>
            <w:tcBorders>
              <w:bottom w:val="single" w:sz="12" w:space="0" w:color="C12E33"/>
            </w:tcBorders>
            <w:vAlign w:val="center"/>
          </w:tcPr>
          <w:p>
            <w:pPr>
              <w:pStyle w:val="TableContents"/>
              <w:bidi w:val="0"/>
              <w:spacing w:before="0" w:after="283"/>
              <w:jc w:val="left"/>
              <w:rPr>
                <w:color w:val="636466"/>
              </w:rPr>
            </w:pPr>
            <w:r>
              <w:rPr>
                <w:color w:val="636466"/>
              </w:rPr>
              <w:t>     </w:t>
            </w:r>
          </w:p>
        </w:tc>
        <w:tc>
          <w:tcPr>
            <w:tcW w:w="1100" w:type="dxa"/>
            <w:tcBorders>
              <w:bottom w:val="single" w:sz="12" w:space="0" w:color="C12E33"/>
            </w:tcBorders>
            <w:vAlign w:val="center"/>
          </w:tcPr>
          <w:p>
            <w:pPr>
              <w:pStyle w:val="TableContents"/>
              <w:bidi w:val="0"/>
              <w:spacing w:before="0" w:after="283"/>
              <w:jc w:val="right"/>
              <w:rPr>
                <w:color w:val="636466"/>
              </w:rPr>
            </w:pPr>
            <w:r>
              <w:rPr>
                <w:b/>
                <w:color w:val="636466"/>
                <w:sz w:val="15"/>
              </w:rPr>
              <w:t>Salary</w:t>
              <w:br/>
              <w:t>($)</w:t>
            </w:r>
            <w:r>
              <w:rPr>
                <w:b/>
                <w:color w:val="636466"/>
                <w:position w:val="5"/>
                <w:sz w:val="12"/>
                <w:sz w:val="15"/>
              </w:rPr>
              <w:t>(1)</w:t>
            </w:r>
          </w:p>
        </w:tc>
        <w:tc>
          <w:tcPr>
            <w:tcW w:w="300" w:type="dxa"/>
            <w:tcBorders>
              <w:bottom w:val="single" w:sz="12" w:space="0" w:color="C12E33"/>
            </w:tcBorders>
            <w:vAlign w:val="center"/>
          </w:tcPr>
          <w:p>
            <w:pPr>
              <w:pStyle w:val="TableContents"/>
              <w:bidi w:val="0"/>
              <w:spacing w:before="0" w:after="283"/>
              <w:jc w:val="right"/>
              <w:rPr>
                <w:color w:val="636466"/>
              </w:rPr>
            </w:pPr>
            <w:r>
              <w:rPr>
                <w:color w:val="636466"/>
              </w:rPr>
              <w:t>     </w:t>
            </w:r>
          </w:p>
        </w:tc>
        <w:tc>
          <w:tcPr>
            <w:tcW w:w="1100" w:type="dxa"/>
            <w:tcBorders>
              <w:bottom w:val="single" w:sz="12" w:space="0" w:color="C12E33"/>
            </w:tcBorders>
            <w:vAlign w:val="center"/>
          </w:tcPr>
          <w:p>
            <w:pPr>
              <w:pStyle w:val="TableContents"/>
              <w:bidi w:val="0"/>
              <w:spacing w:before="0" w:after="283"/>
              <w:jc w:val="right"/>
              <w:rPr>
                <w:color w:val="636466"/>
              </w:rPr>
            </w:pPr>
            <w:r>
              <w:rPr>
                <w:b/>
                <w:color w:val="636466"/>
                <w:sz w:val="15"/>
              </w:rPr>
              <w:t>Bonus</w:t>
              <w:br/>
              <w:t>($)</w:t>
            </w:r>
            <w:r>
              <w:rPr>
                <w:b/>
                <w:color w:val="636466"/>
                <w:position w:val="5"/>
                <w:sz w:val="12"/>
                <w:sz w:val="15"/>
              </w:rPr>
              <w:t>(2)</w:t>
            </w:r>
          </w:p>
        </w:tc>
        <w:tc>
          <w:tcPr>
            <w:tcW w:w="300" w:type="dxa"/>
            <w:tcBorders>
              <w:bottom w:val="single" w:sz="12" w:space="0" w:color="C12E33"/>
            </w:tcBorders>
            <w:vAlign w:val="center"/>
          </w:tcPr>
          <w:p>
            <w:pPr>
              <w:pStyle w:val="TableContents"/>
              <w:bidi w:val="0"/>
              <w:spacing w:before="0" w:after="283"/>
              <w:jc w:val="right"/>
              <w:rPr>
                <w:color w:val="636466"/>
              </w:rPr>
            </w:pPr>
            <w:r>
              <w:rPr>
                <w:color w:val="636466"/>
              </w:rPr>
              <w:t>     </w:t>
            </w:r>
          </w:p>
        </w:tc>
        <w:tc>
          <w:tcPr>
            <w:tcW w:w="1220" w:type="dxa"/>
            <w:tcBorders>
              <w:bottom w:val="single" w:sz="12" w:space="0" w:color="C12E33"/>
            </w:tcBorders>
            <w:vAlign w:val="center"/>
          </w:tcPr>
          <w:p>
            <w:pPr>
              <w:pStyle w:val="TableContents"/>
              <w:bidi w:val="0"/>
              <w:spacing w:before="0" w:after="283"/>
              <w:jc w:val="right"/>
              <w:rPr>
                <w:color w:val="636466"/>
              </w:rPr>
            </w:pPr>
            <w:r>
              <w:rPr>
                <w:b/>
                <w:color w:val="636466"/>
                <w:sz w:val="15"/>
              </w:rPr>
              <w:t>Stock Awards</w:t>
              <w:br/>
              <w:t>($)</w:t>
            </w:r>
            <w:r>
              <w:rPr>
                <w:b/>
                <w:color w:val="636466"/>
                <w:position w:val="5"/>
                <w:sz w:val="12"/>
                <w:sz w:val="15"/>
              </w:rPr>
              <w:t>(3)</w:t>
            </w:r>
          </w:p>
        </w:tc>
        <w:tc>
          <w:tcPr>
            <w:tcW w:w="300" w:type="dxa"/>
            <w:tcBorders>
              <w:bottom w:val="single" w:sz="12" w:space="0" w:color="C12E33"/>
            </w:tcBorders>
            <w:vAlign w:val="center"/>
          </w:tcPr>
          <w:p>
            <w:pPr>
              <w:pStyle w:val="TableContents"/>
              <w:bidi w:val="0"/>
              <w:spacing w:before="0" w:after="283"/>
              <w:jc w:val="right"/>
              <w:rPr>
                <w:color w:val="636466"/>
              </w:rPr>
            </w:pPr>
            <w:r>
              <w:rPr>
                <w:color w:val="636466"/>
              </w:rPr>
              <w:t>     </w:t>
            </w:r>
          </w:p>
        </w:tc>
        <w:tc>
          <w:tcPr>
            <w:tcW w:w="1100" w:type="dxa"/>
            <w:tcBorders>
              <w:bottom w:val="single" w:sz="12" w:space="0" w:color="C12E33"/>
            </w:tcBorders>
            <w:vAlign w:val="center"/>
          </w:tcPr>
          <w:p>
            <w:pPr>
              <w:pStyle w:val="TableContents"/>
              <w:bidi w:val="0"/>
              <w:spacing w:before="0" w:after="283"/>
              <w:jc w:val="right"/>
              <w:rPr>
                <w:color w:val="636466"/>
              </w:rPr>
            </w:pPr>
            <w:r>
              <w:rPr>
                <w:b/>
                <w:color w:val="636466"/>
                <w:sz w:val="15"/>
              </w:rPr>
              <w:t>Option Awards</w:t>
              <w:br/>
              <w:t>($)</w:t>
            </w:r>
            <w:r>
              <w:rPr>
                <w:b/>
                <w:color w:val="636466"/>
                <w:position w:val="5"/>
                <w:sz w:val="12"/>
                <w:sz w:val="15"/>
              </w:rPr>
              <w:t>(4)</w:t>
            </w:r>
          </w:p>
        </w:tc>
        <w:tc>
          <w:tcPr>
            <w:tcW w:w="300" w:type="dxa"/>
            <w:tcBorders>
              <w:bottom w:val="single" w:sz="12" w:space="0" w:color="C12E33"/>
            </w:tcBorders>
            <w:vAlign w:val="center"/>
          </w:tcPr>
          <w:p>
            <w:pPr>
              <w:pStyle w:val="TableContents"/>
              <w:bidi w:val="0"/>
              <w:spacing w:before="0" w:after="283"/>
              <w:jc w:val="right"/>
              <w:rPr>
                <w:color w:val="636466"/>
              </w:rPr>
            </w:pPr>
            <w:r>
              <w:rPr>
                <w:color w:val="636466"/>
              </w:rPr>
              <w:t>     </w:t>
            </w:r>
          </w:p>
        </w:tc>
        <w:tc>
          <w:tcPr>
            <w:tcW w:w="950" w:type="dxa"/>
            <w:tcBorders>
              <w:bottom w:val="single" w:sz="12" w:space="0" w:color="C12E33"/>
            </w:tcBorders>
            <w:vAlign w:val="center"/>
          </w:tcPr>
          <w:p>
            <w:pPr>
              <w:pStyle w:val="TableContents"/>
              <w:bidi w:val="0"/>
              <w:spacing w:before="0" w:after="283"/>
              <w:jc w:val="right"/>
              <w:rPr>
                <w:color w:val="636466"/>
              </w:rPr>
            </w:pPr>
            <w:r>
              <w:rPr>
                <w:b/>
                <w:color w:val="636466"/>
                <w:sz w:val="15"/>
              </w:rPr>
              <w:t>Change in Pension</w:t>
              <w:br/>
              <w:t>Value and</w:t>
              <w:br/>
              <w:t>Nonqualified</w:t>
              <w:br/>
              <w:t>Deferred</w:t>
              <w:br/>
              <w:t>Compensation</w:t>
              <w:br/>
              <w:t>Earnings ($)</w:t>
            </w:r>
            <w:r>
              <w:rPr>
                <w:b/>
                <w:color w:val="636466"/>
                <w:position w:val="5"/>
                <w:sz w:val="12"/>
                <w:sz w:val="15"/>
              </w:rPr>
              <w:t>(5)</w:t>
            </w:r>
          </w:p>
        </w:tc>
        <w:tc>
          <w:tcPr>
            <w:tcW w:w="300" w:type="dxa"/>
            <w:tcBorders>
              <w:bottom w:val="single" w:sz="12" w:space="0" w:color="C12E33"/>
            </w:tcBorders>
            <w:vAlign w:val="center"/>
          </w:tcPr>
          <w:p>
            <w:pPr>
              <w:pStyle w:val="TableContents"/>
              <w:bidi w:val="0"/>
              <w:spacing w:before="0" w:after="283"/>
              <w:jc w:val="right"/>
              <w:rPr>
                <w:color w:val="636466"/>
              </w:rPr>
            </w:pPr>
            <w:r>
              <w:rPr>
                <w:color w:val="636466"/>
              </w:rPr>
              <w:t>     </w:t>
            </w:r>
          </w:p>
        </w:tc>
        <w:tc>
          <w:tcPr>
            <w:tcW w:w="950" w:type="dxa"/>
            <w:tcBorders>
              <w:bottom w:val="single" w:sz="12" w:space="0" w:color="C12E33"/>
            </w:tcBorders>
            <w:vAlign w:val="center"/>
          </w:tcPr>
          <w:p>
            <w:pPr>
              <w:pStyle w:val="TableContents"/>
              <w:bidi w:val="0"/>
              <w:spacing w:before="0" w:after="283"/>
              <w:jc w:val="right"/>
              <w:rPr>
                <w:color w:val="636466"/>
              </w:rPr>
            </w:pPr>
            <w:r>
              <w:rPr>
                <w:b/>
                <w:color w:val="636466"/>
                <w:sz w:val="15"/>
              </w:rPr>
              <w:t>All Other</w:t>
              <w:br/>
              <w:t>Compensation</w:t>
              <w:br/>
              <w:t>($)</w:t>
            </w:r>
            <w:r>
              <w:rPr>
                <w:b/>
                <w:color w:val="636466"/>
                <w:position w:val="5"/>
                <w:sz w:val="12"/>
                <w:sz w:val="15"/>
              </w:rPr>
              <w:t>(6)</w:t>
            </w:r>
          </w:p>
        </w:tc>
        <w:tc>
          <w:tcPr>
            <w:tcW w:w="300" w:type="dxa"/>
            <w:tcBorders>
              <w:bottom w:val="single" w:sz="12" w:space="0" w:color="C12E33"/>
            </w:tcBorders>
            <w:vAlign w:val="center"/>
          </w:tcPr>
          <w:p>
            <w:pPr>
              <w:pStyle w:val="TableContents"/>
              <w:bidi w:val="0"/>
              <w:spacing w:before="0" w:after="283"/>
              <w:jc w:val="right"/>
              <w:rPr>
                <w:color w:val="636466"/>
              </w:rPr>
            </w:pPr>
            <w:r>
              <w:rPr>
                <w:color w:val="636466"/>
              </w:rPr>
              <w:t>     </w:t>
            </w:r>
          </w:p>
        </w:tc>
        <w:tc>
          <w:tcPr>
            <w:tcW w:w="1235" w:type="dxa"/>
            <w:tcBorders>
              <w:bottom w:val="single" w:sz="12" w:space="0" w:color="C12E33"/>
            </w:tcBorders>
            <w:vAlign w:val="center"/>
          </w:tcPr>
          <w:p>
            <w:pPr>
              <w:pStyle w:val="TableContents"/>
              <w:bidi w:val="0"/>
              <w:spacing w:before="0" w:after="283"/>
              <w:jc w:val="right"/>
              <w:rPr>
                <w:b/>
                <w:color w:val="636466"/>
                <w:sz w:val="15"/>
              </w:rPr>
            </w:pPr>
            <w:r>
              <w:rPr>
                <w:b/>
                <w:color w:val="636466"/>
                <w:sz w:val="15"/>
              </w:rPr>
              <w:t>Total</w:t>
              <w:br/>
              <w:t>($)</w:t>
            </w:r>
          </w:p>
        </w:tc>
      </w:tr>
      <w:tr>
        <w:trPr/>
        <w:tc>
          <w:tcPr>
            <w:tcW w:w="10270" w:type="dxa"/>
            <w:gridSpan w:val="15"/>
            <w:tcBorders>
              <w:bottom w:val="single" w:sz="12" w:space="0" w:color="C12E33"/>
            </w:tcBorders>
            <w:vAlign w:val="center"/>
          </w:tcPr>
          <w:p>
            <w:pPr>
              <w:pStyle w:val="TableContents"/>
              <w:bidi w:val="0"/>
              <w:spacing w:before="0" w:after="283"/>
              <w:jc w:val="left"/>
              <w:rPr>
                <w:sz w:val="15"/>
              </w:rPr>
            </w:pPr>
            <w:r>
              <w:rPr>
                <w:b/>
                <w:sz w:val="15"/>
              </w:rPr>
              <w:t>Christopher T. Calio</w:t>
            </w:r>
            <w:r>
              <w:rPr>
                <w:sz w:val="15"/>
              </w:rPr>
              <w:t> Chairman, President &amp; Chief Executive Officer</w:t>
            </w:r>
            <w:r>
              <w:rPr>
                <w:position w:val="5"/>
                <w:sz w:val="12"/>
                <w:sz w:val="15"/>
              </w:rPr>
              <w:t>(7)</w:t>
            </w:r>
          </w:p>
        </w:tc>
      </w:tr>
      <w:tr>
        <w:trPr/>
        <w:tc>
          <w:tcPr>
            <w:tcW w:w="515" w:type="dxa"/>
            <w:tcBorders>
              <w:bottom w:val="single" w:sz="2" w:space="0" w:color="000000"/>
            </w:tcBorders>
            <w:vAlign w:val="center"/>
          </w:tcPr>
          <w:p>
            <w:pPr>
              <w:pStyle w:val="TableContents"/>
              <w:bidi w:val="0"/>
              <w:spacing w:before="0" w:after="283"/>
              <w:jc w:val="left"/>
              <w:rPr/>
            </w:pPr>
            <w:r>
              <w:rPr/>
              <w:t>2025</w:t>
            </w:r>
          </w:p>
        </w:tc>
        <w:tc>
          <w:tcPr>
            <w:tcW w:w="300" w:type="dxa"/>
            <w:tcBorders>
              <w:bottom w:val="single" w:sz="2" w:space="0" w:color="000000"/>
            </w:tcBorders>
            <w:vAlign w:val="center"/>
          </w:tcPr>
          <w:p>
            <w:pPr>
              <w:pStyle w:val="TableContents"/>
              <w:bidi w:val="0"/>
              <w:spacing w:before="0" w:after="283"/>
              <w:jc w:val="left"/>
              <w:rPr/>
            </w:pPr>
            <w:r>
              <w:rPr/>
              <w:t> </w:t>
            </w:r>
          </w:p>
        </w:tc>
        <w:tc>
          <w:tcPr>
            <w:tcW w:w="1100" w:type="dxa"/>
            <w:tcBorders>
              <w:bottom w:val="single" w:sz="2" w:space="0" w:color="000000"/>
            </w:tcBorders>
            <w:vAlign w:val="center"/>
          </w:tcPr>
          <w:p>
            <w:pPr>
              <w:pStyle w:val="TableContents"/>
              <w:bidi w:val="0"/>
              <w:spacing w:before="0" w:after="283"/>
              <w:jc w:val="right"/>
              <w:rPr/>
            </w:pPr>
            <w:r>
              <w:rPr/>
              <w:t>$1,525,000</w:t>
            </w:r>
          </w:p>
        </w:tc>
        <w:tc>
          <w:tcPr>
            <w:tcW w:w="300" w:type="dxa"/>
            <w:tcBorders>
              <w:bottom w:val="single" w:sz="2" w:space="0" w:color="000000"/>
            </w:tcBorders>
            <w:vAlign w:val="center"/>
          </w:tcPr>
          <w:p>
            <w:pPr>
              <w:pStyle w:val="TableContents"/>
              <w:bidi w:val="0"/>
              <w:spacing w:before="0" w:after="283"/>
              <w:jc w:val="left"/>
              <w:rPr/>
            </w:pPr>
            <w:r>
              <w:rPr/>
              <w:t> </w:t>
            </w:r>
          </w:p>
        </w:tc>
        <w:tc>
          <w:tcPr>
            <w:tcW w:w="1100" w:type="dxa"/>
            <w:tcBorders>
              <w:bottom w:val="single" w:sz="2" w:space="0" w:color="000000"/>
            </w:tcBorders>
            <w:vAlign w:val="center"/>
          </w:tcPr>
          <w:p>
            <w:pPr>
              <w:pStyle w:val="TableContents"/>
              <w:bidi w:val="0"/>
              <w:spacing w:before="0" w:after="283"/>
              <w:jc w:val="right"/>
              <w:rPr/>
            </w:pPr>
            <w:r>
              <w:rPr/>
              <w:t>$5,100,000</w:t>
            </w:r>
          </w:p>
        </w:tc>
        <w:tc>
          <w:tcPr>
            <w:tcW w:w="300" w:type="dxa"/>
            <w:tcBorders>
              <w:bottom w:val="single" w:sz="2" w:space="0" w:color="000000"/>
            </w:tcBorders>
            <w:vAlign w:val="center"/>
          </w:tcPr>
          <w:p>
            <w:pPr>
              <w:pStyle w:val="TableContents"/>
              <w:bidi w:val="0"/>
              <w:spacing w:before="0" w:after="283"/>
              <w:jc w:val="left"/>
              <w:rPr/>
            </w:pPr>
            <w:r>
              <w:rPr/>
              <w:t> </w:t>
            </w:r>
          </w:p>
        </w:tc>
        <w:tc>
          <w:tcPr>
            <w:tcW w:w="1220" w:type="dxa"/>
            <w:tcBorders>
              <w:bottom w:val="single" w:sz="2" w:space="0" w:color="000000"/>
            </w:tcBorders>
            <w:vAlign w:val="center"/>
          </w:tcPr>
          <w:p>
            <w:pPr>
              <w:pStyle w:val="TableContents"/>
              <w:bidi w:val="0"/>
              <w:spacing w:before="0" w:after="283"/>
              <w:jc w:val="right"/>
              <w:rPr/>
            </w:pPr>
            <w:r>
              <w:rPr/>
              <w:t>$10,875,391</w:t>
            </w:r>
          </w:p>
        </w:tc>
        <w:tc>
          <w:tcPr>
            <w:tcW w:w="300" w:type="dxa"/>
            <w:tcBorders>
              <w:bottom w:val="single" w:sz="2" w:space="0" w:color="000000"/>
            </w:tcBorders>
            <w:vAlign w:val="center"/>
          </w:tcPr>
          <w:p>
            <w:pPr>
              <w:pStyle w:val="TableContents"/>
              <w:bidi w:val="0"/>
              <w:spacing w:before="0" w:after="283"/>
              <w:jc w:val="left"/>
              <w:rPr/>
            </w:pPr>
            <w:r>
              <w:rPr/>
              <w:t> </w:t>
            </w:r>
          </w:p>
        </w:tc>
        <w:tc>
          <w:tcPr>
            <w:tcW w:w="1100" w:type="dxa"/>
            <w:tcBorders>
              <w:bottom w:val="single" w:sz="2" w:space="0" w:color="000000"/>
            </w:tcBorders>
            <w:vAlign w:val="center"/>
          </w:tcPr>
          <w:p>
            <w:pPr>
              <w:pStyle w:val="TableContents"/>
              <w:bidi w:val="0"/>
              <w:spacing w:before="0" w:after="283"/>
              <w:jc w:val="right"/>
              <w:rPr/>
            </w:pPr>
            <w:r>
              <w:rPr/>
              <w:t>$6,753,909</w:t>
            </w:r>
          </w:p>
        </w:tc>
        <w:tc>
          <w:tcPr>
            <w:tcW w:w="300" w:type="dxa"/>
            <w:tcBorders>
              <w:bottom w:val="single" w:sz="2" w:space="0" w:color="000000"/>
            </w:tcBorders>
            <w:vAlign w:val="center"/>
          </w:tcPr>
          <w:p>
            <w:pPr>
              <w:pStyle w:val="TableContents"/>
              <w:bidi w:val="0"/>
              <w:spacing w:before="0" w:after="283"/>
              <w:jc w:val="left"/>
              <w:rPr/>
            </w:pPr>
            <w:r>
              <w:rPr/>
              <w:t> </w:t>
            </w:r>
          </w:p>
        </w:tc>
        <w:tc>
          <w:tcPr>
            <w:tcW w:w="950" w:type="dxa"/>
            <w:tcBorders>
              <w:bottom w:val="single" w:sz="2" w:space="0" w:color="000000"/>
            </w:tcBorders>
            <w:vAlign w:val="center"/>
          </w:tcPr>
          <w:p>
            <w:pPr>
              <w:pStyle w:val="TableContents"/>
              <w:bidi w:val="0"/>
              <w:spacing w:before="0" w:after="283"/>
              <w:jc w:val="right"/>
              <w:rPr/>
            </w:pPr>
            <w:r>
              <w:rPr/>
              <w:t>$48,257</w:t>
            </w:r>
          </w:p>
        </w:tc>
        <w:tc>
          <w:tcPr>
            <w:tcW w:w="300" w:type="dxa"/>
            <w:tcBorders>
              <w:bottom w:val="single" w:sz="2" w:space="0" w:color="000000"/>
            </w:tcBorders>
            <w:vAlign w:val="center"/>
          </w:tcPr>
          <w:p>
            <w:pPr>
              <w:pStyle w:val="TableContents"/>
              <w:bidi w:val="0"/>
              <w:spacing w:before="0" w:after="283"/>
              <w:jc w:val="left"/>
              <w:rPr/>
            </w:pPr>
            <w:r>
              <w:rPr/>
              <w:t> </w:t>
            </w:r>
          </w:p>
        </w:tc>
        <w:tc>
          <w:tcPr>
            <w:tcW w:w="950" w:type="dxa"/>
            <w:tcBorders>
              <w:bottom w:val="single" w:sz="2" w:space="0" w:color="000000"/>
            </w:tcBorders>
            <w:vAlign w:val="center"/>
          </w:tcPr>
          <w:p>
            <w:pPr>
              <w:pStyle w:val="TableContents"/>
              <w:bidi w:val="0"/>
              <w:spacing w:before="0" w:after="283"/>
              <w:jc w:val="right"/>
              <w:rPr/>
            </w:pPr>
            <w:r>
              <w:rPr/>
              <w:t>$544,269</w:t>
            </w:r>
          </w:p>
        </w:tc>
        <w:tc>
          <w:tcPr>
            <w:tcW w:w="300" w:type="dxa"/>
            <w:tcBorders>
              <w:bottom w:val="single" w:sz="2" w:space="0" w:color="000000"/>
            </w:tcBorders>
            <w:vAlign w:val="center"/>
          </w:tcPr>
          <w:p>
            <w:pPr>
              <w:pStyle w:val="TableContents"/>
              <w:bidi w:val="0"/>
              <w:spacing w:before="0" w:after="283"/>
              <w:jc w:val="left"/>
              <w:rPr/>
            </w:pPr>
            <w:r>
              <w:rPr/>
              <w:t> </w:t>
            </w:r>
          </w:p>
        </w:tc>
        <w:tc>
          <w:tcPr>
            <w:tcW w:w="1235" w:type="dxa"/>
            <w:tcBorders>
              <w:bottom w:val="single" w:sz="2" w:space="0" w:color="000000"/>
            </w:tcBorders>
            <w:shd w:fill="EDEDEE" w:val="clear"/>
            <w:vAlign w:val="center"/>
          </w:tcPr>
          <w:p>
            <w:pPr>
              <w:pStyle w:val="TableContents"/>
              <w:bidi w:val="0"/>
              <w:spacing w:before="0" w:after="283"/>
              <w:jc w:val="right"/>
              <w:rPr/>
            </w:pPr>
            <w:r>
              <w:rPr/>
              <w:t>$24,846,826</w:t>
            </w:r>
          </w:p>
        </w:tc>
      </w:tr>
      <w:tr>
        <w:trPr/>
        <w:tc>
          <w:tcPr>
            <w:tcW w:w="515" w:type="dxa"/>
            <w:tcBorders>
              <w:bottom w:val="single" w:sz="2" w:space="0" w:color="000000"/>
            </w:tcBorders>
            <w:vAlign w:val="center"/>
          </w:tcPr>
          <w:p>
            <w:pPr>
              <w:pStyle w:val="TableContents"/>
              <w:bidi w:val="0"/>
              <w:spacing w:before="0" w:after="283"/>
              <w:jc w:val="left"/>
              <w:rPr/>
            </w:pPr>
            <w:r>
              <w:rPr/>
              <w:t>2024</w:t>
            </w:r>
          </w:p>
        </w:tc>
        <w:tc>
          <w:tcPr>
            <w:tcW w:w="300" w:type="dxa"/>
            <w:tcBorders>
              <w:bottom w:val="single" w:sz="2" w:space="0" w:color="000000"/>
            </w:tcBorders>
            <w:vAlign w:val="center"/>
          </w:tcPr>
          <w:p>
            <w:pPr>
              <w:pStyle w:val="TableContents"/>
              <w:bidi w:val="0"/>
              <w:spacing w:before="0" w:after="283"/>
              <w:jc w:val="left"/>
              <w:rPr/>
            </w:pPr>
            <w:r>
              <w:rPr/>
              <w:t> </w:t>
            </w:r>
          </w:p>
        </w:tc>
        <w:tc>
          <w:tcPr>
            <w:tcW w:w="1100" w:type="dxa"/>
            <w:tcBorders>
              <w:bottom w:val="single" w:sz="2" w:space="0" w:color="000000"/>
            </w:tcBorders>
            <w:vAlign w:val="center"/>
          </w:tcPr>
          <w:p>
            <w:pPr>
              <w:pStyle w:val="TableContents"/>
              <w:bidi w:val="0"/>
              <w:spacing w:before="0" w:after="283"/>
              <w:jc w:val="right"/>
              <w:rPr/>
            </w:pPr>
            <w:r>
              <w:rPr/>
              <w:t>$1,182,500</w:t>
            </w:r>
          </w:p>
        </w:tc>
        <w:tc>
          <w:tcPr>
            <w:tcW w:w="300" w:type="dxa"/>
            <w:tcBorders>
              <w:bottom w:val="single" w:sz="2" w:space="0" w:color="000000"/>
            </w:tcBorders>
            <w:vAlign w:val="center"/>
          </w:tcPr>
          <w:p>
            <w:pPr>
              <w:pStyle w:val="TableContents"/>
              <w:bidi w:val="0"/>
              <w:spacing w:before="0" w:after="283"/>
              <w:jc w:val="left"/>
              <w:rPr/>
            </w:pPr>
            <w:r>
              <w:rPr/>
              <w:t> </w:t>
            </w:r>
          </w:p>
        </w:tc>
        <w:tc>
          <w:tcPr>
            <w:tcW w:w="1100" w:type="dxa"/>
            <w:tcBorders>
              <w:bottom w:val="single" w:sz="2" w:space="0" w:color="000000"/>
            </w:tcBorders>
            <w:vAlign w:val="center"/>
          </w:tcPr>
          <w:p>
            <w:pPr>
              <w:pStyle w:val="TableContents"/>
              <w:bidi w:val="0"/>
              <w:spacing w:before="0" w:after="283"/>
              <w:jc w:val="right"/>
              <w:rPr/>
            </w:pPr>
            <w:r>
              <w:rPr/>
              <w:t>$2,760,000</w:t>
            </w:r>
          </w:p>
        </w:tc>
        <w:tc>
          <w:tcPr>
            <w:tcW w:w="300" w:type="dxa"/>
            <w:tcBorders>
              <w:bottom w:val="single" w:sz="2" w:space="0" w:color="000000"/>
            </w:tcBorders>
            <w:vAlign w:val="center"/>
          </w:tcPr>
          <w:p>
            <w:pPr>
              <w:pStyle w:val="TableContents"/>
              <w:bidi w:val="0"/>
              <w:spacing w:before="0" w:after="283"/>
              <w:jc w:val="left"/>
              <w:rPr/>
            </w:pPr>
            <w:r>
              <w:rPr/>
              <w:t> </w:t>
            </w:r>
          </w:p>
        </w:tc>
        <w:tc>
          <w:tcPr>
            <w:tcW w:w="1220" w:type="dxa"/>
            <w:tcBorders>
              <w:bottom w:val="single" w:sz="2" w:space="0" w:color="000000"/>
            </w:tcBorders>
            <w:vAlign w:val="center"/>
          </w:tcPr>
          <w:p>
            <w:pPr>
              <w:pStyle w:val="TableContents"/>
              <w:bidi w:val="0"/>
              <w:spacing w:before="0" w:after="283"/>
              <w:jc w:val="right"/>
              <w:rPr/>
            </w:pPr>
            <w:r>
              <w:rPr/>
              <w:t>$8,315,559</w:t>
            </w:r>
          </w:p>
        </w:tc>
        <w:tc>
          <w:tcPr>
            <w:tcW w:w="300" w:type="dxa"/>
            <w:tcBorders>
              <w:bottom w:val="single" w:sz="2" w:space="0" w:color="000000"/>
            </w:tcBorders>
            <w:vAlign w:val="center"/>
          </w:tcPr>
          <w:p>
            <w:pPr>
              <w:pStyle w:val="TableContents"/>
              <w:bidi w:val="0"/>
              <w:spacing w:before="0" w:after="283"/>
              <w:jc w:val="left"/>
              <w:rPr/>
            </w:pPr>
            <w:r>
              <w:rPr/>
              <w:t> </w:t>
            </w:r>
          </w:p>
        </w:tc>
        <w:tc>
          <w:tcPr>
            <w:tcW w:w="1100" w:type="dxa"/>
            <w:tcBorders>
              <w:bottom w:val="single" w:sz="2" w:space="0" w:color="000000"/>
            </w:tcBorders>
            <w:vAlign w:val="center"/>
          </w:tcPr>
          <w:p>
            <w:pPr>
              <w:pStyle w:val="TableContents"/>
              <w:bidi w:val="0"/>
              <w:spacing w:before="0" w:after="283"/>
              <w:jc w:val="right"/>
              <w:rPr/>
            </w:pPr>
            <w:r>
              <w:rPr/>
              <w:t>$5,379,072</w:t>
            </w:r>
          </w:p>
        </w:tc>
        <w:tc>
          <w:tcPr>
            <w:tcW w:w="300" w:type="dxa"/>
            <w:tcBorders>
              <w:bottom w:val="single" w:sz="2" w:space="0" w:color="000000"/>
            </w:tcBorders>
            <w:vAlign w:val="center"/>
          </w:tcPr>
          <w:p>
            <w:pPr>
              <w:pStyle w:val="TableContents"/>
              <w:bidi w:val="0"/>
              <w:spacing w:before="0" w:after="283"/>
              <w:jc w:val="left"/>
              <w:rPr/>
            </w:pPr>
            <w:r>
              <w:rPr/>
              <w:t> </w:t>
            </w:r>
          </w:p>
        </w:tc>
        <w:tc>
          <w:tcPr>
            <w:tcW w:w="950" w:type="dxa"/>
            <w:tcBorders>
              <w:bottom w:val="single" w:sz="2" w:space="0" w:color="000000"/>
            </w:tcBorders>
            <w:vAlign w:val="center"/>
          </w:tcPr>
          <w:p>
            <w:pPr>
              <w:pStyle w:val="TableContents"/>
              <w:bidi w:val="0"/>
              <w:spacing w:before="0" w:after="283"/>
              <w:jc w:val="right"/>
              <w:rPr/>
            </w:pPr>
            <w:r>
              <w:rPr/>
              <w:t>$0</w:t>
            </w:r>
          </w:p>
        </w:tc>
        <w:tc>
          <w:tcPr>
            <w:tcW w:w="300" w:type="dxa"/>
            <w:tcBorders>
              <w:bottom w:val="single" w:sz="2" w:space="0" w:color="000000"/>
            </w:tcBorders>
            <w:vAlign w:val="center"/>
          </w:tcPr>
          <w:p>
            <w:pPr>
              <w:pStyle w:val="TableContents"/>
              <w:bidi w:val="0"/>
              <w:spacing w:before="0" w:after="283"/>
              <w:jc w:val="left"/>
              <w:rPr/>
            </w:pPr>
            <w:r>
              <w:rPr/>
              <w:t> </w:t>
            </w:r>
          </w:p>
        </w:tc>
        <w:tc>
          <w:tcPr>
            <w:tcW w:w="950" w:type="dxa"/>
            <w:tcBorders>
              <w:bottom w:val="single" w:sz="2" w:space="0" w:color="000000"/>
            </w:tcBorders>
            <w:vAlign w:val="center"/>
          </w:tcPr>
          <w:p>
            <w:pPr>
              <w:pStyle w:val="TableContents"/>
              <w:bidi w:val="0"/>
              <w:spacing w:before="0" w:after="283"/>
              <w:jc w:val="right"/>
              <w:rPr/>
            </w:pPr>
            <w:r>
              <w:rPr/>
              <w:t>$367,700</w:t>
            </w:r>
          </w:p>
        </w:tc>
        <w:tc>
          <w:tcPr>
            <w:tcW w:w="300" w:type="dxa"/>
            <w:tcBorders>
              <w:bottom w:val="single" w:sz="2" w:space="0" w:color="000000"/>
            </w:tcBorders>
            <w:vAlign w:val="center"/>
          </w:tcPr>
          <w:p>
            <w:pPr>
              <w:pStyle w:val="TableContents"/>
              <w:bidi w:val="0"/>
              <w:spacing w:before="0" w:after="283"/>
              <w:jc w:val="left"/>
              <w:rPr/>
            </w:pPr>
            <w:r>
              <w:rPr/>
              <w:t> </w:t>
            </w:r>
          </w:p>
        </w:tc>
        <w:tc>
          <w:tcPr>
            <w:tcW w:w="1235" w:type="dxa"/>
            <w:tcBorders>
              <w:bottom w:val="single" w:sz="2" w:space="0" w:color="000000"/>
            </w:tcBorders>
            <w:shd w:fill="EDEDEE" w:val="clear"/>
            <w:vAlign w:val="center"/>
          </w:tcPr>
          <w:p>
            <w:pPr>
              <w:pStyle w:val="TableContents"/>
              <w:bidi w:val="0"/>
              <w:spacing w:before="0" w:after="283"/>
              <w:jc w:val="right"/>
              <w:rPr/>
            </w:pPr>
            <w:r>
              <w:rPr/>
              <w:t>$18,004,831</w:t>
            </w:r>
          </w:p>
        </w:tc>
      </w:tr>
      <w:tr>
        <w:trPr/>
        <w:tc>
          <w:tcPr>
            <w:tcW w:w="515" w:type="dxa"/>
            <w:tcBorders>
              <w:bottom w:val="single" w:sz="12" w:space="0" w:color="636466"/>
            </w:tcBorders>
            <w:vAlign w:val="center"/>
          </w:tcPr>
          <w:p>
            <w:pPr>
              <w:pStyle w:val="TableContents"/>
              <w:bidi w:val="0"/>
              <w:spacing w:before="0" w:after="283"/>
              <w:jc w:val="left"/>
              <w:rPr/>
            </w:pPr>
            <w:r>
              <w:rPr/>
              <w:t>2023</w:t>
            </w:r>
          </w:p>
        </w:tc>
        <w:tc>
          <w:tcPr>
            <w:tcW w:w="300" w:type="dxa"/>
            <w:tcBorders>
              <w:bottom w:val="single" w:sz="12" w:space="0" w:color="636466"/>
            </w:tcBorders>
            <w:vAlign w:val="center"/>
          </w:tcPr>
          <w:p>
            <w:pPr>
              <w:pStyle w:val="TableContents"/>
              <w:bidi w:val="0"/>
              <w:spacing w:before="0" w:after="283"/>
              <w:jc w:val="left"/>
              <w:rPr/>
            </w:pPr>
            <w:r>
              <w:rPr/>
              <w:t> </w:t>
            </w:r>
          </w:p>
        </w:tc>
        <w:tc>
          <w:tcPr>
            <w:tcW w:w="1100" w:type="dxa"/>
            <w:tcBorders>
              <w:bottom w:val="single" w:sz="12" w:space="0" w:color="636466"/>
            </w:tcBorders>
            <w:vAlign w:val="center"/>
          </w:tcPr>
          <w:p>
            <w:pPr>
              <w:pStyle w:val="TableContents"/>
              <w:bidi w:val="0"/>
              <w:spacing w:before="0" w:after="283"/>
              <w:jc w:val="right"/>
              <w:rPr/>
            </w:pPr>
            <w:r>
              <w:rPr/>
              <w:t>$986,667</w:t>
            </w:r>
          </w:p>
        </w:tc>
        <w:tc>
          <w:tcPr>
            <w:tcW w:w="300" w:type="dxa"/>
            <w:tcBorders>
              <w:bottom w:val="single" w:sz="12" w:space="0" w:color="636466"/>
            </w:tcBorders>
            <w:vAlign w:val="center"/>
          </w:tcPr>
          <w:p>
            <w:pPr>
              <w:pStyle w:val="TableContents"/>
              <w:bidi w:val="0"/>
              <w:spacing w:before="0" w:after="283"/>
              <w:jc w:val="left"/>
              <w:rPr/>
            </w:pPr>
            <w:r>
              <w:rPr/>
              <w:t> </w:t>
            </w:r>
          </w:p>
        </w:tc>
        <w:tc>
          <w:tcPr>
            <w:tcW w:w="1100" w:type="dxa"/>
            <w:tcBorders>
              <w:bottom w:val="single" w:sz="12" w:space="0" w:color="636466"/>
            </w:tcBorders>
            <w:vAlign w:val="center"/>
          </w:tcPr>
          <w:p>
            <w:pPr>
              <w:pStyle w:val="TableContents"/>
              <w:bidi w:val="0"/>
              <w:spacing w:before="0" w:after="283"/>
              <w:jc w:val="right"/>
              <w:rPr/>
            </w:pPr>
            <w:r>
              <w:rPr/>
              <w:t>$1,410,000</w:t>
            </w:r>
          </w:p>
        </w:tc>
        <w:tc>
          <w:tcPr>
            <w:tcW w:w="300" w:type="dxa"/>
            <w:tcBorders>
              <w:bottom w:val="single" w:sz="12" w:space="0" w:color="636466"/>
            </w:tcBorders>
            <w:vAlign w:val="center"/>
          </w:tcPr>
          <w:p>
            <w:pPr>
              <w:pStyle w:val="TableContents"/>
              <w:bidi w:val="0"/>
              <w:spacing w:before="0" w:after="283"/>
              <w:jc w:val="left"/>
              <w:rPr/>
            </w:pPr>
            <w:r>
              <w:rPr/>
              <w:t> </w:t>
            </w:r>
          </w:p>
        </w:tc>
        <w:tc>
          <w:tcPr>
            <w:tcW w:w="1220" w:type="dxa"/>
            <w:tcBorders>
              <w:bottom w:val="single" w:sz="12" w:space="0" w:color="636466"/>
            </w:tcBorders>
            <w:vAlign w:val="center"/>
          </w:tcPr>
          <w:p>
            <w:pPr>
              <w:pStyle w:val="TableContents"/>
              <w:bidi w:val="0"/>
              <w:spacing w:before="0" w:after="283"/>
              <w:jc w:val="right"/>
              <w:rPr/>
            </w:pPr>
            <w:r>
              <w:rPr/>
              <w:t>$5,922,384</w:t>
            </w:r>
          </w:p>
        </w:tc>
        <w:tc>
          <w:tcPr>
            <w:tcW w:w="300" w:type="dxa"/>
            <w:tcBorders>
              <w:bottom w:val="single" w:sz="12" w:space="0" w:color="636466"/>
            </w:tcBorders>
            <w:vAlign w:val="center"/>
          </w:tcPr>
          <w:p>
            <w:pPr>
              <w:pStyle w:val="TableContents"/>
              <w:bidi w:val="0"/>
              <w:spacing w:before="0" w:after="283"/>
              <w:jc w:val="left"/>
              <w:rPr/>
            </w:pPr>
            <w:r>
              <w:rPr/>
              <w:t> </w:t>
            </w:r>
          </w:p>
        </w:tc>
        <w:tc>
          <w:tcPr>
            <w:tcW w:w="1100" w:type="dxa"/>
            <w:tcBorders>
              <w:bottom w:val="single" w:sz="12" w:space="0" w:color="636466"/>
            </w:tcBorders>
            <w:vAlign w:val="center"/>
          </w:tcPr>
          <w:p>
            <w:pPr>
              <w:pStyle w:val="TableContents"/>
              <w:bidi w:val="0"/>
              <w:spacing w:before="0" w:after="283"/>
              <w:jc w:val="right"/>
              <w:rPr/>
            </w:pPr>
            <w:r>
              <w:rPr/>
              <w:t>$3,992,454</w:t>
            </w:r>
          </w:p>
        </w:tc>
        <w:tc>
          <w:tcPr>
            <w:tcW w:w="300" w:type="dxa"/>
            <w:tcBorders>
              <w:bottom w:val="single" w:sz="12" w:space="0" w:color="636466"/>
            </w:tcBorders>
            <w:vAlign w:val="center"/>
          </w:tcPr>
          <w:p>
            <w:pPr>
              <w:pStyle w:val="TableContents"/>
              <w:bidi w:val="0"/>
              <w:spacing w:before="0" w:after="283"/>
              <w:jc w:val="left"/>
              <w:rPr/>
            </w:pPr>
            <w:r>
              <w:rPr/>
              <w:t> </w:t>
            </w:r>
          </w:p>
        </w:tc>
        <w:tc>
          <w:tcPr>
            <w:tcW w:w="950" w:type="dxa"/>
            <w:tcBorders>
              <w:bottom w:val="single" w:sz="12" w:space="0" w:color="636466"/>
            </w:tcBorders>
            <w:vAlign w:val="center"/>
          </w:tcPr>
          <w:p>
            <w:pPr>
              <w:pStyle w:val="TableContents"/>
              <w:bidi w:val="0"/>
              <w:spacing w:before="0" w:after="283"/>
              <w:jc w:val="right"/>
              <w:rPr/>
            </w:pPr>
            <w:r>
              <w:rPr/>
              <w:t>$77,771</w:t>
            </w:r>
          </w:p>
        </w:tc>
        <w:tc>
          <w:tcPr>
            <w:tcW w:w="300" w:type="dxa"/>
            <w:tcBorders>
              <w:bottom w:val="single" w:sz="12" w:space="0" w:color="636466"/>
            </w:tcBorders>
            <w:vAlign w:val="center"/>
          </w:tcPr>
          <w:p>
            <w:pPr>
              <w:pStyle w:val="TableContents"/>
              <w:bidi w:val="0"/>
              <w:spacing w:before="0" w:after="283"/>
              <w:jc w:val="left"/>
              <w:rPr/>
            </w:pPr>
            <w:r>
              <w:rPr/>
              <w:t> </w:t>
            </w:r>
          </w:p>
        </w:tc>
        <w:tc>
          <w:tcPr>
            <w:tcW w:w="950" w:type="dxa"/>
            <w:tcBorders>
              <w:bottom w:val="single" w:sz="12" w:space="0" w:color="636466"/>
            </w:tcBorders>
            <w:vAlign w:val="center"/>
          </w:tcPr>
          <w:p>
            <w:pPr>
              <w:pStyle w:val="TableContents"/>
              <w:bidi w:val="0"/>
              <w:spacing w:before="0" w:after="283"/>
              <w:jc w:val="right"/>
              <w:rPr/>
            </w:pPr>
            <w:r>
              <w:rPr/>
              <w:t>$354,156</w:t>
            </w:r>
          </w:p>
        </w:tc>
        <w:tc>
          <w:tcPr>
            <w:tcW w:w="300" w:type="dxa"/>
            <w:tcBorders>
              <w:bottom w:val="single" w:sz="12" w:space="0" w:color="636466"/>
            </w:tcBorders>
            <w:vAlign w:val="center"/>
          </w:tcPr>
          <w:p>
            <w:pPr>
              <w:pStyle w:val="TableContents"/>
              <w:bidi w:val="0"/>
              <w:spacing w:before="0" w:after="283"/>
              <w:jc w:val="left"/>
              <w:rPr/>
            </w:pPr>
            <w:r>
              <w:rPr/>
              <w:t> </w:t>
            </w:r>
          </w:p>
        </w:tc>
        <w:tc>
          <w:tcPr>
            <w:tcW w:w="1235" w:type="dxa"/>
            <w:tcBorders>
              <w:bottom w:val="single" w:sz="12" w:space="0" w:color="636466"/>
            </w:tcBorders>
            <w:shd w:fill="EDEDEE" w:val="clear"/>
            <w:vAlign w:val="center"/>
          </w:tcPr>
          <w:p>
            <w:pPr>
              <w:pStyle w:val="TableContents"/>
              <w:bidi w:val="0"/>
              <w:spacing w:before="0" w:after="283"/>
              <w:jc w:val="right"/>
              <w:rPr/>
            </w:pPr>
            <w:r>
              <w:rPr/>
              <w:t>$12,743,432</w:t>
            </w:r>
          </w:p>
        </w:tc>
      </w:tr>
      <w:tr>
        <w:trPr/>
        <w:tc>
          <w:tcPr>
            <w:tcW w:w="10270" w:type="dxa"/>
            <w:gridSpan w:val="15"/>
            <w:tcBorders>
              <w:bottom w:val="single" w:sz="12" w:space="0" w:color="C12E33"/>
            </w:tcBorders>
            <w:vAlign w:val="center"/>
          </w:tcPr>
          <w:p>
            <w:pPr>
              <w:pStyle w:val="TableContents"/>
              <w:bidi w:val="0"/>
              <w:spacing w:before="0" w:after="283"/>
              <w:jc w:val="left"/>
              <w:rPr>
                <w:sz w:val="15"/>
              </w:rPr>
            </w:pPr>
            <w:r>
              <w:rPr>
                <w:b/>
                <w:sz w:val="15"/>
              </w:rPr>
              <w:t>Neil G. Mitchill, Jr.</w:t>
            </w:r>
            <w:r>
              <w:rPr>
                <w:sz w:val="15"/>
              </w:rPr>
              <w:t> Executive Vice President &amp; Chief Financial Officer</w:t>
            </w:r>
          </w:p>
        </w:tc>
      </w:tr>
      <w:tr>
        <w:trPr/>
        <w:tc>
          <w:tcPr>
            <w:tcW w:w="515" w:type="dxa"/>
            <w:tcBorders>
              <w:bottom w:val="single" w:sz="2" w:space="0" w:color="000000"/>
            </w:tcBorders>
            <w:vAlign w:val="center"/>
          </w:tcPr>
          <w:p>
            <w:pPr>
              <w:pStyle w:val="TableContents"/>
              <w:bidi w:val="0"/>
              <w:spacing w:before="0" w:after="283"/>
              <w:jc w:val="left"/>
              <w:rPr/>
            </w:pPr>
            <w:r>
              <w:rPr/>
              <w:t>2025</w:t>
            </w:r>
          </w:p>
        </w:tc>
        <w:tc>
          <w:tcPr>
            <w:tcW w:w="300" w:type="dxa"/>
            <w:tcBorders>
              <w:bottom w:val="single" w:sz="2" w:space="0" w:color="000000"/>
            </w:tcBorders>
            <w:vAlign w:val="center"/>
          </w:tcPr>
          <w:p>
            <w:pPr>
              <w:pStyle w:val="TableContents"/>
              <w:bidi w:val="0"/>
              <w:spacing w:before="0" w:after="283"/>
              <w:jc w:val="left"/>
              <w:rPr/>
            </w:pPr>
            <w:r>
              <w:rPr/>
              <w:t> </w:t>
            </w:r>
          </w:p>
        </w:tc>
        <w:tc>
          <w:tcPr>
            <w:tcW w:w="1100" w:type="dxa"/>
            <w:tcBorders>
              <w:bottom w:val="single" w:sz="2" w:space="0" w:color="000000"/>
            </w:tcBorders>
            <w:vAlign w:val="center"/>
          </w:tcPr>
          <w:p>
            <w:pPr>
              <w:pStyle w:val="TableContents"/>
              <w:bidi w:val="0"/>
              <w:spacing w:before="0" w:after="283"/>
              <w:jc w:val="right"/>
              <w:rPr/>
            </w:pPr>
            <w:r>
              <w:rPr/>
              <w:t>$1,087,500</w:t>
            </w:r>
          </w:p>
        </w:tc>
        <w:tc>
          <w:tcPr>
            <w:tcW w:w="300" w:type="dxa"/>
            <w:tcBorders>
              <w:bottom w:val="single" w:sz="2" w:space="0" w:color="000000"/>
            </w:tcBorders>
            <w:vAlign w:val="center"/>
          </w:tcPr>
          <w:p>
            <w:pPr>
              <w:pStyle w:val="TableContents"/>
              <w:bidi w:val="0"/>
              <w:spacing w:before="0" w:after="283"/>
              <w:jc w:val="left"/>
              <w:rPr/>
            </w:pPr>
            <w:r>
              <w:rPr/>
              <w:t> </w:t>
            </w:r>
          </w:p>
        </w:tc>
        <w:tc>
          <w:tcPr>
            <w:tcW w:w="1100" w:type="dxa"/>
            <w:tcBorders>
              <w:bottom w:val="single" w:sz="2" w:space="0" w:color="000000"/>
            </w:tcBorders>
            <w:vAlign w:val="center"/>
          </w:tcPr>
          <w:p>
            <w:pPr>
              <w:pStyle w:val="TableContents"/>
              <w:bidi w:val="0"/>
              <w:spacing w:before="0" w:after="283"/>
              <w:jc w:val="right"/>
              <w:rPr/>
            </w:pPr>
            <w:r>
              <w:rPr/>
              <w:t>$2,525,000</w:t>
            </w:r>
          </w:p>
        </w:tc>
        <w:tc>
          <w:tcPr>
            <w:tcW w:w="300" w:type="dxa"/>
            <w:tcBorders>
              <w:bottom w:val="single" w:sz="2" w:space="0" w:color="000000"/>
            </w:tcBorders>
            <w:vAlign w:val="center"/>
          </w:tcPr>
          <w:p>
            <w:pPr>
              <w:pStyle w:val="TableContents"/>
              <w:bidi w:val="0"/>
              <w:spacing w:before="0" w:after="283"/>
              <w:jc w:val="left"/>
              <w:rPr/>
            </w:pPr>
            <w:r>
              <w:rPr/>
              <w:t> </w:t>
            </w:r>
          </w:p>
        </w:tc>
        <w:tc>
          <w:tcPr>
            <w:tcW w:w="1220" w:type="dxa"/>
            <w:tcBorders>
              <w:bottom w:val="single" w:sz="2" w:space="0" w:color="000000"/>
            </w:tcBorders>
            <w:vAlign w:val="center"/>
          </w:tcPr>
          <w:p>
            <w:pPr>
              <w:pStyle w:val="TableContents"/>
              <w:bidi w:val="0"/>
              <w:spacing w:before="0" w:after="283"/>
              <w:jc w:val="right"/>
              <w:rPr/>
            </w:pPr>
            <w:r>
              <w:rPr/>
              <w:t>$4,121,652</w:t>
            </w:r>
          </w:p>
        </w:tc>
        <w:tc>
          <w:tcPr>
            <w:tcW w:w="300" w:type="dxa"/>
            <w:tcBorders>
              <w:bottom w:val="single" w:sz="2" w:space="0" w:color="000000"/>
            </w:tcBorders>
            <w:vAlign w:val="center"/>
          </w:tcPr>
          <w:p>
            <w:pPr>
              <w:pStyle w:val="TableContents"/>
              <w:bidi w:val="0"/>
              <w:spacing w:before="0" w:after="283"/>
              <w:jc w:val="left"/>
              <w:rPr/>
            </w:pPr>
            <w:r>
              <w:rPr/>
              <w:t> </w:t>
            </w:r>
          </w:p>
        </w:tc>
        <w:tc>
          <w:tcPr>
            <w:tcW w:w="1100" w:type="dxa"/>
            <w:tcBorders>
              <w:bottom w:val="single" w:sz="2" w:space="0" w:color="000000"/>
            </w:tcBorders>
            <w:vAlign w:val="center"/>
          </w:tcPr>
          <w:p>
            <w:pPr>
              <w:pStyle w:val="TableContents"/>
              <w:bidi w:val="0"/>
              <w:spacing w:before="0" w:after="283"/>
              <w:jc w:val="right"/>
              <w:rPr/>
            </w:pPr>
            <w:r>
              <w:rPr/>
              <w:t>$2,560,448</w:t>
            </w:r>
          </w:p>
        </w:tc>
        <w:tc>
          <w:tcPr>
            <w:tcW w:w="300" w:type="dxa"/>
            <w:tcBorders>
              <w:bottom w:val="single" w:sz="2" w:space="0" w:color="000000"/>
            </w:tcBorders>
            <w:vAlign w:val="center"/>
          </w:tcPr>
          <w:p>
            <w:pPr>
              <w:pStyle w:val="TableContents"/>
              <w:bidi w:val="0"/>
              <w:spacing w:before="0" w:after="283"/>
              <w:jc w:val="left"/>
              <w:rPr/>
            </w:pPr>
            <w:r>
              <w:rPr/>
              <w:t> </w:t>
            </w:r>
          </w:p>
        </w:tc>
        <w:tc>
          <w:tcPr>
            <w:tcW w:w="950" w:type="dxa"/>
            <w:tcBorders>
              <w:bottom w:val="single" w:sz="2" w:space="0" w:color="000000"/>
            </w:tcBorders>
            <w:vAlign w:val="center"/>
          </w:tcPr>
          <w:p>
            <w:pPr>
              <w:pStyle w:val="TableContents"/>
              <w:bidi w:val="0"/>
              <w:spacing w:before="0" w:after="283"/>
              <w:jc w:val="right"/>
              <w:rPr/>
            </w:pPr>
            <w:r>
              <w:rPr/>
              <w:t>$0</w:t>
            </w:r>
          </w:p>
        </w:tc>
        <w:tc>
          <w:tcPr>
            <w:tcW w:w="300" w:type="dxa"/>
            <w:tcBorders>
              <w:bottom w:val="single" w:sz="2" w:space="0" w:color="000000"/>
            </w:tcBorders>
            <w:vAlign w:val="center"/>
          </w:tcPr>
          <w:p>
            <w:pPr>
              <w:pStyle w:val="TableContents"/>
              <w:bidi w:val="0"/>
              <w:spacing w:before="0" w:after="283"/>
              <w:jc w:val="left"/>
              <w:rPr/>
            </w:pPr>
            <w:r>
              <w:rPr/>
              <w:t> </w:t>
            </w:r>
          </w:p>
        </w:tc>
        <w:tc>
          <w:tcPr>
            <w:tcW w:w="950" w:type="dxa"/>
            <w:tcBorders>
              <w:bottom w:val="single" w:sz="2" w:space="0" w:color="000000"/>
            </w:tcBorders>
            <w:vAlign w:val="center"/>
          </w:tcPr>
          <w:p>
            <w:pPr>
              <w:pStyle w:val="TableContents"/>
              <w:bidi w:val="0"/>
              <w:spacing w:before="0" w:after="283"/>
              <w:jc w:val="right"/>
              <w:rPr/>
            </w:pPr>
            <w:r>
              <w:rPr/>
              <w:t>$312,802</w:t>
            </w:r>
          </w:p>
        </w:tc>
        <w:tc>
          <w:tcPr>
            <w:tcW w:w="300" w:type="dxa"/>
            <w:tcBorders>
              <w:bottom w:val="single" w:sz="2" w:space="0" w:color="000000"/>
            </w:tcBorders>
            <w:vAlign w:val="center"/>
          </w:tcPr>
          <w:p>
            <w:pPr>
              <w:pStyle w:val="TableContents"/>
              <w:bidi w:val="0"/>
              <w:spacing w:before="0" w:after="283"/>
              <w:jc w:val="left"/>
              <w:rPr/>
            </w:pPr>
            <w:r>
              <w:rPr/>
              <w:t> </w:t>
            </w:r>
          </w:p>
        </w:tc>
        <w:tc>
          <w:tcPr>
            <w:tcW w:w="1235" w:type="dxa"/>
            <w:tcBorders>
              <w:bottom w:val="single" w:sz="2" w:space="0" w:color="000000"/>
            </w:tcBorders>
            <w:shd w:fill="EDEDEE" w:val="clear"/>
            <w:vAlign w:val="center"/>
          </w:tcPr>
          <w:p>
            <w:pPr>
              <w:pStyle w:val="TableContents"/>
              <w:bidi w:val="0"/>
              <w:spacing w:before="0" w:after="283"/>
              <w:jc w:val="right"/>
              <w:rPr/>
            </w:pPr>
            <w:r>
              <w:rPr/>
              <w:t>$10,607,402</w:t>
            </w:r>
          </w:p>
        </w:tc>
      </w:tr>
      <w:tr>
        <w:trPr/>
        <w:tc>
          <w:tcPr>
            <w:tcW w:w="515" w:type="dxa"/>
            <w:tcBorders>
              <w:bottom w:val="single" w:sz="2" w:space="0" w:color="000000"/>
            </w:tcBorders>
            <w:vAlign w:val="center"/>
          </w:tcPr>
          <w:p>
            <w:pPr>
              <w:pStyle w:val="TableContents"/>
              <w:bidi w:val="0"/>
              <w:spacing w:before="0" w:after="283"/>
              <w:jc w:val="left"/>
              <w:rPr/>
            </w:pPr>
            <w:r>
              <w:rPr/>
              <w:t>2024</w:t>
            </w:r>
          </w:p>
        </w:tc>
        <w:tc>
          <w:tcPr>
            <w:tcW w:w="300" w:type="dxa"/>
            <w:tcBorders>
              <w:bottom w:val="single" w:sz="2" w:space="0" w:color="000000"/>
            </w:tcBorders>
            <w:vAlign w:val="center"/>
          </w:tcPr>
          <w:p>
            <w:pPr>
              <w:pStyle w:val="TableContents"/>
              <w:bidi w:val="0"/>
              <w:spacing w:before="0" w:after="283"/>
              <w:jc w:val="left"/>
              <w:rPr/>
            </w:pPr>
            <w:r>
              <w:rPr/>
              <w:t> </w:t>
            </w:r>
          </w:p>
        </w:tc>
        <w:tc>
          <w:tcPr>
            <w:tcW w:w="1100" w:type="dxa"/>
            <w:tcBorders>
              <w:bottom w:val="single" w:sz="2" w:space="0" w:color="000000"/>
            </w:tcBorders>
            <w:vAlign w:val="center"/>
          </w:tcPr>
          <w:p>
            <w:pPr>
              <w:pStyle w:val="TableContents"/>
              <w:bidi w:val="0"/>
              <w:spacing w:before="0" w:after="283"/>
              <w:jc w:val="right"/>
              <w:rPr/>
            </w:pPr>
            <w:r>
              <w:rPr/>
              <w:t>$1,031,250</w:t>
            </w:r>
          </w:p>
        </w:tc>
        <w:tc>
          <w:tcPr>
            <w:tcW w:w="300" w:type="dxa"/>
            <w:tcBorders>
              <w:bottom w:val="single" w:sz="2" w:space="0" w:color="000000"/>
            </w:tcBorders>
            <w:vAlign w:val="center"/>
          </w:tcPr>
          <w:p>
            <w:pPr>
              <w:pStyle w:val="TableContents"/>
              <w:bidi w:val="0"/>
              <w:spacing w:before="0" w:after="283"/>
              <w:jc w:val="left"/>
              <w:rPr/>
            </w:pPr>
            <w:r>
              <w:rPr/>
              <w:t> </w:t>
            </w:r>
          </w:p>
        </w:tc>
        <w:tc>
          <w:tcPr>
            <w:tcW w:w="1100" w:type="dxa"/>
            <w:tcBorders>
              <w:bottom w:val="single" w:sz="2" w:space="0" w:color="000000"/>
            </w:tcBorders>
            <w:vAlign w:val="center"/>
          </w:tcPr>
          <w:p>
            <w:pPr>
              <w:pStyle w:val="TableContents"/>
              <w:bidi w:val="0"/>
              <w:spacing w:before="0" w:after="283"/>
              <w:jc w:val="right"/>
              <w:rPr/>
            </w:pPr>
            <w:r>
              <w:rPr/>
              <w:t>$1,500,000</w:t>
            </w:r>
          </w:p>
        </w:tc>
        <w:tc>
          <w:tcPr>
            <w:tcW w:w="300" w:type="dxa"/>
            <w:tcBorders>
              <w:bottom w:val="single" w:sz="2" w:space="0" w:color="000000"/>
            </w:tcBorders>
            <w:vAlign w:val="center"/>
          </w:tcPr>
          <w:p>
            <w:pPr>
              <w:pStyle w:val="TableContents"/>
              <w:bidi w:val="0"/>
              <w:spacing w:before="0" w:after="283"/>
              <w:jc w:val="left"/>
              <w:rPr/>
            </w:pPr>
            <w:r>
              <w:rPr/>
              <w:t> </w:t>
            </w:r>
          </w:p>
        </w:tc>
        <w:tc>
          <w:tcPr>
            <w:tcW w:w="1220" w:type="dxa"/>
            <w:tcBorders>
              <w:bottom w:val="single" w:sz="2" w:space="0" w:color="000000"/>
            </w:tcBorders>
            <w:vAlign w:val="center"/>
          </w:tcPr>
          <w:p>
            <w:pPr>
              <w:pStyle w:val="TableContents"/>
              <w:bidi w:val="0"/>
              <w:spacing w:before="0" w:after="283"/>
              <w:jc w:val="right"/>
              <w:rPr/>
            </w:pPr>
            <w:r>
              <w:rPr/>
              <w:t>$3,387,907</w:t>
            </w:r>
          </w:p>
        </w:tc>
        <w:tc>
          <w:tcPr>
            <w:tcW w:w="300" w:type="dxa"/>
            <w:tcBorders>
              <w:bottom w:val="single" w:sz="2" w:space="0" w:color="000000"/>
            </w:tcBorders>
            <w:vAlign w:val="center"/>
          </w:tcPr>
          <w:p>
            <w:pPr>
              <w:pStyle w:val="TableContents"/>
              <w:bidi w:val="0"/>
              <w:spacing w:before="0" w:after="283"/>
              <w:jc w:val="left"/>
              <w:rPr/>
            </w:pPr>
            <w:r>
              <w:rPr/>
              <w:t> </w:t>
            </w:r>
          </w:p>
        </w:tc>
        <w:tc>
          <w:tcPr>
            <w:tcW w:w="1100" w:type="dxa"/>
            <w:tcBorders>
              <w:bottom w:val="single" w:sz="2" w:space="0" w:color="000000"/>
            </w:tcBorders>
            <w:vAlign w:val="center"/>
          </w:tcPr>
          <w:p>
            <w:pPr>
              <w:pStyle w:val="TableContents"/>
              <w:bidi w:val="0"/>
              <w:spacing w:before="0" w:after="283"/>
              <w:jc w:val="right"/>
              <w:rPr/>
            </w:pPr>
            <w:r>
              <w:rPr/>
              <w:t>$2,191,232</w:t>
            </w:r>
          </w:p>
        </w:tc>
        <w:tc>
          <w:tcPr>
            <w:tcW w:w="300" w:type="dxa"/>
            <w:tcBorders>
              <w:bottom w:val="single" w:sz="2" w:space="0" w:color="000000"/>
            </w:tcBorders>
            <w:vAlign w:val="center"/>
          </w:tcPr>
          <w:p>
            <w:pPr>
              <w:pStyle w:val="TableContents"/>
              <w:bidi w:val="0"/>
              <w:spacing w:before="0" w:after="283"/>
              <w:jc w:val="left"/>
              <w:rPr/>
            </w:pPr>
            <w:r>
              <w:rPr/>
              <w:t> </w:t>
            </w:r>
          </w:p>
        </w:tc>
        <w:tc>
          <w:tcPr>
            <w:tcW w:w="950" w:type="dxa"/>
            <w:tcBorders>
              <w:bottom w:val="single" w:sz="2" w:space="0" w:color="000000"/>
            </w:tcBorders>
            <w:vAlign w:val="center"/>
          </w:tcPr>
          <w:p>
            <w:pPr>
              <w:pStyle w:val="TableContents"/>
              <w:bidi w:val="0"/>
              <w:spacing w:before="0" w:after="283"/>
              <w:jc w:val="right"/>
              <w:rPr/>
            </w:pPr>
            <w:r>
              <w:rPr/>
              <w:t>$0</w:t>
            </w:r>
          </w:p>
        </w:tc>
        <w:tc>
          <w:tcPr>
            <w:tcW w:w="300" w:type="dxa"/>
            <w:tcBorders>
              <w:bottom w:val="single" w:sz="2" w:space="0" w:color="000000"/>
            </w:tcBorders>
            <w:vAlign w:val="center"/>
          </w:tcPr>
          <w:p>
            <w:pPr>
              <w:pStyle w:val="TableContents"/>
              <w:bidi w:val="0"/>
              <w:spacing w:before="0" w:after="283"/>
              <w:jc w:val="left"/>
              <w:rPr/>
            </w:pPr>
            <w:r>
              <w:rPr/>
              <w:t> </w:t>
            </w:r>
          </w:p>
        </w:tc>
        <w:tc>
          <w:tcPr>
            <w:tcW w:w="950" w:type="dxa"/>
            <w:tcBorders>
              <w:bottom w:val="single" w:sz="2" w:space="0" w:color="000000"/>
            </w:tcBorders>
            <w:vAlign w:val="center"/>
          </w:tcPr>
          <w:p>
            <w:pPr>
              <w:pStyle w:val="TableContents"/>
              <w:bidi w:val="0"/>
              <w:spacing w:before="0" w:after="283"/>
              <w:jc w:val="right"/>
              <w:rPr/>
            </w:pPr>
            <w:r>
              <w:rPr/>
              <w:t>$235,983</w:t>
            </w:r>
          </w:p>
        </w:tc>
        <w:tc>
          <w:tcPr>
            <w:tcW w:w="300" w:type="dxa"/>
            <w:tcBorders>
              <w:bottom w:val="single" w:sz="2" w:space="0" w:color="000000"/>
            </w:tcBorders>
            <w:vAlign w:val="center"/>
          </w:tcPr>
          <w:p>
            <w:pPr>
              <w:pStyle w:val="TableContents"/>
              <w:bidi w:val="0"/>
              <w:spacing w:before="0" w:after="283"/>
              <w:jc w:val="left"/>
              <w:rPr/>
            </w:pPr>
            <w:r>
              <w:rPr/>
              <w:t> </w:t>
            </w:r>
          </w:p>
        </w:tc>
        <w:tc>
          <w:tcPr>
            <w:tcW w:w="1235" w:type="dxa"/>
            <w:tcBorders>
              <w:bottom w:val="single" w:sz="2" w:space="0" w:color="000000"/>
            </w:tcBorders>
            <w:shd w:fill="EDEDEE" w:val="clear"/>
            <w:vAlign w:val="center"/>
          </w:tcPr>
          <w:p>
            <w:pPr>
              <w:pStyle w:val="TableContents"/>
              <w:bidi w:val="0"/>
              <w:spacing w:before="0" w:after="283"/>
              <w:jc w:val="right"/>
              <w:rPr/>
            </w:pPr>
            <w:r>
              <w:rPr/>
              <w:t>$8,346,372</w:t>
            </w:r>
          </w:p>
        </w:tc>
      </w:tr>
      <w:tr>
        <w:trPr/>
        <w:tc>
          <w:tcPr>
            <w:tcW w:w="515" w:type="dxa"/>
            <w:tcBorders>
              <w:bottom w:val="single" w:sz="12" w:space="0" w:color="636466"/>
            </w:tcBorders>
            <w:vAlign w:val="center"/>
          </w:tcPr>
          <w:p>
            <w:pPr>
              <w:pStyle w:val="TableContents"/>
              <w:bidi w:val="0"/>
              <w:spacing w:before="0" w:after="283"/>
              <w:jc w:val="left"/>
              <w:rPr/>
            </w:pPr>
            <w:r>
              <w:rPr/>
              <w:t>2023</w:t>
            </w:r>
          </w:p>
        </w:tc>
        <w:tc>
          <w:tcPr>
            <w:tcW w:w="300" w:type="dxa"/>
            <w:tcBorders>
              <w:bottom w:val="single" w:sz="12" w:space="0" w:color="636466"/>
            </w:tcBorders>
            <w:vAlign w:val="center"/>
          </w:tcPr>
          <w:p>
            <w:pPr>
              <w:pStyle w:val="TableContents"/>
              <w:bidi w:val="0"/>
              <w:spacing w:before="0" w:after="283"/>
              <w:jc w:val="left"/>
              <w:rPr/>
            </w:pPr>
            <w:r>
              <w:rPr/>
              <w:t> </w:t>
            </w:r>
          </w:p>
        </w:tc>
        <w:tc>
          <w:tcPr>
            <w:tcW w:w="1100" w:type="dxa"/>
            <w:tcBorders>
              <w:bottom w:val="single" w:sz="12" w:space="0" w:color="636466"/>
            </w:tcBorders>
            <w:vAlign w:val="center"/>
          </w:tcPr>
          <w:p>
            <w:pPr>
              <w:pStyle w:val="TableContents"/>
              <w:bidi w:val="0"/>
              <w:spacing w:before="0" w:after="283"/>
              <w:jc w:val="right"/>
              <w:rPr/>
            </w:pPr>
            <w:r>
              <w:rPr/>
              <w:t>$956,250</w:t>
            </w:r>
          </w:p>
        </w:tc>
        <w:tc>
          <w:tcPr>
            <w:tcW w:w="300" w:type="dxa"/>
            <w:tcBorders>
              <w:bottom w:val="single" w:sz="12" w:space="0" w:color="636466"/>
            </w:tcBorders>
            <w:vAlign w:val="center"/>
          </w:tcPr>
          <w:p>
            <w:pPr>
              <w:pStyle w:val="TableContents"/>
              <w:bidi w:val="0"/>
              <w:spacing w:before="0" w:after="283"/>
              <w:jc w:val="left"/>
              <w:rPr/>
            </w:pPr>
            <w:r>
              <w:rPr/>
              <w:t> </w:t>
            </w:r>
          </w:p>
        </w:tc>
        <w:tc>
          <w:tcPr>
            <w:tcW w:w="1100" w:type="dxa"/>
            <w:tcBorders>
              <w:bottom w:val="single" w:sz="12" w:space="0" w:color="636466"/>
            </w:tcBorders>
            <w:vAlign w:val="center"/>
          </w:tcPr>
          <w:p>
            <w:pPr>
              <w:pStyle w:val="TableContents"/>
              <w:bidi w:val="0"/>
              <w:spacing w:before="0" w:after="283"/>
              <w:jc w:val="right"/>
              <w:rPr/>
            </w:pPr>
            <w:r>
              <w:rPr/>
              <w:t>$1,100,000</w:t>
            </w:r>
          </w:p>
        </w:tc>
        <w:tc>
          <w:tcPr>
            <w:tcW w:w="300" w:type="dxa"/>
            <w:tcBorders>
              <w:bottom w:val="single" w:sz="12" w:space="0" w:color="636466"/>
            </w:tcBorders>
            <w:vAlign w:val="center"/>
          </w:tcPr>
          <w:p>
            <w:pPr>
              <w:pStyle w:val="TableContents"/>
              <w:bidi w:val="0"/>
              <w:spacing w:before="0" w:after="283"/>
              <w:jc w:val="left"/>
              <w:rPr/>
            </w:pPr>
            <w:r>
              <w:rPr/>
              <w:t> </w:t>
            </w:r>
          </w:p>
        </w:tc>
        <w:tc>
          <w:tcPr>
            <w:tcW w:w="1220" w:type="dxa"/>
            <w:tcBorders>
              <w:bottom w:val="single" w:sz="12" w:space="0" w:color="636466"/>
            </w:tcBorders>
            <w:vAlign w:val="center"/>
          </w:tcPr>
          <w:p>
            <w:pPr>
              <w:pStyle w:val="TableContents"/>
              <w:bidi w:val="0"/>
              <w:spacing w:before="0" w:after="283"/>
              <w:jc w:val="right"/>
              <w:rPr/>
            </w:pPr>
            <w:r>
              <w:rPr/>
              <w:t>$2,813,482</w:t>
            </w:r>
          </w:p>
        </w:tc>
        <w:tc>
          <w:tcPr>
            <w:tcW w:w="300" w:type="dxa"/>
            <w:tcBorders>
              <w:bottom w:val="single" w:sz="12" w:space="0" w:color="636466"/>
            </w:tcBorders>
            <w:vAlign w:val="center"/>
          </w:tcPr>
          <w:p>
            <w:pPr>
              <w:pStyle w:val="TableContents"/>
              <w:bidi w:val="0"/>
              <w:spacing w:before="0" w:after="283"/>
              <w:jc w:val="left"/>
              <w:rPr/>
            </w:pPr>
            <w:r>
              <w:rPr/>
              <w:t> </w:t>
            </w:r>
          </w:p>
        </w:tc>
        <w:tc>
          <w:tcPr>
            <w:tcW w:w="1100" w:type="dxa"/>
            <w:tcBorders>
              <w:bottom w:val="single" w:sz="12" w:space="0" w:color="636466"/>
            </w:tcBorders>
            <w:vAlign w:val="center"/>
          </w:tcPr>
          <w:p>
            <w:pPr>
              <w:pStyle w:val="TableContents"/>
              <w:bidi w:val="0"/>
              <w:spacing w:before="0" w:after="283"/>
              <w:jc w:val="right"/>
              <w:rPr/>
            </w:pPr>
            <w:r>
              <w:rPr/>
              <w:t>$1,896,354</w:t>
            </w:r>
          </w:p>
        </w:tc>
        <w:tc>
          <w:tcPr>
            <w:tcW w:w="300" w:type="dxa"/>
            <w:tcBorders>
              <w:bottom w:val="single" w:sz="12" w:space="0" w:color="636466"/>
            </w:tcBorders>
            <w:vAlign w:val="center"/>
          </w:tcPr>
          <w:p>
            <w:pPr>
              <w:pStyle w:val="TableContents"/>
              <w:bidi w:val="0"/>
              <w:spacing w:before="0" w:after="283"/>
              <w:jc w:val="left"/>
              <w:rPr/>
            </w:pPr>
            <w:r>
              <w:rPr/>
              <w:t> </w:t>
            </w:r>
          </w:p>
        </w:tc>
        <w:tc>
          <w:tcPr>
            <w:tcW w:w="950" w:type="dxa"/>
            <w:tcBorders>
              <w:bottom w:val="single" w:sz="12" w:space="0" w:color="636466"/>
            </w:tcBorders>
            <w:vAlign w:val="center"/>
          </w:tcPr>
          <w:p>
            <w:pPr>
              <w:pStyle w:val="TableContents"/>
              <w:bidi w:val="0"/>
              <w:spacing w:before="0" w:after="283"/>
              <w:jc w:val="right"/>
              <w:rPr/>
            </w:pPr>
            <w:r>
              <w:rPr/>
              <w:t>$0</w:t>
            </w:r>
          </w:p>
        </w:tc>
        <w:tc>
          <w:tcPr>
            <w:tcW w:w="300" w:type="dxa"/>
            <w:tcBorders>
              <w:bottom w:val="single" w:sz="12" w:space="0" w:color="636466"/>
            </w:tcBorders>
            <w:vAlign w:val="center"/>
          </w:tcPr>
          <w:p>
            <w:pPr>
              <w:pStyle w:val="TableContents"/>
              <w:bidi w:val="0"/>
              <w:spacing w:before="0" w:after="283"/>
              <w:jc w:val="left"/>
              <w:rPr/>
            </w:pPr>
            <w:r>
              <w:rPr/>
              <w:t> </w:t>
            </w:r>
          </w:p>
        </w:tc>
        <w:tc>
          <w:tcPr>
            <w:tcW w:w="950" w:type="dxa"/>
            <w:tcBorders>
              <w:bottom w:val="single" w:sz="12" w:space="0" w:color="636466"/>
            </w:tcBorders>
            <w:vAlign w:val="center"/>
          </w:tcPr>
          <w:p>
            <w:pPr>
              <w:pStyle w:val="TableContents"/>
              <w:bidi w:val="0"/>
              <w:spacing w:before="0" w:after="283"/>
              <w:jc w:val="right"/>
              <w:rPr/>
            </w:pPr>
            <w:r>
              <w:rPr/>
              <w:t>$235,785</w:t>
            </w:r>
          </w:p>
        </w:tc>
        <w:tc>
          <w:tcPr>
            <w:tcW w:w="300" w:type="dxa"/>
            <w:tcBorders>
              <w:bottom w:val="single" w:sz="12" w:space="0" w:color="636466"/>
            </w:tcBorders>
            <w:vAlign w:val="center"/>
          </w:tcPr>
          <w:p>
            <w:pPr>
              <w:pStyle w:val="TableContents"/>
              <w:bidi w:val="0"/>
              <w:spacing w:before="0" w:after="283"/>
              <w:jc w:val="left"/>
              <w:rPr/>
            </w:pPr>
            <w:r>
              <w:rPr/>
              <w:t> </w:t>
            </w:r>
          </w:p>
        </w:tc>
        <w:tc>
          <w:tcPr>
            <w:tcW w:w="1235" w:type="dxa"/>
            <w:tcBorders>
              <w:bottom w:val="single" w:sz="12" w:space="0" w:color="636466"/>
            </w:tcBorders>
            <w:shd w:fill="EDEDEE" w:val="clear"/>
            <w:vAlign w:val="center"/>
          </w:tcPr>
          <w:p>
            <w:pPr>
              <w:pStyle w:val="TableContents"/>
              <w:bidi w:val="0"/>
              <w:spacing w:before="0" w:after="283"/>
              <w:jc w:val="right"/>
              <w:rPr/>
            </w:pPr>
            <w:r>
              <w:rPr/>
              <w:t>$7,001,871</w:t>
            </w:r>
          </w:p>
        </w:tc>
      </w:tr>
      <w:tr>
        <w:trPr/>
        <w:tc>
          <w:tcPr>
            <w:tcW w:w="10270" w:type="dxa"/>
            <w:gridSpan w:val="15"/>
            <w:tcBorders>
              <w:bottom w:val="single" w:sz="12" w:space="0" w:color="C12E33"/>
            </w:tcBorders>
            <w:vAlign w:val="center"/>
          </w:tcPr>
          <w:p>
            <w:pPr>
              <w:pStyle w:val="TableContents"/>
              <w:bidi w:val="0"/>
              <w:spacing w:before="0" w:after="283"/>
              <w:jc w:val="left"/>
              <w:rPr>
                <w:sz w:val="15"/>
              </w:rPr>
            </w:pPr>
            <w:r>
              <w:rPr>
                <w:b/>
                <w:sz w:val="15"/>
              </w:rPr>
              <w:t>Philip J. Jasper</w:t>
            </w:r>
            <w:r>
              <w:rPr>
                <w:sz w:val="15"/>
              </w:rPr>
              <w:t> President, Raytheon</w:t>
            </w:r>
          </w:p>
        </w:tc>
      </w:tr>
      <w:tr>
        <w:trPr/>
        <w:tc>
          <w:tcPr>
            <w:tcW w:w="515" w:type="dxa"/>
            <w:tcBorders>
              <w:bottom w:val="single" w:sz="2" w:space="0" w:color="000000"/>
            </w:tcBorders>
            <w:vAlign w:val="center"/>
          </w:tcPr>
          <w:p>
            <w:pPr>
              <w:pStyle w:val="TableContents"/>
              <w:bidi w:val="0"/>
              <w:spacing w:before="0" w:after="283"/>
              <w:jc w:val="left"/>
              <w:rPr/>
            </w:pPr>
            <w:r>
              <w:rPr/>
              <w:t>2025</w:t>
            </w:r>
          </w:p>
        </w:tc>
        <w:tc>
          <w:tcPr>
            <w:tcW w:w="300" w:type="dxa"/>
            <w:tcBorders>
              <w:bottom w:val="single" w:sz="2" w:space="0" w:color="000000"/>
            </w:tcBorders>
            <w:vAlign w:val="center"/>
          </w:tcPr>
          <w:p>
            <w:pPr>
              <w:pStyle w:val="TableContents"/>
              <w:bidi w:val="0"/>
              <w:spacing w:before="0" w:after="283"/>
              <w:jc w:val="left"/>
              <w:rPr/>
            </w:pPr>
            <w:r>
              <w:rPr/>
              <w:t> </w:t>
            </w:r>
          </w:p>
        </w:tc>
        <w:tc>
          <w:tcPr>
            <w:tcW w:w="1100" w:type="dxa"/>
            <w:tcBorders>
              <w:bottom w:val="single" w:sz="2" w:space="0" w:color="000000"/>
            </w:tcBorders>
            <w:vAlign w:val="center"/>
          </w:tcPr>
          <w:p>
            <w:pPr>
              <w:pStyle w:val="TableContents"/>
              <w:bidi w:val="0"/>
              <w:spacing w:before="0" w:after="283"/>
              <w:jc w:val="right"/>
              <w:rPr/>
            </w:pPr>
            <w:r>
              <w:rPr/>
              <w:t>$824,615</w:t>
            </w:r>
          </w:p>
        </w:tc>
        <w:tc>
          <w:tcPr>
            <w:tcW w:w="300" w:type="dxa"/>
            <w:tcBorders>
              <w:bottom w:val="single" w:sz="2" w:space="0" w:color="000000"/>
            </w:tcBorders>
            <w:vAlign w:val="center"/>
          </w:tcPr>
          <w:p>
            <w:pPr>
              <w:pStyle w:val="TableContents"/>
              <w:bidi w:val="0"/>
              <w:spacing w:before="0" w:after="283"/>
              <w:jc w:val="left"/>
              <w:rPr/>
            </w:pPr>
            <w:r>
              <w:rPr/>
              <w:t> </w:t>
            </w:r>
          </w:p>
        </w:tc>
        <w:tc>
          <w:tcPr>
            <w:tcW w:w="1100" w:type="dxa"/>
            <w:tcBorders>
              <w:bottom w:val="single" w:sz="2" w:space="0" w:color="000000"/>
            </w:tcBorders>
            <w:vAlign w:val="center"/>
          </w:tcPr>
          <w:p>
            <w:pPr>
              <w:pStyle w:val="TableContents"/>
              <w:bidi w:val="0"/>
              <w:spacing w:before="0" w:after="283"/>
              <w:jc w:val="right"/>
              <w:rPr/>
            </w:pPr>
            <w:r>
              <w:rPr/>
              <w:t>$1,540,000</w:t>
            </w:r>
          </w:p>
        </w:tc>
        <w:tc>
          <w:tcPr>
            <w:tcW w:w="300" w:type="dxa"/>
            <w:tcBorders>
              <w:bottom w:val="single" w:sz="2" w:space="0" w:color="000000"/>
            </w:tcBorders>
            <w:vAlign w:val="center"/>
          </w:tcPr>
          <w:p>
            <w:pPr>
              <w:pStyle w:val="TableContents"/>
              <w:bidi w:val="0"/>
              <w:spacing w:before="0" w:after="283"/>
              <w:jc w:val="left"/>
              <w:rPr/>
            </w:pPr>
            <w:r>
              <w:rPr/>
              <w:t> </w:t>
            </w:r>
          </w:p>
        </w:tc>
        <w:tc>
          <w:tcPr>
            <w:tcW w:w="1220" w:type="dxa"/>
            <w:tcBorders>
              <w:bottom w:val="single" w:sz="2" w:space="0" w:color="000000"/>
            </w:tcBorders>
            <w:vAlign w:val="center"/>
          </w:tcPr>
          <w:p>
            <w:pPr>
              <w:pStyle w:val="TableContents"/>
              <w:bidi w:val="0"/>
              <w:spacing w:before="0" w:after="283"/>
              <w:jc w:val="right"/>
              <w:rPr/>
            </w:pPr>
            <w:r>
              <w:rPr/>
              <w:t>$2,536,820</w:t>
            </w:r>
          </w:p>
        </w:tc>
        <w:tc>
          <w:tcPr>
            <w:tcW w:w="300" w:type="dxa"/>
            <w:tcBorders>
              <w:bottom w:val="single" w:sz="2" w:space="0" w:color="000000"/>
            </w:tcBorders>
            <w:vAlign w:val="center"/>
          </w:tcPr>
          <w:p>
            <w:pPr>
              <w:pStyle w:val="TableContents"/>
              <w:bidi w:val="0"/>
              <w:spacing w:before="0" w:after="283"/>
              <w:jc w:val="left"/>
              <w:rPr/>
            </w:pPr>
            <w:r>
              <w:rPr/>
              <w:t> </w:t>
            </w:r>
          </w:p>
        </w:tc>
        <w:tc>
          <w:tcPr>
            <w:tcW w:w="1100" w:type="dxa"/>
            <w:tcBorders>
              <w:bottom w:val="single" w:sz="2" w:space="0" w:color="000000"/>
            </w:tcBorders>
            <w:vAlign w:val="center"/>
          </w:tcPr>
          <w:p>
            <w:pPr>
              <w:pStyle w:val="TableContents"/>
              <w:bidi w:val="0"/>
              <w:spacing w:before="0" w:after="283"/>
              <w:jc w:val="right"/>
              <w:rPr/>
            </w:pPr>
            <w:r>
              <w:rPr/>
              <w:t>$1,574,821</w:t>
            </w:r>
          </w:p>
        </w:tc>
        <w:tc>
          <w:tcPr>
            <w:tcW w:w="300" w:type="dxa"/>
            <w:tcBorders>
              <w:bottom w:val="single" w:sz="2" w:space="0" w:color="000000"/>
            </w:tcBorders>
            <w:vAlign w:val="center"/>
          </w:tcPr>
          <w:p>
            <w:pPr>
              <w:pStyle w:val="TableContents"/>
              <w:bidi w:val="0"/>
              <w:spacing w:before="0" w:after="283"/>
              <w:jc w:val="left"/>
              <w:rPr/>
            </w:pPr>
            <w:r>
              <w:rPr/>
              <w:t> </w:t>
            </w:r>
          </w:p>
        </w:tc>
        <w:tc>
          <w:tcPr>
            <w:tcW w:w="950" w:type="dxa"/>
            <w:tcBorders>
              <w:bottom w:val="single" w:sz="2" w:space="0" w:color="000000"/>
            </w:tcBorders>
            <w:vAlign w:val="center"/>
          </w:tcPr>
          <w:p>
            <w:pPr>
              <w:pStyle w:val="TableContents"/>
              <w:bidi w:val="0"/>
              <w:spacing w:before="0" w:after="283"/>
              <w:jc w:val="right"/>
              <w:rPr/>
            </w:pPr>
            <w:r>
              <w:rPr/>
              <w:t>$36,897</w:t>
            </w:r>
          </w:p>
        </w:tc>
        <w:tc>
          <w:tcPr>
            <w:tcW w:w="300" w:type="dxa"/>
            <w:tcBorders>
              <w:bottom w:val="single" w:sz="2" w:space="0" w:color="000000"/>
            </w:tcBorders>
            <w:vAlign w:val="center"/>
          </w:tcPr>
          <w:p>
            <w:pPr>
              <w:pStyle w:val="TableContents"/>
              <w:bidi w:val="0"/>
              <w:spacing w:before="0" w:after="283"/>
              <w:jc w:val="left"/>
              <w:rPr/>
            </w:pPr>
            <w:r>
              <w:rPr/>
              <w:t> </w:t>
            </w:r>
          </w:p>
        </w:tc>
        <w:tc>
          <w:tcPr>
            <w:tcW w:w="950" w:type="dxa"/>
            <w:tcBorders>
              <w:bottom w:val="single" w:sz="2" w:space="0" w:color="000000"/>
            </w:tcBorders>
            <w:vAlign w:val="center"/>
          </w:tcPr>
          <w:p>
            <w:pPr>
              <w:pStyle w:val="TableContents"/>
              <w:bidi w:val="0"/>
              <w:spacing w:before="0" w:after="283"/>
              <w:jc w:val="right"/>
              <w:rPr/>
            </w:pPr>
            <w:r>
              <w:rPr/>
              <w:t>$232,678</w:t>
            </w:r>
          </w:p>
        </w:tc>
        <w:tc>
          <w:tcPr>
            <w:tcW w:w="300" w:type="dxa"/>
            <w:tcBorders>
              <w:bottom w:val="single" w:sz="2" w:space="0" w:color="000000"/>
            </w:tcBorders>
            <w:vAlign w:val="center"/>
          </w:tcPr>
          <w:p>
            <w:pPr>
              <w:pStyle w:val="TableContents"/>
              <w:bidi w:val="0"/>
              <w:spacing w:before="0" w:after="283"/>
              <w:jc w:val="left"/>
              <w:rPr/>
            </w:pPr>
            <w:r>
              <w:rPr/>
              <w:t> </w:t>
            </w:r>
          </w:p>
        </w:tc>
        <w:tc>
          <w:tcPr>
            <w:tcW w:w="1235" w:type="dxa"/>
            <w:tcBorders>
              <w:bottom w:val="single" w:sz="2" w:space="0" w:color="000000"/>
            </w:tcBorders>
            <w:shd w:fill="EDEDEE" w:val="clear"/>
            <w:vAlign w:val="center"/>
          </w:tcPr>
          <w:p>
            <w:pPr>
              <w:pStyle w:val="TableContents"/>
              <w:bidi w:val="0"/>
              <w:spacing w:before="0" w:after="283"/>
              <w:jc w:val="right"/>
              <w:rPr/>
            </w:pPr>
            <w:r>
              <w:rPr/>
              <w:t>$6,745,831</w:t>
            </w:r>
          </w:p>
        </w:tc>
      </w:tr>
      <w:tr>
        <w:trPr/>
        <w:tc>
          <w:tcPr>
            <w:tcW w:w="515" w:type="dxa"/>
            <w:tcBorders>
              <w:bottom w:val="single" w:sz="12" w:space="0" w:color="636466"/>
            </w:tcBorders>
            <w:vAlign w:val="center"/>
          </w:tcPr>
          <w:p>
            <w:pPr>
              <w:pStyle w:val="TableContents"/>
              <w:bidi w:val="0"/>
              <w:spacing w:before="0" w:after="283"/>
              <w:jc w:val="left"/>
              <w:rPr/>
            </w:pPr>
            <w:r>
              <w:rPr/>
              <w:t>2024</w:t>
            </w:r>
          </w:p>
        </w:tc>
        <w:tc>
          <w:tcPr>
            <w:tcW w:w="300" w:type="dxa"/>
            <w:tcBorders>
              <w:bottom w:val="single" w:sz="12" w:space="0" w:color="636466"/>
            </w:tcBorders>
            <w:vAlign w:val="center"/>
          </w:tcPr>
          <w:p>
            <w:pPr>
              <w:pStyle w:val="TableContents"/>
              <w:bidi w:val="0"/>
              <w:spacing w:before="0" w:after="283"/>
              <w:jc w:val="left"/>
              <w:rPr/>
            </w:pPr>
            <w:r>
              <w:rPr/>
              <w:t> </w:t>
            </w:r>
          </w:p>
        </w:tc>
        <w:tc>
          <w:tcPr>
            <w:tcW w:w="1100" w:type="dxa"/>
            <w:tcBorders>
              <w:bottom w:val="single" w:sz="12" w:space="0" w:color="636466"/>
            </w:tcBorders>
            <w:vAlign w:val="center"/>
          </w:tcPr>
          <w:p>
            <w:pPr>
              <w:pStyle w:val="TableContents"/>
              <w:bidi w:val="0"/>
              <w:spacing w:before="0" w:after="283"/>
              <w:jc w:val="right"/>
              <w:rPr/>
            </w:pPr>
            <w:r>
              <w:rPr/>
              <w:t>$724,167</w:t>
            </w:r>
          </w:p>
        </w:tc>
        <w:tc>
          <w:tcPr>
            <w:tcW w:w="300" w:type="dxa"/>
            <w:tcBorders>
              <w:bottom w:val="single" w:sz="12" w:space="0" w:color="636466"/>
            </w:tcBorders>
            <w:vAlign w:val="center"/>
          </w:tcPr>
          <w:p>
            <w:pPr>
              <w:pStyle w:val="TableContents"/>
              <w:bidi w:val="0"/>
              <w:spacing w:before="0" w:after="283"/>
              <w:jc w:val="left"/>
              <w:rPr/>
            </w:pPr>
            <w:r>
              <w:rPr/>
              <w:t> </w:t>
            </w:r>
          </w:p>
        </w:tc>
        <w:tc>
          <w:tcPr>
            <w:tcW w:w="1100" w:type="dxa"/>
            <w:tcBorders>
              <w:bottom w:val="single" w:sz="12" w:space="0" w:color="636466"/>
            </w:tcBorders>
            <w:vAlign w:val="center"/>
          </w:tcPr>
          <w:p>
            <w:pPr>
              <w:pStyle w:val="TableContents"/>
              <w:bidi w:val="0"/>
              <w:spacing w:before="0" w:after="283"/>
              <w:jc w:val="right"/>
              <w:rPr/>
            </w:pPr>
            <w:r>
              <w:rPr/>
              <w:t>$950,000</w:t>
            </w:r>
          </w:p>
        </w:tc>
        <w:tc>
          <w:tcPr>
            <w:tcW w:w="300" w:type="dxa"/>
            <w:tcBorders>
              <w:bottom w:val="single" w:sz="12" w:space="0" w:color="636466"/>
            </w:tcBorders>
            <w:vAlign w:val="center"/>
          </w:tcPr>
          <w:p>
            <w:pPr>
              <w:pStyle w:val="TableContents"/>
              <w:bidi w:val="0"/>
              <w:spacing w:before="0" w:after="283"/>
              <w:jc w:val="left"/>
              <w:rPr/>
            </w:pPr>
            <w:r>
              <w:rPr/>
              <w:t> </w:t>
            </w:r>
          </w:p>
        </w:tc>
        <w:tc>
          <w:tcPr>
            <w:tcW w:w="1220" w:type="dxa"/>
            <w:tcBorders>
              <w:bottom w:val="single" w:sz="12" w:space="0" w:color="636466"/>
            </w:tcBorders>
            <w:vAlign w:val="center"/>
          </w:tcPr>
          <w:p>
            <w:pPr>
              <w:pStyle w:val="TableContents"/>
              <w:bidi w:val="0"/>
              <w:spacing w:before="0" w:after="283"/>
              <w:jc w:val="right"/>
              <w:rPr/>
            </w:pPr>
            <w:r>
              <w:rPr/>
              <w:t>$2,001,902</w:t>
            </w:r>
          </w:p>
        </w:tc>
        <w:tc>
          <w:tcPr>
            <w:tcW w:w="300" w:type="dxa"/>
            <w:tcBorders>
              <w:bottom w:val="single" w:sz="12" w:space="0" w:color="636466"/>
            </w:tcBorders>
            <w:vAlign w:val="center"/>
          </w:tcPr>
          <w:p>
            <w:pPr>
              <w:pStyle w:val="TableContents"/>
              <w:bidi w:val="0"/>
              <w:spacing w:before="0" w:after="283"/>
              <w:jc w:val="left"/>
              <w:rPr/>
            </w:pPr>
            <w:r>
              <w:rPr/>
              <w:t> </w:t>
            </w:r>
          </w:p>
        </w:tc>
        <w:tc>
          <w:tcPr>
            <w:tcW w:w="1100" w:type="dxa"/>
            <w:tcBorders>
              <w:bottom w:val="single" w:sz="12" w:space="0" w:color="636466"/>
            </w:tcBorders>
            <w:vAlign w:val="center"/>
          </w:tcPr>
          <w:p>
            <w:pPr>
              <w:pStyle w:val="TableContents"/>
              <w:bidi w:val="0"/>
              <w:spacing w:before="0" w:after="283"/>
              <w:jc w:val="right"/>
              <w:rPr/>
            </w:pPr>
            <w:r>
              <w:rPr/>
              <w:t>$1,294,720</w:t>
            </w:r>
          </w:p>
        </w:tc>
        <w:tc>
          <w:tcPr>
            <w:tcW w:w="300" w:type="dxa"/>
            <w:tcBorders>
              <w:bottom w:val="single" w:sz="12" w:space="0" w:color="636466"/>
            </w:tcBorders>
            <w:vAlign w:val="center"/>
          </w:tcPr>
          <w:p>
            <w:pPr>
              <w:pStyle w:val="TableContents"/>
              <w:bidi w:val="0"/>
              <w:spacing w:before="0" w:after="283"/>
              <w:jc w:val="left"/>
              <w:rPr/>
            </w:pPr>
            <w:r>
              <w:rPr/>
              <w:t> </w:t>
            </w:r>
          </w:p>
        </w:tc>
        <w:tc>
          <w:tcPr>
            <w:tcW w:w="950" w:type="dxa"/>
            <w:tcBorders>
              <w:bottom w:val="single" w:sz="12" w:space="0" w:color="636466"/>
            </w:tcBorders>
            <w:vAlign w:val="center"/>
          </w:tcPr>
          <w:p>
            <w:pPr>
              <w:pStyle w:val="TableContents"/>
              <w:bidi w:val="0"/>
              <w:spacing w:before="0" w:after="283"/>
              <w:jc w:val="right"/>
              <w:rPr/>
            </w:pPr>
            <w:r>
              <w:rPr/>
              <w:t>$0</w:t>
            </w:r>
          </w:p>
        </w:tc>
        <w:tc>
          <w:tcPr>
            <w:tcW w:w="300" w:type="dxa"/>
            <w:tcBorders>
              <w:bottom w:val="single" w:sz="12" w:space="0" w:color="636466"/>
            </w:tcBorders>
            <w:vAlign w:val="center"/>
          </w:tcPr>
          <w:p>
            <w:pPr>
              <w:pStyle w:val="TableContents"/>
              <w:bidi w:val="0"/>
              <w:spacing w:before="0" w:after="283"/>
              <w:jc w:val="left"/>
              <w:rPr/>
            </w:pPr>
            <w:r>
              <w:rPr/>
              <w:t> </w:t>
            </w:r>
          </w:p>
        </w:tc>
        <w:tc>
          <w:tcPr>
            <w:tcW w:w="950" w:type="dxa"/>
            <w:tcBorders>
              <w:bottom w:val="single" w:sz="12" w:space="0" w:color="636466"/>
            </w:tcBorders>
            <w:vAlign w:val="center"/>
          </w:tcPr>
          <w:p>
            <w:pPr>
              <w:pStyle w:val="TableContents"/>
              <w:bidi w:val="0"/>
              <w:spacing w:before="0" w:after="283"/>
              <w:jc w:val="right"/>
              <w:rPr/>
            </w:pPr>
            <w:r>
              <w:rPr/>
              <w:t>$175,444</w:t>
            </w:r>
          </w:p>
        </w:tc>
        <w:tc>
          <w:tcPr>
            <w:tcW w:w="300" w:type="dxa"/>
            <w:tcBorders>
              <w:bottom w:val="single" w:sz="12" w:space="0" w:color="636466"/>
            </w:tcBorders>
            <w:vAlign w:val="center"/>
          </w:tcPr>
          <w:p>
            <w:pPr>
              <w:pStyle w:val="TableContents"/>
              <w:bidi w:val="0"/>
              <w:spacing w:before="0" w:after="283"/>
              <w:jc w:val="left"/>
              <w:rPr/>
            </w:pPr>
            <w:r>
              <w:rPr/>
              <w:t> </w:t>
            </w:r>
          </w:p>
        </w:tc>
        <w:tc>
          <w:tcPr>
            <w:tcW w:w="1235" w:type="dxa"/>
            <w:tcBorders>
              <w:bottom w:val="single" w:sz="12" w:space="0" w:color="636466"/>
            </w:tcBorders>
            <w:shd w:fill="EDEDEE" w:val="clear"/>
            <w:vAlign w:val="center"/>
          </w:tcPr>
          <w:p>
            <w:pPr>
              <w:pStyle w:val="TableContents"/>
              <w:bidi w:val="0"/>
              <w:spacing w:before="0" w:after="283"/>
              <w:jc w:val="right"/>
              <w:rPr/>
            </w:pPr>
            <w:r>
              <w:rPr/>
              <w:t>$5,146,233</w:t>
            </w:r>
          </w:p>
        </w:tc>
      </w:tr>
      <w:tr>
        <w:trPr/>
        <w:tc>
          <w:tcPr>
            <w:tcW w:w="10270" w:type="dxa"/>
            <w:gridSpan w:val="15"/>
            <w:tcBorders>
              <w:bottom w:val="single" w:sz="12" w:space="0" w:color="C12E33"/>
            </w:tcBorders>
            <w:vAlign w:val="center"/>
          </w:tcPr>
          <w:p>
            <w:pPr>
              <w:pStyle w:val="TableContents"/>
              <w:bidi w:val="0"/>
              <w:spacing w:before="0" w:after="283"/>
              <w:jc w:val="left"/>
              <w:rPr>
                <w:sz w:val="15"/>
              </w:rPr>
            </w:pPr>
            <w:r>
              <w:rPr>
                <w:b/>
                <w:sz w:val="15"/>
              </w:rPr>
              <w:t>Shane G. Eddy</w:t>
            </w:r>
            <w:r>
              <w:rPr>
                <w:sz w:val="15"/>
              </w:rPr>
              <w:t> President, Pratt &amp; Whitney</w:t>
            </w:r>
          </w:p>
        </w:tc>
      </w:tr>
      <w:tr>
        <w:trPr/>
        <w:tc>
          <w:tcPr>
            <w:tcW w:w="515" w:type="dxa"/>
            <w:tcBorders>
              <w:bottom w:val="single" w:sz="2" w:space="0" w:color="000000"/>
            </w:tcBorders>
            <w:vAlign w:val="center"/>
          </w:tcPr>
          <w:p>
            <w:pPr>
              <w:pStyle w:val="TableContents"/>
              <w:bidi w:val="0"/>
              <w:spacing w:before="0" w:after="283"/>
              <w:jc w:val="left"/>
              <w:rPr/>
            </w:pPr>
            <w:r>
              <w:rPr/>
              <w:t>2025</w:t>
            </w:r>
          </w:p>
        </w:tc>
        <w:tc>
          <w:tcPr>
            <w:tcW w:w="300" w:type="dxa"/>
            <w:tcBorders>
              <w:bottom w:val="single" w:sz="2" w:space="0" w:color="000000"/>
            </w:tcBorders>
            <w:vAlign w:val="center"/>
          </w:tcPr>
          <w:p>
            <w:pPr>
              <w:pStyle w:val="TableContents"/>
              <w:bidi w:val="0"/>
              <w:spacing w:before="0" w:after="283"/>
              <w:jc w:val="left"/>
              <w:rPr/>
            </w:pPr>
            <w:r>
              <w:rPr/>
              <w:t> </w:t>
            </w:r>
          </w:p>
        </w:tc>
        <w:tc>
          <w:tcPr>
            <w:tcW w:w="1100" w:type="dxa"/>
            <w:tcBorders>
              <w:bottom w:val="single" w:sz="2" w:space="0" w:color="000000"/>
            </w:tcBorders>
            <w:vAlign w:val="center"/>
          </w:tcPr>
          <w:p>
            <w:pPr>
              <w:pStyle w:val="TableContents"/>
              <w:bidi w:val="0"/>
              <w:spacing w:before="0" w:after="283"/>
              <w:jc w:val="right"/>
              <w:rPr/>
            </w:pPr>
            <w:r>
              <w:rPr/>
              <w:t>$832,500</w:t>
            </w:r>
          </w:p>
        </w:tc>
        <w:tc>
          <w:tcPr>
            <w:tcW w:w="300" w:type="dxa"/>
            <w:tcBorders>
              <w:bottom w:val="single" w:sz="2" w:space="0" w:color="000000"/>
            </w:tcBorders>
            <w:vAlign w:val="center"/>
          </w:tcPr>
          <w:p>
            <w:pPr>
              <w:pStyle w:val="TableContents"/>
              <w:bidi w:val="0"/>
              <w:spacing w:before="0" w:after="283"/>
              <w:jc w:val="left"/>
              <w:rPr/>
            </w:pPr>
            <w:r>
              <w:rPr/>
              <w:t> </w:t>
            </w:r>
          </w:p>
        </w:tc>
        <w:tc>
          <w:tcPr>
            <w:tcW w:w="1100" w:type="dxa"/>
            <w:tcBorders>
              <w:bottom w:val="single" w:sz="2" w:space="0" w:color="000000"/>
            </w:tcBorders>
            <w:vAlign w:val="center"/>
          </w:tcPr>
          <w:p>
            <w:pPr>
              <w:pStyle w:val="TableContents"/>
              <w:bidi w:val="0"/>
              <w:spacing w:before="0" w:after="283"/>
              <w:jc w:val="right"/>
              <w:rPr/>
            </w:pPr>
            <w:r>
              <w:rPr/>
              <w:t>$1,425,000</w:t>
            </w:r>
          </w:p>
        </w:tc>
        <w:tc>
          <w:tcPr>
            <w:tcW w:w="300" w:type="dxa"/>
            <w:tcBorders>
              <w:bottom w:val="single" w:sz="2" w:space="0" w:color="000000"/>
            </w:tcBorders>
            <w:vAlign w:val="center"/>
          </w:tcPr>
          <w:p>
            <w:pPr>
              <w:pStyle w:val="TableContents"/>
              <w:bidi w:val="0"/>
              <w:spacing w:before="0" w:after="283"/>
              <w:jc w:val="left"/>
              <w:rPr/>
            </w:pPr>
            <w:r>
              <w:rPr/>
              <w:t> </w:t>
            </w:r>
          </w:p>
        </w:tc>
        <w:tc>
          <w:tcPr>
            <w:tcW w:w="1220" w:type="dxa"/>
            <w:tcBorders>
              <w:bottom w:val="single" w:sz="2" w:space="0" w:color="000000"/>
            </w:tcBorders>
            <w:vAlign w:val="center"/>
          </w:tcPr>
          <w:p>
            <w:pPr>
              <w:pStyle w:val="TableContents"/>
              <w:bidi w:val="0"/>
              <w:spacing w:before="0" w:after="283"/>
              <w:jc w:val="right"/>
              <w:rPr/>
            </w:pPr>
            <w:r>
              <w:rPr/>
              <w:t>$2,536,820</w:t>
            </w:r>
          </w:p>
        </w:tc>
        <w:tc>
          <w:tcPr>
            <w:tcW w:w="300" w:type="dxa"/>
            <w:tcBorders>
              <w:bottom w:val="single" w:sz="2" w:space="0" w:color="000000"/>
            </w:tcBorders>
            <w:vAlign w:val="center"/>
          </w:tcPr>
          <w:p>
            <w:pPr>
              <w:pStyle w:val="TableContents"/>
              <w:bidi w:val="0"/>
              <w:spacing w:before="0" w:after="283"/>
              <w:jc w:val="left"/>
              <w:rPr/>
            </w:pPr>
            <w:r>
              <w:rPr/>
              <w:t> </w:t>
            </w:r>
          </w:p>
        </w:tc>
        <w:tc>
          <w:tcPr>
            <w:tcW w:w="1100" w:type="dxa"/>
            <w:tcBorders>
              <w:bottom w:val="single" w:sz="2" w:space="0" w:color="000000"/>
            </w:tcBorders>
            <w:vAlign w:val="center"/>
          </w:tcPr>
          <w:p>
            <w:pPr>
              <w:pStyle w:val="TableContents"/>
              <w:bidi w:val="0"/>
              <w:spacing w:before="0" w:after="283"/>
              <w:jc w:val="right"/>
              <w:rPr/>
            </w:pPr>
            <w:r>
              <w:rPr/>
              <w:t>$1,574,821</w:t>
            </w:r>
          </w:p>
        </w:tc>
        <w:tc>
          <w:tcPr>
            <w:tcW w:w="300" w:type="dxa"/>
            <w:tcBorders>
              <w:bottom w:val="single" w:sz="2" w:space="0" w:color="000000"/>
            </w:tcBorders>
            <w:vAlign w:val="center"/>
          </w:tcPr>
          <w:p>
            <w:pPr>
              <w:pStyle w:val="TableContents"/>
              <w:bidi w:val="0"/>
              <w:spacing w:before="0" w:after="283"/>
              <w:jc w:val="left"/>
              <w:rPr/>
            </w:pPr>
            <w:r>
              <w:rPr/>
              <w:t> </w:t>
            </w:r>
          </w:p>
        </w:tc>
        <w:tc>
          <w:tcPr>
            <w:tcW w:w="950" w:type="dxa"/>
            <w:tcBorders>
              <w:bottom w:val="single" w:sz="2" w:space="0" w:color="000000"/>
            </w:tcBorders>
            <w:vAlign w:val="center"/>
          </w:tcPr>
          <w:p>
            <w:pPr>
              <w:pStyle w:val="TableContents"/>
              <w:bidi w:val="0"/>
              <w:spacing w:before="0" w:after="283"/>
              <w:jc w:val="right"/>
              <w:rPr/>
            </w:pPr>
            <w:r>
              <w:rPr/>
              <w:t>$10,707</w:t>
            </w:r>
          </w:p>
        </w:tc>
        <w:tc>
          <w:tcPr>
            <w:tcW w:w="300" w:type="dxa"/>
            <w:tcBorders>
              <w:bottom w:val="single" w:sz="2" w:space="0" w:color="000000"/>
            </w:tcBorders>
            <w:vAlign w:val="center"/>
          </w:tcPr>
          <w:p>
            <w:pPr>
              <w:pStyle w:val="TableContents"/>
              <w:bidi w:val="0"/>
              <w:spacing w:before="0" w:after="283"/>
              <w:jc w:val="left"/>
              <w:rPr/>
            </w:pPr>
            <w:r>
              <w:rPr/>
              <w:t> </w:t>
            </w:r>
          </w:p>
        </w:tc>
        <w:tc>
          <w:tcPr>
            <w:tcW w:w="950" w:type="dxa"/>
            <w:tcBorders>
              <w:bottom w:val="single" w:sz="2" w:space="0" w:color="000000"/>
            </w:tcBorders>
            <w:vAlign w:val="center"/>
          </w:tcPr>
          <w:p>
            <w:pPr>
              <w:pStyle w:val="TableContents"/>
              <w:bidi w:val="0"/>
              <w:spacing w:before="0" w:after="283"/>
              <w:jc w:val="right"/>
              <w:rPr/>
            </w:pPr>
            <w:r>
              <w:rPr/>
              <w:t>$231,545</w:t>
            </w:r>
          </w:p>
        </w:tc>
        <w:tc>
          <w:tcPr>
            <w:tcW w:w="300" w:type="dxa"/>
            <w:tcBorders>
              <w:bottom w:val="single" w:sz="2" w:space="0" w:color="000000"/>
            </w:tcBorders>
            <w:vAlign w:val="center"/>
          </w:tcPr>
          <w:p>
            <w:pPr>
              <w:pStyle w:val="TableContents"/>
              <w:bidi w:val="0"/>
              <w:spacing w:before="0" w:after="283"/>
              <w:jc w:val="left"/>
              <w:rPr/>
            </w:pPr>
            <w:r>
              <w:rPr/>
              <w:t> </w:t>
            </w:r>
          </w:p>
        </w:tc>
        <w:tc>
          <w:tcPr>
            <w:tcW w:w="1235" w:type="dxa"/>
            <w:tcBorders>
              <w:bottom w:val="single" w:sz="2" w:space="0" w:color="000000"/>
            </w:tcBorders>
            <w:shd w:fill="EDEDEE" w:val="clear"/>
            <w:vAlign w:val="center"/>
          </w:tcPr>
          <w:p>
            <w:pPr>
              <w:pStyle w:val="TableContents"/>
              <w:bidi w:val="0"/>
              <w:spacing w:before="0" w:after="283"/>
              <w:jc w:val="right"/>
              <w:rPr/>
            </w:pPr>
            <w:r>
              <w:rPr/>
              <w:t>$6,611,393</w:t>
            </w:r>
          </w:p>
        </w:tc>
      </w:tr>
      <w:tr>
        <w:trPr/>
        <w:tc>
          <w:tcPr>
            <w:tcW w:w="515" w:type="dxa"/>
            <w:tcBorders>
              <w:bottom w:val="single" w:sz="12" w:space="0" w:color="636466"/>
            </w:tcBorders>
            <w:vAlign w:val="center"/>
          </w:tcPr>
          <w:p>
            <w:pPr>
              <w:pStyle w:val="TableContents"/>
              <w:bidi w:val="0"/>
              <w:spacing w:before="0" w:after="283"/>
              <w:jc w:val="left"/>
              <w:rPr/>
            </w:pPr>
            <w:r>
              <w:rPr/>
              <w:t>2024</w:t>
            </w:r>
          </w:p>
        </w:tc>
        <w:tc>
          <w:tcPr>
            <w:tcW w:w="300" w:type="dxa"/>
            <w:tcBorders>
              <w:bottom w:val="single" w:sz="12" w:space="0" w:color="636466"/>
            </w:tcBorders>
            <w:vAlign w:val="center"/>
          </w:tcPr>
          <w:p>
            <w:pPr>
              <w:pStyle w:val="TableContents"/>
              <w:bidi w:val="0"/>
              <w:spacing w:before="0" w:after="283"/>
              <w:jc w:val="left"/>
              <w:rPr/>
            </w:pPr>
            <w:r>
              <w:rPr/>
              <w:t> </w:t>
            </w:r>
          </w:p>
        </w:tc>
        <w:tc>
          <w:tcPr>
            <w:tcW w:w="1100" w:type="dxa"/>
            <w:tcBorders>
              <w:bottom w:val="single" w:sz="12" w:space="0" w:color="636466"/>
            </w:tcBorders>
            <w:vAlign w:val="center"/>
          </w:tcPr>
          <w:p>
            <w:pPr>
              <w:pStyle w:val="TableContents"/>
              <w:bidi w:val="0"/>
              <w:spacing w:before="0" w:after="283"/>
              <w:jc w:val="right"/>
              <w:rPr/>
            </w:pPr>
            <w:r>
              <w:rPr/>
              <w:t>$803,750</w:t>
            </w:r>
          </w:p>
        </w:tc>
        <w:tc>
          <w:tcPr>
            <w:tcW w:w="300" w:type="dxa"/>
            <w:tcBorders>
              <w:bottom w:val="single" w:sz="12" w:space="0" w:color="636466"/>
            </w:tcBorders>
            <w:vAlign w:val="center"/>
          </w:tcPr>
          <w:p>
            <w:pPr>
              <w:pStyle w:val="TableContents"/>
              <w:bidi w:val="0"/>
              <w:spacing w:before="0" w:after="283"/>
              <w:jc w:val="left"/>
              <w:rPr/>
            </w:pPr>
            <w:r>
              <w:rPr/>
              <w:t> </w:t>
            </w:r>
          </w:p>
        </w:tc>
        <w:tc>
          <w:tcPr>
            <w:tcW w:w="1100" w:type="dxa"/>
            <w:tcBorders>
              <w:bottom w:val="single" w:sz="12" w:space="0" w:color="636466"/>
            </w:tcBorders>
            <w:vAlign w:val="center"/>
          </w:tcPr>
          <w:p>
            <w:pPr>
              <w:pStyle w:val="TableContents"/>
              <w:bidi w:val="0"/>
              <w:spacing w:before="0" w:after="283"/>
              <w:jc w:val="right"/>
              <w:rPr/>
            </w:pPr>
            <w:r>
              <w:rPr/>
              <w:t>$900,000</w:t>
            </w:r>
          </w:p>
        </w:tc>
        <w:tc>
          <w:tcPr>
            <w:tcW w:w="300" w:type="dxa"/>
            <w:tcBorders>
              <w:bottom w:val="single" w:sz="12" w:space="0" w:color="636466"/>
            </w:tcBorders>
            <w:vAlign w:val="center"/>
          </w:tcPr>
          <w:p>
            <w:pPr>
              <w:pStyle w:val="TableContents"/>
              <w:bidi w:val="0"/>
              <w:spacing w:before="0" w:after="283"/>
              <w:jc w:val="left"/>
              <w:rPr/>
            </w:pPr>
            <w:r>
              <w:rPr/>
              <w:t> </w:t>
            </w:r>
          </w:p>
        </w:tc>
        <w:tc>
          <w:tcPr>
            <w:tcW w:w="1220" w:type="dxa"/>
            <w:tcBorders>
              <w:bottom w:val="single" w:sz="12" w:space="0" w:color="636466"/>
            </w:tcBorders>
            <w:vAlign w:val="center"/>
          </w:tcPr>
          <w:p>
            <w:pPr>
              <w:pStyle w:val="TableContents"/>
              <w:bidi w:val="0"/>
              <w:spacing w:before="0" w:after="283"/>
              <w:jc w:val="right"/>
              <w:rPr/>
            </w:pPr>
            <w:r>
              <w:rPr/>
              <w:t>$2,156,111</w:t>
            </w:r>
          </w:p>
        </w:tc>
        <w:tc>
          <w:tcPr>
            <w:tcW w:w="300" w:type="dxa"/>
            <w:tcBorders>
              <w:bottom w:val="single" w:sz="12" w:space="0" w:color="636466"/>
            </w:tcBorders>
            <w:vAlign w:val="center"/>
          </w:tcPr>
          <w:p>
            <w:pPr>
              <w:pStyle w:val="TableContents"/>
              <w:bidi w:val="0"/>
              <w:spacing w:before="0" w:after="283"/>
              <w:jc w:val="left"/>
              <w:rPr/>
            </w:pPr>
            <w:r>
              <w:rPr/>
              <w:t> </w:t>
            </w:r>
          </w:p>
        </w:tc>
        <w:tc>
          <w:tcPr>
            <w:tcW w:w="1100" w:type="dxa"/>
            <w:tcBorders>
              <w:bottom w:val="single" w:sz="12" w:space="0" w:color="636466"/>
            </w:tcBorders>
            <w:vAlign w:val="center"/>
          </w:tcPr>
          <w:p>
            <w:pPr>
              <w:pStyle w:val="TableContents"/>
              <w:bidi w:val="0"/>
              <w:spacing w:before="0" w:after="283"/>
              <w:jc w:val="right"/>
              <w:rPr/>
            </w:pPr>
            <w:r>
              <w:rPr/>
              <w:t>$1,394,816</w:t>
            </w:r>
          </w:p>
        </w:tc>
        <w:tc>
          <w:tcPr>
            <w:tcW w:w="300" w:type="dxa"/>
            <w:tcBorders>
              <w:bottom w:val="single" w:sz="12" w:space="0" w:color="636466"/>
            </w:tcBorders>
            <w:vAlign w:val="center"/>
          </w:tcPr>
          <w:p>
            <w:pPr>
              <w:pStyle w:val="TableContents"/>
              <w:bidi w:val="0"/>
              <w:spacing w:before="0" w:after="283"/>
              <w:jc w:val="left"/>
              <w:rPr/>
            </w:pPr>
            <w:r>
              <w:rPr/>
              <w:t> </w:t>
            </w:r>
          </w:p>
        </w:tc>
        <w:tc>
          <w:tcPr>
            <w:tcW w:w="950" w:type="dxa"/>
            <w:tcBorders>
              <w:bottom w:val="single" w:sz="12" w:space="0" w:color="636466"/>
            </w:tcBorders>
            <w:vAlign w:val="center"/>
          </w:tcPr>
          <w:p>
            <w:pPr>
              <w:pStyle w:val="TableContents"/>
              <w:bidi w:val="0"/>
              <w:spacing w:before="0" w:after="283"/>
              <w:jc w:val="right"/>
              <w:rPr/>
            </w:pPr>
            <w:r>
              <w:rPr/>
              <w:t>$4,248</w:t>
            </w:r>
          </w:p>
        </w:tc>
        <w:tc>
          <w:tcPr>
            <w:tcW w:w="300" w:type="dxa"/>
            <w:tcBorders>
              <w:bottom w:val="single" w:sz="12" w:space="0" w:color="636466"/>
            </w:tcBorders>
            <w:vAlign w:val="center"/>
          </w:tcPr>
          <w:p>
            <w:pPr>
              <w:pStyle w:val="TableContents"/>
              <w:bidi w:val="0"/>
              <w:spacing w:before="0" w:after="283"/>
              <w:jc w:val="left"/>
              <w:rPr/>
            </w:pPr>
            <w:r>
              <w:rPr/>
              <w:t> </w:t>
            </w:r>
          </w:p>
        </w:tc>
        <w:tc>
          <w:tcPr>
            <w:tcW w:w="950" w:type="dxa"/>
            <w:tcBorders>
              <w:bottom w:val="single" w:sz="12" w:space="0" w:color="636466"/>
            </w:tcBorders>
            <w:vAlign w:val="center"/>
          </w:tcPr>
          <w:p>
            <w:pPr>
              <w:pStyle w:val="TableContents"/>
              <w:bidi w:val="0"/>
              <w:spacing w:before="0" w:after="283"/>
              <w:jc w:val="right"/>
              <w:rPr/>
            </w:pPr>
            <w:r>
              <w:rPr/>
              <w:t>$207,534</w:t>
            </w:r>
          </w:p>
        </w:tc>
        <w:tc>
          <w:tcPr>
            <w:tcW w:w="300" w:type="dxa"/>
            <w:tcBorders>
              <w:bottom w:val="single" w:sz="12" w:space="0" w:color="636466"/>
            </w:tcBorders>
            <w:vAlign w:val="center"/>
          </w:tcPr>
          <w:p>
            <w:pPr>
              <w:pStyle w:val="TableContents"/>
              <w:bidi w:val="0"/>
              <w:spacing w:before="0" w:after="283"/>
              <w:jc w:val="left"/>
              <w:rPr/>
            </w:pPr>
            <w:r>
              <w:rPr/>
              <w:t> </w:t>
            </w:r>
          </w:p>
        </w:tc>
        <w:tc>
          <w:tcPr>
            <w:tcW w:w="1235" w:type="dxa"/>
            <w:tcBorders>
              <w:bottom w:val="single" w:sz="12" w:space="0" w:color="636466"/>
            </w:tcBorders>
            <w:shd w:fill="EDEDEE" w:val="clear"/>
            <w:vAlign w:val="center"/>
          </w:tcPr>
          <w:p>
            <w:pPr>
              <w:pStyle w:val="TableContents"/>
              <w:bidi w:val="0"/>
              <w:spacing w:before="0" w:after="283"/>
              <w:jc w:val="right"/>
              <w:rPr/>
            </w:pPr>
            <w:r>
              <w:rPr/>
              <w:t>$5,466,459</w:t>
            </w:r>
          </w:p>
        </w:tc>
      </w:tr>
      <w:tr>
        <w:trPr/>
        <w:tc>
          <w:tcPr>
            <w:tcW w:w="10270" w:type="dxa"/>
            <w:gridSpan w:val="15"/>
            <w:tcBorders>
              <w:bottom w:val="single" w:sz="12" w:space="0" w:color="C12E33"/>
            </w:tcBorders>
            <w:vAlign w:val="center"/>
          </w:tcPr>
          <w:p>
            <w:pPr>
              <w:pStyle w:val="TableContents"/>
              <w:bidi w:val="0"/>
              <w:spacing w:before="0" w:after="283"/>
              <w:jc w:val="left"/>
              <w:rPr>
                <w:sz w:val="15"/>
              </w:rPr>
            </w:pPr>
            <w:r>
              <w:rPr>
                <w:b/>
                <w:sz w:val="15"/>
              </w:rPr>
              <w:t>Troy D. Brunk</w:t>
            </w:r>
            <w:r>
              <w:rPr>
                <w:sz w:val="15"/>
              </w:rPr>
              <w:t> President, Collins Aerospace</w:t>
            </w:r>
          </w:p>
        </w:tc>
      </w:tr>
      <w:tr>
        <w:trPr/>
        <w:tc>
          <w:tcPr>
            <w:tcW w:w="515" w:type="dxa"/>
            <w:tcBorders>
              <w:bottom w:val="single" w:sz="2" w:space="0" w:color="000000"/>
            </w:tcBorders>
            <w:vAlign w:val="center"/>
          </w:tcPr>
          <w:p>
            <w:pPr>
              <w:pStyle w:val="TableContents"/>
              <w:bidi w:val="0"/>
              <w:spacing w:before="0" w:after="283"/>
              <w:jc w:val="left"/>
              <w:rPr/>
            </w:pPr>
            <w:r>
              <w:rPr/>
              <w:t>2025</w:t>
            </w:r>
          </w:p>
        </w:tc>
        <w:tc>
          <w:tcPr>
            <w:tcW w:w="300" w:type="dxa"/>
            <w:tcBorders>
              <w:bottom w:val="single" w:sz="2" w:space="0" w:color="000000"/>
            </w:tcBorders>
            <w:vAlign w:val="center"/>
          </w:tcPr>
          <w:p>
            <w:pPr>
              <w:pStyle w:val="TableContents"/>
              <w:bidi w:val="0"/>
              <w:spacing w:before="0" w:after="283"/>
              <w:jc w:val="left"/>
              <w:rPr/>
            </w:pPr>
            <w:r>
              <w:rPr/>
              <w:t> </w:t>
            </w:r>
          </w:p>
        </w:tc>
        <w:tc>
          <w:tcPr>
            <w:tcW w:w="1100" w:type="dxa"/>
            <w:tcBorders>
              <w:bottom w:val="single" w:sz="2" w:space="0" w:color="000000"/>
            </w:tcBorders>
            <w:vAlign w:val="center"/>
          </w:tcPr>
          <w:p>
            <w:pPr>
              <w:pStyle w:val="TableContents"/>
              <w:bidi w:val="0"/>
              <w:spacing w:before="0" w:after="283"/>
              <w:jc w:val="right"/>
              <w:rPr/>
            </w:pPr>
            <w:r>
              <w:rPr/>
              <w:t>$781,111</w:t>
            </w:r>
          </w:p>
        </w:tc>
        <w:tc>
          <w:tcPr>
            <w:tcW w:w="300" w:type="dxa"/>
            <w:tcBorders>
              <w:bottom w:val="single" w:sz="2" w:space="0" w:color="000000"/>
            </w:tcBorders>
            <w:vAlign w:val="center"/>
          </w:tcPr>
          <w:p>
            <w:pPr>
              <w:pStyle w:val="TableContents"/>
              <w:bidi w:val="0"/>
              <w:spacing w:before="0" w:after="283"/>
              <w:jc w:val="left"/>
              <w:rPr/>
            </w:pPr>
            <w:r>
              <w:rPr/>
              <w:t> </w:t>
            </w:r>
          </w:p>
        </w:tc>
        <w:tc>
          <w:tcPr>
            <w:tcW w:w="1100" w:type="dxa"/>
            <w:tcBorders>
              <w:bottom w:val="single" w:sz="2" w:space="0" w:color="000000"/>
            </w:tcBorders>
            <w:vAlign w:val="center"/>
          </w:tcPr>
          <w:p>
            <w:pPr>
              <w:pStyle w:val="TableContents"/>
              <w:bidi w:val="0"/>
              <w:spacing w:before="0" w:after="283"/>
              <w:jc w:val="right"/>
              <w:rPr/>
            </w:pPr>
            <w:r>
              <w:rPr/>
              <w:t>$1,320,000</w:t>
            </w:r>
          </w:p>
        </w:tc>
        <w:tc>
          <w:tcPr>
            <w:tcW w:w="300" w:type="dxa"/>
            <w:tcBorders>
              <w:bottom w:val="single" w:sz="2" w:space="0" w:color="000000"/>
            </w:tcBorders>
            <w:vAlign w:val="center"/>
          </w:tcPr>
          <w:p>
            <w:pPr>
              <w:pStyle w:val="TableContents"/>
              <w:bidi w:val="0"/>
              <w:spacing w:before="0" w:after="283"/>
              <w:jc w:val="left"/>
              <w:rPr/>
            </w:pPr>
            <w:r>
              <w:rPr/>
              <w:t> </w:t>
            </w:r>
          </w:p>
        </w:tc>
        <w:tc>
          <w:tcPr>
            <w:tcW w:w="1220" w:type="dxa"/>
            <w:tcBorders>
              <w:bottom w:val="single" w:sz="2" w:space="0" w:color="000000"/>
            </w:tcBorders>
            <w:vAlign w:val="center"/>
          </w:tcPr>
          <w:p>
            <w:pPr>
              <w:pStyle w:val="TableContents"/>
              <w:bidi w:val="0"/>
              <w:spacing w:before="0" w:after="283"/>
              <w:jc w:val="right"/>
              <w:rPr/>
            </w:pPr>
            <w:r>
              <w:rPr/>
              <w:t>$2,219,718</w:t>
            </w:r>
          </w:p>
        </w:tc>
        <w:tc>
          <w:tcPr>
            <w:tcW w:w="300" w:type="dxa"/>
            <w:tcBorders>
              <w:bottom w:val="single" w:sz="2" w:space="0" w:color="000000"/>
            </w:tcBorders>
            <w:vAlign w:val="center"/>
          </w:tcPr>
          <w:p>
            <w:pPr>
              <w:pStyle w:val="TableContents"/>
              <w:bidi w:val="0"/>
              <w:spacing w:before="0" w:after="283"/>
              <w:jc w:val="left"/>
              <w:rPr/>
            </w:pPr>
            <w:r>
              <w:rPr/>
              <w:t> </w:t>
            </w:r>
          </w:p>
        </w:tc>
        <w:tc>
          <w:tcPr>
            <w:tcW w:w="1100" w:type="dxa"/>
            <w:tcBorders>
              <w:bottom w:val="single" w:sz="2" w:space="0" w:color="000000"/>
            </w:tcBorders>
            <w:vAlign w:val="center"/>
          </w:tcPr>
          <w:p>
            <w:pPr>
              <w:pStyle w:val="TableContents"/>
              <w:bidi w:val="0"/>
              <w:spacing w:before="0" w:after="283"/>
              <w:jc w:val="right"/>
              <w:rPr/>
            </w:pPr>
            <w:r>
              <w:rPr/>
              <w:t>$1,378,423</w:t>
            </w:r>
          </w:p>
        </w:tc>
        <w:tc>
          <w:tcPr>
            <w:tcW w:w="300" w:type="dxa"/>
            <w:tcBorders>
              <w:bottom w:val="single" w:sz="2" w:space="0" w:color="000000"/>
            </w:tcBorders>
            <w:vAlign w:val="center"/>
          </w:tcPr>
          <w:p>
            <w:pPr>
              <w:pStyle w:val="TableContents"/>
              <w:bidi w:val="0"/>
              <w:spacing w:before="0" w:after="283"/>
              <w:jc w:val="left"/>
              <w:rPr/>
            </w:pPr>
            <w:r>
              <w:rPr/>
              <w:t> </w:t>
            </w:r>
          </w:p>
        </w:tc>
        <w:tc>
          <w:tcPr>
            <w:tcW w:w="950" w:type="dxa"/>
            <w:tcBorders>
              <w:bottom w:val="single" w:sz="2" w:space="0" w:color="000000"/>
            </w:tcBorders>
            <w:vAlign w:val="center"/>
          </w:tcPr>
          <w:p>
            <w:pPr>
              <w:pStyle w:val="TableContents"/>
              <w:bidi w:val="0"/>
              <w:spacing w:before="0" w:after="283"/>
              <w:jc w:val="right"/>
              <w:rPr/>
            </w:pPr>
            <w:r>
              <w:rPr/>
              <w:t>$20,906</w:t>
            </w:r>
          </w:p>
        </w:tc>
        <w:tc>
          <w:tcPr>
            <w:tcW w:w="300" w:type="dxa"/>
            <w:tcBorders>
              <w:bottom w:val="single" w:sz="2" w:space="0" w:color="000000"/>
            </w:tcBorders>
            <w:vAlign w:val="center"/>
          </w:tcPr>
          <w:p>
            <w:pPr>
              <w:pStyle w:val="TableContents"/>
              <w:bidi w:val="0"/>
              <w:spacing w:before="0" w:after="283"/>
              <w:jc w:val="left"/>
              <w:rPr/>
            </w:pPr>
            <w:r>
              <w:rPr/>
              <w:t> </w:t>
            </w:r>
          </w:p>
        </w:tc>
        <w:tc>
          <w:tcPr>
            <w:tcW w:w="950" w:type="dxa"/>
            <w:tcBorders>
              <w:bottom w:val="single" w:sz="2" w:space="0" w:color="000000"/>
            </w:tcBorders>
            <w:vAlign w:val="center"/>
          </w:tcPr>
          <w:p>
            <w:pPr>
              <w:pStyle w:val="TableContents"/>
              <w:bidi w:val="0"/>
              <w:spacing w:before="0" w:after="283"/>
              <w:jc w:val="right"/>
              <w:rPr/>
            </w:pPr>
            <w:r>
              <w:rPr/>
              <w:t>$171,660</w:t>
            </w:r>
          </w:p>
        </w:tc>
        <w:tc>
          <w:tcPr>
            <w:tcW w:w="300" w:type="dxa"/>
            <w:tcBorders>
              <w:bottom w:val="single" w:sz="2" w:space="0" w:color="000000"/>
            </w:tcBorders>
            <w:vAlign w:val="center"/>
          </w:tcPr>
          <w:p>
            <w:pPr>
              <w:pStyle w:val="TableContents"/>
              <w:bidi w:val="0"/>
              <w:spacing w:before="0" w:after="283"/>
              <w:jc w:val="left"/>
              <w:rPr/>
            </w:pPr>
            <w:r>
              <w:rPr/>
              <w:t> </w:t>
            </w:r>
          </w:p>
        </w:tc>
        <w:tc>
          <w:tcPr>
            <w:tcW w:w="1235" w:type="dxa"/>
            <w:tcBorders>
              <w:bottom w:val="single" w:sz="2" w:space="0" w:color="000000"/>
            </w:tcBorders>
            <w:shd w:fill="EDEDEE" w:val="clear"/>
            <w:vAlign w:val="center"/>
          </w:tcPr>
          <w:p>
            <w:pPr>
              <w:pStyle w:val="TableContents"/>
              <w:bidi w:val="0"/>
              <w:spacing w:before="0" w:after="283"/>
              <w:jc w:val="right"/>
              <w:rPr/>
            </w:pPr>
            <w:r>
              <w:rPr/>
              <w:t>$5,891,818</w:t>
            </w:r>
          </w:p>
        </w:tc>
      </w:tr>
      <w:tr>
        <w:trPr/>
        <w:tc>
          <w:tcPr>
            <w:tcW w:w="515" w:type="dxa"/>
            <w:tcBorders>
              <w:bottom w:val="single" w:sz="12" w:space="0" w:color="636466"/>
            </w:tcBorders>
            <w:vAlign w:val="center"/>
          </w:tcPr>
          <w:p>
            <w:pPr>
              <w:pStyle w:val="TableContents"/>
              <w:bidi w:val="0"/>
              <w:spacing w:before="0" w:after="283"/>
              <w:jc w:val="left"/>
              <w:rPr/>
            </w:pPr>
            <w:r>
              <w:rPr/>
              <w:t>2024</w:t>
            </w:r>
          </w:p>
        </w:tc>
        <w:tc>
          <w:tcPr>
            <w:tcW w:w="300" w:type="dxa"/>
            <w:tcBorders>
              <w:bottom w:val="single" w:sz="12" w:space="0" w:color="636466"/>
            </w:tcBorders>
            <w:vAlign w:val="center"/>
          </w:tcPr>
          <w:p>
            <w:pPr>
              <w:pStyle w:val="TableContents"/>
              <w:bidi w:val="0"/>
              <w:spacing w:before="0" w:after="283"/>
              <w:jc w:val="left"/>
              <w:rPr/>
            </w:pPr>
            <w:r>
              <w:rPr/>
              <w:t> </w:t>
            </w:r>
          </w:p>
        </w:tc>
        <w:tc>
          <w:tcPr>
            <w:tcW w:w="1100" w:type="dxa"/>
            <w:tcBorders>
              <w:bottom w:val="single" w:sz="12" w:space="0" w:color="636466"/>
            </w:tcBorders>
            <w:vAlign w:val="center"/>
          </w:tcPr>
          <w:p>
            <w:pPr>
              <w:pStyle w:val="TableContents"/>
              <w:bidi w:val="0"/>
              <w:spacing w:before="0" w:after="283"/>
              <w:jc w:val="right"/>
              <w:rPr/>
            </w:pPr>
            <w:r>
              <w:rPr/>
              <w:t>$568,462</w:t>
            </w:r>
          </w:p>
        </w:tc>
        <w:tc>
          <w:tcPr>
            <w:tcW w:w="300" w:type="dxa"/>
            <w:tcBorders>
              <w:bottom w:val="single" w:sz="12" w:space="0" w:color="636466"/>
            </w:tcBorders>
            <w:vAlign w:val="center"/>
          </w:tcPr>
          <w:p>
            <w:pPr>
              <w:pStyle w:val="TableContents"/>
              <w:bidi w:val="0"/>
              <w:spacing w:before="0" w:after="283"/>
              <w:jc w:val="left"/>
              <w:rPr/>
            </w:pPr>
            <w:r>
              <w:rPr/>
              <w:t> </w:t>
            </w:r>
          </w:p>
        </w:tc>
        <w:tc>
          <w:tcPr>
            <w:tcW w:w="1100" w:type="dxa"/>
            <w:tcBorders>
              <w:bottom w:val="single" w:sz="12" w:space="0" w:color="636466"/>
            </w:tcBorders>
            <w:vAlign w:val="center"/>
          </w:tcPr>
          <w:p>
            <w:pPr>
              <w:pStyle w:val="TableContents"/>
              <w:bidi w:val="0"/>
              <w:spacing w:before="0" w:after="283"/>
              <w:jc w:val="right"/>
              <w:rPr/>
            </w:pPr>
            <w:r>
              <w:rPr/>
              <w:t>$565,000</w:t>
            </w:r>
          </w:p>
        </w:tc>
        <w:tc>
          <w:tcPr>
            <w:tcW w:w="300" w:type="dxa"/>
            <w:tcBorders>
              <w:bottom w:val="single" w:sz="12" w:space="0" w:color="636466"/>
            </w:tcBorders>
            <w:vAlign w:val="center"/>
          </w:tcPr>
          <w:p>
            <w:pPr>
              <w:pStyle w:val="TableContents"/>
              <w:bidi w:val="0"/>
              <w:spacing w:before="0" w:after="283"/>
              <w:jc w:val="left"/>
              <w:rPr/>
            </w:pPr>
            <w:r>
              <w:rPr/>
              <w:t> </w:t>
            </w:r>
          </w:p>
        </w:tc>
        <w:tc>
          <w:tcPr>
            <w:tcW w:w="1220" w:type="dxa"/>
            <w:tcBorders>
              <w:bottom w:val="single" w:sz="12" w:space="0" w:color="636466"/>
            </w:tcBorders>
            <w:vAlign w:val="center"/>
          </w:tcPr>
          <w:p>
            <w:pPr>
              <w:pStyle w:val="TableContents"/>
              <w:bidi w:val="0"/>
              <w:spacing w:before="0" w:after="283"/>
              <w:jc w:val="right"/>
              <w:rPr/>
            </w:pPr>
            <w:r>
              <w:rPr/>
              <w:t>$3,633,256</w:t>
            </w:r>
          </w:p>
        </w:tc>
        <w:tc>
          <w:tcPr>
            <w:tcW w:w="300" w:type="dxa"/>
            <w:tcBorders>
              <w:bottom w:val="single" w:sz="12" w:space="0" w:color="636466"/>
            </w:tcBorders>
            <w:vAlign w:val="center"/>
          </w:tcPr>
          <w:p>
            <w:pPr>
              <w:pStyle w:val="TableContents"/>
              <w:bidi w:val="0"/>
              <w:spacing w:before="0" w:after="283"/>
              <w:jc w:val="left"/>
              <w:rPr/>
            </w:pPr>
            <w:r>
              <w:rPr/>
              <w:t> </w:t>
            </w:r>
          </w:p>
        </w:tc>
        <w:tc>
          <w:tcPr>
            <w:tcW w:w="1100" w:type="dxa"/>
            <w:tcBorders>
              <w:bottom w:val="single" w:sz="12" w:space="0" w:color="636466"/>
            </w:tcBorders>
            <w:vAlign w:val="center"/>
          </w:tcPr>
          <w:p>
            <w:pPr>
              <w:pStyle w:val="TableContents"/>
              <w:bidi w:val="0"/>
              <w:spacing w:before="0" w:after="283"/>
              <w:jc w:val="right"/>
              <w:rPr/>
            </w:pPr>
            <w:r>
              <w:rPr/>
              <w:t>$400,384</w:t>
            </w:r>
          </w:p>
        </w:tc>
        <w:tc>
          <w:tcPr>
            <w:tcW w:w="300" w:type="dxa"/>
            <w:tcBorders>
              <w:bottom w:val="single" w:sz="12" w:space="0" w:color="636466"/>
            </w:tcBorders>
            <w:vAlign w:val="center"/>
          </w:tcPr>
          <w:p>
            <w:pPr>
              <w:pStyle w:val="TableContents"/>
              <w:bidi w:val="0"/>
              <w:spacing w:before="0" w:after="283"/>
              <w:jc w:val="left"/>
              <w:rPr/>
            </w:pPr>
            <w:r>
              <w:rPr/>
              <w:t> </w:t>
            </w:r>
          </w:p>
        </w:tc>
        <w:tc>
          <w:tcPr>
            <w:tcW w:w="950" w:type="dxa"/>
            <w:tcBorders>
              <w:bottom w:val="single" w:sz="12" w:space="0" w:color="636466"/>
            </w:tcBorders>
            <w:vAlign w:val="center"/>
          </w:tcPr>
          <w:p>
            <w:pPr>
              <w:pStyle w:val="TableContents"/>
              <w:bidi w:val="0"/>
              <w:spacing w:before="0" w:after="283"/>
              <w:jc w:val="right"/>
              <w:rPr/>
            </w:pPr>
            <w:r>
              <w:rPr/>
              <w:t>$0</w:t>
            </w:r>
          </w:p>
        </w:tc>
        <w:tc>
          <w:tcPr>
            <w:tcW w:w="300" w:type="dxa"/>
            <w:tcBorders>
              <w:bottom w:val="single" w:sz="12" w:space="0" w:color="636466"/>
            </w:tcBorders>
            <w:vAlign w:val="center"/>
          </w:tcPr>
          <w:p>
            <w:pPr>
              <w:pStyle w:val="TableContents"/>
              <w:bidi w:val="0"/>
              <w:spacing w:before="0" w:after="283"/>
              <w:jc w:val="left"/>
              <w:rPr/>
            </w:pPr>
            <w:r>
              <w:rPr/>
              <w:t> </w:t>
            </w:r>
          </w:p>
        </w:tc>
        <w:tc>
          <w:tcPr>
            <w:tcW w:w="950" w:type="dxa"/>
            <w:tcBorders>
              <w:bottom w:val="single" w:sz="12" w:space="0" w:color="636466"/>
            </w:tcBorders>
            <w:vAlign w:val="center"/>
          </w:tcPr>
          <w:p>
            <w:pPr>
              <w:pStyle w:val="TableContents"/>
              <w:bidi w:val="0"/>
              <w:spacing w:before="0" w:after="283"/>
              <w:jc w:val="right"/>
              <w:rPr/>
            </w:pPr>
            <w:r>
              <w:rPr/>
              <w:t>$139,140</w:t>
            </w:r>
          </w:p>
        </w:tc>
        <w:tc>
          <w:tcPr>
            <w:tcW w:w="300" w:type="dxa"/>
            <w:tcBorders>
              <w:bottom w:val="single" w:sz="12" w:space="0" w:color="636466"/>
            </w:tcBorders>
            <w:vAlign w:val="center"/>
          </w:tcPr>
          <w:p>
            <w:pPr>
              <w:pStyle w:val="TableContents"/>
              <w:bidi w:val="0"/>
              <w:spacing w:before="0" w:after="283"/>
              <w:jc w:val="left"/>
              <w:rPr/>
            </w:pPr>
            <w:r>
              <w:rPr/>
              <w:t> </w:t>
            </w:r>
          </w:p>
        </w:tc>
        <w:tc>
          <w:tcPr>
            <w:tcW w:w="1235" w:type="dxa"/>
            <w:tcBorders>
              <w:bottom w:val="single" w:sz="12" w:space="0" w:color="636466"/>
            </w:tcBorders>
            <w:shd w:fill="EDEDEE" w:val="clear"/>
            <w:vAlign w:val="center"/>
          </w:tcPr>
          <w:p>
            <w:pPr>
              <w:pStyle w:val="TableContents"/>
              <w:bidi w:val="0"/>
              <w:spacing w:before="0" w:after="283"/>
              <w:jc w:val="right"/>
              <w:rPr/>
            </w:pPr>
            <w:r>
              <w:rPr/>
              <w:t>$5,306,242</w:t>
            </w:r>
          </w:p>
        </w:tc>
      </w:tr>
    </w:tbl>
    <w:tbl>
      <w:tblPr>
        <w:tblW w:w="10205" w:type="dxa"/>
        <w:jc w:val="left"/>
        <w:tblInd w:w="0" w:type="dxa"/>
        <w:tblLayout w:type="fixed"/>
        <w:tblCellMar>
          <w:top w:w="0" w:type="dxa"/>
          <w:left w:w="0" w:type="dxa"/>
          <w:bottom w:w="0" w:type="dxa"/>
          <w:right w:w="0" w:type="dxa"/>
        </w:tblCellMar>
      </w:tblPr>
      <w:tblGrid>
        <w:gridCol w:w="236"/>
        <w:gridCol w:w="9969"/>
      </w:tblGrid>
      <w:tr>
        <w:trPr/>
        <w:tc>
          <w:tcPr>
            <w:tcW w:w="236" w:type="dxa"/>
            <w:tcBorders/>
            <w:vAlign w:val="center"/>
          </w:tcPr>
          <w:p>
            <w:pPr>
              <w:pStyle w:val="TableContents"/>
              <w:bidi w:val="0"/>
              <w:spacing w:before="0" w:after="283"/>
              <w:jc w:val="left"/>
              <w:rPr/>
            </w:pPr>
            <w:r>
              <w:rPr/>
              <w:t>(1)</w:t>
            </w:r>
          </w:p>
        </w:tc>
        <w:tc>
          <w:tcPr>
            <w:tcW w:w="9969" w:type="dxa"/>
            <w:tcBorders/>
            <w:vAlign w:val="center"/>
          </w:tcPr>
          <w:p>
            <w:pPr>
              <w:pStyle w:val="TableContents"/>
              <w:bidi w:val="0"/>
              <w:spacing w:before="0" w:after="283"/>
              <w:jc w:val="left"/>
              <w:rPr/>
            </w:pPr>
            <w:r>
              <w:rPr>
                <w:b/>
              </w:rPr>
              <w:t xml:space="preserve">Salary. </w:t>
            </w:r>
            <w:r>
              <w:rPr/>
              <w:t>Base salary shown includes any midyear adjustments.</w:t>
            </w:r>
          </w:p>
        </w:tc>
      </w:tr>
      <w:tr>
        <w:trPr/>
        <w:tc>
          <w:tcPr>
            <w:tcW w:w="236" w:type="dxa"/>
            <w:tcBorders/>
            <w:vAlign w:val="center"/>
          </w:tcPr>
          <w:p>
            <w:pPr>
              <w:pStyle w:val="TableContents"/>
              <w:bidi w:val="0"/>
              <w:spacing w:before="0" w:after="283"/>
              <w:jc w:val="left"/>
              <w:rPr/>
            </w:pPr>
            <w:r>
              <w:rPr/>
              <w:t>(2)</w:t>
            </w:r>
          </w:p>
        </w:tc>
        <w:tc>
          <w:tcPr>
            <w:tcW w:w="9969" w:type="dxa"/>
            <w:tcBorders/>
            <w:vAlign w:val="center"/>
          </w:tcPr>
          <w:p>
            <w:pPr>
              <w:pStyle w:val="TableContents"/>
              <w:bidi w:val="0"/>
              <w:spacing w:before="0" w:after="283"/>
              <w:jc w:val="left"/>
              <w:rPr/>
            </w:pPr>
            <w:r>
              <w:rPr>
                <w:b/>
              </w:rPr>
              <w:t xml:space="preserve">Bonus. </w:t>
            </w:r>
            <w:r>
              <w:rPr/>
              <w:t>Annual incentive awards provided under the RTX Corporation Executive Annual Incentive Plan are primarily based on measured performance against preestablished goals (as detailed on pages 48-49). However, the Human Capital &amp; Compensation Committee (the “HCC Committee”) retains discretion to adjust annual incentive award amounts based on its assessment of overall performance. Consequently, we report annual incentive awards in the Bonus column rather than in a Non-Equity Incentive Plan Compensation column.</w:t>
            </w:r>
          </w:p>
        </w:tc>
      </w:tr>
      <w:tr>
        <w:trPr/>
        <w:tc>
          <w:tcPr>
            <w:tcW w:w="236" w:type="dxa"/>
            <w:tcBorders/>
            <w:vAlign w:val="center"/>
          </w:tcPr>
          <w:p>
            <w:pPr>
              <w:pStyle w:val="TableContents"/>
              <w:bidi w:val="0"/>
              <w:spacing w:before="0" w:after="283"/>
              <w:jc w:val="left"/>
              <w:rPr/>
            </w:pPr>
            <w:r>
              <w:rPr/>
              <w:t>(3)</w:t>
            </w:r>
          </w:p>
        </w:tc>
        <w:tc>
          <w:tcPr>
            <w:tcW w:w="9969" w:type="dxa"/>
            <w:tcBorders/>
            <w:vAlign w:val="center"/>
          </w:tcPr>
          <w:p>
            <w:pPr>
              <w:pStyle w:val="TableContents"/>
              <w:bidi w:val="0"/>
              <w:spacing w:before="0" w:after="283"/>
              <w:jc w:val="left"/>
              <w:rPr/>
            </w:pPr>
            <w:r>
              <w:rPr>
                <w:b/>
              </w:rPr>
              <w:t xml:space="preserve">Stock Awards. </w:t>
            </w:r>
            <w:r>
              <w:rPr/>
              <w:t>Amounts shown include the grant date fair value of PSUs (with vesting assumed at 100% of target) granted in 2025 under the RTX Corporation Long-Term Incentive Plan, as amended and restated (“RTX LTIP”). The assumptions made in calculating the fair value of these awards are set forth in Note 19: Stock Based Compensation, to the Consolidated Financial Statements in RTX’s 2025 Annual Report on Form 10-K (“2025 Form 10-K”). For the 2025 PSUs, if the highest level of performance is achieved for all performance metrics, the grant date fair values would be: Mr. Calio, $17,679,568; Mr. Mitchill, $6,700,359; Mr. Jasper, $4,123,979; Mr. Eddy, $4,123,979; and Mr. Brunk, $3,608,481.</w:t>
            </w:r>
          </w:p>
        </w:tc>
      </w:tr>
      <w:tr>
        <w:trPr/>
        <w:tc>
          <w:tcPr>
            <w:tcW w:w="236" w:type="dxa"/>
            <w:tcBorders/>
            <w:vAlign w:val="center"/>
          </w:tcPr>
          <w:p>
            <w:pPr>
              <w:pStyle w:val="TableContents"/>
              <w:bidi w:val="0"/>
              <w:spacing w:before="0" w:after="283"/>
              <w:jc w:val="left"/>
              <w:rPr/>
            </w:pPr>
            <w:r>
              <w:rPr/>
              <w:t>(4)</w:t>
            </w:r>
          </w:p>
        </w:tc>
        <w:tc>
          <w:tcPr>
            <w:tcW w:w="9969" w:type="dxa"/>
            <w:tcBorders/>
            <w:vAlign w:val="center"/>
          </w:tcPr>
          <w:p>
            <w:pPr>
              <w:pStyle w:val="TableContents"/>
              <w:bidi w:val="0"/>
              <w:spacing w:before="0" w:after="283"/>
              <w:jc w:val="left"/>
              <w:rPr/>
            </w:pPr>
            <w:r>
              <w:rPr>
                <w:b/>
              </w:rPr>
              <w:t xml:space="preserve">Option Awards. </w:t>
            </w:r>
            <w:r>
              <w:rPr/>
              <w:t>Amounts shown include the grant date fair value of SARs granted under the RTX LTIP during 2025. The assumptions made in the valuation of these awards are set forth in Note 19: Stock Based Compensation, to the Consolidated Financial Statements in RTX’s 2025 Form 10-K.</w:t>
            </w:r>
          </w:p>
        </w:tc>
      </w:tr>
      <w:tr>
        <w:trPr/>
        <w:tc>
          <w:tcPr>
            <w:tcW w:w="236" w:type="dxa"/>
            <w:tcBorders/>
            <w:vAlign w:val="center"/>
          </w:tcPr>
          <w:p>
            <w:pPr>
              <w:pStyle w:val="TableContents"/>
              <w:bidi w:val="0"/>
              <w:spacing w:before="0" w:after="283"/>
              <w:jc w:val="left"/>
              <w:rPr/>
            </w:pPr>
            <w:r>
              <w:rPr/>
              <w:t>(5)</w:t>
            </w:r>
          </w:p>
        </w:tc>
        <w:tc>
          <w:tcPr>
            <w:tcW w:w="9969" w:type="dxa"/>
            <w:tcBorders/>
            <w:vAlign w:val="center"/>
          </w:tcPr>
          <w:p>
            <w:pPr>
              <w:pStyle w:val="TableContents"/>
              <w:bidi w:val="0"/>
              <w:spacing w:before="0" w:after="283"/>
              <w:jc w:val="left"/>
              <w:rPr/>
            </w:pPr>
            <w:r>
              <w:rPr>
                <w:b/>
              </w:rPr>
              <w:t xml:space="preserve">Change in Pension Value and Nonqualified Deferred Compensation Earnings. </w:t>
            </w:r>
            <w:r>
              <w:rPr/>
              <w:t>The amounts in this column reflect the change (if any) in the year-over-year actuarial present value of each NEO’s accrued benefit under the Company’s defined benefit plans. The legacy UTC pension plans were closed effective December 31, 2019, and the legacy Rockwell Collins pension plans were closed on September 30, 2006. As a result, for our NEOs, the change in pension value is entirely attributable to year-over-year changes in pension plan actuarial assumptions. Mr. Mitchill was hired after the legacy UTC pension plans were closed to new participants. Actuarial value computations are based on the assumptions established in accordance with FASB ASC Topic 715 and are discussed in Note 10: Employee Benefit Plans, to the Consolidated Financial Statements in RTX’s 2025 Form 10-K.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15"/>
        </w:rPr>
      </w:pPr>
      <w:r>
        <w:rPr>
          <w:rFonts w:ascii="Arial;Helvetica;Sans-Serif" w:hAnsi="Arial;Helvetica;Sans-Serif"/>
          <w:b/>
          <w:i w:val="false"/>
          <w:caps w:val="false"/>
          <w:smallCaps w:val="false"/>
          <w:sz w:val="15"/>
        </w:rPr>
        <w:t xml:space="preserve">64    RTX </w:t>
      </w:r>
      <w:r>
        <w:rPr>
          <w:rFonts w:ascii="Arial;Helvetica;Sans-Serif" w:hAnsi="Arial;Helvetica;Sans-Serif"/>
          <w:b w:val="false"/>
          <w:i w:val="false"/>
          <w:caps w:val="false"/>
          <w:smallCaps w:val="false"/>
          <w:sz w:val="15"/>
        </w:rPr>
        <w:t>2026 PROXY STATEMENT</w:t>
      </w:r>
    </w:p>
    <w:p>
      <w:pPr>
        <w:pStyle w:val="HorizontalLine"/>
        <w:pBdr>
          <w:bottom w:val="double" w:sz="2" w:space="0" w:color="808080"/>
        </w:pBdr>
        <w:bidi w:val="0"/>
        <w:spacing w:before="0" w:after="283"/>
        <w:jc w:val="left"/>
        <w:rPr/>
      </w:pPr>
      <w:r>
        <w:rPr/>
      </w:r>
    </w:p>
    <w:p>
      <w:pPr>
        <w:pStyle w:val="TextBody"/>
        <w:bidi w:val="0"/>
        <w:spacing w:before="200" w:after="200"/>
        <w:jc w:val="left"/>
        <w:rPr/>
      </w:pPr>
      <w:hyperlink w:anchor="toc">
        <w:r>
          <w:rPr>
            <w:rStyle w:val="InternetLink"/>
            <w:rFonts w:ascii="Arial;Helvetica;Sans-Serif" w:hAnsi="Arial;Helvetica;Sans-Serif"/>
            <w:b/>
            <w:i w:val="false"/>
            <w:caps w:val="false"/>
            <w:smallCaps w:val="false"/>
            <w:sz w:val="16"/>
          </w:rPr>
          <w:t>Table of Contents</w:t>
        </w:r>
      </w:hyperlink>
    </w:p>
    <w:p>
      <w:pPr>
        <w:pStyle w:val="TextBody"/>
        <w:bidi w:val="0"/>
        <w:spacing w:before="0" w:after="0"/>
        <w:ind w:left="0" w:right="0" w:hanging="0"/>
        <w:jc w:val="right"/>
        <w:rPr>
          <w:rFonts w:ascii="Arial;Helvetica;Sans-Serif" w:hAnsi="Arial;Helvetica;Sans-Serif"/>
          <w:b/>
          <w:i w:val="false"/>
          <w:caps w:val="false"/>
          <w:smallCaps w:val="false"/>
          <w:color w:val="C12E33"/>
          <w:sz w:val="15"/>
        </w:rPr>
      </w:pPr>
      <w:r>
        <w:rPr>
          <w:rFonts w:ascii="Arial;Helvetica;Sans-Serif" w:hAnsi="Arial;Helvetica;Sans-Serif"/>
          <w:b/>
          <w:i w:val="false"/>
          <w:caps w:val="false"/>
          <w:smallCaps w:val="false"/>
          <w:color w:val="C12E33"/>
          <w:sz w:val="15"/>
        </w:rPr>
        <w:t>COMPENSATION TABLES</w:t>
      </w:r>
    </w:p>
    <w:p>
      <w:pPr>
        <w:pStyle w:val="TextBody"/>
        <w:bidi w:val="0"/>
        <w:spacing w:before="0" w:after="0"/>
        <w:ind w:left="0" w:right="0" w:hanging="0"/>
        <w:jc w:val="righ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SUMMARY COMPENSATION TABLE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9"/>
        <w:gridCol w:w="9936"/>
      </w:tblGrid>
      <w:tr>
        <w:trPr/>
        <w:tc>
          <w:tcPr>
            <w:tcW w:w="269" w:type="dxa"/>
            <w:tcBorders/>
            <w:vAlign w:val="center"/>
          </w:tcPr>
          <w:p>
            <w:pPr>
              <w:pStyle w:val="TableContents"/>
              <w:bidi w:val="0"/>
              <w:spacing w:before="0" w:after="283"/>
              <w:jc w:val="left"/>
              <w:rPr/>
            </w:pPr>
            <w:r>
              <w:rPr/>
              <w:t>(6)</w:t>
            </w:r>
          </w:p>
        </w:tc>
        <w:tc>
          <w:tcPr>
            <w:tcW w:w="9936" w:type="dxa"/>
            <w:tcBorders/>
            <w:vAlign w:val="center"/>
          </w:tcPr>
          <w:p>
            <w:pPr>
              <w:pStyle w:val="TableContents"/>
              <w:bidi w:val="0"/>
              <w:spacing w:before="0" w:after="283"/>
              <w:jc w:val="left"/>
              <w:rPr/>
            </w:pPr>
            <w:r>
              <w:rPr>
                <w:b/>
              </w:rPr>
              <w:t xml:space="preserve">All Other Compensation. </w:t>
            </w:r>
            <w:r>
              <w:rPr/>
              <w:t>The 2025 amounts in this column consist of the following items shown in the table below. See page 59 for details on executive perquisites and other benefits.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15"/>
        <w:gridCol w:w="935"/>
        <w:gridCol w:w="300"/>
        <w:gridCol w:w="1082"/>
        <w:gridCol w:w="300"/>
        <w:gridCol w:w="1184"/>
        <w:gridCol w:w="300"/>
        <w:gridCol w:w="1453"/>
        <w:gridCol w:w="300"/>
        <w:gridCol w:w="1700"/>
        <w:gridCol w:w="300"/>
        <w:gridCol w:w="800"/>
        <w:gridCol w:w="300"/>
        <w:gridCol w:w="936"/>
      </w:tblGrid>
      <w:tr>
        <w:trPr/>
        <w:tc>
          <w:tcPr>
            <w:tcW w:w="315" w:type="dxa"/>
            <w:tcBorders/>
            <w:vAlign w:val="center"/>
          </w:tcPr>
          <w:p>
            <w:pPr>
              <w:pStyle w:val="TableContents"/>
              <w:bidi w:val="0"/>
              <w:spacing w:before="0" w:after="283"/>
              <w:jc w:val="left"/>
              <w:rPr/>
            </w:pPr>
            <w:r>
              <w:rPr/>
              <w:t>     </w:t>
            </w:r>
          </w:p>
        </w:tc>
        <w:tc>
          <w:tcPr>
            <w:tcW w:w="935" w:type="dxa"/>
            <w:tcBorders>
              <w:bottom w:val="single" w:sz="12" w:space="0" w:color="636466"/>
            </w:tcBorders>
            <w:tcMar>
              <w:bottom w:w="40" w:type="dxa"/>
            </w:tcMar>
            <w:vAlign w:val="center"/>
          </w:tcPr>
          <w:p>
            <w:pPr>
              <w:pStyle w:val="TableContents"/>
              <w:bidi w:val="0"/>
              <w:spacing w:before="0" w:after="283"/>
              <w:jc w:val="left"/>
              <w:rPr>
                <w:color w:val="636466"/>
              </w:rPr>
            </w:pPr>
            <w:r>
              <w:rPr>
                <w:color w:val="636466"/>
              </w:rPr>
              <w:t>Name</w:t>
            </w:r>
          </w:p>
        </w:tc>
        <w:tc>
          <w:tcPr>
            <w:tcW w:w="300" w:type="dxa"/>
            <w:tcBorders>
              <w:bottom w:val="single" w:sz="12" w:space="0" w:color="636466"/>
            </w:tcBorders>
            <w:tcMar>
              <w:bottom w:w="40" w:type="dxa"/>
            </w:tcMar>
            <w:vAlign w:val="center"/>
          </w:tcPr>
          <w:p>
            <w:pPr>
              <w:pStyle w:val="TableContents"/>
              <w:bidi w:val="0"/>
              <w:spacing w:before="0" w:after="283"/>
              <w:jc w:val="left"/>
              <w:rPr>
                <w:color w:val="636466"/>
              </w:rPr>
            </w:pPr>
            <w:r>
              <w:rPr>
                <w:color w:val="636466"/>
              </w:rPr>
              <w:t>     </w:t>
            </w:r>
          </w:p>
        </w:tc>
        <w:tc>
          <w:tcPr>
            <w:tcW w:w="1082" w:type="dxa"/>
            <w:tcBorders>
              <w:bottom w:val="single" w:sz="12" w:space="0" w:color="636466"/>
            </w:tcBorders>
            <w:tcMar>
              <w:bottom w:w="40" w:type="dxa"/>
            </w:tcMar>
            <w:vAlign w:val="center"/>
          </w:tcPr>
          <w:p>
            <w:pPr>
              <w:pStyle w:val="TableContents"/>
              <w:bidi w:val="0"/>
              <w:spacing w:before="0" w:after="283"/>
              <w:jc w:val="right"/>
              <w:rPr>
                <w:color w:val="636466"/>
              </w:rPr>
            </w:pPr>
            <w:r>
              <w:rPr>
                <w:color w:val="636466"/>
              </w:rPr>
              <w:t>Personal Use of</w:t>
              <w:br/>
              <w:t>Corporate Aircraft</w:t>
            </w:r>
            <w:r>
              <w:rPr>
                <w:color w:val="636466"/>
                <w:position w:val="8"/>
                <w:sz w:val="19"/>
              </w:rPr>
              <w:t>(a)</w:t>
            </w:r>
          </w:p>
        </w:tc>
        <w:tc>
          <w:tcPr>
            <w:tcW w:w="300" w:type="dxa"/>
            <w:tcBorders>
              <w:bottom w:val="single" w:sz="12" w:space="0" w:color="636466"/>
            </w:tcBorders>
            <w:tcMar>
              <w:bottom w:w="40" w:type="dxa"/>
            </w:tcMar>
            <w:vAlign w:val="center"/>
          </w:tcPr>
          <w:p>
            <w:pPr>
              <w:pStyle w:val="TableContents"/>
              <w:bidi w:val="0"/>
              <w:spacing w:before="0" w:after="283"/>
              <w:jc w:val="left"/>
              <w:rPr>
                <w:color w:val="636466"/>
              </w:rPr>
            </w:pPr>
            <w:r>
              <w:rPr>
                <w:color w:val="636466"/>
              </w:rPr>
              <w:t>     </w:t>
            </w:r>
          </w:p>
        </w:tc>
        <w:tc>
          <w:tcPr>
            <w:tcW w:w="1184" w:type="dxa"/>
            <w:tcBorders>
              <w:bottom w:val="single" w:sz="12" w:space="0" w:color="636466"/>
            </w:tcBorders>
            <w:tcMar>
              <w:bottom w:w="40" w:type="dxa"/>
            </w:tcMar>
            <w:vAlign w:val="center"/>
          </w:tcPr>
          <w:p>
            <w:pPr>
              <w:pStyle w:val="TableContents"/>
              <w:bidi w:val="0"/>
              <w:spacing w:before="0" w:after="283"/>
              <w:jc w:val="right"/>
              <w:rPr>
                <w:color w:val="636466"/>
              </w:rPr>
            </w:pPr>
            <w:r>
              <w:rPr>
                <w:color w:val="636466"/>
              </w:rPr>
              <w:t>Executive Life Insurance</w:t>
              <w:br/>
              <w:t>Premiums</w:t>
            </w:r>
            <w:r>
              <w:rPr>
                <w:color w:val="636466"/>
                <w:position w:val="8"/>
                <w:sz w:val="19"/>
              </w:rPr>
              <w:t>(b)</w:t>
            </w:r>
          </w:p>
        </w:tc>
        <w:tc>
          <w:tcPr>
            <w:tcW w:w="300" w:type="dxa"/>
            <w:tcBorders>
              <w:bottom w:val="single" w:sz="12" w:space="0" w:color="636466"/>
            </w:tcBorders>
            <w:tcMar>
              <w:bottom w:w="40" w:type="dxa"/>
            </w:tcMar>
            <w:vAlign w:val="center"/>
          </w:tcPr>
          <w:p>
            <w:pPr>
              <w:pStyle w:val="TableContents"/>
              <w:bidi w:val="0"/>
              <w:spacing w:before="0" w:after="283"/>
              <w:jc w:val="left"/>
              <w:rPr>
                <w:color w:val="636466"/>
              </w:rPr>
            </w:pPr>
            <w:r>
              <w:rPr>
                <w:color w:val="636466"/>
              </w:rPr>
              <w:t>     </w:t>
            </w:r>
          </w:p>
        </w:tc>
        <w:tc>
          <w:tcPr>
            <w:tcW w:w="1453" w:type="dxa"/>
            <w:tcBorders>
              <w:bottom w:val="single" w:sz="12" w:space="0" w:color="636466"/>
            </w:tcBorders>
            <w:tcMar>
              <w:bottom w:w="40" w:type="dxa"/>
            </w:tcMar>
            <w:vAlign w:val="center"/>
          </w:tcPr>
          <w:p>
            <w:pPr>
              <w:pStyle w:val="TableContents"/>
              <w:bidi w:val="0"/>
              <w:spacing w:before="0" w:after="283"/>
              <w:jc w:val="right"/>
              <w:rPr>
                <w:color w:val="636466"/>
              </w:rPr>
            </w:pPr>
            <w:r>
              <w:rPr>
                <w:color w:val="636466"/>
              </w:rPr>
              <w:t>Company Contributions to</w:t>
              <w:br/>
              <w:t>Defined Contribution</w:t>
              <w:br/>
              <w:t>Plans</w:t>
            </w:r>
            <w:r>
              <w:rPr>
                <w:color w:val="636466"/>
                <w:position w:val="8"/>
                <w:sz w:val="19"/>
              </w:rPr>
              <w:t>(c)</w:t>
            </w:r>
          </w:p>
        </w:tc>
        <w:tc>
          <w:tcPr>
            <w:tcW w:w="300" w:type="dxa"/>
            <w:tcBorders>
              <w:bottom w:val="single" w:sz="12" w:space="0" w:color="636466"/>
            </w:tcBorders>
            <w:tcMar>
              <w:bottom w:w="40" w:type="dxa"/>
            </w:tcMar>
            <w:vAlign w:val="center"/>
          </w:tcPr>
          <w:p>
            <w:pPr>
              <w:pStyle w:val="TableContents"/>
              <w:bidi w:val="0"/>
              <w:spacing w:before="0" w:after="283"/>
              <w:jc w:val="left"/>
              <w:rPr>
                <w:color w:val="636466"/>
              </w:rPr>
            </w:pPr>
            <w:r>
              <w:rPr>
                <w:color w:val="636466"/>
              </w:rPr>
              <w:t>     </w:t>
            </w:r>
          </w:p>
        </w:tc>
        <w:tc>
          <w:tcPr>
            <w:tcW w:w="1700" w:type="dxa"/>
            <w:tcBorders>
              <w:bottom w:val="single" w:sz="12" w:space="0" w:color="636466"/>
            </w:tcBorders>
            <w:tcMar>
              <w:bottom w:w="40" w:type="dxa"/>
            </w:tcMar>
            <w:vAlign w:val="center"/>
          </w:tcPr>
          <w:p>
            <w:pPr>
              <w:pStyle w:val="TableContents"/>
              <w:bidi w:val="0"/>
              <w:spacing w:before="0" w:after="283"/>
              <w:jc w:val="right"/>
              <w:rPr>
                <w:color w:val="636466"/>
              </w:rPr>
            </w:pPr>
            <w:r>
              <w:rPr>
                <w:color w:val="636466"/>
              </w:rPr>
              <w:t>Health &amp; Welfare</w:t>
              <w:br/>
              <w:t>Benefits</w:t>
            </w:r>
            <w:r>
              <w:rPr>
                <w:color w:val="636466"/>
                <w:position w:val="8"/>
                <w:sz w:val="19"/>
              </w:rPr>
              <w:t>(d)</w:t>
            </w:r>
          </w:p>
        </w:tc>
        <w:tc>
          <w:tcPr>
            <w:tcW w:w="300" w:type="dxa"/>
            <w:tcBorders>
              <w:bottom w:val="single" w:sz="12" w:space="0" w:color="636466"/>
            </w:tcBorders>
            <w:tcMar>
              <w:bottom w:w="40" w:type="dxa"/>
            </w:tcMar>
            <w:vAlign w:val="center"/>
          </w:tcPr>
          <w:p>
            <w:pPr>
              <w:pStyle w:val="TableContents"/>
              <w:bidi w:val="0"/>
              <w:spacing w:before="0" w:after="283"/>
              <w:jc w:val="left"/>
              <w:rPr>
                <w:color w:val="636466"/>
              </w:rPr>
            </w:pPr>
            <w:r>
              <w:rPr>
                <w:color w:val="636466"/>
              </w:rPr>
              <w:t>     </w:t>
            </w:r>
          </w:p>
        </w:tc>
        <w:tc>
          <w:tcPr>
            <w:tcW w:w="800" w:type="dxa"/>
            <w:tcBorders>
              <w:bottom w:val="single" w:sz="12" w:space="0" w:color="636466"/>
            </w:tcBorders>
            <w:tcMar>
              <w:bottom w:w="40" w:type="dxa"/>
            </w:tcMar>
            <w:vAlign w:val="center"/>
          </w:tcPr>
          <w:p>
            <w:pPr>
              <w:pStyle w:val="TableContents"/>
              <w:bidi w:val="0"/>
              <w:spacing w:before="0" w:after="283"/>
              <w:jc w:val="right"/>
              <w:rPr>
                <w:color w:val="636466"/>
              </w:rPr>
            </w:pPr>
            <w:r>
              <w:rPr>
                <w:color w:val="636466"/>
              </w:rPr>
              <w:t>Misc.</w:t>
            </w:r>
            <w:r>
              <w:rPr>
                <w:color w:val="636466"/>
                <w:position w:val="8"/>
                <w:sz w:val="19"/>
              </w:rPr>
              <w:t>(e)</w:t>
            </w:r>
          </w:p>
        </w:tc>
        <w:tc>
          <w:tcPr>
            <w:tcW w:w="300" w:type="dxa"/>
            <w:tcBorders>
              <w:bottom w:val="single" w:sz="12" w:space="0" w:color="636466"/>
            </w:tcBorders>
            <w:tcMar>
              <w:bottom w:w="40" w:type="dxa"/>
            </w:tcMar>
            <w:vAlign w:val="center"/>
          </w:tcPr>
          <w:p>
            <w:pPr>
              <w:pStyle w:val="TableContents"/>
              <w:bidi w:val="0"/>
              <w:spacing w:before="0" w:after="283"/>
              <w:jc w:val="left"/>
              <w:rPr>
                <w:color w:val="636466"/>
              </w:rPr>
            </w:pPr>
            <w:r>
              <w:rPr>
                <w:color w:val="636466"/>
              </w:rPr>
              <w:t>     </w:t>
            </w:r>
          </w:p>
        </w:tc>
        <w:tc>
          <w:tcPr>
            <w:tcW w:w="936" w:type="dxa"/>
            <w:tcBorders>
              <w:bottom w:val="single" w:sz="12" w:space="0" w:color="636466"/>
            </w:tcBorders>
            <w:tcMar>
              <w:bottom w:w="40" w:type="dxa"/>
            </w:tcMar>
            <w:vAlign w:val="center"/>
          </w:tcPr>
          <w:p>
            <w:pPr>
              <w:pStyle w:val="TableContents"/>
              <w:bidi w:val="0"/>
              <w:spacing w:before="0" w:after="283"/>
              <w:jc w:val="right"/>
              <w:rPr>
                <w:color w:val="636466"/>
              </w:rPr>
            </w:pPr>
            <w:r>
              <w:rPr>
                <w:color w:val="636466"/>
              </w:rPr>
              <w:t>Total</w:t>
            </w:r>
          </w:p>
        </w:tc>
      </w:tr>
      <w:tr>
        <w:trPr/>
        <w:tc>
          <w:tcPr>
            <w:tcW w:w="315" w:type="dxa"/>
            <w:tcBorders/>
            <w:vAlign w:val="center"/>
          </w:tcPr>
          <w:p>
            <w:pPr>
              <w:pStyle w:val="TableContents"/>
              <w:bidi w:val="0"/>
              <w:spacing w:before="0" w:after="283"/>
              <w:jc w:val="left"/>
              <w:rPr/>
            </w:pPr>
            <w:r>
              <w:rPr/>
              <w:t> </w:t>
            </w:r>
          </w:p>
        </w:tc>
        <w:tc>
          <w:tcPr>
            <w:tcW w:w="935" w:type="dxa"/>
            <w:tcBorders>
              <w:bottom w:val="single" w:sz="2" w:space="0" w:color="000000"/>
            </w:tcBorders>
            <w:tcMar>
              <w:bottom w:w="40" w:type="dxa"/>
            </w:tcMar>
            <w:vAlign w:val="center"/>
          </w:tcPr>
          <w:p>
            <w:pPr>
              <w:pStyle w:val="TableContents"/>
              <w:bidi w:val="0"/>
              <w:spacing w:before="0" w:after="283"/>
              <w:jc w:val="left"/>
              <w:rPr>
                <w:b/>
              </w:rPr>
            </w:pPr>
            <w:r>
              <w:rPr>
                <w:b/>
              </w:rPr>
              <w:t>C. Calio</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1082" w:type="dxa"/>
            <w:tcBorders>
              <w:bottom w:val="single" w:sz="2" w:space="0" w:color="000000"/>
            </w:tcBorders>
            <w:tcMar>
              <w:bottom w:w="40" w:type="dxa"/>
            </w:tcMar>
            <w:vAlign w:val="center"/>
          </w:tcPr>
          <w:p>
            <w:pPr>
              <w:pStyle w:val="TableContents"/>
              <w:bidi w:val="0"/>
              <w:spacing w:before="0" w:after="283"/>
              <w:jc w:val="right"/>
              <w:rPr/>
            </w:pPr>
            <w:r>
              <w:rPr/>
              <w:t>$13,634</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1184" w:type="dxa"/>
            <w:tcBorders>
              <w:bottom w:val="single" w:sz="2" w:space="0" w:color="000000"/>
            </w:tcBorders>
            <w:tcMar>
              <w:bottom w:w="40" w:type="dxa"/>
            </w:tcMar>
            <w:vAlign w:val="center"/>
          </w:tcPr>
          <w:p>
            <w:pPr>
              <w:pStyle w:val="TableContents"/>
              <w:bidi w:val="0"/>
              <w:spacing w:before="0" w:after="283"/>
              <w:jc w:val="right"/>
              <w:rPr/>
            </w:pPr>
            <w:r>
              <w:rPr/>
              <w:t>$7,036</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1453" w:type="dxa"/>
            <w:tcBorders>
              <w:bottom w:val="single" w:sz="2" w:space="0" w:color="000000"/>
            </w:tcBorders>
            <w:tcMar>
              <w:bottom w:w="40" w:type="dxa"/>
            </w:tcMar>
            <w:vAlign w:val="center"/>
          </w:tcPr>
          <w:p>
            <w:pPr>
              <w:pStyle w:val="TableContents"/>
              <w:bidi w:val="0"/>
              <w:spacing w:before="0" w:after="283"/>
              <w:jc w:val="right"/>
              <w:rPr/>
            </w:pPr>
            <w:r>
              <w:rPr/>
              <w:t>$468,517</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1700" w:type="dxa"/>
            <w:tcBorders>
              <w:bottom w:val="single" w:sz="2" w:space="0" w:color="000000"/>
            </w:tcBorders>
            <w:tcMar>
              <w:bottom w:w="40" w:type="dxa"/>
            </w:tcMar>
            <w:vAlign w:val="center"/>
          </w:tcPr>
          <w:p>
            <w:pPr>
              <w:pStyle w:val="TableContents"/>
              <w:bidi w:val="0"/>
              <w:spacing w:before="0" w:after="283"/>
              <w:jc w:val="right"/>
              <w:rPr/>
            </w:pPr>
            <w:r>
              <w:rPr/>
              <w:t>$24,416</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800" w:type="dxa"/>
            <w:tcBorders>
              <w:bottom w:val="single" w:sz="2" w:space="0" w:color="000000"/>
            </w:tcBorders>
            <w:tcMar>
              <w:bottom w:w="40" w:type="dxa"/>
            </w:tcMar>
            <w:vAlign w:val="center"/>
          </w:tcPr>
          <w:p>
            <w:pPr>
              <w:pStyle w:val="TableContents"/>
              <w:bidi w:val="0"/>
              <w:spacing w:before="0" w:after="283"/>
              <w:jc w:val="right"/>
              <w:rPr/>
            </w:pPr>
            <w:r>
              <w:rPr/>
              <w:t>$30,665</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936" w:type="dxa"/>
            <w:tcBorders>
              <w:bottom w:val="single" w:sz="2" w:space="0" w:color="000000"/>
            </w:tcBorders>
            <w:shd w:fill="EDEDEE" w:val="clear"/>
            <w:tcMar>
              <w:bottom w:w="40" w:type="dxa"/>
            </w:tcMar>
            <w:vAlign w:val="center"/>
          </w:tcPr>
          <w:p>
            <w:pPr>
              <w:pStyle w:val="TableContents"/>
              <w:bidi w:val="0"/>
              <w:spacing w:before="0" w:after="283"/>
              <w:jc w:val="right"/>
              <w:rPr/>
            </w:pPr>
            <w:r>
              <w:rPr/>
              <w:t>$544,269</w:t>
            </w:r>
          </w:p>
        </w:tc>
      </w:tr>
      <w:tr>
        <w:trPr/>
        <w:tc>
          <w:tcPr>
            <w:tcW w:w="315" w:type="dxa"/>
            <w:tcBorders/>
            <w:vAlign w:val="center"/>
          </w:tcPr>
          <w:p>
            <w:pPr>
              <w:pStyle w:val="TableContents"/>
              <w:bidi w:val="0"/>
              <w:spacing w:before="0" w:after="283"/>
              <w:jc w:val="left"/>
              <w:rPr/>
            </w:pPr>
            <w:r>
              <w:rPr/>
              <w:t> </w:t>
            </w:r>
          </w:p>
        </w:tc>
        <w:tc>
          <w:tcPr>
            <w:tcW w:w="935" w:type="dxa"/>
            <w:tcBorders>
              <w:bottom w:val="single" w:sz="2" w:space="0" w:color="000000"/>
            </w:tcBorders>
            <w:tcMar>
              <w:bottom w:w="40" w:type="dxa"/>
            </w:tcMar>
            <w:vAlign w:val="center"/>
          </w:tcPr>
          <w:p>
            <w:pPr>
              <w:pStyle w:val="TableContents"/>
              <w:bidi w:val="0"/>
              <w:spacing w:before="0" w:after="283"/>
              <w:jc w:val="left"/>
              <w:rPr>
                <w:b/>
              </w:rPr>
            </w:pPr>
            <w:r>
              <w:rPr>
                <w:b/>
              </w:rPr>
              <w:t>N. Mitchill, Jr.</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1082" w:type="dxa"/>
            <w:tcBorders>
              <w:bottom w:val="single" w:sz="2" w:space="0" w:color="000000"/>
            </w:tcBorders>
            <w:tcMar>
              <w:bottom w:w="40" w:type="dxa"/>
            </w:tcMar>
            <w:vAlign w:val="center"/>
          </w:tcPr>
          <w:p>
            <w:pPr>
              <w:pStyle w:val="TableContents"/>
              <w:bidi w:val="0"/>
              <w:spacing w:before="0" w:after="283"/>
              <w:jc w:val="right"/>
              <w:rPr/>
            </w:pPr>
            <w:r>
              <w:rPr/>
              <w:t>$0</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1184" w:type="dxa"/>
            <w:tcBorders>
              <w:bottom w:val="single" w:sz="2" w:space="0" w:color="000000"/>
            </w:tcBorders>
            <w:tcMar>
              <w:bottom w:w="40" w:type="dxa"/>
            </w:tcMar>
            <w:vAlign w:val="center"/>
          </w:tcPr>
          <w:p>
            <w:pPr>
              <w:pStyle w:val="TableContents"/>
              <w:bidi w:val="0"/>
              <w:spacing w:before="0" w:after="283"/>
              <w:jc w:val="right"/>
              <w:rPr/>
            </w:pPr>
            <w:r>
              <w:rPr/>
              <w:t>$5,018</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1453" w:type="dxa"/>
            <w:tcBorders>
              <w:bottom w:val="single" w:sz="2" w:space="0" w:color="000000"/>
            </w:tcBorders>
            <w:tcMar>
              <w:bottom w:w="40" w:type="dxa"/>
            </w:tcMar>
            <w:vAlign w:val="center"/>
          </w:tcPr>
          <w:p>
            <w:pPr>
              <w:pStyle w:val="TableContents"/>
              <w:bidi w:val="0"/>
              <w:spacing w:before="0" w:after="283"/>
              <w:jc w:val="right"/>
              <w:rPr/>
            </w:pPr>
            <w:r>
              <w:rPr/>
              <w:t>$258,750</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1700" w:type="dxa"/>
            <w:tcBorders>
              <w:bottom w:val="single" w:sz="2" w:space="0" w:color="000000"/>
            </w:tcBorders>
            <w:tcMar>
              <w:bottom w:w="40" w:type="dxa"/>
            </w:tcMar>
            <w:vAlign w:val="center"/>
          </w:tcPr>
          <w:p>
            <w:pPr>
              <w:pStyle w:val="TableContents"/>
              <w:bidi w:val="0"/>
              <w:spacing w:before="0" w:after="283"/>
              <w:jc w:val="right"/>
              <w:rPr/>
            </w:pPr>
            <w:r>
              <w:rPr/>
              <w:t>$24,331</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800" w:type="dxa"/>
            <w:tcBorders>
              <w:bottom w:val="single" w:sz="2" w:space="0" w:color="000000"/>
            </w:tcBorders>
            <w:tcMar>
              <w:bottom w:w="40" w:type="dxa"/>
            </w:tcMar>
            <w:vAlign w:val="center"/>
          </w:tcPr>
          <w:p>
            <w:pPr>
              <w:pStyle w:val="TableContents"/>
              <w:bidi w:val="0"/>
              <w:spacing w:before="0" w:after="283"/>
              <w:jc w:val="right"/>
              <w:rPr/>
            </w:pPr>
            <w:r>
              <w:rPr/>
              <w:t>$24,703</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936" w:type="dxa"/>
            <w:tcBorders>
              <w:bottom w:val="single" w:sz="2" w:space="0" w:color="000000"/>
            </w:tcBorders>
            <w:shd w:fill="EDEDEE" w:val="clear"/>
            <w:tcMar>
              <w:bottom w:w="40" w:type="dxa"/>
            </w:tcMar>
            <w:vAlign w:val="center"/>
          </w:tcPr>
          <w:p>
            <w:pPr>
              <w:pStyle w:val="TableContents"/>
              <w:bidi w:val="0"/>
              <w:spacing w:before="0" w:after="283"/>
              <w:jc w:val="right"/>
              <w:rPr/>
            </w:pPr>
            <w:r>
              <w:rPr/>
              <w:t>$312,802</w:t>
            </w:r>
          </w:p>
        </w:tc>
      </w:tr>
      <w:tr>
        <w:trPr/>
        <w:tc>
          <w:tcPr>
            <w:tcW w:w="315" w:type="dxa"/>
            <w:tcBorders/>
            <w:vAlign w:val="center"/>
          </w:tcPr>
          <w:p>
            <w:pPr>
              <w:pStyle w:val="TableContents"/>
              <w:bidi w:val="0"/>
              <w:spacing w:before="0" w:after="283"/>
              <w:jc w:val="left"/>
              <w:rPr/>
            </w:pPr>
            <w:r>
              <w:rPr/>
              <w:t> </w:t>
            </w:r>
          </w:p>
        </w:tc>
        <w:tc>
          <w:tcPr>
            <w:tcW w:w="935" w:type="dxa"/>
            <w:tcBorders>
              <w:bottom w:val="single" w:sz="2" w:space="0" w:color="000000"/>
            </w:tcBorders>
            <w:tcMar>
              <w:bottom w:w="40" w:type="dxa"/>
            </w:tcMar>
            <w:vAlign w:val="center"/>
          </w:tcPr>
          <w:p>
            <w:pPr>
              <w:pStyle w:val="TableContents"/>
              <w:bidi w:val="0"/>
              <w:spacing w:before="0" w:after="283"/>
              <w:jc w:val="left"/>
              <w:rPr>
                <w:b/>
              </w:rPr>
            </w:pPr>
            <w:r>
              <w:rPr>
                <w:b/>
              </w:rPr>
              <w:t>P. Jasper</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1082" w:type="dxa"/>
            <w:tcBorders>
              <w:bottom w:val="single" w:sz="2" w:space="0" w:color="000000"/>
            </w:tcBorders>
            <w:tcMar>
              <w:bottom w:w="40" w:type="dxa"/>
            </w:tcMar>
            <w:vAlign w:val="center"/>
          </w:tcPr>
          <w:p>
            <w:pPr>
              <w:pStyle w:val="TableContents"/>
              <w:bidi w:val="0"/>
              <w:spacing w:before="0" w:after="283"/>
              <w:jc w:val="right"/>
              <w:rPr/>
            </w:pPr>
            <w:r>
              <w:rPr/>
              <w:t>$0</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1184" w:type="dxa"/>
            <w:tcBorders>
              <w:bottom w:val="single" w:sz="2" w:space="0" w:color="000000"/>
            </w:tcBorders>
            <w:tcMar>
              <w:bottom w:w="40" w:type="dxa"/>
            </w:tcMar>
            <w:vAlign w:val="center"/>
          </w:tcPr>
          <w:p>
            <w:pPr>
              <w:pStyle w:val="TableContents"/>
              <w:bidi w:val="0"/>
              <w:spacing w:before="0" w:after="283"/>
              <w:jc w:val="right"/>
              <w:rPr/>
            </w:pPr>
            <w:r>
              <w:rPr/>
              <w:t>$3,801</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1453" w:type="dxa"/>
            <w:tcBorders>
              <w:bottom w:val="single" w:sz="2" w:space="0" w:color="000000"/>
            </w:tcBorders>
            <w:tcMar>
              <w:bottom w:w="40" w:type="dxa"/>
            </w:tcMar>
            <w:vAlign w:val="center"/>
          </w:tcPr>
          <w:p>
            <w:pPr>
              <w:pStyle w:val="TableContents"/>
              <w:bidi w:val="0"/>
              <w:spacing w:before="0" w:after="283"/>
              <w:jc w:val="right"/>
              <w:rPr/>
            </w:pPr>
            <w:r>
              <w:rPr/>
              <w:t>$195,017</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1700" w:type="dxa"/>
            <w:tcBorders>
              <w:bottom w:val="single" w:sz="2" w:space="0" w:color="000000"/>
            </w:tcBorders>
            <w:tcMar>
              <w:bottom w:w="40" w:type="dxa"/>
            </w:tcMar>
            <w:vAlign w:val="center"/>
          </w:tcPr>
          <w:p>
            <w:pPr>
              <w:pStyle w:val="TableContents"/>
              <w:bidi w:val="0"/>
              <w:spacing w:before="0" w:after="283"/>
              <w:jc w:val="right"/>
              <w:rPr/>
            </w:pPr>
            <w:r>
              <w:rPr/>
              <w:t>$23,488</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800" w:type="dxa"/>
            <w:tcBorders>
              <w:bottom w:val="single" w:sz="2" w:space="0" w:color="000000"/>
            </w:tcBorders>
            <w:tcMar>
              <w:bottom w:w="40" w:type="dxa"/>
            </w:tcMar>
            <w:vAlign w:val="center"/>
          </w:tcPr>
          <w:p>
            <w:pPr>
              <w:pStyle w:val="TableContents"/>
              <w:bidi w:val="0"/>
              <w:spacing w:before="0" w:after="283"/>
              <w:jc w:val="right"/>
              <w:rPr/>
            </w:pPr>
            <w:r>
              <w:rPr/>
              <w:t>$10,372</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936" w:type="dxa"/>
            <w:tcBorders>
              <w:bottom w:val="single" w:sz="2" w:space="0" w:color="000000"/>
            </w:tcBorders>
            <w:shd w:fill="EDEDEE" w:val="clear"/>
            <w:tcMar>
              <w:bottom w:w="40" w:type="dxa"/>
            </w:tcMar>
            <w:vAlign w:val="center"/>
          </w:tcPr>
          <w:p>
            <w:pPr>
              <w:pStyle w:val="TableContents"/>
              <w:bidi w:val="0"/>
              <w:spacing w:before="0" w:after="283"/>
              <w:jc w:val="right"/>
              <w:rPr/>
            </w:pPr>
            <w:r>
              <w:rPr/>
              <w:t>$232,678</w:t>
            </w:r>
          </w:p>
        </w:tc>
      </w:tr>
      <w:tr>
        <w:trPr/>
        <w:tc>
          <w:tcPr>
            <w:tcW w:w="315" w:type="dxa"/>
            <w:tcBorders/>
            <w:vAlign w:val="center"/>
          </w:tcPr>
          <w:p>
            <w:pPr>
              <w:pStyle w:val="TableContents"/>
              <w:bidi w:val="0"/>
              <w:spacing w:before="0" w:after="283"/>
              <w:jc w:val="left"/>
              <w:rPr/>
            </w:pPr>
            <w:r>
              <w:rPr/>
              <w:t> </w:t>
            </w:r>
          </w:p>
        </w:tc>
        <w:tc>
          <w:tcPr>
            <w:tcW w:w="935" w:type="dxa"/>
            <w:tcBorders>
              <w:bottom w:val="single" w:sz="2" w:space="0" w:color="000000"/>
            </w:tcBorders>
            <w:tcMar>
              <w:bottom w:w="40" w:type="dxa"/>
            </w:tcMar>
            <w:vAlign w:val="center"/>
          </w:tcPr>
          <w:p>
            <w:pPr>
              <w:pStyle w:val="TableContents"/>
              <w:bidi w:val="0"/>
              <w:spacing w:before="0" w:after="283"/>
              <w:jc w:val="left"/>
              <w:rPr>
                <w:b/>
              </w:rPr>
            </w:pPr>
            <w:r>
              <w:rPr>
                <w:b/>
              </w:rPr>
              <w:t>S. Eddy</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1082" w:type="dxa"/>
            <w:tcBorders>
              <w:bottom w:val="single" w:sz="2" w:space="0" w:color="000000"/>
            </w:tcBorders>
            <w:tcMar>
              <w:bottom w:w="40" w:type="dxa"/>
            </w:tcMar>
            <w:vAlign w:val="center"/>
          </w:tcPr>
          <w:p>
            <w:pPr>
              <w:pStyle w:val="TableContents"/>
              <w:bidi w:val="0"/>
              <w:spacing w:before="0" w:after="283"/>
              <w:jc w:val="right"/>
              <w:rPr/>
            </w:pPr>
            <w:r>
              <w:rPr/>
              <w:t>$0</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1184" w:type="dxa"/>
            <w:tcBorders>
              <w:bottom w:val="single" w:sz="2" w:space="0" w:color="000000"/>
            </w:tcBorders>
            <w:tcMar>
              <w:bottom w:w="40" w:type="dxa"/>
            </w:tcMar>
            <w:vAlign w:val="center"/>
          </w:tcPr>
          <w:p>
            <w:pPr>
              <w:pStyle w:val="TableContents"/>
              <w:bidi w:val="0"/>
              <w:spacing w:before="0" w:after="283"/>
              <w:jc w:val="right"/>
              <w:rPr/>
            </w:pPr>
            <w:r>
              <w:rPr/>
              <w:t>$3,841</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1453" w:type="dxa"/>
            <w:tcBorders>
              <w:bottom w:val="single" w:sz="2" w:space="0" w:color="000000"/>
            </w:tcBorders>
            <w:tcMar>
              <w:bottom w:w="40" w:type="dxa"/>
            </w:tcMar>
            <w:vAlign w:val="center"/>
          </w:tcPr>
          <w:p>
            <w:pPr>
              <w:pStyle w:val="TableContents"/>
              <w:bidi w:val="0"/>
              <w:spacing w:before="0" w:after="283"/>
              <w:jc w:val="right"/>
              <w:rPr/>
            </w:pPr>
            <w:r>
              <w:rPr/>
              <w:t>$190,575</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1700" w:type="dxa"/>
            <w:tcBorders>
              <w:bottom w:val="single" w:sz="2" w:space="0" w:color="000000"/>
            </w:tcBorders>
            <w:tcMar>
              <w:bottom w:w="40" w:type="dxa"/>
            </w:tcMar>
            <w:vAlign w:val="center"/>
          </w:tcPr>
          <w:p>
            <w:pPr>
              <w:pStyle w:val="TableContents"/>
              <w:bidi w:val="0"/>
              <w:spacing w:before="0" w:after="283"/>
              <w:jc w:val="right"/>
              <w:rPr/>
            </w:pPr>
            <w:r>
              <w:rPr/>
              <w:t>$21,199</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800" w:type="dxa"/>
            <w:tcBorders>
              <w:bottom w:val="single" w:sz="2" w:space="0" w:color="000000"/>
            </w:tcBorders>
            <w:tcMar>
              <w:bottom w:w="40" w:type="dxa"/>
            </w:tcMar>
            <w:vAlign w:val="center"/>
          </w:tcPr>
          <w:p>
            <w:pPr>
              <w:pStyle w:val="TableContents"/>
              <w:bidi w:val="0"/>
              <w:spacing w:before="0" w:after="283"/>
              <w:jc w:val="right"/>
              <w:rPr/>
            </w:pPr>
            <w:r>
              <w:rPr/>
              <w:t>$15,930</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936" w:type="dxa"/>
            <w:tcBorders>
              <w:bottom w:val="single" w:sz="2" w:space="0" w:color="000000"/>
            </w:tcBorders>
            <w:shd w:fill="EDEDEE" w:val="clear"/>
            <w:tcMar>
              <w:bottom w:w="40" w:type="dxa"/>
            </w:tcMar>
            <w:vAlign w:val="center"/>
          </w:tcPr>
          <w:p>
            <w:pPr>
              <w:pStyle w:val="TableContents"/>
              <w:bidi w:val="0"/>
              <w:spacing w:before="0" w:after="283"/>
              <w:jc w:val="right"/>
              <w:rPr/>
            </w:pPr>
            <w:r>
              <w:rPr/>
              <w:t>$231,545</w:t>
            </w:r>
          </w:p>
        </w:tc>
      </w:tr>
      <w:tr>
        <w:trPr/>
        <w:tc>
          <w:tcPr>
            <w:tcW w:w="315" w:type="dxa"/>
            <w:tcBorders/>
            <w:vAlign w:val="center"/>
          </w:tcPr>
          <w:p>
            <w:pPr>
              <w:pStyle w:val="TableContents"/>
              <w:bidi w:val="0"/>
              <w:spacing w:before="0" w:after="283"/>
              <w:jc w:val="left"/>
              <w:rPr/>
            </w:pPr>
            <w:r>
              <w:rPr/>
              <w:t> </w:t>
            </w:r>
          </w:p>
        </w:tc>
        <w:tc>
          <w:tcPr>
            <w:tcW w:w="935" w:type="dxa"/>
            <w:tcBorders>
              <w:bottom w:val="single" w:sz="12" w:space="0" w:color="636466"/>
            </w:tcBorders>
            <w:tcMar>
              <w:bottom w:w="40" w:type="dxa"/>
            </w:tcMar>
            <w:vAlign w:val="center"/>
          </w:tcPr>
          <w:p>
            <w:pPr>
              <w:pStyle w:val="TableContents"/>
              <w:bidi w:val="0"/>
              <w:spacing w:before="0" w:after="283"/>
              <w:jc w:val="left"/>
              <w:rPr>
                <w:b/>
              </w:rPr>
            </w:pPr>
            <w:r>
              <w:rPr>
                <w:b/>
              </w:rPr>
              <w:t>T. Brunk</w:t>
            </w:r>
          </w:p>
        </w:tc>
        <w:tc>
          <w:tcPr>
            <w:tcW w:w="300" w:type="dxa"/>
            <w:tcBorders>
              <w:bottom w:val="single" w:sz="12" w:space="0" w:color="636466"/>
            </w:tcBorders>
            <w:tcMar>
              <w:bottom w:w="40" w:type="dxa"/>
            </w:tcMar>
            <w:vAlign w:val="center"/>
          </w:tcPr>
          <w:p>
            <w:pPr>
              <w:pStyle w:val="TableContents"/>
              <w:bidi w:val="0"/>
              <w:spacing w:before="0" w:after="283"/>
              <w:jc w:val="left"/>
              <w:rPr/>
            </w:pPr>
            <w:r>
              <w:rPr/>
              <w:t> </w:t>
            </w:r>
          </w:p>
        </w:tc>
        <w:tc>
          <w:tcPr>
            <w:tcW w:w="1082" w:type="dxa"/>
            <w:tcBorders>
              <w:bottom w:val="single" w:sz="12" w:space="0" w:color="636466"/>
            </w:tcBorders>
            <w:tcMar>
              <w:bottom w:w="40" w:type="dxa"/>
            </w:tcMar>
            <w:vAlign w:val="center"/>
          </w:tcPr>
          <w:p>
            <w:pPr>
              <w:pStyle w:val="TableContents"/>
              <w:bidi w:val="0"/>
              <w:spacing w:before="0" w:after="283"/>
              <w:jc w:val="right"/>
              <w:rPr/>
            </w:pPr>
            <w:r>
              <w:rPr/>
              <w:t>$0</w:t>
            </w:r>
          </w:p>
        </w:tc>
        <w:tc>
          <w:tcPr>
            <w:tcW w:w="300" w:type="dxa"/>
            <w:tcBorders>
              <w:bottom w:val="single" w:sz="12" w:space="0" w:color="636466"/>
            </w:tcBorders>
            <w:tcMar>
              <w:bottom w:w="40" w:type="dxa"/>
            </w:tcMar>
            <w:vAlign w:val="center"/>
          </w:tcPr>
          <w:p>
            <w:pPr>
              <w:pStyle w:val="TableContents"/>
              <w:bidi w:val="0"/>
              <w:spacing w:before="0" w:after="283"/>
              <w:jc w:val="left"/>
              <w:rPr/>
            </w:pPr>
            <w:r>
              <w:rPr/>
              <w:t> </w:t>
            </w:r>
          </w:p>
        </w:tc>
        <w:tc>
          <w:tcPr>
            <w:tcW w:w="1184" w:type="dxa"/>
            <w:tcBorders>
              <w:bottom w:val="single" w:sz="12" w:space="0" w:color="636466"/>
            </w:tcBorders>
            <w:tcMar>
              <w:bottom w:w="40" w:type="dxa"/>
            </w:tcMar>
            <w:vAlign w:val="center"/>
          </w:tcPr>
          <w:p>
            <w:pPr>
              <w:pStyle w:val="TableContents"/>
              <w:bidi w:val="0"/>
              <w:spacing w:before="0" w:after="283"/>
              <w:jc w:val="right"/>
              <w:rPr/>
            </w:pPr>
            <w:r>
              <w:rPr/>
              <w:t>$3,599</w:t>
            </w:r>
          </w:p>
        </w:tc>
        <w:tc>
          <w:tcPr>
            <w:tcW w:w="300" w:type="dxa"/>
            <w:tcBorders>
              <w:bottom w:val="single" w:sz="12" w:space="0" w:color="636466"/>
            </w:tcBorders>
            <w:tcMar>
              <w:bottom w:w="40" w:type="dxa"/>
            </w:tcMar>
            <w:vAlign w:val="center"/>
          </w:tcPr>
          <w:p>
            <w:pPr>
              <w:pStyle w:val="TableContents"/>
              <w:bidi w:val="0"/>
              <w:spacing w:before="0" w:after="283"/>
              <w:jc w:val="left"/>
              <w:rPr/>
            </w:pPr>
            <w:r>
              <w:rPr/>
              <w:t> </w:t>
            </w:r>
          </w:p>
        </w:tc>
        <w:tc>
          <w:tcPr>
            <w:tcW w:w="1453" w:type="dxa"/>
            <w:tcBorders>
              <w:bottom w:val="single" w:sz="12" w:space="0" w:color="636466"/>
            </w:tcBorders>
            <w:tcMar>
              <w:bottom w:w="40" w:type="dxa"/>
            </w:tcMar>
            <w:vAlign w:val="center"/>
          </w:tcPr>
          <w:p>
            <w:pPr>
              <w:pStyle w:val="TableContents"/>
              <w:bidi w:val="0"/>
              <w:spacing w:before="0" w:after="283"/>
              <w:jc w:val="right"/>
              <w:rPr/>
            </w:pPr>
            <w:r>
              <w:rPr/>
              <w:t>$148,034</w:t>
            </w:r>
          </w:p>
        </w:tc>
        <w:tc>
          <w:tcPr>
            <w:tcW w:w="300" w:type="dxa"/>
            <w:tcBorders>
              <w:bottom w:val="single" w:sz="12" w:space="0" w:color="636466"/>
            </w:tcBorders>
            <w:tcMar>
              <w:bottom w:w="40" w:type="dxa"/>
            </w:tcMar>
            <w:vAlign w:val="center"/>
          </w:tcPr>
          <w:p>
            <w:pPr>
              <w:pStyle w:val="TableContents"/>
              <w:bidi w:val="0"/>
              <w:spacing w:before="0" w:after="283"/>
              <w:jc w:val="left"/>
              <w:rPr/>
            </w:pPr>
            <w:r>
              <w:rPr/>
              <w:t> </w:t>
            </w:r>
          </w:p>
        </w:tc>
        <w:tc>
          <w:tcPr>
            <w:tcW w:w="1700" w:type="dxa"/>
            <w:tcBorders>
              <w:bottom w:val="single" w:sz="12" w:space="0" w:color="636466"/>
            </w:tcBorders>
            <w:tcMar>
              <w:bottom w:w="40" w:type="dxa"/>
            </w:tcMar>
            <w:vAlign w:val="center"/>
          </w:tcPr>
          <w:p>
            <w:pPr>
              <w:pStyle w:val="TableContents"/>
              <w:bidi w:val="0"/>
              <w:spacing w:before="0" w:after="283"/>
              <w:jc w:val="right"/>
              <w:rPr/>
            </w:pPr>
            <w:r>
              <w:rPr/>
              <w:t>$15,978</w:t>
            </w:r>
          </w:p>
        </w:tc>
        <w:tc>
          <w:tcPr>
            <w:tcW w:w="300" w:type="dxa"/>
            <w:tcBorders>
              <w:bottom w:val="single" w:sz="12" w:space="0" w:color="636466"/>
            </w:tcBorders>
            <w:tcMar>
              <w:bottom w:w="40" w:type="dxa"/>
            </w:tcMar>
            <w:vAlign w:val="center"/>
          </w:tcPr>
          <w:p>
            <w:pPr>
              <w:pStyle w:val="TableContents"/>
              <w:bidi w:val="0"/>
              <w:spacing w:before="0" w:after="283"/>
              <w:jc w:val="left"/>
              <w:rPr/>
            </w:pPr>
            <w:r>
              <w:rPr/>
              <w:t> </w:t>
            </w:r>
          </w:p>
        </w:tc>
        <w:tc>
          <w:tcPr>
            <w:tcW w:w="800" w:type="dxa"/>
            <w:tcBorders>
              <w:bottom w:val="single" w:sz="12" w:space="0" w:color="636466"/>
            </w:tcBorders>
            <w:tcMar>
              <w:bottom w:w="40" w:type="dxa"/>
            </w:tcMar>
            <w:vAlign w:val="center"/>
          </w:tcPr>
          <w:p>
            <w:pPr>
              <w:pStyle w:val="TableContents"/>
              <w:bidi w:val="0"/>
              <w:spacing w:before="0" w:after="283"/>
              <w:jc w:val="right"/>
              <w:rPr/>
            </w:pPr>
            <w:r>
              <w:rPr/>
              <w:t>$4,049</w:t>
            </w:r>
          </w:p>
        </w:tc>
        <w:tc>
          <w:tcPr>
            <w:tcW w:w="300" w:type="dxa"/>
            <w:tcBorders>
              <w:bottom w:val="single" w:sz="12" w:space="0" w:color="636466"/>
            </w:tcBorders>
            <w:tcMar>
              <w:bottom w:w="40" w:type="dxa"/>
            </w:tcMar>
            <w:vAlign w:val="center"/>
          </w:tcPr>
          <w:p>
            <w:pPr>
              <w:pStyle w:val="TableContents"/>
              <w:bidi w:val="0"/>
              <w:spacing w:before="0" w:after="283"/>
              <w:jc w:val="left"/>
              <w:rPr/>
            </w:pPr>
            <w:r>
              <w:rPr/>
              <w:t> </w:t>
            </w:r>
          </w:p>
        </w:tc>
        <w:tc>
          <w:tcPr>
            <w:tcW w:w="936" w:type="dxa"/>
            <w:tcBorders>
              <w:bottom w:val="single" w:sz="12" w:space="0" w:color="636466"/>
            </w:tcBorders>
            <w:shd w:fill="EDEDEE" w:val="clear"/>
            <w:tcMar>
              <w:bottom w:w="40" w:type="dxa"/>
            </w:tcMar>
            <w:vAlign w:val="center"/>
          </w:tcPr>
          <w:p>
            <w:pPr>
              <w:pStyle w:val="TableContents"/>
              <w:bidi w:val="0"/>
              <w:spacing w:before="0" w:after="283"/>
              <w:jc w:val="right"/>
              <w:rPr/>
            </w:pPr>
            <w:r>
              <w:rPr/>
              <w:t>$171,660</w:t>
            </w:r>
          </w:p>
        </w:tc>
      </w:tr>
    </w:tbl>
    <w:tbl>
      <w:tblPr>
        <w:tblW w:w="10205" w:type="dxa"/>
        <w:jc w:val="left"/>
        <w:tblInd w:w="0" w:type="dxa"/>
        <w:tblLayout w:type="fixed"/>
        <w:tblCellMar>
          <w:top w:w="0" w:type="dxa"/>
          <w:left w:w="0" w:type="dxa"/>
          <w:bottom w:w="0" w:type="dxa"/>
          <w:right w:w="0" w:type="dxa"/>
        </w:tblCellMar>
      </w:tblPr>
      <w:tblGrid>
        <w:gridCol w:w="236"/>
        <w:gridCol w:w="221"/>
        <w:gridCol w:w="9748"/>
      </w:tblGrid>
      <w:tr>
        <w:trPr/>
        <w:tc>
          <w:tcPr>
            <w:tcW w:w="236"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(a)</w:t>
            </w:r>
          </w:p>
        </w:tc>
        <w:tc>
          <w:tcPr>
            <w:tcW w:w="9748" w:type="dxa"/>
            <w:tcBorders/>
            <w:vAlign w:val="center"/>
          </w:tcPr>
          <w:p>
            <w:pPr>
              <w:pStyle w:val="TableContents"/>
              <w:bidi w:val="0"/>
              <w:spacing w:before="0" w:after="283"/>
              <w:jc w:val="left"/>
              <w:rPr/>
            </w:pPr>
            <w:r>
              <w:rPr/>
              <w:t>Incremental variable operating costs incurred for personal air travel, which includes fuel (calculated on the basis of aircraft-specific average consumption rates and fleet average fuel costs), fleet average landing and handling fees, crew lodging and meal allowances, and catering and hourly maintenance contract charges, when applicable. Because fleet-wide aircraft utilization is primarily for business purposes, capital and other fixed expenditures are not treated as an incremental cost.</w:t>
            </w:r>
          </w:p>
        </w:tc>
      </w:tr>
      <w:tr>
        <w:trPr/>
        <w:tc>
          <w:tcPr>
            <w:tcW w:w="236"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(b)</w:t>
            </w:r>
          </w:p>
        </w:tc>
        <w:tc>
          <w:tcPr>
            <w:tcW w:w="9748" w:type="dxa"/>
            <w:tcBorders/>
            <w:vAlign w:val="center"/>
          </w:tcPr>
          <w:p>
            <w:pPr>
              <w:pStyle w:val="TableContents"/>
              <w:bidi w:val="0"/>
              <w:spacing w:before="0" w:after="283"/>
              <w:jc w:val="left"/>
              <w:rPr/>
            </w:pPr>
            <w:r>
              <w:rPr/>
              <w:t>Reflects premiums paid on an enhanced basic life insurance benefit equal to three times base salary.</w:t>
            </w:r>
          </w:p>
        </w:tc>
      </w:tr>
      <w:tr>
        <w:trPr/>
        <w:tc>
          <w:tcPr>
            <w:tcW w:w="236"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(c)</w:t>
            </w:r>
          </w:p>
        </w:tc>
        <w:tc>
          <w:tcPr>
            <w:tcW w:w="9748" w:type="dxa"/>
            <w:tcBorders/>
            <w:vAlign w:val="center"/>
          </w:tcPr>
          <w:p>
            <w:pPr>
              <w:pStyle w:val="TableContents"/>
              <w:bidi w:val="0"/>
              <w:spacing w:before="0" w:after="283"/>
              <w:jc w:val="left"/>
              <w:rPr/>
            </w:pPr>
            <w:r>
              <w:rPr/>
              <w:t>Amounts represent total Company contributions into the Company’s defined contribution plans—the qualified RTX Corporation Savings Plan and the nonqualified RTX Corporation Compensation Deferral Plan. Under these plans, participants are eligible to receive Company matching contributions and age-based Company retirement contributions. However, Company retirement contributions are only provided to employees who are not accruing benefits under a Company pension plan. For further details on RTX’s qualified and nonqualified defined contribution plans, refer to pages 58 and 71-72 of this Proxy Statement.</w:t>
            </w:r>
          </w:p>
        </w:tc>
      </w:tr>
      <w:tr>
        <w:trPr/>
        <w:tc>
          <w:tcPr>
            <w:tcW w:w="236"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(d)</w:t>
            </w:r>
          </w:p>
        </w:tc>
        <w:tc>
          <w:tcPr>
            <w:tcW w:w="9748" w:type="dxa"/>
            <w:tcBorders/>
            <w:vAlign w:val="center"/>
          </w:tcPr>
          <w:p>
            <w:pPr>
              <w:pStyle w:val="TableContents"/>
              <w:bidi w:val="0"/>
              <w:spacing w:before="0" w:after="283"/>
              <w:jc w:val="left"/>
              <w:rPr/>
            </w:pPr>
            <w:r>
              <w:rPr/>
              <w:t>Costs associated with annual executive physicals and Company-covered health and welfare benefits. The annual executive physical benefit is capped at $5,000.</w:t>
            </w:r>
          </w:p>
        </w:tc>
      </w:tr>
      <w:tr>
        <w:trPr/>
        <w:tc>
          <w:tcPr>
            <w:tcW w:w="236"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(e)</w:t>
            </w:r>
          </w:p>
        </w:tc>
        <w:tc>
          <w:tcPr>
            <w:tcW w:w="9748" w:type="dxa"/>
            <w:tcBorders/>
            <w:vAlign w:val="center"/>
          </w:tcPr>
          <w:p>
            <w:pPr>
              <w:pStyle w:val="TableContents"/>
              <w:bidi w:val="0"/>
              <w:spacing w:before="0" w:after="283"/>
              <w:jc w:val="left"/>
              <w:rPr/>
            </w:pPr>
            <w:r>
              <w:rPr/>
              <w:t>Amounts include costs associated with membership and meeting attendance fees for an aerospace and defense industry club, a financial planning benefit, and personal use of a Company-provided car and driver used for security purposes for Mr. Calio, as well as costs associated with a spouse joining an executive at business events, employee gifts, medical transportation services, and other incidental items. Further, RTX’s senior executives participate in community and philanthropic activities for the benefit of the Company. This may include attending various cultural, charitable, civic, entertainment and sporting events for business development and relationship-building purposes and/or community involvement, and may require the purchase of tickets, catering and parking. Tickets may also be used for team-building events and sometimes are provided to employees, including our senior executives, for personal use; the incremental cost of such use is included in this column.</w:t>
            </w:r>
          </w:p>
        </w:tc>
      </w:tr>
      <w:tr>
        <w:trPr/>
        <w:tc>
          <w:tcPr>
            <w:tcW w:w="236" w:type="dxa"/>
            <w:tcBorders/>
            <w:vAlign w:val="center"/>
          </w:tcPr>
          <w:p>
            <w:pPr>
              <w:pStyle w:val="TableContents"/>
              <w:bidi w:val="0"/>
              <w:spacing w:before="0" w:after="283"/>
              <w:jc w:val="left"/>
              <w:rPr/>
            </w:pPr>
            <w:r>
              <w:rPr/>
              <w:t>(7)</w:t>
            </w:r>
          </w:p>
        </w:tc>
        <w:tc>
          <w:tcPr>
            <w:tcW w:w="9969" w:type="dxa"/>
            <w:gridSpan w:val="2"/>
            <w:tcBorders/>
            <w:vAlign w:val="center"/>
          </w:tcPr>
          <w:p>
            <w:pPr>
              <w:pStyle w:val="TableContents"/>
              <w:bidi w:val="0"/>
              <w:spacing w:before="0" w:after="283"/>
              <w:jc w:val="left"/>
              <w:rPr/>
            </w:pPr>
            <w:r>
              <w:rPr/>
              <w:t>Mr. Calio served as President &amp; Chief Executive Officer until April 30, 2025, when he assumed the role of Chairman of the Board, becoming Chairman, President &amp; Chief Executive Officer.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Arial;Helvetica;Sans-Serif" w:hAnsi="Arial;Helvetica;Sans-Serif"/>
          <w:b w:val="false"/>
          <w:i w:val="false"/>
          <w:caps w:val="false"/>
          <w:smallCaps w:val="false"/>
          <w:sz w:val="15"/>
        </w:rPr>
      </w:pPr>
      <w:r>
        <w:rPr>
          <w:rFonts w:ascii="Arial;Helvetica;Sans-Serif" w:hAnsi="Arial;Helvetica;Sans-Serif"/>
          <w:b/>
          <w:i w:val="false"/>
          <w:caps w:val="false"/>
          <w:smallCaps w:val="false"/>
          <w:sz w:val="15"/>
        </w:rPr>
        <w:t xml:space="preserve">RTX </w:t>
      </w:r>
      <w:r>
        <w:rPr>
          <w:rFonts w:ascii="Arial;Helvetica;Sans-Serif" w:hAnsi="Arial;Helvetica;Sans-Serif"/>
          <w:b w:val="false"/>
          <w:i w:val="false"/>
          <w:caps w:val="false"/>
          <w:smallCaps w:val="false"/>
          <w:sz w:val="15"/>
        </w:rPr>
        <w:t>2026 PROXY STATEMENT    </w:t>
      </w:r>
      <w:r>
        <w:rPr>
          <w:rFonts w:ascii="Arial;Helvetica;Sans-Serif" w:hAnsi="Arial;Helvetica;Sans-Serif"/>
          <w:b/>
          <w:i w:val="false"/>
          <w:caps w:val="false"/>
          <w:smallCaps w:val="false"/>
          <w:sz w:val="15"/>
        </w:rPr>
        <w:t>65</w:t>
      </w:r>
    </w:p>
    <w:p>
      <w:pPr>
        <w:pStyle w:val="HorizontalLine"/>
        <w:pBdr>
          <w:bottom w:val="double" w:sz="2" w:space="0" w:color="808080"/>
        </w:pBdr>
        <w:bidi w:val="0"/>
        <w:spacing w:before="0" w:after="283"/>
        <w:jc w:val="left"/>
        <w:rPr/>
      </w:pPr>
      <w:r>
        <w:rPr/>
      </w:r>
    </w:p>
    <w:p>
      <w:pPr>
        <w:pStyle w:val="TextBody"/>
        <w:bidi w:val="0"/>
        <w:spacing w:before="200" w:after="200"/>
        <w:jc w:val="left"/>
        <w:rPr/>
      </w:pPr>
      <w:hyperlink w:anchor="toc">
        <w:r>
          <w:rPr>
            <w:rStyle w:val="InternetLink"/>
            <w:rFonts w:ascii="Arial;Helvetica;Sans-Serif" w:hAnsi="Arial;Helvetica;Sans-Serif"/>
            <w:b/>
            <w:i w:val="false"/>
            <w:caps w:val="false"/>
            <w:smallCaps w:val="false"/>
            <w:sz w:val="16"/>
          </w:rPr>
          <w:t>Table of Contents</w:t>
        </w:r>
      </w:hyperlink>
    </w:p>
    <w:p>
      <w:pPr>
        <w:pStyle w:val="TextBody"/>
        <w:bidi w:val="0"/>
        <w:spacing w:before="0" w:after="0"/>
        <w:ind w:left="0" w:right="0" w:hanging="0"/>
        <w:jc w:val="left"/>
        <w:rPr>
          <w:rFonts w:ascii="Arial;Helvetica;Sans-Serif" w:hAnsi="Arial;Helvetica;Sans-Serif"/>
          <w:b/>
          <w:i w:val="false"/>
          <w:caps w:val="false"/>
          <w:smallCaps w:val="false"/>
          <w:color w:val="C12E33"/>
          <w:sz w:val="15"/>
        </w:rPr>
      </w:pPr>
      <w:r>
        <w:rPr>
          <w:rFonts w:ascii="Arial;Helvetica;Sans-Serif" w:hAnsi="Arial;Helvetica;Sans-Serif"/>
          <w:b/>
          <w:i w:val="false"/>
          <w:caps w:val="false"/>
          <w:smallCaps w:val="false"/>
          <w:color w:val="C12E33"/>
          <w:sz w:val="15"/>
        </w:rPr>
        <w:t>COMPENSATION TABLES</w:t>
      </w:r>
    </w:p>
    <w:p>
      <w:pPr>
        <w:pStyle w:val="TextBody"/>
        <w:bidi w:val="0"/>
        <w:spacing w:before="0" w:after="0"/>
        <w:ind w:left="0" w:right="0" w:hanging="0"/>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GRANTS OF PLAN-BASED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34"/>
        </w:rPr>
      </w:pPr>
      <w:r>
        <w:rPr>
          <w:rFonts w:ascii="Arial;Helvetica;Sans-Serif" w:hAnsi="Arial;Helvetica;Sans-Serif"/>
          <w:b/>
          <w:i w:val="false"/>
          <w:caps w:val="false"/>
          <w:smallCaps w:val="false"/>
          <w:sz w:val="34"/>
        </w:rPr>
        <w:t>Grants of Plan-Based Awards</w:t>
      </w:r>
    </w:p>
    <w:p>
      <w:pPr>
        <w:pStyle w:val="TextBody"/>
        <w:bidi w:val="0"/>
        <w:spacing w:before="0" w:after="0"/>
        <w:ind w:left="0" w:right="0" w:hanging="0"/>
        <w:jc w:val="left"/>
        <w:rPr>
          <w:caps w:val="false"/>
          <w:smallCaps w:val="false"/>
        </w:rPr>
      </w:pPr>
      <w:r>
        <w:rPr>
          <w:caps w:val="false"/>
          <w:smallCaps w:val="false"/>
        </w:rPr>
        <w:t> </w:t>
      </w:r>
    </w:p>
    <w:tbl>
      <w:tblPr>
        <w:tblW w:w="10045" w:type="dxa"/>
        <w:jc w:val="left"/>
        <w:tblInd w:w="0" w:type="dxa"/>
        <w:tblLayout w:type="fixed"/>
        <w:tblCellMar>
          <w:top w:w="0" w:type="dxa"/>
          <w:left w:w="0" w:type="dxa"/>
          <w:bottom w:w="0" w:type="dxa"/>
          <w:right w:w="0" w:type="dxa"/>
        </w:tblCellMar>
      </w:tblPr>
      <w:tblGrid>
        <w:gridCol w:w="1010"/>
        <w:gridCol w:w="300"/>
        <w:gridCol w:w="980"/>
        <w:gridCol w:w="300"/>
        <w:gridCol w:w="905"/>
        <w:gridCol w:w="300"/>
        <w:gridCol w:w="680"/>
        <w:gridCol w:w="300"/>
        <w:gridCol w:w="890"/>
        <w:gridCol w:w="300"/>
        <w:gridCol w:w="1145"/>
        <w:gridCol w:w="300"/>
        <w:gridCol w:w="1100"/>
        <w:gridCol w:w="300"/>
        <w:gridCol w:w="1235"/>
      </w:tblGrid>
      <w:tr>
        <w:trPr/>
        <w:tc>
          <w:tcPr>
            <w:tcW w:w="1010"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283"/>
              <w:jc w:val="left"/>
              <w:rPr>
                <w:color w:val="636466"/>
              </w:rPr>
            </w:pPr>
            <w:r>
              <w:rPr>
                <w:color w:val="636466"/>
              </w:rPr>
              <w:t> </w:t>
            </w:r>
          </w:p>
        </w:tc>
        <w:tc>
          <w:tcPr>
            <w:tcW w:w="3075" w:type="dxa"/>
            <w:gridSpan w:val="5"/>
            <w:tcBorders>
              <w:bottom w:val="single" w:sz="12" w:space="0" w:color="C12E33"/>
            </w:tcBorders>
            <w:tcMar>
              <w:bottom w:w="40" w:type="dxa"/>
            </w:tcMar>
            <w:vAlign w:val="center"/>
          </w:tcPr>
          <w:p>
            <w:pPr>
              <w:pStyle w:val="TableContents"/>
              <w:bidi w:val="0"/>
              <w:spacing w:before="0" w:after="283"/>
              <w:jc w:val="center"/>
              <w:rPr>
                <w:color w:val="636466"/>
              </w:rPr>
            </w:pPr>
            <w:r>
              <w:rPr>
                <w:b/>
                <w:color w:val="636466"/>
                <w:sz w:val="15"/>
              </w:rPr>
              <w:t>Estimated Future Payouts under Equity</w:t>
              <w:br/>
              <w:t>Incentive Plan Awards</w:t>
            </w:r>
            <w:r>
              <w:rPr>
                <w:b/>
                <w:color w:val="636466"/>
                <w:position w:val="5"/>
                <w:sz w:val="12"/>
                <w:sz w:val="15"/>
              </w:rPr>
              <w:t>(1)</w:t>
            </w:r>
          </w:p>
        </w:tc>
        <w:tc>
          <w:tcPr>
            <w:tcW w:w="300" w:type="dxa"/>
            <w:tcBorders/>
            <w:vAlign w:val="center"/>
          </w:tcPr>
          <w:p>
            <w:pPr>
              <w:pStyle w:val="TableContents"/>
              <w:bidi w:val="0"/>
              <w:spacing w:before="0" w:after="283"/>
              <w:jc w:val="left"/>
              <w:rPr>
                <w:color w:val="636466"/>
              </w:rPr>
            </w:pPr>
            <w:r>
              <w:rPr>
                <w:color w:val="636466"/>
              </w:rPr>
              <w:t> </w:t>
            </w:r>
          </w:p>
        </w:tc>
        <w:tc>
          <w:tcPr>
            <w:tcW w:w="1145" w:type="dxa"/>
            <w:vMerge w:val="restart"/>
            <w:tcBorders>
              <w:bottom w:val="single" w:sz="12" w:space="0" w:color="C12E33"/>
            </w:tcBorders>
            <w:tcMar>
              <w:bottom w:w="40" w:type="dxa"/>
            </w:tcMar>
            <w:vAlign w:val="center"/>
          </w:tcPr>
          <w:p>
            <w:pPr>
              <w:pStyle w:val="TableContents"/>
              <w:bidi w:val="0"/>
              <w:spacing w:before="0" w:after="283"/>
              <w:jc w:val="right"/>
              <w:rPr>
                <w:b/>
                <w:color w:val="636466"/>
                <w:sz w:val="15"/>
              </w:rPr>
            </w:pPr>
            <w:r>
              <w:rPr>
                <w:b/>
                <w:color w:val="636466"/>
                <w:sz w:val="15"/>
              </w:rPr>
              <w:t>All Other Option</w:t>
              <w:br/>
              <w:t>Awards: Number</w:t>
              <w:br/>
              <w:t>of Securities</w:t>
              <w:br/>
              <w:t xml:space="preserve">Underlying </w:t>
              <w:br/>
              <w:t>Options (#)</w:t>
            </w:r>
            <w:r>
              <w:rPr>
                <w:b/>
                <w:color w:val="636466"/>
                <w:position w:val="5"/>
                <w:sz w:val="12"/>
                <w:sz w:val="15"/>
              </w:rPr>
              <w:t>(2)</w:t>
            </w:r>
          </w:p>
        </w:tc>
        <w:tc>
          <w:tcPr>
            <w:tcW w:w="300" w:type="dxa"/>
            <w:tcBorders/>
            <w:vAlign w:val="center"/>
          </w:tcPr>
          <w:p>
            <w:pPr>
              <w:pStyle w:val="TableContents"/>
              <w:bidi w:val="0"/>
              <w:spacing w:before="0" w:after="283"/>
              <w:jc w:val="left"/>
              <w:rPr/>
            </w:pPr>
            <w:r>
              <w:rPr/>
              <w:t> </w:t>
            </w:r>
          </w:p>
        </w:tc>
        <w:tc>
          <w:tcPr>
            <w:tcW w:w="1100" w:type="dxa"/>
            <w:vMerge w:val="restart"/>
            <w:tcBorders>
              <w:bottom w:val="single" w:sz="12" w:space="0" w:color="C12E33"/>
            </w:tcBorders>
            <w:tcMar>
              <w:bottom w:w="40" w:type="dxa"/>
            </w:tcMar>
            <w:vAlign w:val="center"/>
          </w:tcPr>
          <w:p>
            <w:pPr>
              <w:pStyle w:val="TableContents"/>
              <w:bidi w:val="0"/>
              <w:spacing w:before="0" w:after="283"/>
              <w:jc w:val="right"/>
              <w:rPr/>
            </w:pPr>
            <w:r>
              <w:rPr/>
              <w:t> </w:t>
            </w:r>
            <w:r>
              <w:rPr>
                <w:b/>
                <w:sz w:val="15"/>
              </w:rPr>
              <w:br/>
            </w:r>
            <w:r>
              <w:rPr>
                <w:b/>
                <w:color w:val="636466"/>
                <w:sz w:val="15"/>
              </w:rPr>
              <w:t>Exercise or Base</w:t>
            </w:r>
            <w:r>
              <w:rPr>
                <w:b/>
                <w:sz w:val="15"/>
              </w:rPr>
              <w:br/>
            </w:r>
            <w:r>
              <w:rPr>
                <w:b/>
                <w:color w:val="636466"/>
                <w:sz w:val="15"/>
              </w:rPr>
              <w:t>Price of Option</w:t>
            </w:r>
            <w:r>
              <w:rPr>
                <w:b/>
                <w:sz w:val="15"/>
              </w:rPr>
              <w:br/>
            </w:r>
            <w:r>
              <w:rPr>
                <w:b/>
                <w:color w:val="636466"/>
                <w:sz w:val="15"/>
              </w:rPr>
              <w:t>Awards ($/Sh)</w:t>
            </w:r>
            <w:r>
              <w:rPr>
                <w:b/>
                <w:color w:val="636466"/>
                <w:position w:val="5"/>
                <w:sz w:val="12"/>
                <w:sz w:val="15"/>
              </w:rPr>
              <w:t>(3)</w:t>
            </w:r>
          </w:p>
        </w:tc>
        <w:tc>
          <w:tcPr>
            <w:tcW w:w="300" w:type="dxa"/>
            <w:tcBorders/>
            <w:vAlign w:val="center"/>
          </w:tcPr>
          <w:p>
            <w:pPr>
              <w:pStyle w:val="TableContents"/>
              <w:bidi w:val="0"/>
              <w:spacing w:before="0" w:after="283"/>
              <w:jc w:val="left"/>
              <w:rPr>
                <w:color w:val="636466"/>
              </w:rPr>
            </w:pPr>
            <w:r>
              <w:rPr>
                <w:color w:val="636466"/>
              </w:rPr>
              <w:t> </w:t>
            </w:r>
          </w:p>
        </w:tc>
        <w:tc>
          <w:tcPr>
            <w:tcW w:w="1235" w:type="dxa"/>
            <w:vMerge w:val="restart"/>
            <w:tcBorders>
              <w:bottom w:val="single" w:sz="12" w:space="0" w:color="C12E33"/>
            </w:tcBorders>
            <w:tcMar>
              <w:bottom w:w="40" w:type="dxa"/>
            </w:tcMar>
            <w:vAlign w:val="center"/>
          </w:tcPr>
          <w:p>
            <w:pPr>
              <w:pStyle w:val="TableContents"/>
              <w:bidi w:val="0"/>
              <w:spacing w:before="0" w:after="283"/>
              <w:jc w:val="right"/>
              <w:rPr>
                <w:b/>
                <w:color w:val="636466"/>
                <w:sz w:val="15"/>
              </w:rPr>
            </w:pPr>
            <w:r>
              <w:rPr>
                <w:b/>
                <w:color w:val="636466"/>
                <w:sz w:val="15"/>
              </w:rPr>
              <w:t>Grant Date Fair</w:t>
              <w:br/>
              <w:t>Value of Stock</w:t>
              <w:br/>
              <w:t>and Option</w:t>
              <w:br/>
              <w:t>Awards ($)</w:t>
            </w:r>
            <w:r>
              <w:rPr>
                <w:b/>
                <w:color w:val="636466"/>
                <w:position w:val="5"/>
                <w:sz w:val="12"/>
                <w:sz w:val="15"/>
              </w:rPr>
              <w:t>(4)</w:t>
            </w:r>
          </w:p>
        </w:tc>
      </w:tr>
      <w:tr>
        <w:trPr/>
        <w:tc>
          <w:tcPr>
            <w:tcW w:w="1010" w:type="dxa"/>
            <w:tcBorders>
              <w:bottom w:val="single" w:sz="12" w:space="0" w:color="C12E33"/>
            </w:tcBorders>
            <w:tcMar>
              <w:bottom w:w="40" w:type="dxa"/>
            </w:tcMar>
            <w:vAlign w:val="center"/>
          </w:tcPr>
          <w:p>
            <w:pPr>
              <w:pStyle w:val="TableContents"/>
              <w:bidi w:val="0"/>
              <w:spacing w:before="0" w:after="283"/>
              <w:jc w:val="left"/>
              <w:rPr>
                <w:b/>
                <w:color w:val="636466"/>
                <w:sz w:val="15"/>
              </w:rPr>
            </w:pPr>
            <w:r>
              <w:rPr>
                <w:b/>
                <w:color w:val="636466"/>
                <w:sz w:val="15"/>
              </w:rPr>
              <w:t>Grant Date</w:t>
            </w:r>
          </w:p>
        </w:tc>
        <w:tc>
          <w:tcPr>
            <w:tcW w:w="300" w:type="dxa"/>
            <w:tcBorders>
              <w:bottom w:val="single" w:sz="12" w:space="0" w:color="C12E33"/>
            </w:tcBorders>
            <w:tcMar>
              <w:bottom w:w="40" w:type="dxa"/>
            </w:tcMar>
            <w:vAlign w:val="center"/>
          </w:tcPr>
          <w:p>
            <w:pPr>
              <w:pStyle w:val="TableContents"/>
              <w:bidi w:val="0"/>
              <w:spacing w:before="0" w:after="283"/>
              <w:jc w:val="left"/>
              <w:rPr>
                <w:color w:val="636466"/>
              </w:rPr>
            </w:pPr>
            <w:r>
              <w:rPr>
                <w:color w:val="636466"/>
              </w:rPr>
              <w:t>     </w:t>
            </w:r>
          </w:p>
        </w:tc>
        <w:tc>
          <w:tcPr>
            <w:tcW w:w="980" w:type="dxa"/>
            <w:tcBorders>
              <w:bottom w:val="single" w:sz="12" w:space="0" w:color="C12E33"/>
            </w:tcBorders>
            <w:tcMar>
              <w:bottom w:w="40" w:type="dxa"/>
            </w:tcMar>
            <w:vAlign w:val="center"/>
          </w:tcPr>
          <w:p>
            <w:pPr>
              <w:pStyle w:val="TableContents"/>
              <w:bidi w:val="0"/>
              <w:spacing w:before="0" w:after="283"/>
              <w:jc w:val="right"/>
              <w:rPr>
                <w:b/>
                <w:color w:val="636466"/>
                <w:sz w:val="15"/>
              </w:rPr>
            </w:pPr>
            <w:r>
              <w:rPr>
                <w:b/>
                <w:color w:val="636466"/>
                <w:sz w:val="15"/>
              </w:rPr>
              <w:t>Approval</w:t>
              <w:br/>
              <w:t>Date</w:t>
            </w:r>
          </w:p>
        </w:tc>
        <w:tc>
          <w:tcPr>
            <w:tcW w:w="300" w:type="dxa"/>
            <w:tcBorders>
              <w:bottom w:val="single" w:sz="12" w:space="0" w:color="C12E33"/>
            </w:tcBorders>
            <w:tcMar>
              <w:bottom w:w="40" w:type="dxa"/>
            </w:tcMar>
            <w:vAlign w:val="center"/>
          </w:tcPr>
          <w:p>
            <w:pPr>
              <w:pStyle w:val="TableContents"/>
              <w:bidi w:val="0"/>
              <w:spacing w:before="0" w:after="283"/>
              <w:jc w:val="left"/>
              <w:rPr>
                <w:color w:val="636466"/>
              </w:rPr>
            </w:pPr>
            <w:r>
              <w:rPr>
                <w:color w:val="636466"/>
              </w:rPr>
              <w:t>     </w:t>
            </w:r>
          </w:p>
        </w:tc>
        <w:tc>
          <w:tcPr>
            <w:tcW w:w="905" w:type="dxa"/>
            <w:tcBorders>
              <w:bottom w:val="single" w:sz="12" w:space="0" w:color="C12E33"/>
            </w:tcBorders>
            <w:tcMar>
              <w:bottom w:w="40" w:type="dxa"/>
            </w:tcMar>
            <w:vAlign w:val="center"/>
          </w:tcPr>
          <w:p>
            <w:pPr>
              <w:pStyle w:val="TableContents"/>
              <w:bidi w:val="0"/>
              <w:spacing w:before="0" w:after="283"/>
              <w:jc w:val="right"/>
              <w:rPr>
                <w:b/>
                <w:color w:val="636466"/>
                <w:sz w:val="15"/>
              </w:rPr>
            </w:pPr>
            <w:r>
              <w:rPr>
                <w:b/>
                <w:color w:val="636466"/>
                <w:sz w:val="15"/>
              </w:rPr>
              <w:t>Threshold (#)</w:t>
            </w:r>
          </w:p>
        </w:tc>
        <w:tc>
          <w:tcPr>
            <w:tcW w:w="300" w:type="dxa"/>
            <w:tcBorders>
              <w:bottom w:val="single" w:sz="12" w:space="0" w:color="C12E33"/>
            </w:tcBorders>
            <w:tcMar>
              <w:bottom w:w="40" w:type="dxa"/>
            </w:tcMar>
            <w:vAlign w:val="center"/>
          </w:tcPr>
          <w:p>
            <w:pPr>
              <w:pStyle w:val="TableContents"/>
              <w:bidi w:val="0"/>
              <w:spacing w:before="0" w:after="283"/>
              <w:jc w:val="left"/>
              <w:rPr>
                <w:color w:val="636466"/>
              </w:rPr>
            </w:pPr>
            <w:r>
              <w:rPr>
                <w:color w:val="636466"/>
              </w:rPr>
              <w:t>     </w:t>
            </w:r>
          </w:p>
        </w:tc>
        <w:tc>
          <w:tcPr>
            <w:tcW w:w="680" w:type="dxa"/>
            <w:tcBorders>
              <w:bottom w:val="single" w:sz="12" w:space="0" w:color="C12E33"/>
            </w:tcBorders>
            <w:tcMar>
              <w:bottom w:w="40" w:type="dxa"/>
            </w:tcMar>
            <w:vAlign w:val="center"/>
          </w:tcPr>
          <w:p>
            <w:pPr>
              <w:pStyle w:val="TableContents"/>
              <w:bidi w:val="0"/>
              <w:spacing w:before="0" w:after="283"/>
              <w:jc w:val="right"/>
              <w:rPr>
                <w:b/>
                <w:color w:val="636466"/>
                <w:sz w:val="15"/>
              </w:rPr>
            </w:pPr>
            <w:r>
              <w:rPr>
                <w:b/>
                <w:color w:val="636466"/>
                <w:sz w:val="15"/>
              </w:rPr>
              <w:t>Target (#)</w:t>
            </w:r>
          </w:p>
        </w:tc>
        <w:tc>
          <w:tcPr>
            <w:tcW w:w="300" w:type="dxa"/>
            <w:tcBorders>
              <w:bottom w:val="single" w:sz="12" w:space="0" w:color="C12E33"/>
            </w:tcBorders>
            <w:tcMar>
              <w:bottom w:w="40" w:type="dxa"/>
            </w:tcMar>
            <w:vAlign w:val="center"/>
          </w:tcPr>
          <w:p>
            <w:pPr>
              <w:pStyle w:val="TableContents"/>
              <w:bidi w:val="0"/>
              <w:spacing w:before="0" w:after="283"/>
              <w:jc w:val="left"/>
              <w:rPr>
                <w:color w:val="636466"/>
              </w:rPr>
            </w:pPr>
            <w:r>
              <w:rPr>
                <w:color w:val="636466"/>
              </w:rPr>
              <w:t>     </w:t>
            </w:r>
          </w:p>
        </w:tc>
        <w:tc>
          <w:tcPr>
            <w:tcW w:w="890" w:type="dxa"/>
            <w:tcBorders>
              <w:bottom w:val="single" w:sz="12" w:space="0" w:color="C12E33"/>
            </w:tcBorders>
            <w:tcMar>
              <w:bottom w:w="40" w:type="dxa"/>
            </w:tcMar>
            <w:vAlign w:val="center"/>
          </w:tcPr>
          <w:p>
            <w:pPr>
              <w:pStyle w:val="TableContents"/>
              <w:bidi w:val="0"/>
              <w:spacing w:before="0" w:after="283"/>
              <w:jc w:val="right"/>
              <w:rPr>
                <w:b/>
                <w:color w:val="636466"/>
                <w:sz w:val="15"/>
              </w:rPr>
            </w:pPr>
            <w:r>
              <w:rPr>
                <w:b/>
                <w:color w:val="636466"/>
                <w:sz w:val="15"/>
              </w:rPr>
              <w:t>Maximum (#)</w:t>
            </w:r>
          </w:p>
        </w:tc>
        <w:tc>
          <w:tcPr>
            <w:tcW w:w="300" w:type="dxa"/>
            <w:tcBorders>
              <w:bottom w:val="single" w:sz="12" w:space="0" w:color="C12E33"/>
            </w:tcBorders>
            <w:tcMar>
              <w:bottom w:w="40" w:type="dxa"/>
            </w:tcMar>
            <w:vAlign w:val="center"/>
          </w:tcPr>
          <w:p>
            <w:pPr>
              <w:pStyle w:val="TableContents"/>
              <w:bidi w:val="0"/>
              <w:spacing w:before="0" w:after="283"/>
              <w:jc w:val="left"/>
              <w:rPr>
                <w:color w:val="636466"/>
              </w:rPr>
            </w:pPr>
            <w:r>
              <w:rPr>
                <w:color w:val="636466"/>
              </w:rPr>
              <w:t>     </w:t>
            </w:r>
          </w:p>
        </w:tc>
        <w:tc>
          <w:tcPr>
            <w:tcW w:w="1145" w:type="dxa"/>
            <w:vMerge w:val="continue"/>
            <w:tcBorders>
              <w:bottom w:val="single" w:sz="12" w:space="0" w:color="C12E33"/>
            </w:tcBorders>
            <w:tcMar>
              <w:bottom w:w="40" w:type="dxa"/>
            </w:tcMar>
            <w:vAlign w:val="center"/>
          </w:tcPr>
          <w:p>
            <w:pPr>
              <w:pStyle w:val="Normal"/>
              <w:bidi w:val="0"/>
              <w:jc w:val="left"/>
              <w:rPr/>
            </w:pPr>
            <w:r>
              <w:rPr/>
            </w:r>
          </w:p>
        </w:tc>
        <w:tc>
          <w:tcPr>
            <w:tcW w:w="300" w:type="dxa"/>
            <w:tcBorders>
              <w:bottom w:val="single" w:sz="12" w:space="0" w:color="C12E33"/>
            </w:tcBorders>
            <w:tcMar>
              <w:bottom w:w="40" w:type="dxa"/>
            </w:tcMar>
            <w:vAlign w:val="center"/>
          </w:tcPr>
          <w:p>
            <w:pPr>
              <w:pStyle w:val="TableContents"/>
              <w:bidi w:val="0"/>
              <w:spacing w:before="0" w:after="283"/>
              <w:jc w:val="left"/>
              <w:rPr>
                <w:color w:val="636466"/>
              </w:rPr>
            </w:pPr>
            <w:r>
              <w:rPr>
                <w:color w:val="636466"/>
              </w:rPr>
              <w:t>     </w:t>
            </w:r>
          </w:p>
        </w:tc>
        <w:tc>
          <w:tcPr>
            <w:tcW w:w="1100" w:type="dxa"/>
            <w:vMerge w:val="continue"/>
            <w:tcBorders>
              <w:bottom w:val="single" w:sz="12" w:space="0" w:color="C12E33"/>
            </w:tcBorders>
            <w:tcMar>
              <w:bottom w:w="40" w:type="dxa"/>
            </w:tcMar>
            <w:vAlign w:val="center"/>
          </w:tcPr>
          <w:p>
            <w:pPr>
              <w:pStyle w:val="Normal"/>
              <w:bidi w:val="0"/>
              <w:jc w:val="left"/>
              <w:rPr/>
            </w:pPr>
            <w:r>
              <w:rPr/>
            </w:r>
          </w:p>
        </w:tc>
        <w:tc>
          <w:tcPr>
            <w:tcW w:w="300" w:type="dxa"/>
            <w:tcBorders>
              <w:bottom w:val="single" w:sz="12" w:space="0" w:color="C12E33"/>
            </w:tcBorders>
            <w:tcMar>
              <w:bottom w:w="40" w:type="dxa"/>
            </w:tcMar>
            <w:vAlign w:val="center"/>
          </w:tcPr>
          <w:p>
            <w:pPr>
              <w:pStyle w:val="TableContents"/>
              <w:bidi w:val="0"/>
              <w:spacing w:before="0" w:after="283"/>
              <w:jc w:val="left"/>
              <w:rPr>
                <w:color w:val="636466"/>
              </w:rPr>
            </w:pPr>
            <w:r>
              <w:rPr>
                <w:color w:val="636466"/>
              </w:rPr>
              <w:t>     </w:t>
            </w:r>
          </w:p>
        </w:tc>
        <w:tc>
          <w:tcPr>
            <w:tcW w:w="1235" w:type="dxa"/>
            <w:vMerge w:val="continue"/>
            <w:tcBorders>
              <w:bottom w:val="single" w:sz="12" w:space="0" w:color="C12E33"/>
            </w:tcBorders>
            <w:tcMar>
              <w:bottom w:w="40" w:type="dxa"/>
            </w:tcMar>
            <w:vAlign w:val="center"/>
          </w:tcPr>
          <w:p>
            <w:pPr>
              <w:pStyle w:val="Normal"/>
              <w:bidi w:val="0"/>
              <w:jc w:val="left"/>
              <w:rPr/>
            </w:pPr>
            <w:r>
              <w:rPr/>
            </w:r>
          </w:p>
        </w:tc>
      </w:tr>
      <w:tr>
        <w:trPr/>
        <w:tc>
          <w:tcPr>
            <w:tcW w:w="1010" w:type="dxa"/>
            <w:tcBorders>
              <w:bottom w:val="single" w:sz="12" w:space="0" w:color="C12E33"/>
            </w:tcBorders>
            <w:tcMar>
              <w:bottom w:w="40" w:type="dxa"/>
            </w:tcMar>
            <w:vAlign w:val="center"/>
          </w:tcPr>
          <w:p>
            <w:pPr>
              <w:pStyle w:val="TableContents"/>
              <w:bidi w:val="0"/>
              <w:spacing w:before="0" w:after="283"/>
              <w:jc w:val="left"/>
              <w:rPr>
                <w:b/>
                <w:sz w:val="15"/>
              </w:rPr>
            </w:pPr>
            <w:r>
              <w:rPr>
                <w:b/>
                <w:sz w:val="15"/>
              </w:rPr>
              <w:t>C. Calio</w:t>
            </w:r>
          </w:p>
        </w:tc>
        <w:tc>
          <w:tcPr>
            <w:tcW w:w="300" w:type="dxa"/>
            <w:tcBorders>
              <w:bottom w:val="single" w:sz="12" w:space="0" w:color="C12E33"/>
            </w:tcBorders>
            <w:tcMar>
              <w:bottom w:w="40" w:type="dxa"/>
            </w:tcMar>
            <w:vAlign w:val="center"/>
          </w:tcPr>
          <w:p>
            <w:pPr>
              <w:pStyle w:val="TableContents"/>
              <w:bidi w:val="0"/>
              <w:spacing w:before="0" w:after="283"/>
              <w:jc w:val="left"/>
              <w:rPr/>
            </w:pPr>
            <w:r>
              <w:rPr/>
              <w:t> </w:t>
            </w:r>
          </w:p>
        </w:tc>
        <w:tc>
          <w:tcPr>
            <w:tcW w:w="980" w:type="dxa"/>
            <w:tcBorders>
              <w:bottom w:val="single" w:sz="12" w:space="0" w:color="C12E33"/>
            </w:tcBorders>
            <w:tcMar>
              <w:bottom w:w="40" w:type="dxa"/>
            </w:tcMar>
            <w:vAlign w:val="center"/>
          </w:tcPr>
          <w:p>
            <w:pPr>
              <w:pStyle w:val="TableContents"/>
              <w:bidi w:val="0"/>
              <w:spacing w:before="0" w:after="283"/>
              <w:jc w:val="left"/>
              <w:rPr/>
            </w:pPr>
            <w:r>
              <w:rPr/>
              <w:t> </w:t>
            </w:r>
          </w:p>
        </w:tc>
        <w:tc>
          <w:tcPr>
            <w:tcW w:w="300" w:type="dxa"/>
            <w:tcBorders>
              <w:bottom w:val="single" w:sz="12" w:space="0" w:color="C12E33"/>
            </w:tcBorders>
            <w:tcMar>
              <w:bottom w:w="40" w:type="dxa"/>
            </w:tcMar>
            <w:vAlign w:val="center"/>
          </w:tcPr>
          <w:p>
            <w:pPr>
              <w:pStyle w:val="TableContents"/>
              <w:bidi w:val="0"/>
              <w:spacing w:before="0" w:after="283"/>
              <w:jc w:val="left"/>
              <w:rPr/>
            </w:pPr>
            <w:r>
              <w:rPr/>
              <w:t> </w:t>
            </w:r>
          </w:p>
        </w:tc>
        <w:tc>
          <w:tcPr>
            <w:tcW w:w="905" w:type="dxa"/>
            <w:tcBorders>
              <w:bottom w:val="single" w:sz="12" w:space="0" w:color="C12E33"/>
            </w:tcBorders>
            <w:tcMar>
              <w:bottom w:w="40" w:type="dxa"/>
            </w:tcMar>
            <w:vAlign w:val="center"/>
          </w:tcPr>
          <w:p>
            <w:pPr>
              <w:pStyle w:val="TableContents"/>
              <w:bidi w:val="0"/>
              <w:spacing w:before="0" w:after="283"/>
              <w:jc w:val="left"/>
              <w:rPr/>
            </w:pPr>
            <w:r>
              <w:rPr/>
              <w:t> </w:t>
            </w:r>
          </w:p>
        </w:tc>
        <w:tc>
          <w:tcPr>
            <w:tcW w:w="300" w:type="dxa"/>
            <w:tcBorders>
              <w:bottom w:val="single" w:sz="12" w:space="0" w:color="C12E33"/>
            </w:tcBorders>
            <w:tcMar>
              <w:bottom w:w="40" w:type="dxa"/>
            </w:tcMar>
            <w:vAlign w:val="center"/>
          </w:tcPr>
          <w:p>
            <w:pPr>
              <w:pStyle w:val="TableContents"/>
              <w:bidi w:val="0"/>
              <w:spacing w:before="0" w:after="283"/>
              <w:jc w:val="left"/>
              <w:rPr/>
            </w:pPr>
            <w:r>
              <w:rPr/>
              <w:t> </w:t>
            </w:r>
          </w:p>
        </w:tc>
        <w:tc>
          <w:tcPr>
            <w:tcW w:w="680" w:type="dxa"/>
            <w:tcBorders>
              <w:bottom w:val="single" w:sz="12" w:space="0" w:color="C12E33"/>
            </w:tcBorders>
            <w:tcMar>
              <w:bottom w:w="40" w:type="dxa"/>
            </w:tcMar>
            <w:vAlign w:val="center"/>
          </w:tcPr>
          <w:p>
            <w:pPr>
              <w:pStyle w:val="TableContents"/>
              <w:bidi w:val="0"/>
              <w:spacing w:before="0" w:after="283"/>
              <w:jc w:val="left"/>
              <w:rPr/>
            </w:pPr>
            <w:r>
              <w:rPr/>
              <w:t> </w:t>
            </w:r>
          </w:p>
        </w:tc>
        <w:tc>
          <w:tcPr>
            <w:tcW w:w="300" w:type="dxa"/>
            <w:tcBorders>
              <w:bottom w:val="single" w:sz="12" w:space="0" w:color="C12E33"/>
            </w:tcBorders>
            <w:tcMar>
              <w:bottom w:w="40" w:type="dxa"/>
            </w:tcMar>
            <w:vAlign w:val="center"/>
          </w:tcPr>
          <w:p>
            <w:pPr>
              <w:pStyle w:val="TableContents"/>
              <w:bidi w:val="0"/>
              <w:spacing w:before="0" w:after="283"/>
              <w:jc w:val="left"/>
              <w:rPr/>
            </w:pPr>
            <w:r>
              <w:rPr/>
              <w:t> </w:t>
            </w:r>
          </w:p>
        </w:tc>
        <w:tc>
          <w:tcPr>
            <w:tcW w:w="890" w:type="dxa"/>
            <w:tcBorders>
              <w:bottom w:val="single" w:sz="12" w:space="0" w:color="C12E33"/>
            </w:tcBorders>
            <w:tcMar>
              <w:bottom w:w="40" w:type="dxa"/>
            </w:tcMar>
            <w:vAlign w:val="center"/>
          </w:tcPr>
          <w:p>
            <w:pPr>
              <w:pStyle w:val="TableContents"/>
              <w:bidi w:val="0"/>
              <w:spacing w:before="0" w:after="283"/>
              <w:jc w:val="left"/>
              <w:rPr/>
            </w:pPr>
            <w:r>
              <w:rPr/>
              <w:t> </w:t>
            </w:r>
          </w:p>
        </w:tc>
        <w:tc>
          <w:tcPr>
            <w:tcW w:w="300" w:type="dxa"/>
            <w:tcBorders>
              <w:bottom w:val="single" w:sz="12" w:space="0" w:color="C12E33"/>
            </w:tcBorders>
            <w:tcMar>
              <w:bottom w:w="40" w:type="dxa"/>
            </w:tcMar>
            <w:vAlign w:val="center"/>
          </w:tcPr>
          <w:p>
            <w:pPr>
              <w:pStyle w:val="TableContents"/>
              <w:bidi w:val="0"/>
              <w:spacing w:before="0" w:after="283"/>
              <w:jc w:val="left"/>
              <w:rPr/>
            </w:pPr>
            <w:r>
              <w:rPr/>
              <w:t> </w:t>
            </w:r>
          </w:p>
        </w:tc>
        <w:tc>
          <w:tcPr>
            <w:tcW w:w="1145" w:type="dxa"/>
            <w:tcBorders>
              <w:bottom w:val="single" w:sz="12" w:space="0" w:color="C12E33"/>
            </w:tcBorders>
            <w:tcMar>
              <w:bottom w:w="40" w:type="dxa"/>
            </w:tcMar>
            <w:vAlign w:val="center"/>
          </w:tcPr>
          <w:p>
            <w:pPr>
              <w:pStyle w:val="TableContents"/>
              <w:bidi w:val="0"/>
              <w:spacing w:before="0" w:after="283"/>
              <w:jc w:val="left"/>
              <w:rPr/>
            </w:pPr>
            <w:r>
              <w:rPr/>
              <w:t> </w:t>
            </w:r>
          </w:p>
        </w:tc>
        <w:tc>
          <w:tcPr>
            <w:tcW w:w="300" w:type="dxa"/>
            <w:tcBorders>
              <w:bottom w:val="single" w:sz="12" w:space="0" w:color="C12E33"/>
            </w:tcBorders>
            <w:tcMar>
              <w:bottom w:w="40" w:type="dxa"/>
            </w:tcMar>
            <w:vAlign w:val="center"/>
          </w:tcPr>
          <w:p>
            <w:pPr>
              <w:pStyle w:val="TableContents"/>
              <w:bidi w:val="0"/>
              <w:spacing w:before="0" w:after="283"/>
              <w:jc w:val="left"/>
              <w:rPr/>
            </w:pPr>
            <w:r>
              <w:rPr/>
              <w:t> </w:t>
            </w:r>
          </w:p>
        </w:tc>
        <w:tc>
          <w:tcPr>
            <w:tcW w:w="1100" w:type="dxa"/>
            <w:tcBorders>
              <w:bottom w:val="single" w:sz="12" w:space="0" w:color="C12E33"/>
            </w:tcBorders>
            <w:tcMar>
              <w:bottom w:w="40" w:type="dxa"/>
            </w:tcMar>
            <w:vAlign w:val="center"/>
          </w:tcPr>
          <w:p>
            <w:pPr>
              <w:pStyle w:val="TableContents"/>
              <w:bidi w:val="0"/>
              <w:spacing w:before="0" w:after="283"/>
              <w:jc w:val="left"/>
              <w:rPr/>
            </w:pPr>
            <w:r>
              <w:rPr/>
              <w:t> </w:t>
            </w:r>
          </w:p>
        </w:tc>
        <w:tc>
          <w:tcPr>
            <w:tcW w:w="300" w:type="dxa"/>
            <w:tcBorders>
              <w:bottom w:val="single" w:sz="12" w:space="0" w:color="C12E33"/>
            </w:tcBorders>
            <w:tcMar>
              <w:bottom w:w="40" w:type="dxa"/>
            </w:tcMar>
            <w:vAlign w:val="center"/>
          </w:tcPr>
          <w:p>
            <w:pPr>
              <w:pStyle w:val="TableContents"/>
              <w:bidi w:val="0"/>
              <w:spacing w:before="0" w:after="283"/>
              <w:jc w:val="left"/>
              <w:rPr/>
            </w:pPr>
            <w:r>
              <w:rPr/>
              <w:t> </w:t>
            </w:r>
          </w:p>
        </w:tc>
        <w:tc>
          <w:tcPr>
            <w:tcW w:w="1235" w:type="dxa"/>
            <w:tcBorders>
              <w:bottom w:val="single" w:sz="12" w:space="0" w:color="C12E33"/>
            </w:tcBorders>
            <w:tcMar>
              <w:bottom w:w="40" w:type="dxa"/>
            </w:tcMar>
            <w:vAlign w:val="center"/>
          </w:tcPr>
          <w:p>
            <w:pPr>
              <w:pStyle w:val="TableContents"/>
              <w:bidi w:val="0"/>
              <w:spacing w:before="0" w:after="283"/>
              <w:jc w:val="left"/>
              <w:rPr/>
            </w:pPr>
            <w:r>
              <w:rPr/>
              <w:t> </w:t>
            </w:r>
          </w:p>
        </w:tc>
      </w:tr>
      <w:tr>
        <w:trPr/>
        <w:tc>
          <w:tcPr>
            <w:tcW w:w="1010" w:type="dxa"/>
            <w:tcBorders>
              <w:bottom w:val="single" w:sz="2" w:space="0" w:color="000000"/>
            </w:tcBorders>
            <w:tcMar>
              <w:bottom w:w="40" w:type="dxa"/>
            </w:tcMar>
            <w:vAlign w:val="center"/>
          </w:tcPr>
          <w:p>
            <w:pPr>
              <w:pStyle w:val="TableContents"/>
              <w:bidi w:val="0"/>
              <w:spacing w:before="0" w:after="283"/>
              <w:jc w:val="left"/>
              <w:rPr/>
            </w:pPr>
            <w:r>
              <w:rPr/>
              <w:t>2/6/2025</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980" w:type="dxa"/>
            <w:tcBorders>
              <w:bottom w:val="single" w:sz="2" w:space="0" w:color="000000"/>
            </w:tcBorders>
            <w:tcMar>
              <w:bottom w:w="40" w:type="dxa"/>
            </w:tcMar>
            <w:vAlign w:val="center"/>
          </w:tcPr>
          <w:p>
            <w:pPr>
              <w:pStyle w:val="TableContents"/>
              <w:bidi w:val="0"/>
              <w:spacing w:before="0" w:after="283"/>
              <w:jc w:val="right"/>
              <w:rPr/>
            </w:pPr>
            <w:r>
              <w:rPr/>
              <w:t>1/31/2025</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905" w:type="dxa"/>
            <w:tcBorders>
              <w:bottom w:val="single" w:sz="2" w:space="0" w:color="000000"/>
            </w:tcBorders>
            <w:tcMar>
              <w:bottom w:w="40" w:type="dxa"/>
            </w:tcMar>
            <w:vAlign w:val="center"/>
          </w:tcPr>
          <w:p>
            <w:pPr>
              <w:pStyle w:val="TableContents"/>
              <w:bidi w:val="0"/>
              <w:spacing w:before="0" w:after="283"/>
              <w:jc w:val="right"/>
              <w:rPr/>
            </w:pPr>
            <w:r>
              <w:rPr/>
              <w:t>2,997</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680" w:type="dxa"/>
            <w:tcBorders>
              <w:bottom w:val="single" w:sz="2" w:space="0" w:color="000000"/>
            </w:tcBorders>
            <w:tcMar>
              <w:bottom w:w="40" w:type="dxa"/>
            </w:tcMar>
            <w:vAlign w:val="center"/>
          </w:tcPr>
          <w:p>
            <w:pPr>
              <w:pStyle w:val="TableContents"/>
              <w:bidi w:val="0"/>
              <w:spacing w:before="0" w:after="283"/>
              <w:jc w:val="right"/>
              <w:rPr/>
            </w:pPr>
            <w:r>
              <w:rPr/>
              <w:t>79,910</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890" w:type="dxa"/>
            <w:tcBorders>
              <w:bottom w:val="single" w:sz="2" w:space="0" w:color="000000"/>
            </w:tcBorders>
            <w:tcMar>
              <w:bottom w:w="40" w:type="dxa"/>
            </w:tcMar>
            <w:vAlign w:val="center"/>
          </w:tcPr>
          <w:p>
            <w:pPr>
              <w:pStyle w:val="TableContents"/>
              <w:bidi w:val="0"/>
              <w:spacing w:before="0" w:after="283"/>
              <w:jc w:val="right"/>
              <w:rPr/>
            </w:pPr>
            <w:r>
              <w:rPr/>
              <w:t>159,820</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1145" w:type="dxa"/>
            <w:tcBorders>
              <w:bottom w:val="single" w:sz="2" w:space="0" w:color="000000"/>
            </w:tcBorders>
            <w:tcMar>
              <w:bottom w:w="40" w:type="dxa"/>
            </w:tcMar>
            <w:vAlign w:val="center"/>
          </w:tcPr>
          <w:p>
            <w:pPr>
              <w:pStyle w:val="TableContents"/>
              <w:bidi w:val="0"/>
              <w:spacing w:before="0" w:after="283"/>
              <w:jc w:val="right"/>
              <w:rPr/>
            </w:pPr>
            <w:r>
              <w:rPr/>
              <w:t>–</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1100" w:type="dxa"/>
            <w:tcBorders>
              <w:bottom w:val="single" w:sz="2" w:space="0" w:color="000000"/>
            </w:tcBorders>
            <w:tcMar>
              <w:bottom w:w="40" w:type="dxa"/>
            </w:tcMar>
            <w:vAlign w:val="center"/>
          </w:tcPr>
          <w:p>
            <w:pPr>
              <w:pStyle w:val="TableContents"/>
              <w:bidi w:val="0"/>
              <w:spacing w:before="0" w:after="283"/>
              <w:jc w:val="right"/>
              <w:rPr/>
            </w:pPr>
            <w:r>
              <w:rPr/>
              <w:t>–</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1235" w:type="dxa"/>
            <w:tcBorders>
              <w:bottom w:val="single" w:sz="2" w:space="0" w:color="000000"/>
            </w:tcBorders>
            <w:shd w:fill="EDEDEE" w:val="clear"/>
            <w:tcMar>
              <w:bottom w:w="40" w:type="dxa"/>
            </w:tcMar>
            <w:vAlign w:val="center"/>
          </w:tcPr>
          <w:p>
            <w:pPr>
              <w:pStyle w:val="TableContents"/>
              <w:bidi w:val="0"/>
              <w:spacing w:before="0" w:after="283"/>
              <w:jc w:val="right"/>
              <w:rPr/>
            </w:pPr>
            <w:r>
              <w:rPr/>
              <w:t>$10,875,391</w:t>
            </w:r>
          </w:p>
        </w:tc>
      </w:tr>
      <w:tr>
        <w:trPr/>
        <w:tc>
          <w:tcPr>
            <w:tcW w:w="1010" w:type="dxa"/>
            <w:tcBorders>
              <w:bottom w:val="single" w:sz="12" w:space="0" w:color="636466"/>
            </w:tcBorders>
            <w:tcMar>
              <w:bottom w:w="40" w:type="dxa"/>
            </w:tcMar>
            <w:vAlign w:val="center"/>
          </w:tcPr>
          <w:p>
            <w:pPr>
              <w:pStyle w:val="TableContents"/>
              <w:bidi w:val="0"/>
              <w:spacing w:before="0" w:after="283"/>
              <w:jc w:val="left"/>
              <w:rPr/>
            </w:pPr>
            <w:r>
              <w:rPr/>
              <w:t>2/6/2025</w:t>
            </w:r>
          </w:p>
        </w:tc>
        <w:tc>
          <w:tcPr>
            <w:tcW w:w="300" w:type="dxa"/>
            <w:tcBorders>
              <w:bottom w:val="single" w:sz="12" w:space="0" w:color="636466"/>
            </w:tcBorders>
            <w:tcMar>
              <w:bottom w:w="40" w:type="dxa"/>
            </w:tcMar>
            <w:vAlign w:val="center"/>
          </w:tcPr>
          <w:p>
            <w:pPr>
              <w:pStyle w:val="TableContents"/>
              <w:bidi w:val="0"/>
              <w:spacing w:before="0" w:after="283"/>
              <w:jc w:val="left"/>
              <w:rPr/>
            </w:pPr>
            <w:r>
              <w:rPr/>
              <w:t> </w:t>
            </w:r>
          </w:p>
        </w:tc>
        <w:tc>
          <w:tcPr>
            <w:tcW w:w="980" w:type="dxa"/>
            <w:tcBorders>
              <w:bottom w:val="single" w:sz="12" w:space="0" w:color="636466"/>
            </w:tcBorders>
            <w:tcMar>
              <w:bottom w:w="40" w:type="dxa"/>
            </w:tcMar>
            <w:vAlign w:val="center"/>
          </w:tcPr>
          <w:p>
            <w:pPr>
              <w:pStyle w:val="TableContents"/>
              <w:bidi w:val="0"/>
              <w:spacing w:before="0" w:after="283"/>
              <w:jc w:val="right"/>
              <w:rPr/>
            </w:pPr>
            <w:r>
              <w:rPr/>
              <w:t>1/31/2025</w:t>
            </w:r>
          </w:p>
        </w:tc>
        <w:tc>
          <w:tcPr>
            <w:tcW w:w="300" w:type="dxa"/>
            <w:tcBorders>
              <w:bottom w:val="single" w:sz="12" w:space="0" w:color="636466"/>
            </w:tcBorders>
            <w:tcMar>
              <w:bottom w:w="40" w:type="dxa"/>
            </w:tcMar>
            <w:vAlign w:val="center"/>
          </w:tcPr>
          <w:p>
            <w:pPr>
              <w:pStyle w:val="TableContents"/>
              <w:bidi w:val="0"/>
              <w:spacing w:before="0" w:after="283"/>
              <w:jc w:val="left"/>
              <w:rPr/>
            </w:pPr>
            <w:r>
              <w:rPr/>
              <w:t> </w:t>
            </w:r>
          </w:p>
        </w:tc>
        <w:tc>
          <w:tcPr>
            <w:tcW w:w="905" w:type="dxa"/>
            <w:tcBorders>
              <w:bottom w:val="single" w:sz="12" w:space="0" w:color="636466"/>
            </w:tcBorders>
            <w:tcMar>
              <w:bottom w:w="40" w:type="dxa"/>
            </w:tcMar>
            <w:vAlign w:val="center"/>
          </w:tcPr>
          <w:p>
            <w:pPr>
              <w:pStyle w:val="TableContents"/>
              <w:bidi w:val="0"/>
              <w:spacing w:before="0" w:after="283"/>
              <w:jc w:val="right"/>
              <w:rPr/>
            </w:pPr>
            <w:r>
              <w:rPr/>
              <w:t>–</w:t>
            </w:r>
          </w:p>
        </w:tc>
        <w:tc>
          <w:tcPr>
            <w:tcW w:w="300" w:type="dxa"/>
            <w:tcBorders>
              <w:bottom w:val="single" w:sz="12" w:space="0" w:color="636466"/>
            </w:tcBorders>
            <w:tcMar>
              <w:bottom w:w="40" w:type="dxa"/>
            </w:tcMar>
            <w:vAlign w:val="center"/>
          </w:tcPr>
          <w:p>
            <w:pPr>
              <w:pStyle w:val="TableContents"/>
              <w:bidi w:val="0"/>
              <w:spacing w:before="0" w:after="283"/>
              <w:jc w:val="left"/>
              <w:rPr/>
            </w:pPr>
            <w:r>
              <w:rPr/>
              <w:t> </w:t>
            </w:r>
          </w:p>
        </w:tc>
        <w:tc>
          <w:tcPr>
            <w:tcW w:w="680" w:type="dxa"/>
            <w:tcBorders>
              <w:bottom w:val="single" w:sz="12" w:space="0" w:color="636466"/>
            </w:tcBorders>
            <w:tcMar>
              <w:bottom w:w="40" w:type="dxa"/>
            </w:tcMar>
            <w:vAlign w:val="center"/>
          </w:tcPr>
          <w:p>
            <w:pPr>
              <w:pStyle w:val="TableContents"/>
              <w:bidi w:val="0"/>
              <w:spacing w:before="0" w:after="283"/>
              <w:jc w:val="right"/>
              <w:rPr/>
            </w:pPr>
            <w:r>
              <w:rPr/>
              <w:t>–</w:t>
            </w:r>
          </w:p>
        </w:tc>
        <w:tc>
          <w:tcPr>
            <w:tcW w:w="300" w:type="dxa"/>
            <w:tcBorders>
              <w:bottom w:val="single" w:sz="12" w:space="0" w:color="636466"/>
            </w:tcBorders>
            <w:tcMar>
              <w:bottom w:w="40" w:type="dxa"/>
            </w:tcMar>
            <w:vAlign w:val="center"/>
          </w:tcPr>
          <w:p>
            <w:pPr>
              <w:pStyle w:val="TableContents"/>
              <w:bidi w:val="0"/>
              <w:spacing w:before="0" w:after="283"/>
              <w:jc w:val="left"/>
              <w:rPr/>
            </w:pPr>
            <w:r>
              <w:rPr/>
              <w:t> </w:t>
            </w:r>
          </w:p>
        </w:tc>
        <w:tc>
          <w:tcPr>
            <w:tcW w:w="890" w:type="dxa"/>
            <w:tcBorders>
              <w:bottom w:val="single" w:sz="12" w:space="0" w:color="636466"/>
            </w:tcBorders>
            <w:tcMar>
              <w:bottom w:w="40" w:type="dxa"/>
            </w:tcMar>
            <w:vAlign w:val="center"/>
          </w:tcPr>
          <w:p>
            <w:pPr>
              <w:pStyle w:val="TableContents"/>
              <w:bidi w:val="0"/>
              <w:spacing w:before="0" w:after="283"/>
              <w:jc w:val="right"/>
              <w:rPr/>
            </w:pPr>
            <w:r>
              <w:rPr/>
              <w:t>–</w:t>
            </w:r>
          </w:p>
        </w:tc>
        <w:tc>
          <w:tcPr>
            <w:tcW w:w="300" w:type="dxa"/>
            <w:tcBorders>
              <w:bottom w:val="single" w:sz="12" w:space="0" w:color="636466"/>
            </w:tcBorders>
            <w:tcMar>
              <w:bottom w:w="40" w:type="dxa"/>
            </w:tcMar>
            <w:vAlign w:val="center"/>
          </w:tcPr>
          <w:p>
            <w:pPr>
              <w:pStyle w:val="TableContents"/>
              <w:bidi w:val="0"/>
              <w:spacing w:before="0" w:after="283"/>
              <w:jc w:val="left"/>
              <w:rPr/>
            </w:pPr>
            <w:r>
              <w:rPr/>
              <w:t> </w:t>
            </w:r>
          </w:p>
        </w:tc>
        <w:tc>
          <w:tcPr>
            <w:tcW w:w="1145" w:type="dxa"/>
            <w:tcBorders>
              <w:bottom w:val="single" w:sz="12" w:space="0" w:color="636466"/>
            </w:tcBorders>
            <w:tcMar>
              <w:bottom w:w="40" w:type="dxa"/>
            </w:tcMar>
            <w:vAlign w:val="center"/>
          </w:tcPr>
          <w:p>
            <w:pPr>
              <w:pStyle w:val="TableContents"/>
              <w:bidi w:val="0"/>
              <w:spacing w:before="0" w:after="283"/>
              <w:jc w:val="right"/>
              <w:rPr/>
            </w:pPr>
            <w:r>
              <w:rPr/>
              <w:t>185,700</w:t>
            </w:r>
          </w:p>
        </w:tc>
        <w:tc>
          <w:tcPr>
            <w:tcW w:w="300" w:type="dxa"/>
            <w:tcBorders>
              <w:bottom w:val="single" w:sz="12" w:space="0" w:color="636466"/>
            </w:tcBorders>
            <w:tcMar>
              <w:bottom w:w="40" w:type="dxa"/>
            </w:tcMar>
            <w:vAlign w:val="center"/>
          </w:tcPr>
          <w:p>
            <w:pPr>
              <w:pStyle w:val="TableContents"/>
              <w:bidi w:val="0"/>
              <w:spacing w:before="0" w:after="283"/>
              <w:jc w:val="left"/>
              <w:rPr/>
            </w:pPr>
            <w:r>
              <w:rPr/>
              <w:t> </w:t>
            </w:r>
          </w:p>
        </w:tc>
        <w:tc>
          <w:tcPr>
            <w:tcW w:w="1100" w:type="dxa"/>
            <w:tcBorders>
              <w:bottom w:val="single" w:sz="12" w:space="0" w:color="636466"/>
            </w:tcBorders>
            <w:tcMar>
              <w:bottom w:w="40" w:type="dxa"/>
            </w:tcMar>
            <w:vAlign w:val="center"/>
          </w:tcPr>
          <w:p>
            <w:pPr>
              <w:pStyle w:val="TableContents"/>
              <w:bidi w:val="0"/>
              <w:spacing w:before="0" w:after="283"/>
              <w:jc w:val="right"/>
              <w:rPr/>
            </w:pPr>
            <w:r>
              <w:rPr/>
              <w:t>$128.78</w:t>
            </w:r>
          </w:p>
        </w:tc>
        <w:tc>
          <w:tcPr>
            <w:tcW w:w="300" w:type="dxa"/>
            <w:tcBorders>
              <w:bottom w:val="single" w:sz="12" w:space="0" w:color="636466"/>
            </w:tcBorders>
            <w:tcMar>
              <w:bottom w:w="40" w:type="dxa"/>
            </w:tcMar>
            <w:vAlign w:val="center"/>
          </w:tcPr>
          <w:p>
            <w:pPr>
              <w:pStyle w:val="TableContents"/>
              <w:bidi w:val="0"/>
              <w:spacing w:before="0" w:after="283"/>
              <w:jc w:val="left"/>
              <w:rPr/>
            </w:pPr>
            <w:r>
              <w:rPr/>
              <w:t> </w:t>
            </w:r>
          </w:p>
        </w:tc>
        <w:tc>
          <w:tcPr>
            <w:tcW w:w="1235" w:type="dxa"/>
            <w:tcBorders>
              <w:bottom w:val="single" w:sz="12" w:space="0" w:color="636466"/>
            </w:tcBorders>
            <w:shd w:fill="EDEDEE" w:val="clear"/>
            <w:tcMar>
              <w:bottom w:w="40" w:type="dxa"/>
            </w:tcMar>
            <w:vAlign w:val="center"/>
          </w:tcPr>
          <w:p>
            <w:pPr>
              <w:pStyle w:val="TableContents"/>
              <w:bidi w:val="0"/>
              <w:spacing w:before="0" w:after="283"/>
              <w:jc w:val="right"/>
              <w:rPr/>
            </w:pPr>
            <w:r>
              <w:rPr/>
              <w:t>$6,753,909</w:t>
            </w:r>
          </w:p>
        </w:tc>
      </w:tr>
      <w:tr>
        <w:trPr/>
        <w:tc>
          <w:tcPr>
            <w:tcW w:w="1010" w:type="dxa"/>
            <w:tcBorders>
              <w:bottom w:val="single" w:sz="12" w:space="0" w:color="C12E33"/>
            </w:tcBorders>
            <w:tcMar>
              <w:bottom w:w="40" w:type="dxa"/>
            </w:tcMar>
            <w:vAlign w:val="center"/>
          </w:tcPr>
          <w:p>
            <w:pPr>
              <w:pStyle w:val="TableContents"/>
              <w:bidi w:val="0"/>
              <w:spacing w:before="0" w:after="283"/>
              <w:jc w:val="left"/>
              <w:rPr>
                <w:b/>
                <w:sz w:val="15"/>
              </w:rPr>
            </w:pPr>
            <w:r>
              <w:rPr>
                <w:b/>
                <w:sz w:val="15"/>
              </w:rPr>
              <w:t>N. Mitchill, Jr.</w:t>
            </w:r>
          </w:p>
        </w:tc>
        <w:tc>
          <w:tcPr>
            <w:tcW w:w="300" w:type="dxa"/>
            <w:tcBorders>
              <w:bottom w:val="single" w:sz="12" w:space="0" w:color="C12E33"/>
            </w:tcBorders>
            <w:tcMar>
              <w:bottom w:w="40" w:type="dxa"/>
            </w:tcMar>
            <w:vAlign w:val="center"/>
          </w:tcPr>
          <w:p>
            <w:pPr>
              <w:pStyle w:val="TableContents"/>
              <w:bidi w:val="0"/>
              <w:spacing w:before="0" w:after="283"/>
              <w:jc w:val="left"/>
              <w:rPr/>
            </w:pPr>
            <w:r>
              <w:rPr/>
              <w:t> </w:t>
            </w:r>
          </w:p>
        </w:tc>
        <w:tc>
          <w:tcPr>
            <w:tcW w:w="980" w:type="dxa"/>
            <w:tcBorders>
              <w:bottom w:val="single" w:sz="12" w:space="0" w:color="C12E33"/>
            </w:tcBorders>
            <w:tcMar>
              <w:bottom w:w="40" w:type="dxa"/>
            </w:tcMar>
            <w:vAlign w:val="center"/>
          </w:tcPr>
          <w:p>
            <w:pPr>
              <w:pStyle w:val="TableContents"/>
              <w:bidi w:val="0"/>
              <w:spacing w:before="0" w:after="283"/>
              <w:jc w:val="left"/>
              <w:rPr/>
            </w:pPr>
            <w:r>
              <w:rPr/>
              <w:t> </w:t>
            </w:r>
          </w:p>
        </w:tc>
        <w:tc>
          <w:tcPr>
            <w:tcW w:w="300" w:type="dxa"/>
            <w:tcBorders>
              <w:bottom w:val="single" w:sz="12" w:space="0" w:color="C12E33"/>
            </w:tcBorders>
            <w:tcMar>
              <w:bottom w:w="40" w:type="dxa"/>
            </w:tcMar>
            <w:vAlign w:val="center"/>
          </w:tcPr>
          <w:p>
            <w:pPr>
              <w:pStyle w:val="TableContents"/>
              <w:bidi w:val="0"/>
              <w:spacing w:before="0" w:after="283"/>
              <w:jc w:val="left"/>
              <w:rPr/>
            </w:pPr>
            <w:r>
              <w:rPr/>
              <w:t> </w:t>
            </w:r>
          </w:p>
        </w:tc>
        <w:tc>
          <w:tcPr>
            <w:tcW w:w="905" w:type="dxa"/>
            <w:tcBorders>
              <w:bottom w:val="single" w:sz="12" w:space="0" w:color="C12E33"/>
            </w:tcBorders>
            <w:tcMar>
              <w:bottom w:w="40" w:type="dxa"/>
            </w:tcMar>
            <w:vAlign w:val="center"/>
          </w:tcPr>
          <w:p>
            <w:pPr>
              <w:pStyle w:val="TableContents"/>
              <w:bidi w:val="0"/>
              <w:spacing w:before="0" w:after="283"/>
              <w:jc w:val="left"/>
              <w:rPr/>
            </w:pPr>
            <w:r>
              <w:rPr/>
              <w:t> </w:t>
            </w:r>
          </w:p>
        </w:tc>
        <w:tc>
          <w:tcPr>
            <w:tcW w:w="300" w:type="dxa"/>
            <w:tcBorders>
              <w:bottom w:val="single" w:sz="12" w:space="0" w:color="C12E33"/>
            </w:tcBorders>
            <w:tcMar>
              <w:bottom w:w="40" w:type="dxa"/>
            </w:tcMar>
            <w:vAlign w:val="center"/>
          </w:tcPr>
          <w:p>
            <w:pPr>
              <w:pStyle w:val="TableContents"/>
              <w:bidi w:val="0"/>
              <w:spacing w:before="0" w:after="283"/>
              <w:jc w:val="left"/>
              <w:rPr/>
            </w:pPr>
            <w:r>
              <w:rPr/>
              <w:t> </w:t>
            </w:r>
          </w:p>
        </w:tc>
        <w:tc>
          <w:tcPr>
            <w:tcW w:w="680" w:type="dxa"/>
            <w:tcBorders>
              <w:bottom w:val="single" w:sz="12" w:space="0" w:color="C12E33"/>
            </w:tcBorders>
            <w:tcMar>
              <w:bottom w:w="40" w:type="dxa"/>
            </w:tcMar>
            <w:vAlign w:val="center"/>
          </w:tcPr>
          <w:p>
            <w:pPr>
              <w:pStyle w:val="TableContents"/>
              <w:bidi w:val="0"/>
              <w:spacing w:before="0" w:after="283"/>
              <w:jc w:val="left"/>
              <w:rPr/>
            </w:pPr>
            <w:r>
              <w:rPr/>
              <w:t> </w:t>
            </w:r>
          </w:p>
        </w:tc>
        <w:tc>
          <w:tcPr>
            <w:tcW w:w="300" w:type="dxa"/>
            <w:tcBorders>
              <w:bottom w:val="single" w:sz="12" w:space="0" w:color="C12E33"/>
            </w:tcBorders>
            <w:tcMar>
              <w:bottom w:w="40" w:type="dxa"/>
            </w:tcMar>
            <w:vAlign w:val="center"/>
          </w:tcPr>
          <w:p>
            <w:pPr>
              <w:pStyle w:val="TableContents"/>
              <w:bidi w:val="0"/>
              <w:spacing w:before="0" w:after="283"/>
              <w:jc w:val="left"/>
              <w:rPr/>
            </w:pPr>
            <w:r>
              <w:rPr/>
              <w:t> </w:t>
            </w:r>
          </w:p>
        </w:tc>
        <w:tc>
          <w:tcPr>
            <w:tcW w:w="890" w:type="dxa"/>
            <w:tcBorders>
              <w:bottom w:val="single" w:sz="12" w:space="0" w:color="C12E33"/>
            </w:tcBorders>
            <w:tcMar>
              <w:bottom w:w="40" w:type="dxa"/>
            </w:tcMar>
            <w:vAlign w:val="center"/>
          </w:tcPr>
          <w:p>
            <w:pPr>
              <w:pStyle w:val="TableContents"/>
              <w:bidi w:val="0"/>
              <w:spacing w:before="0" w:after="283"/>
              <w:jc w:val="left"/>
              <w:rPr/>
            </w:pPr>
            <w:r>
              <w:rPr/>
              <w:t> </w:t>
            </w:r>
          </w:p>
        </w:tc>
        <w:tc>
          <w:tcPr>
            <w:tcW w:w="300" w:type="dxa"/>
            <w:tcBorders>
              <w:bottom w:val="single" w:sz="12" w:space="0" w:color="C12E33"/>
            </w:tcBorders>
            <w:tcMar>
              <w:bottom w:w="40" w:type="dxa"/>
            </w:tcMar>
            <w:vAlign w:val="center"/>
          </w:tcPr>
          <w:p>
            <w:pPr>
              <w:pStyle w:val="TableContents"/>
              <w:bidi w:val="0"/>
              <w:spacing w:before="0" w:after="283"/>
              <w:jc w:val="left"/>
              <w:rPr/>
            </w:pPr>
            <w:r>
              <w:rPr/>
              <w:t> </w:t>
            </w:r>
          </w:p>
        </w:tc>
        <w:tc>
          <w:tcPr>
            <w:tcW w:w="1145" w:type="dxa"/>
            <w:tcBorders>
              <w:bottom w:val="single" w:sz="12" w:space="0" w:color="C12E33"/>
            </w:tcBorders>
            <w:tcMar>
              <w:bottom w:w="40" w:type="dxa"/>
            </w:tcMar>
            <w:vAlign w:val="center"/>
          </w:tcPr>
          <w:p>
            <w:pPr>
              <w:pStyle w:val="TableContents"/>
              <w:bidi w:val="0"/>
              <w:spacing w:before="0" w:after="283"/>
              <w:jc w:val="left"/>
              <w:rPr/>
            </w:pPr>
            <w:r>
              <w:rPr/>
              <w:t> </w:t>
            </w:r>
          </w:p>
        </w:tc>
        <w:tc>
          <w:tcPr>
            <w:tcW w:w="300" w:type="dxa"/>
            <w:tcBorders>
              <w:bottom w:val="single" w:sz="12" w:space="0" w:color="C12E33"/>
            </w:tcBorders>
            <w:tcMar>
              <w:bottom w:w="40" w:type="dxa"/>
            </w:tcMar>
            <w:vAlign w:val="center"/>
          </w:tcPr>
          <w:p>
            <w:pPr>
              <w:pStyle w:val="TableContents"/>
              <w:bidi w:val="0"/>
              <w:spacing w:before="0" w:after="283"/>
              <w:jc w:val="left"/>
              <w:rPr/>
            </w:pPr>
            <w:r>
              <w:rPr/>
              <w:t> </w:t>
            </w:r>
          </w:p>
        </w:tc>
        <w:tc>
          <w:tcPr>
            <w:tcW w:w="1100" w:type="dxa"/>
            <w:tcBorders>
              <w:bottom w:val="single" w:sz="12" w:space="0" w:color="C12E33"/>
            </w:tcBorders>
            <w:tcMar>
              <w:bottom w:w="40" w:type="dxa"/>
            </w:tcMar>
            <w:vAlign w:val="center"/>
          </w:tcPr>
          <w:p>
            <w:pPr>
              <w:pStyle w:val="TableContents"/>
              <w:bidi w:val="0"/>
              <w:spacing w:before="0" w:after="283"/>
              <w:jc w:val="left"/>
              <w:rPr/>
            </w:pPr>
            <w:r>
              <w:rPr/>
              <w:t> </w:t>
            </w:r>
          </w:p>
        </w:tc>
        <w:tc>
          <w:tcPr>
            <w:tcW w:w="300" w:type="dxa"/>
            <w:tcBorders>
              <w:bottom w:val="single" w:sz="12" w:space="0" w:color="C12E33"/>
            </w:tcBorders>
            <w:tcMar>
              <w:bottom w:w="40" w:type="dxa"/>
            </w:tcMar>
            <w:vAlign w:val="center"/>
          </w:tcPr>
          <w:p>
            <w:pPr>
              <w:pStyle w:val="TableContents"/>
              <w:bidi w:val="0"/>
              <w:spacing w:before="0" w:after="283"/>
              <w:jc w:val="left"/>
              <w:rPr/>
            </w:pPr>
            <w:r>
              <w:rPr/>
              <w:t> </w:t>
            </w:r>
          </w:p>
        </w:tc>
        <w:tc>
          <w:tcPr>
            <w:tcW w:w="1235" w:type="dxa"/>
            <w:tcBorders>
              <w:bottom w:val="single" w:sz="12" w:space="0" w:color="C12E33"/>
            </w:tcBorders>
            <w:shd w:fill="EDEDEE" w:val="clear"/>
            <w:tcMar>
              <w:bottom w:w="40" w:type="dxa"/>
            </w:tcMar>
            <w:vAlign w:val="center"/>
          </w:tcPr>
          <w:p>
            <w:pPr>
              <w:pStyle w:val="TableContents"/>
              <w:bidi w:val="0"/>
              <w:spacing w:before="0" w:after="283"/>
              <w:jc w:val="left"/>
              <w:rPr/>
            </w:pPr>
            <w:r>
              <w:rPr/>
              <w:t> </w:t>
            </w:r>
          </w:p>
        </w:tc>
      </w:tr>
      <w:tr>
        <w:trPr/>
        <w:tc>
          <w:tcPr>
            <w:tcW w:w="1010" w:type="dxa"/>
            <w:tcBorders>
              <w:bottom w:val="single" w:sz="2" w:space="0" w:color="000000"/>
            </w:tcBorders>
            <w:tcMar>
              <w:bottom w:w="40" w:type="dxa"/>
            </w:tcMar>
            <w:vAlign w:val="center"/>
          </w:tcPr>
          <w:p>
            <w:pPr>
              <w:pStyle w:val="TableContents"/>
              <w:bidi w:val="0"/>
              <w:spacing w:before="0" w:after="283"/>
              <w:jc w:val="left"/>
              <w:rPr/>
            </w:pPr>
            <w:r>
              <w:rPr/>
              <w:t>2/6/2025</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980" w:type="dxa"/>
            <w:tcBorders>
              <w:bottom w:val="single" w:sz="2" w:space="0" w:color="000000"/>
            </w:tcBorders>
            <w:tcMar>
              <w:bottom w:w="40" w:type="dxa"/>
            </w:tcMar>
            <w:vAlign w:val="center"/>
          </w:tcPr>
          <w:p>
            <w:pPr>
              <w:pStyle w:val="TableContents"/>
              <w:bidi w:val="0"/>
              <w:spacing w:before="0" w:after="283"/>
              <w:jc w:val="right"/>
              <w:rPr/>
            </w:pPr>
            <w:r>
              <w:rPr/>
              <w:t>1/31/2025</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905" w:type="dxa"/>
            <w:tcBorders>
              <w:bottom w:val="single" w:sz="2" w:space="0" w:color="000000"/>
            </w:tcBorders>
            <w:tcMar>
              <w:bottom w:w="40" w:type="dxa"/>
            </w:tcMar>
            <w:vAlign w:val="center"/>
          </w:tcPr>
          <w:p>
            <w:pPr>
              <w:pStyle w:val="TableContents"/>
              <w:bidi w:val="0"/>
              <w:spacing w:before="0" w:after="283"/>
              <w:jc w:val="right"/>
              <w:rPr/>
            </w:pPr>
            <w:r>
              <w:rPr/>
              <w:t>1,136</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680" w:type="dxa"/>
            <w:tcBorders>
              <w:bottom w:val="single" w:sz="2" w:space="0" w:color="000000"/>
            </w:tcBorders>
            <w:tcMar>
              <w:bottom w:w="40" w:type="dxa"/>
            </w:tcMar>
            <w:vAlign w:val="center"/>
          </w:tcPr>
          <w:p>
            <w:pPr>
              <w:pStyle w:val="TableContents"/>
              <w:bidi w:val="0"/>
              <w:spacing w:before="0" w:after="283"/>
              <w:jc w:val="right"/>
              <w:rPr/>
            </w:pPr>
            <w:r>
              <w:rPr/>
              <w:t>30,285</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890" w:type="dxa"/>
            <w:tcBorders>
              <w:bottom w:val="single" w:sz="2" w:space="0" w:color="000000"/>
            </w:tcBorders>
            <w:tcMar>
              <w:bottom w:w="40" w:type="dxa"/>
            </w:tcMar>
            <w:vAlign w:val="center"/>
          </w:tcPr>
          <w:p>
            <w:pPr>
              <w:pStyle w:val="TableContents"/>
              <w:bidi w:val="0"/>
              <w:spacing w:before="0" w:after="283"/>
              <w:jc w:val="right"/>
              <w:rPr/>
            </w:pPr>
            <w:r>
              <w:rPr/>
              <w:t>60,570</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1145" w:type="dxa"/>
            <w:tcBorders>
              <w:bottom w:val="single" w:sz="2" w:space="0" w:color="000000"/>
            </w:tcBorders>
            <w:tcMar>
              <w:bottom w:w="40" w:type="dxa"/>
            </w:tcMar>
            <w:vAlign w:val="center"/>
          </w:tcPr>
          <w:p>
            <w:pPr>
              <w:pStyle w:val="TableContents"/>
              <w:bidi w:val="0"/>
              <w:spacing w:before="0" w:after="283"/>
              <w:jc w:val="right"/>
              <w:rPr/>
            </w:pPr>
            <w:r>
              <w:rPr/>
              <w:t>–</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1100" w:type="dxa"/>
            <w:tcBorders>
              <w:bottom w:val="single" w:sz="2" w:space="0" w:color="000000"/>
            </w:tcBorders>
            <w:tcMar>
              <w:bottom w:w="40" w:type="dxa"/>
            </w:tcMar>
            <w:vAlign w:val="center"/>
          </w:tcPr>
          <w:p>
            <w:pPr>
              <w:pStyle w:val="TableContents"/>
              <w:bidi w:val="0"/>
              <w:spacing w:before="0" w:after="283"/>
              <w:jc w:val="right"/>
              <w:rPr/>
            </w:pPr>
            <w:r>
              <w:rPr/>
              <w:t>–</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1235" w:type="dxa"/>
            <w:tcBorders>
              <w:bottom w:val="single" w:sz="2" w:space="0" w:color="000000"/>
            </w:tcBorders>
            <w:shd w:fill="EDEDEE" w:val="clear"/>
            <w:tcMar>
              <w:bottom w:w="40" w:type="dxa"/>
            </w:tcMar>
            <w:vAlign w:val="center"/>
          </w:tcPr>
          <w:p>
            <w:pPr>
              <w:pStyle w:val="TableContents"/>
              <w:bidi w:val="0"/>
              <w:spacing w:before="0" w:after="283"/>
              <w:jc w:val="right"/>
              <w:rPr/>
            </w:pPr>
            <w:r>
              <w:rPr/>
              <w:t>$4,121,652</w:t>
            </w:r>
          </w:p>
        </w:tc>
      </w:tr>
      <w:tr>
        <w:trPr/>
        <w:tc>
          <w:tcPr>
            <w:tcW w:w="1010" w:type="dxa"/>
            <w:tcBorders>
              <w:bottom w:val="single" w:sz="12" w:space="0" w:color="636466"/>
            </w:tcBorders>
            <w:tcMar>
              <w:bottom w:w="40" w:type="dxa"/>
            </w:tcMar>
            <w:vAlign w:val="center"/>
          </w:tcPr>
          <w:p>
            <w:pPr>
              <w:pStyle w:val="TableContents"/>
              <w:bidi w:val="0"/>
              <w:spacing w:before="0" w:after="283"/>
              <w:jc w:val="left"/>
              <w:rPr/>
            </w:pPr>
            <w:r>
              <w:rPr/>
              <w:t>2/6/2025</w:t>
            </w:r>
          </w:p>
        </w:tc>
        <w:tc>
          <w:tcPr>
            <w:tcW w:w="300" w:type="dxa"/>
            <w:tcBorders>
              <w:bottom w:val="single" w:sz="12" w:space="0" w:color="636466"/>
            </w:tcBorders>
            <w:tcMar>
              <w:bottom w:w="40" w:type="dxa"/>
            </w:tcMar>
            <w:vAlign w:val="center"/>
          </w:tcPr>
          <w:p>
            <w:pPr>
              <w:pStyle w:val="TableContents"/>
              <w:bidi w:val="0"/>
              <w:spacing w:before="0" w:after="283"/>
              <w:jc w:val="left"/>
              <w:rPr/>
            </w:pPr>
            <w:r>
              <w:rPr/>
              <w:t> </w:t>
            </w:r>
          </w:p>
        </w:tc>
        <w:tc>
          <w:tcPr>
            <w:tcW w:w="980" w:type="dxa"/>
            <w:tcBorders>
              <w:bottom w:val="single" w:sz="12" w:space="0" w:color="636466"/>
            </w:tcBorders>
            <w:tcMar>
              <w:bottom w:w="40" w:type="dxa"/>
            </w:tcMar>
            <w:vAlign w:val="center"/>
          </w:tcPr>
          <w:p>
            <w:pPr>
              <w:pStyle w:val="TableContents"/>
              <w:bidi w:val="0"/>
              <w:spacing w:before="0" w:after="283"/>
              <w:jc w:val="right"/>
              <w:rPr/>
            </w:pPr>
            <w:r>
              <w:rPr/>
              <w:t>1/31/2025</w:t>
            </w:r>
          </w:p>
        </w:tc>
        <w:tc>
          <w:tcPr>
            <w:tcW w:w="300" w:type="dxa"/>
            <w:tcBorders>
              <w:bottom w:val="single" w:sz="12" w:space="0" w:color="636466"/>
            </w:tcBorders>
            <w:tcMar>
              <w:bottom w:w="40" w:type="dxa"/>
            </w:tcMar>
            <w:vAlign w:val="center"/>
          </w:tcPr>
          <w:p>
            <w:pPr>
              <w:pStyle w:val="TableContents"/>
              <w:bidi w:val="0"/>
              <w:spacing w:before="0" w:after="283"/>
              <w:jc w:val="left"/>
              <w:rPr/>
            </w:pPr>
            <w:r>
              <w:rPr/>
              <w:t> </w:t>
            </w:r>
          </w:p>
        </w:tc>
        <w:tc>
          <w:tcPr>
            <w:tcW w:w="905" w:type="dxa"/>
            <w:tcBorders>
              <w:bottom w:val="single" w:sz="12" w:space="0" w:color="636466"/>
            </w:tcBorders>
            <w:tcMar>
              <w:bottom w:w="40" w:type="dxa"/>
            </w:tcMar>
            <w:vAlign w:val="center"/>
          </w:tcPr>
          <w:p>
            <w:pPr>
              <w:pStyle w:val="TableContents"/>
              <w:bidi w:val="0"/>
              <w:spacing w:before="0" w:after="283"/>
              <w:jc w:val="right"/>
              <w:rPr/>
            </w:pPr>
            <w:r>
              <w:rPr/>
              <w:t>–</w:t>
            </w:r>
          </w:p>
        </w:tc>
        <w:tc>
          <w:tcPr>
            <w:tcW w:w="300" w:type="dxa"/>
            <w:tcBorders>
              <w:bottom w:val="single" w:sz="12" w:space="0" w:color="636466"/>
            </w:tcBorders>
            <w:tcMar>
              <w:bottom w:w="40" w:type="dxa"/>
            </w:tcMar>
            <w:vAlign w:val="center"/>
          </w:tcPr>
          <w:p>
            <w:pPr>
              <w:pStyle w:val="TableContents"/>
              <w:bidi w:val="0"/>
              <w:spacing w:before="0" w:after="283"/>
              <w:jc w:val="left"/>
              <w:rPr/>
            </w:pPr>
            <w:r>
              <w:rPr/>
              <w:t> </w:t>
            </w:r>
          </w:p>
        </w:tc>
        <w:tc>
          <w:tcPr>
            <w:tcW w:w="680" w:type="dxa"/>
            <w:tcBorders>
              <w:bottom w:val="single" w:sz="12" w:space="0" w:color="636466"/>
            </w:tcBorders>
            <w:tcMar>
              <w:bottom w:w="40" w:type="dxa"/>
            </w:tcMar>
            <w:vAlign w:val="center"/>
          </w:tcPr>
          <w:p>
            <w:pPr>
              <w:pStyle w:val="TableContents"/>
              <w:bidi w:val="0"/>
              <w:spacing w:before="0" w:after="283"/>
              <w:jc w:val="right"/>
              <w:rPr/>
            </w:pPr>
            <w:r>
              <w:rPr/>
              <w:t>–</w:t>
            </w:r>
          </w:p>
        </w:tc>
        <w:tc>
          <w:tcPr>
            <w:tcW w:w="300" w:type="dxa"/>
            <w:tcBorders>
              <w:bottom w:val="single" w:sz="12" w:space="0" w:color="636466"/>
            </w:tcBorders>
            <w:tcMar>
              <w:bottom w:w="40" w:type="dxa"/>
            </w:tcMar>
            <w:vAlign w:val="center"/>
          </w:tcPr>
          <w:p>
            <w:pPr>
              <w:pStyle w:val="TableContents"/>
              <w:bidi w:val="0"/>
              <w:spacing w:before="0" w:after="283"/>
              <w:jc w:val="left"/>
              <w:rPr/>
            </w:pPr>
            <w:r>
              <w:rPr/>
              <w:t> </w:t>
            </w:r>
          </w:p>
        </w:tc>
        <w:tc>
          <w:tcPr>
            <w:tcW w:w="890" w:type="dxa"/>
            <w:tcBorders>
              <w:bottom w:val="single" w:sz="12" w:space="0" w:color="636466"/>
            </w:tcBorders>
            <w:tcMar>
              <w:bottom w:w="40" w:type="dxa"/>
            </w:tcMar>
            <w:vAlign w:val="center"/>
          </w:tcPr>
          <w:p>
            <w:pPr>
              <w:pStyle w:val="TableContents"/>
              <w:bidi w:val="0"/>
              <w:spacing w:before="0" w:after="283"/>
              <w:jc w:val="right"/>
              <w:rPr/>
            </w:pPr>
            <w:r>
              <w:rPr/>
              <w:t>–</w:t>
            </w:r>
          </w:p>
        </w:tc>
        <w:tc>
          <w:tcPr>
            <w:tcW w:w="300" w:type="dxa"/>
            <w:tcBorders>
              <w:bottom w:val="single" w:sz="12" w:space="0" w:color="636466"/>
            </w:tcBorders>
            <w:tcMar>
              <w:bottom w:w="40" w:type="dxa"/>
            </w:tcMar>
            <w:vAlign w:val="center"/>
          </w:tcPr>
          <w:p>
            <w:pPr>
              <w:pStyle w:val="TableContents"/>
              <w:bidi w:val="0"/>
              <w:spacing w:before="0" w:after="283"/>
              <w:jc w:val="left"/>
              <w:rPr/>
            </w:pPr>
            <w:r>
              <w:rPr/>
              <w:t> </w:t>
            </w:r>
          </w:p>
        </w:tc>
        <w:tc>
          <w:tcPr>
            <w:tcW w:w="1145" w:type="dxa"/>
            <w:tcBorders>
              <w:bottom w:val="single" w:sz="12" w:space="0" w:color="636466"/>
            </w:tcBorders>
            <w:tcMar>
              <w:bottom w:w="40" w:type="dxa"/>
            </w:tcMar>
            <w:vAlign w:val="center"/>
          </w:tcPr>
          <w:p>
            <w:pPr>
              <w:pStyle w:val="TableContents"/>
              <w:bidi w:val="0"/>
              <w:spacing w:before="0" w:after="283"/>
              <w:jc w:val="right"/>
              <w:rPr/>
            </w:pPr>
            <w:r>
              <w:rPr/>
              <w:t>70,400</w:t>
            </w:r>
          </w:p>
        </w:tc>
        <w:tc>
          <w:tcPr>
            <w:tcW w:w="300" w:type="dxa"/>
            <w:tcBorders>
              <w:bottom w:val="single" w:sz="12" w:space="0" w:color="636466"/>
            </w:tcBorders>
            <w:tcMar>
              <w:bottom w:w="40" w:type="dxa"/>
            </w:tcMar>
            <w:vAlign w:val="center"/>
          </w:tcPr>
          <w:p>
            <w:pPr>
              <w:pStyle w:val="TableContents"/>
              <w:bidi w:val="0"/>
              <w:spacing w:before="0" w:after="283"/>
              <w:jc w:val="left"/>
              <w:rPr/>
            </w:pPr>
            <w:r>
              <w:rPr/>
              <w:t> </w:t>
            </w:r>
          </w:p>
        </w:tc>
        <w:tc>
          <w:tcPr>
            <w:tcW w:w="1100" w:type="dxa"/>
            <w:tcBorders>
              <w:bottom w:val="single" w:sz="12" w:space="0" w:color="636466"/>
            </w:tcBorders>
            <w:tcMar>
              <w:bottom w:w="40" w:type="dxa"/>
            </w:tcMar>
            <w:vAlign w:val="center"/>
          </w:tcPr>
          <w:p>
            <w:pPr>
              <w:pStyle w:val="TableContents"/>
              <w:bidi w:val="0"/>
              <w:spacing w:before="0" w:after="283"/>
              <w:jc w:val="right"/>
              <w:rPr/>
            </w:pPr>
            <w:r>
              <w:rPr/>
              <w:t>$128.78</w:t>
            </w:r>
          </w:p>
        </w:tc>
        <w:tc>
          <w:tcPr>
            <w:tcW w:w="300" w:type="dxa"/>
            <w:tcBorders>
              <w:bottom w:val="single" w:sz="12" w:space="0" w:color="636466"/>
            </w:tcBorders>
            <w:tcMar>
              <w:bottom w:w="40" w:type="dxa"/>
            </w:tcMar>
            <w:vAlign w:val="center"/>
          </w:tcPr>
          <w:p>
            <w:pPr>
              <w:pStyle w:val="TableContents"/>
              <w:bidi w:val="0"/>
              <w:spacing w:before="0" w:after="283"/>
              <w:jc w:val="left"/>
              <w:rPr/>
            </w:pPr>
            <w:r>
              <w:rPr/>
              <w:t> </w:t>
            </w:r>
          </w:p>
        </w:tc>
        <w:tc>
          <w:tcPr>
            <w:tcW w:w="1235" w:type="dxa"/>
            <w:tcBorders>
              <w:bottom w:val="single" w:sz="12" w:space="0" w:color="636466"/>
            </w:tcBorders>
            <w:shd w:fill="EDEDEE" w:val="clear"/>
            <w:tcMar>
              <w:bottom w:w="40" w:type="dxa"/>
            </w:tcMar>
            <w:vAlign w:val="center"/>
          </w:tcPr>
          <w:p>
            <w:pPr>
              <w:pStyle w:val="TableContents"/>
              <w:bidi w:val="0"/>
              <w:spacing w:before="0" w:after="283"/>
              <w:jc w:val="right"/>
              <w:rPr/>
            </w:pPr>
            <w:r>
              <w:rPr/>
              <w:t>$2,560,448</w:t>
            </w:r>
          </w:p>
        </w:tc>
      </w:tr>
      <w:tr>
        <w:trPr/>
        <w:tc>
          <w:tcPr>
            <w:tcW w:w="1010" w:type="dxa"/>
            <w:tcBorders>
              <w:bottom w:val="single" w:sz="12" w:space="0" w:color="C12E33"/>
            </w:tcBorders>
            <w:tcMar>
              <w:bottom w:w="40" w:type="dxa"/>
            </w:tcMar>
            <w:vAlign w:val="center"/>
          </w:tcPr>
          <w:p>
            <w:pPr>
              <w:pStyle w:val="TableContents"/>
              <w:bidi w:val="0"/>
              <w:spacing w:before="0" w:after="283"/>
              <w:jc w:val="left"/>
              <w:rPr>
                <w:b/>
                <w:sz w:val="15"/>
              </w:rPr>
            </w:pPr>
            <w:r>
              <w:rPr>
                <w:b/>
                <w:sz w:val="15"/>
              </w:rPr>
              <w:t>P. Jasper</w:t>
            </w:r>
          </w:p>
        </w:tc>
        <w:tc>
          <w:tcPr>
            <w:tcW w:w="300" w:type="dxa"/>
            <w:tcBorders>
              <w:bottom w:val="single" w:sz="12" w:space="0" w:color="C12E33"/>
            </w:tcBorders>
            <w:tcMar>
              <w:bottom w:w="40" w:type="dxa"/>
            </w:tcMar>
            <w:vAlign w:val="center"/>
          </w:tcPr>
          <w:p>
            <w:pPr>
              <w:pStyle w:val="TableContents"/>
              <w:bidi w:val="0"/>
              <w:spacing w:before="0" w:after="283"/>
              <w:jc w:val="left"/>
              <w:rPr/>
            </w:pPr>
            <w:r>
              <w:rPr/>
              <w:t> </w:t>
            </w:r>
          </w:p>
        </w:tc>
        <w:tc>
          <w:tcPr>
            <w:tcW w:w="980" w:type="dxa"/>
            <w:tcBorders>
              <w:bottom w:val="single" w:sz="12" w:space="0" w:color="C12E33"/>
            </w:tcBorders>
            <w:tcMar>
              <w:bottom w:w="40" w:type="dxa"/>
            </w:tcMar>
            <w:vAlign w:val="center"/>
          </w:tcPr>
          <w:p>
            <w:pPr>
              <w:pStyle w:val="TableContents"/>
              <w:bidi w:val="0"/>
              <w:spacing w:before="0" w:after="283"/>
              <w:jc w:val="left"/>
              <w:rPr/>
            </w:pPr>
            <w:r>
              <w:rPr/>
              <w:t> </w:t>
            </w:r>
          </w:p>
        </w:tc>
        <w:tc>
          <w:tcPr>
            <w:tcW w:w="300" w:type="dxa"/>
            <w:tcBorders>
              <w:bottom w:val="single" w:sz="12" w:space="0" w:color="C12E33"/>
            </w:tcBorders>
            <w:tcMar>
              <w:bottom w:w="40" w:type="dxa"/>
            </w:tcMar>
            <w:vAlign w:val="center"/>
          </w:tcPr>
          <w:p>
            <w:pPr>
              <w:pStyle w:val="TableContents"/>
              <w:bidi w:val="0"/>
              <w:spacing w:before="0" w:after="283"/>
              <w:jc w:val="left"/>
              <w:rPr/>
            </w:pPr>
            <w:r>
              <w:rPr/>
              <w:t> </w:t>
            </w:r>
          </w:p>
        </w:tc>
        <w:tc>
          <w:tcPr>
            <w:tcW w:w="905" w:type="dxa"/>
            <w:tcBorders>
              <w:bottom w:val="single" w:sz="12" w:space="0" w:color="C12E33"/>
            </w:tcBorders>
            <w:tcMar>
              <w:bottom w:w="40" w:type="dxa"/>
            </w:tcMar>
            <w:vAlign w:val="center"/>
          </w:tcPr>
          <w:p>
            <w:pPr>
              <w:pStyle w:val="TableContents"/>
              <w:bidi w:val="0"/>
              <w:spacing w:before="0" w:after="283"/>
              <w:jc w:val="left"/>
              <w:rPr/>
            </w:pPr>
            <w:r>
              <w:rPr/>
              <w:t> </w:t>
            </w:r>
          </w:p>
        </w:tc>
        <w:tc>
          <w:tcPr>
            <w:tcW w:w="300" w:type="dxa"/>
            <w:tcBorders>
              <w:bottom w:val="single" w:sz="12" w:space="0" w:color="C12E33"/>
            </w:tcBorders>
            <w:tcMar>
              <w:bottom w:w="40" w:type="dxa"/>
            </w:tcMar>
            <w:vAlign w:val="center"/>
          </w:tcPr>
          <w:p>
            <w:pPr>
              <w:pStyle w:val="TableContents"/>
              <w:bidi w:val="0"/>
              <w:spacing w:before="0" w:after="283"/>
              <w:jc w:val="left"/>
              <w:rPr/>
            </w:pPr>
            <w:r>
              <w:rPr/>
              <w:t> </w:t>
            </w:r>
          </w:p>
        </w:tc>
        <w:tc>
          <w:tcPr>
            <w:tcW w:w="680" w:type="dxa"/>
            <w:tcBorders>
              <w:bottom w:val="single" w:sz="12" w:space="0" w:color="C12E33"/>
            </w:tcBorders>
            <w:tcMar>
              <w:bottom w:w="40" w:type="dxa"/>
            </w:tcMar>
            <w:vAlign w:val="center"/>
          </w:tcPr>
          <w:p>
            <w:pPr>
              <w:pStyle w:val="TableContents"/>
              <w:bidi w:val="0"/>
              <w:spacing w:before="0" w:after="283"/>
              <w:jc w:val="left"/>
              <w:rPr/>
            </w:pPr>
            <w:r>
              <w:rPr/>
              <w:t> </w:t>
            </w:r>
          </w:p>
        </w:tc>
        <w:tc>
          <w:tcPr>
            <w:tcW w:w="300" w:type="dxa"/>
            <w:tcBorders>
              <w:bottom w:val="single" w:sz="12" w:space="0" w:color="C12E33"/>
            </w:tcBorders>
            <w:tcMar>
              <w:bottom w:w="40" w:type="dxa"/>
            </w:tcMar>
            <w:vAlign w:val="center"/>
          </w:tcPr>
          <w:p>
            <w:pPr>
              <w:pStyle w:val="TableContents"/>
              <w:bidi w:val="0"/>
              <w:spacing w:before="0" w:after="283"/>
              <w:jc w:val="left"/>
              <w:rPr/>
            </w:pPr>
            <w:r>
              <w:rPr/>
              <w:t> </w:t>
            </w:r>
          </w:p>
        </w:tc>
        <w:tc>
          <w:tcPr>
            <w:tcW w:w="890" w:type="dxa"/>
            <w:tcBorders>
              <w:bottom w:val="single" w:sz="12" w:space="0" w:color="C12E33"/>
            </w:tcBorders>
            <w:tcMar>
              <w:bottom w:w="40" w:type="dxa"/>
            </w:tcMar>
            <w:vAlign w:val="center"/>
          </w:tcPr>
          <w:p>
            <w:pPr>
              <w:pStyle w:val="TableContents"/>
              <w:bidi w:val="0"/>
              <w:spacing w:before="0" w:after="283"/>
              <w:jc w:val="left"/>
              <w:rPr/>
            </w:pPr>
            <w:r>
              <w:rPr/>
              <w:t> </w:t>
            </w:r>
          </w:p>
        </w:tc>
        <w:tc>
          <w:tcPr>
            <w:tcW w:w="300" w:type="dxa"/>
            <w:tcBorders>
              <w:bottom w:val="single" w:sz="12" w:space="0" w:color="C12E33"/>
            </w:tcBorders>
            <w:tcMar>
              <w:bottom w:w="40" w:type="dxa"/>
            </w:tcMar>
            <w:vAlign w:val="center"/>
          </w:tcPr>
          <w:p>
            <w:pPr>
              <w:pStyle w:val="TableContents"/>
              <w:bidi w:val="0"/>
              <w:spacing w:before="0" w:after="283"/>
              <w:jc w:val="left"/>
              <w:rPr/>
            </w:pPr>
            <w:r>
              <w:rPr/>
              <w:t> </w:t>
            </w:r>
          </w:p>
        </w:tc>
        <w:tc>
          <w:tcPr>
            <w:tcW w:w="1145" w:type="dxa"/>
            <w:tcBorders>
              <w:bottom w:val="single" w:sz="12" w:space="0" w:color="C12E33"/>
            </w:tcBorders>
            <w:tcMar>
              <w:bottom w:w="40" w:type="dxa"/>
            </w:tcMar>
            <w:vAlign w:val="center"/>
          </w:tcPr>
          <w:p>
            <w:pPr>
              <w:pStyle w:val="TableContents"/>
              <w:bidi w:val="0"/>
              <w:spacing w:before="0" w:after="283"/>
              <w:jc w:val="left"/>
              <w:rPr/>
            </w:pPr>
            <w:r>
              <w:rPr/>
              <w:t> </w:t>
            </w:r>
          </w:p>
        </w:tc>
        <w:tc>
          <w:tcPr>
            <w:tcW w:w="300" w:type="dxa"/>
            <w:tcBorders>
              <w:bottom w:val="single" w:sz="12" w:space="0" w:color="C12E33"/>
            </w:tcBorders>
            <w:tcMar>
              <w:bottom w:w="40" w:type="dxa"/>
            </w:tcMar>
            <w:vAlign w:val="center"/>
          </w:tcPr>
          <w:p>
            <w:pPr>
              <w:pStyle w:val="TableContents"/>
              <w:bidi w:val="0"/>
              <w:spacing w:before="0" w:after="283"/>
              <w:jc w:val="left"/>
              <w:rPr/>
            </w:pPr>
            <w:r>
              <w:rPr/>
              <w:t> </w:t>
            </w:r>
          </w:p>
        </w:tc>
        <w:tc>
          <w:tcPr>
            <w:tcW w:w="1100" w:type="dxa"/>
            <w:tcBorders>
              <w:bottom w:val="single" w:sz="12" w:space="0" w:color="C12E33"/>
            </w:tcBorders>
            <w:tcMar>
              <w:bottom w:w="40" w:type="dxa"/>
            </w:tcMar>
            <w:vAlign w:val="center"/>
          </w:tcPr>
          <w:p>
            <w:pPr>
              <w:pStyle w:val="TableContents"/>
              <w:bidi w:val="0"/>
              <w:spacing w:before="0" w:after="283"/>
              <w:jc w:val="left"/>
              <w:rPr/>
            </w:pPr>
            <w:r>
              <w:rPr/>
              <w:t> </w:t>
            </w:r>
          </w:p>
        </w:tc>
        <w:tc>
          <w:tcPr>
            <w:tcW w:w="300" w:type="dxa"/>
            <w:tcBorders>
              <w:bottom w:val="single" w:sz="12" w:space="0" w:color="C12E33"/>
            </w:tcBorders>
            <w:tcMar>
              <w:bottom w:w="40" w:type="dxa"/>
            </w:tcMar>
            <w:vAlign w:val="center"/>
          </w:tcPr>
          <w:p>
            <w:pPr>
              <w:pStyle w:val="TableContents"/>
              <w:bidi w:val="0"/>
              <w:spacing w:before="0" w:after="283"/>
              <w:jc w:val="left"/>
              <w:rPr/>
            </w:pPr>
            <w:r>
              <w:rPr/>
              <w:t> </w:t>
            </w:r>
          </w:p>
        </w:tc>
        <w:tc>
          <w:tcPr>
            <w:tcW w:w="1235" w:type="dxa"/>
            <w:tcBorders>
              <w:bottom w:val="single" w:sz="12" w:space="0" w:color="C12E33"/>
            </w:tcBorders>
            <w:shd w:fill="EDEDEE" w:val="clear"/>
            <w:tcMar>
              <w:bottom w:w="40" w:type="dxa"/>
            </w:tcMar>
            <w:vAlign w:val="center"/>
          </w:tcPr>
          <w:p>
            <w:pPr>
              <w:pStyle w:val="TableContents"/>
              <w:bidi w:val="0"/>
              <w:spacing w:before="0" w:after="283"/>
              <w:jc w:val="left"/>
              <w:rPr/>
            </w:pPr>
            <w:r>
              <w:rPr/>
              <w:t> </w:t>
            </w:r>
          </w:p>
        </w:tc>
      </w:tr>
      <w:tr>
        <w:trPr/>
        <w:tc>
          <w:tcPr>
            <w:tcW w:w="1010" w:type="dxa"/>
            <w:tcBorders>
              <w:bottom w:val="single" w:sz="2" w:space="0" w:color="000000"/>
            </w:tcBorders>
            <w:tcMar>
              <w:bottom w:w="40" w:type="dxa"/>
            </w:tcMar>
            <w:vAlign w:val="center"/>
          </w:tcPr>
          <w:p>
            <w:pPr>
              <w:pStyle w:val="TableContents"/>
              <w:bidi w:val="0"/>
              <w:spacing w:before="0" w:after="283"/>
              <w:jc w:val="left"/>
              <w:rPr/>
            </w:pPr>
            <w:r>
              <w:rPr/>
              <w:t>2/6/2025</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980" w:type="dxa"/>
            <w:tcBorders>
              <w:bottom w:val="single" w:sz="2" w:space="0" w:color="000000"/>
            </w:tcBorders>
            <w:tcMar>
              <w:bottom w:w="40" w:type="dxa"/>
            </w:tcMar>
            <w:vAlign w:val="center"/>
          </w:tcPr>
          <w:p>
            <w:pPr>
              <w:pStyle w:val="TableContents"/>
              <w:bidi w:val="0"/>
              <w:spacing w:before="0" w:after="283"/>
              <w:jc w:val="right"/>
              <w:rPr/>
            </w:pPr>
            <w:r>
              <w:rPr/>
              <w:t>1/31/2025</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905" w:type="dxa"/>
            <w:tcBorders>
              <w:bottom w:val="single" w:sz="2" w:space="0" w:color="000000"/>
            </w:tcBorders>
            <w:tcMar>
              <w:bottom w:w="40" w:type="dxa"/>
            </w:tcMar>
            <w:vAlign w:val="center"/>
          </w:tcPr>
          <w:p>
            <w:pPr>
              <w:pStyle w:val="TableContents"/>
              <w:bidi w:val="0"/>
              <w:spacing w:before="0" w:after="283"/>
              <w:jc w:val="right"/>
              <w:rPr/>
            </w:pPr>
            <w:r>
              <w:rPr/>
              <w:t>699</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680" w:type="dxa"/>
            <w:tcBorders>
              <w:bottom w:val="single" w:sz="2" w:space="0" w:color="000000"/>
            </w:tcBorders>
            <w:tcMar>
              <w:bottom w:w="40" w:type="dxa"/>
            </w:tcMar>
            <w:vAlign w:val="center"/>
          </w:tcPr>
          <w:p>
            <w:pPr>
              <w:pStyle w:val="TableContents"/>
              <w:bidi w:val="0"/>
              <w:spacing w:before="0" w:after="283"/>
              <w:jc w:val="right"/>
              <w:rPr/>
            </w:pPr>
            <w:r>
              <w:rPr/>
              <w:t>18,640</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890" w:type="dxa"/>
            <w:tcBorders>
              <w:bottom w:val="single" w:sz="2" w:space="0" w:color="000000"/>
            </w:tcBorders>
            <w:tcMar>
              <w:bottom w:w="40" w:type="dxa"/>
            </w:tcMar>
            <w:vAlign w:val="center"/>
          </w:tcPr>
          <w:p>
            <w:pPr>
              <w:pStyle w:val="TableContents"/>
              <w:bidi w:val="0"/>
              <w:spacing w:before="0" w:after="283"/>
              <w:jc w:val="right"/>
              <w:rPr/>
            </w:pPr>
            <w:r>
              <w:rPr/>
              <w:t>37,280</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1145" w:type="dxa"/>
            <w:tcBorders>
              <w:bottom w:val="single" w:sz="2" w:space="0" w:color="000000"/>
            </w:tcBorders>
            <w:tcMar>
              <w:bottom w:w="40" w:type="dxa"/>
            </w:tcMar>
            <w:vAlign w:val="center"/>
          </w:tcPr>
          <w:p>
            <w:pPr>
              <w:pStyle w:val="TableContents"/>
              <w:bidi w:val="0"/>
              <w:spacing w:before="0" w:after="283"/>
              <w:jc w:val="right"/>
              <w:rPr/>
            </w:pPr>
            <w:r>
              <w:rPr/>
              <w:t>–</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1100" w:type="dxa"/>
            <w:tcBorders>
              <w:bottom w:val="single" w:sz="2" w:space="0" w:color="000000"/>
            </w:tcBorders>
            <w:tcMar>
              <w:bottom w:w="40" w:type="dxa"/>
            </w:tcMar>
            <w:vAlign w:val="center"/>
          </w:tcPr>
          <w:p>
            <w:pPr>
              <w:pStyle w:val="TableContents"/>
              <w:bidi w:val="0"/>
              <w:spacing w:before="0" w:after="283"/>
              <w:jc w:val="right"/>
              <w:rPr/>
            </w:pPr>
            <w:r>
              <w:rPr/>
              <w:t>–</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1235" w:type="dxa"/>
            <w:tcBorders>
              <w:bottom w:val="single" w:sz="2" w:space="0" w:color="000000"/>
            </w:tcBorders>
            <w:shd w:fill="EDEDEE" w:val="clear"/>
            <w:tcMar>
              <w:bottom w:w="40" w:type="dxa"/>
            </w:tcMar>
            <w:vAlign w:val="center"/>
          </w:tcPr>
          <w:p>
            <w:pPr>
              <w:pStyle w:val="TableContents"/>
              <w:bidi w:val="0"/>
              <w:spacing w:before="0" w:after="283"/>
              <w:jc w:val="right"/>
              <w:rPr/>
            </w:pPr>
            <w:r>
              <w:rPr/>
              <w:t>$2,536,820</w:t>
            </w:r>
          </w:p>
        </w:tc>
      </w:tr>
      <w:tr>
        <w:trPr/>
        <w:tc>
          <w:tcPr>
            <w:tcW w:w="1010" w:type="dxa"/>
            <w:tcBorders>
              <w:bottom w:val="single" w:sz="12" w:space="0" w:color="636466"/>
            </w:tcBorders>
            <w:tcMar>
              <w:bottom w:w="40" w:type="dxa"/>
            </w:tcMar>
            <w:vAlign w:val="center"/>
          </w:tcPr>
          <w:p>
            <w:pPr>
              <w:pStyle w:val="TableContents"/>
              <w:bidi w:val="0"/>
              <w:spacing w:before="0" w:after="283"/>
              <w:jc w:val="left"/>
              <w:rPr/>
            </w:pPr>
            <w:r>
              <w:rPr/>
              <w:t>2/6/2025</w:t>
            </w:r>
          </w:p>
        </w:tc>
        <w:tc>
          <w:tcPr>
            <w:tcW w:w="300" w:type="dxa"/>
            <w:tcBorders>
              <w:bottom w:val="single" w:sz="12" w:space="0" w:color="636466"/>
            </w:tcBorders>
            <w:tcMar>
              <w:bottom w:w="40" w:type="dxa"/>
            </w:tcMar>
            <w:vAlign w:val="center"/>
          </w:tcPr>
          <w:p>
            <w:pPr>
              <w:pStyle w:val="TableContents"/>
              <w:bidi w:val="0"/>
              <w:spacing w:before="0" w:after="283"/>
              <w:jc w:val="left"/>
              <w:rPr/>
            </w:pPr>
            <w:r>
              <w:rPr/>
              <w:t> </w:t>
            </w:r>
          </w:p>
        </w:tc>
        <w:tc>
          <w:tcPr>
            <w:tcW w:w="980" w:type="dxa"/>
            <w:tcBorders>
              <w:bottom w:val="single" w:sz="12" w:space="0" w:color="636466"/>
            </w:tcBorders>
            <w:tcMar>
              <w:bottom w:w="40" w:type="dxa"/>
            </w:tcMar>
            <w:vAlign w:val="center"/>
          </w:tcPr>
          <w:p>
            <w:pPr>
              <w:pStyle w:val="TableContents"/>
              <w:bidi w:val="0"/>
              <w:spacing w:before="0" w:after="283"/>
              <w:jc w:val="right"/>
              <w:rPr/>
            </w:pPr>
            <w:r>
              <w:rPr/>
              <w:t>1/31/2025</w:t>
            </w:r>
          </w:p>
        </w:tc>
        <w:tc>
          <w:tcPr>
            <w:tcW w:w="300" w:type="dxa"/>
            <w:tcBorders>
              <w:bottom w:val="single" w:sz="12" w:space="0" w:color="636466"/>
            </w:tcBorders>
            <w:tcMar>
              <w:bottom w:w="40" w:type="dxa"/>
            </w:tcMar>
            <w:vAlign w:val="center"/>
          </w:tcPr>
          <w:p>
            <w:pPr>
              <w:pStyle w:val="TableContents"/>
              <w:bidi w:val="0"/>
              <w:spacing w:before="0" w:after="283"/>
              <w:jc w:val="left"/>
              <w:rPr/>
            </w:pPr>
            <w:r>
              <w:rPr/>
              <w:t> </w:t>
            </w:r>
          </w:p>
        </w:tc>
        <w:tc>
          <w:tcPr>
            <w:tcW w:w="905" w:type="dxa"/>
            <w:tcBorders>
              <w:bottom w:val="single" w:sz="12" w:space="0" w:color="636466"/>
            </w:tcBorders>
            <w:tcMar>
              <w:bottom w:w="40" w:type="dxa"/>
            </w:tcMar>
            <w:vAlign w:val="center"/>
          </w:tcPr>
          <w:p>
            <w:pPr>
              <w:pStyle w:val="TableContents"/>
              <w:bidi w:val="0"/>
              <w:spacing w:before="0" w:after="283"/>
              <w:jc w:val="right"/>
              <w:rPr/>
            </w:pPr>
            <w:r>
              <w:rPr/>
              <w:t>–</w:t>
            </w:r>
          </w:p>
        </w:tc>
        <w:tc>
          <w:tcPr>
            <w:tcW w:w="300" w:type="dxa"/>
            <w:tcBorders>
              <w:bottom w:val="single" w:sz="12" w:space="0" w:color="636466"/>
            </w:tcBorders>
            <w:tcMar>
              <w:bottom w:w="40" w:type="dxa"/>
            </w:tcMar>
            <w:vAlign w:val="center"/>
          </w:tcPr>
          <w:p>
            <w:pPr>
              <w:pStyle w:val="TableContents"/>
              <w:bidi w:val="0"/>
              <w:spacing w:before="0" w:after="283"/>
              <w:jc w:val="left"/>
              <w:rPr/>
            </w:pPr>
            <w:r>
              <w:rPr/>
              <w:t> </w:t>
            </w:r>
          </w:p>
        </w:tc>
        <w:tc>
          <w:tcPr>
            <w:tcW w:w="680" w:type="dxa"/>
            <w:tcBorders>
              <w:bottom w:val="single" w:sz="12" w:space="0" w:color="636466"/>
            </w:tcBorders>
            <w:tcMar>
              <w:bottom w:w="40" w:type="dxa"/>
            </w:tcMar>
            <w:vAlign w:val="center"/>
          </w:tcPr>
          <w:p>
            <w:pPr>
              <w:pStyle w:val="TableContents"/>
              <w:bidi w:val="0"/>
              <w:spacing w:before="0" w:after="283"/>
              <w:jc w:val="right"/>
              <w:rPr/>
            </w:pPr>
            <w:r>
              <w:rPr/>
              <w:t>–</w:t>
            </w:r>
          </w:p>
        </w:tc>
        <w:tc>
          <w:tcPr>
            <w:tcW w:w="300" w:type="dxa"/>
            <w:tcBorders>
              <w:bottom w:val="single" w:sz="12" w:space="0" w:color="636466"/>
            </w:tcBorders>
            <w:tcMar>
              <w:bottom w:w="40" w:type="dxa"/>
            </w:tcMar>
            <w:vAlign w:val="center"/>
          </w:tcPr>
          <w:p>
            <w:pPr>
              <w:pStyle w:val="TableContents"/>
              <w:bidi w:val="0"/>
              <w:spacing w:before="0" w:after="283"/>
              <w:jc w:val="left"/>
              <w:rPr/>
            </w:pPr>
            <w:r>
              <w:rPr/>
              <w:t> </w:t>
            </w:r>
          </w:p>
        </w:tc>
        <w:tc>
          <w:tcPr>
            <w:tcW w:w="890" w:type="dxa"/>
            <w:tcBorders>
              <w:bottom w:val="single" w:sz="12" w:space="0" w:color="636466"/>
            </w:tcBorders>
            <w:tcMar>
              <w:bottom w:w="40" w:type="dxa"/>
            </w:tcMar>
            <w:vAlign w:val="center"/>
          </w:tcPr>
          <w:p>
            <w:pPr>
              <w:pStyle w:val="TableContents"/>
              <w:bidi w:val="0"/>
              <w:spacing w:before="0" w:after="283"/>
              <w:jc w:val="right"/>
              <w:rPr/>
            </w:pPr>
            <w:r>
              <w:rPr/>
              <w:t>–</w:t>
            </w:r>
          </w:p>
        </w:tc>
        <w:tc>
          <w:tcPr>
            <w:tcW w:w="300" w:type="dxa"/>
            <w:tcBorders>
              <w:bottom w:val="single" w:sz="12" w:space="0" w:color="636466"/>
            </w:tcBorders>
            <w:tcMar>
              <w:bottom w:w="40" w:type="dxa"/>
            </w:tcMar>
            <w:vAlign w:val="center"/>
          </w:tcPr>
          <w:p>
            <w:pPr>
              <w:pStyle w:val="TableContents"/>
              <w:bidi w:val="0"/>
              <w:spacing w:before="0" w:after="283"/>
              <w:jc w:val="left"/>
              <w:rPr/>
            </w:pPr>
            <w:r>
              <w:rPr/>
              <w:t> </w:t>
            </w:r>
          </w:p>
        </w:tc>
        <w:tc>
          <w:tcPr>
            <w:tcW w:w="1145" w:type="dxa"/>
            <w:tcBorders>
              <w:bottom w:val="single" w:sz="12" w:space="0" w:color="636466"/>
            </w:tcBorders>
            <w:tcMar>
              <w:bottom w:w="40" w:type="dxa"/>
            </w:tcMar>
            <w:vAlign w:val="center"/>
          </w:tcPr>
          <w:p>
            <w:pPr>
              <w:pStyle w:val="TableContents"/>
              <w:bidi w:val="0"/>
              <w:spacing w:before="0" w:after="283"/>
              <w:jc w:val="right"/>
              <w:rPr/>
            </w:pPr>
            <w:r>
              <w:rPr/>
              <w:t>43,300</w:t>
            </w:r>
          </w:p>
        </w:tc>
        <w:tc>
          <w:tcPr>
            <w:tcW w:w="300" w:type="dxa"/>
            <w:tcBorders>
              <w:bottom w:val="single" w:sz="12" w:space="0" w:color="636466"/>
            </w:tcBorders>
            <w:tcMar>
              <w:bottom w:w="40" w:type="dxa"/>
            </w:tcMar>
            <w:vAlign w:val="center"/>
          </w:tcPr>
          <w:p>
            <w:pPr>
              <w:pStyle w:val="TableContents"/>
              <w:bidi w:val="0"/>
              <w:spacing w:before="0" w:after="283"/>
              <w:jc w:val="left"/>
              <w:rPr/>
            </w:pPr>
            <w:r>
              <w:rPr/>
              <w:t> </w:t>
            </w:r>
          </w:p>
        </w:tc>
        <w:tc>
          <w:tcPr>
            <w:tcW w:w="1100" w:type="dxa"/>
            <w:tcBorders>
              <w:bottom w:val="single" w:sz="12" w:space="0" w:color="636466"/>
            </w:tcBorders>
            <w:tcMar>
              <w:bottom w:w="40" w:type="dxa"/>
            </w:tcMar>
            <w:vAlign w:val="center"/>
          </w:tcPr>
          <w:p>
            <w:pPr>
              <w:pStyle w:val="TableContents"/>
              <w:bidi w:val="0"/>
              <w:spacing w:before="0" w:after="283"/>
              <w:jc w:val="right"/>
              <w:rPr/>
            </w:pPr>
            <w:r>
              <w:rPr/>
              <w:t>$128.78</w:t>
            </w:r>
          </w:p>
        </w:tc>
        <w:tc>
          <w:tcPr>
            <w:tcW w:w="300" w:type="dxa"/>
            <w:tcBorders>
              <w:bottom w:val="single" w:sz="12" w:space="0" w:color="636466"/>
            </w:tcBorders>
            <w:tcMar>
              <w:bottom w:w="40" w:type="dxa"/>
            </w:tcMar>
            <w:vAlign w:val="center"/>
          </w:tcPr>
          <w:p>
            <w:pPr>
              <w:pStyle w:val="TableContents"/>
              <w:bidi w:val="0"/>
              <w:spacing w:before="0" w:after="283"/>
              <w:jc w:val="left"/>
              <w:rPr/>
            </w:pPr>
            <w:r>
              <w:rPr/>
              <w:t> </w:t>
            </w:r>
          </w:p>
        </w:tc>
        <w:tc>
          <w:tcPr>
            <w:tcW w:w="1235" w:type="dxa"/>
            <w:tcBorders>
              <w:bottom w:val="single" w:sz="12" w:space="0" w:color="636466"/>
            </w:tcBorders>
            <w:shd w:fill="EDEDEE" w:val="clear"/>
            <w:tcMar>
              <w:bottom w:w="40" w:type="dxa"/>
            </w:tcMar>
            <w:vAlign w:val="center"/>
          </w:tcPr>
          <w:p>
            <w:pPr>
              <w:pStyle w:val="TableContents"/>
              <w:bidi w:val="0"/>
              <w:spacing w:before="0" w:after="283"/>
              <w:jc w:val="right"/>
              <w:rPr/>
            </w:pPr>
            <w:r>
              <w:rPr/>
              <w:t>$1,574,821</w:t>
            </w:r>
          </w:p>
        </w:tc>
      </w:tr>
      <w:tr>
        <w:trPr/>
        <w:tc>
          <w:tcPr>
            <w:tcW w:w="1010" w:type="dxa"/>
            <w:tcBorders>
              <w:bottom w:val="single" w:sz="12" w:space="0" w:color="C12E33"/>
            </w:tcBorders>
            <w:tcMar>
              <w:bottom w:w="40" w:type="dxa"/>
            </w:tcMar>
            <w:vAlign w:val="center"/>
          </w:tcPr>
          <w:p>
            <w:pPr>
              <w:pStyle w:val="TableContents"/>
              <w:bidi w:val="0"/>
              <w:spacing w:before="0" w:after="283"/>
              <w:jc w:val="left"/>
              <w:rPr>
                <w:b/>
                <w:sz w:val="15"/>
              </w:rPr>
            </w:pPr>
            <w:r>
              <w:rPr>
                <w:b/>
                <w:sz w:val="15"/>
              </w:rPr>
              <w:t>S. Eddy</w:t>
            </w:r>
          </w:p>
        </w:tc>
        <w:tc>
          <w:tcPr>
            <w:tcW w:w="300" w:type="dxa"/>
            <w:tcBorders>
              <w:bottom w:val="single" w:sz="12" w:space="0" w:color="C12E33"/>
            </w:tcBorders>
            <w:tcMar>
              <w:bottom w:w="40" w:type="dxa"/>
            </w:tcMar>
            <w:vAlign w:val="center"/>
          </w:tcPr>
          <w:p>
            <w:pPr>
              <w:pStyle w:val="TableContents"/>
              <w:bidi w:val="0"/>
              <w:spacing w:before="0" w:after="283"/>
              <w:jc w:val="left"/>
              <w:rPr/>
            </w:pPr>
            <w:r>
              <w:rPr/>
              <w:t> </w:t>
            </w:r>
          </w:p>
        </w:tc>
        <w:tc>
          <w:tcPr>
            <w:tcW w:w="980" w:type="dxa"/>
            <w:tcBorders>
              <w:bottom w:val="single" w:sz="12" w:space="0" w:color="C12E33"/>
            </w:tcBorders>
            <w:tcMar>
              <w:bottom w:w="40" w:type="dxa"/>
            </w:tcMar>
            <w:vAlign w:val="center"/>
          </w:tcPr>
          <w:p>
            <w:pPr>
              <w:pStyle w:val="TableContents"/>
              <w:bidi w:val="0"/>
              <w:spacing w:before="0" w:after="283"/>
              <w:jc w:val="left"/>
              <w:rPr/>
            </w:pPr>
            <w:r>
              <w:rPr/>
              <w:t> </w:t>
            </w:r>
          </w:p>
        </w:tc>
        <w:tc>
          <w:tcPr>
            <w:tcW w:w="300" w:type="dxa"/>
            <w:tcBorders>
              <w:bottom w:val="single" w:sz="12" w:space="0" w:color="C12E33"/>
            </w:tcBorders>
            <w:tcMar>
              <w:bottom w:w="40" w:type="dxa"/>
            </w:tcMar>
            <w:vAlign w:val="center"/>
          </w:tcPr>
          <w:p>
            <w:pPr>
              <w:pStyle w:val="TableContents"/>
              <w:bidi w:val="0"/>
              <w:spacing w:before="0" w:after="283"/>
              <w:jc w:val="left"/>
              <w:rPr/>
            </w:pPr>
            <w:r>
              <w:rPr/>
              <w:t> </w:t>
            </w:r>
          </w:p>
        </w:tc>
        <w:tc>
          <w:tcPr>
            <w:tcW w:w="905" w:type="dxa"/>
            <w:tcBorders>
              <w:bottom w:val="single" w:sz="12" w:space="0" w:color="C12E33"/>
            </w:tcBorders>
            <w:tcMar>
              <w:bottom w:w="40" w:type="dxa"/>
            </w:tcMar>
            <w:vAlign w:val="center"/>
          </w:tcPr>
          <w:p>
            <w:pPr>
              <w:pStyle w:val="TableContents"/>
              <w:bidi w:val="0"/>
              <w:spacing w:before="0" w:after="283"/>
              <w:jc w:val="left"/>
              <w:rPr/>
            </w:pPr>
            <w:r>
              <w:rPr/>
              <w:t> </w:t>
            </w:r>
          </w:p>
        </w:tc>
        <w:tc>
          <w:tcPr>
            <w:tcW w:w="300" w:type="dxa"/>
            <w:tcBorders>
              <w:bottom w:val="single" w:sz="12" w:space="0" w:color="C12E33"/>
            </w:tcBorders>
            <w:tcMar>
              <w:bottom w:w="40" w:type="dxa"/>
            </w:tcMar>
            <w:vAlign w:val="center"/>
          </w:tcPr>
          <w:p>
            <w:pPr>
              <w:pStyle w:val="TableContents"/>
              <w:bidi w:val="0"/>
              <w:spacing w:before="0" w:after="283"/>
              <w:jc w:val="left"/>
              <w:rPr/>
            </w:pPr>
            <w:r>
              <w:rPr/>
              <w:t> </w:t>
            </w:r>
          </w:p>
        </w:tc>
        <w:tc>
          <w:tcPr>
            <w:tcW w:w="680" w:type="dxa"/>
            <w:tcBorders>
              <w:bottom w:val="single" w:sz="12" w:space="0" w:color="C12E33"/>
            </w:tcBorders>
            <w:tcMar>
              <w:bottom w:w="40" w:type="dxa"/>
            </w:tcMar>
            <w:vAlign w:val="center"/>
          </w:tcPr>
          <w:p>
            <w:pPr>
              <w:pStyle w:val="TableContents"/>
              <w:bidi w:val="0"/>
              <w:spacing w:before="0" w:after="283"/>
              <w:jc w:val="left"/>
              <w:rPr/>
            </w:pPr>
            <w:r>
              <w:rPr/>
              <w:t> </w:t>
            </w:r>
          </w:p>
        </w:tc>
        <w:tc>
          <w:tcPr>
            <w:tcW w:w="300" w:type="dxa"/>
            <w:tcBorders>
              <w:bottom w:val="single" w:sz="12" w:space="0" w:color="C12E33"/>
            </w:tcBorders>
            <w:tcMar>
              <w:bottom w:w="40" w:type="dxa"/>
            </w:tcMar>
            <w:vAlign w:val="center"/>
          </w:tcPr>
          <w:p>
            <w:pPr>
              <w:pStyle w:val="TableContents"/>
              <w:bidi w:val="0"/>
              <w:spacing w:before="0" w:after="283"/>
              <w:jc w:val="left"/>
              <w:rPr/>
            </w:pPr>
            <w:r>
              <w:rPr/>
              <w:t> </w:t>
            </w:r>
          </w:p>
        </w:tc>
        <w:tc>
          <w:tcPr>
            <w:tcW w:w="890" w:type="dxa"/>
            <w:tcBorders>
              <w:bottom w:val="single" w:sz="12" w:space="0" w:color="C12E33"/>
            </w:tcBorders>
            <w:tcMar>
              <w:bottom w:w="40" w:type="dxa"/>
            </w:tcMar>
            <w:vAlign w:val="center"/>
          </w:tcPr>
          <w:p>
            <w:pPr>
              <w:pStyle w:val="TableContents"/>
              <w:bidi w:val="0"/>
              <w:spacing w:before="0" w:after="283"/>
              <w:jc w:val="left"/>
              <w:rPr/>
            </w:pPr>
            <w:r>
              <w:rPr/>
              <w:t> </w:t>
            </w:r>
          </w:p>
        </w:tc>
        <w:tc>
          <w:tcPr>
            <w:tcW w:w="300" w:type="dxa"/>
            <w:tcBorders>
              <w:bottom w:val="single" w:sz="12" w:space="0" w:color="C12E33"/>
            </w:tcBorders>
            <w:tcMar>
              <w:bottom w:w="40" w:type="dxa"/>
            </w:tcMar>
            <w:vAlign w:val="center"/>
          </w:tcPr>
          <w:p>
            <w:pPr>
              <w:pStyle w:val="TableContents"/>
              <w:bidi w:val="0"/>
              <w:spacing w:before="0" w:after="283"/>
              <w:jc w:val="left"/>
              <w:rPr/>
            </w:pPr>
            <w:r>
              <w:rPr/>
              <w:t> </w:t>
            </w:r>
          </w:p>
        </w:tc>
        <w:tc>
          <w:tcPr>
            <w:tcW w:w="1145" w:type="dxa"/>
            <w:tcBorders>
              <w:bottom w:val="single" w:sz="12" w:space="0" w:color="C12E33"/>
            </w:tcBorders>
            <w:tcMar>
              <w:bottom w:w="40" w:type="dxa"/>
            </w:tcMar>
            <w:vAlign w:val="center"/>
          </w:tcPr>
          <w:p>
            <w:pPr>
              <w:pStyle w:val="TableContents"/>
              <w:bidi w:val="0"/>
              <w:spacing w:before="0" w:after="283"/>
              <w:jc w:val="left"/>
              <w:rPr/>
            </w:pPr>
            <w:r>
              <w:rPr/>
              <w:t> </w:t>
            </w:r>
          </w:p>
        </w:tc>
        <w:tc>
          <w:tcPr>
            <w:tcW w:w="300" w:type="dxa"/>
            <w:tcBorders>
              <w:bottom w:val="single" w:sz="12" w:space="0" w:color="C12E33"/>
            </w:tcBorders>
            <w:tcMar>
              <w:bottom w:w="40" w:type="dxa"/>
            </w:tcMar>
            <w:vAlign w:val="center"/>
          </w:tcPr>
          <w:p>
            <w:pPr>
              <w:pStyle w:val="TableContents"/>
              <w:bidi w:val="0"/>
              <w:spacing w:before="0" w:after="283"/>
              <w:jc w:val="left"/>
              <w:rPr/>
            </w:pPr>
            <w:r>
              <w:rPr/>
              <w:t> </w:t>
            </w:r>
          </w:p>
        </w:tc>
        <w:tc>
          <w:tcPr>
            <w:tcW w:w="1100" w:type="dxa"/>
            <w:tcBorders>
              <w:bottom w:val="single" w:sz="12" w:space="0" w:color="C12E33"/>
            </w:tcBorders>
            <w:tcMar>
              <w:bottom w:w="40" w:type="dxa"/>
            </w:tcMar>
            <w:vAlign w:val="center"/>
          </w:tcPr>
          <w:p>
            <w:pPr>
              <w:pStyle w:val="TableContents"/>
              <w:bidi w:val="0"/>
              <w:spacing w:before="0" w:after="283"/>
              <w:jc w:val="left"/>
              <w:rPr/>
            </w:pPr>
            <w:r>
              <w:rPr/>
              <w:t> </w:t>
            </w:r>
          </w:p>
        </w:tc>
        <w:tc>
          <w:tcPr>
            <w:tcW w:w="300" w:type="dxa"/>
            <w:tcBorders>
              <w:bottom w:val="single" w:sz="12" w:space="0" w:color="C12E33"/>
            </w:tcBorders>
            <w:tcMar>
              <w:bottom w:w="40" w:type="dxa"/>
            </w:tcMar>
            <w:vAlign w:val="center"/>
          </w:tcPr>
          <w:p>
            <w:pPr>
              <w:pStyle w:val="TableContents"/>
              <w:bidi w:val="0"/>
              <w:spacing w:before="0" w:after="283"/>
              <w:jc w:val="left"/>
              <w:rPr/>
            </w:pPr>
            <w:r>
              <w:rPr/>
              <w:t> </w:t>
            </w:r>
          </w:p>
        </w:tc>
        <w:tc>
          <w:tcPr>
            <w:tcW w:w="1235" w:type="dxa"/>
            <w:tcBorders>
              <w:bottom w:val="single" w:sz="12" w:space="0" w:color="C12E33"/>
            </w:tcBorders>
            <w:shd w:fill="EDEDEE" w:val="clear"/>
            <w:tcMar>
              <w:bottom w:w="40" w:type="dxa"/>
            </w:tcMar>
            <w:vAlign w:val="center"/>
          </w:tcPr>
          <w:p>
            <w:pPr>
              <w:pStyle w:val="TableContents"/>
              <w:bidi w:val="0"/>
              <w:spacing w:before="0" w:after="283"/>
              <w:jc w:val="left"/>
              <w:rPr/>
            </w:pPr>
            <w:r>
              <w:rPr/>
              <w:t> </w:t>
            </w:r>
          </w:p>
        </w:tc>
      </w:tr>
      <w:tr>
        <w:trPr/>
        <w:tc>
          <w:tcPr>
            <w:tcW w:w="1010" w:type="dxa"/>
            <w:tcBorders>
              <w:bottom w:val="single" w:sz="2" w:space="0" w:color="000000"/>
            </w:tcBorders>
            <w:tcMar>
              <w:bottom w:w="40" w:type="dxa"/>
            </w:tcMar>
            <w:vAlign w:val="center"/>
          </w:tcPr>
          <w:p>
            <w:pPr>
              <w:pStyle w:val="TableContents"/>
              <w:bidi w:val="0"/>
              <w:spacing w:before="0" w:after="283"/>
              <w:jc w:val="left"/>
              <w:rPr/>
            </w:pPr>
            <w:r>
              <w:rPr/>
              <w:t>2/6/2025</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980" w:type="dxa"/>
            <w:tcBorders>
              <w:bottom w:val="single" w:sz="2" w:space="0" w:color="000000"/>
            </w:tcBorders>
            <w:tcMar>
              <w:bottom w:w="40" w:type="dxa"/>
            </w:tcMar>
            <w:vAlign w:val="center"/>
          </w:tcPr>
          <w:p>
            <w:pPr>
              <w:pStyle w:val="TableContents"/>
              <w:bidi w:val="0"/>
              <w:spacing w:before="0" w:after="283"/>
              <w:jc w:val="right"/>
              <w:rPr/>
            </w:pPr>
            <w:r>
              <w:rPr/>
              <w:t>1/31/2025</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905" w:type="dxa"/>
            <w:tcBorders>
              <w:bottom w:val="single" w:sz="2" w:space="0" w:color="000000"/>
            </w:tcBorders>
            <w:tcMar>
              <w:bottom w:w="40" w:type="dxa"/>
            </w:tcMar>
            <w:vAlign w:val="center"/>
          </w:tcPr>
          <w:p>
            <w:pPr>
              <w:pStyle w:val="TableContents"/>
              <w:bidi w:val="0"/>
              <w:spacing w:before="0" w:after="283"/>
              <w:jc w:val="right"/>
              <w:rPr/>
            </w:pPr>
            <w:r>
              <w:rPr/>
              <w:t>699</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680" w:type="dxa"/>
            <w:tcBorders>
              <w:bottom w:val="single" w:sz="2" w:space="0" w:color="000000"/>
            </w:tcBorders>
            <w:tcMar>
              <w:bottom w:w="40" w:type="dxa"/>
            </w:tcMar>
            <w:vAlign w:val="center"/>
          </w:tcPr>
          <w:p>
            <w:pPr>
              <w:pStyle w:val="TableContents"/>
              <w:bidi w:val="0"/>
              <w:spacing w:before="0" w:after="283"/>
              <w:jc w:val="right"/>
              <w:rPr/>
            </w:pPr>
            <w:r>
              <w:rPr/>
              <w:t>18,640</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890" w:type="dxa"/>
            <w:tcBorders>
              <w:bottom w:val="single" w:sz="2" w:space="0" w:color="000000"/>
            </w:tcBorders>
            <w:tcMar>
              <w:bottom w:w="40" w:type="dxa"/>
            </w:tcMar>
            <w:vAlign w:val="center"/>
          </w:tcPr>
          <w:p>
            <w:pPr>
              <w:pStyle w:val="TableContents"/>
              <w:bidi w:val="0"/>
              <w:spacing w:before="0" w:after="283"/>
              <w:jc w:val="right"/>
              <w:rPr/>
            </w:pPr>
            <w:r>
              <w:rPr/>
              <w:t>37,280</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1145" w:type="dxa"/>
            <w:tcBorders>
              <w:bottom w:val="single" w:sz="2" w:space="0" w:color="000000"/>
            </w:tcBorders>
            <w:tcMar>
              <w:bottom w:w="40" w:type="dxa"/>
            </w:tcMar>
            <w:vAlign w:val="center"/>
          </w:tcPr>
          <w:p>
            <w:pPr>
              <w:pStyle w:val="TableContents"/>
              <w:bidi w:val="0"/>
              <w:spacing w:before="0" w:after="283"/>
              <w:jc w:val="right"/>
              <w:rPr/>
            </w:pPr>
            <w:r>
              <w:rPr/>
              <w:t>–</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1100" w:type="dxa"/>
            <w:tcBorders>
              <w:bottom w:val="single" w:sz="2" w:space="0" w:color="000000"/>
            </w:tcBorders>
            <w:tcMar>
              <w:bottom w:w="40" w:type="dxa"/>
            </w:tcMar>
            <w:vAlign w:val="center"/>
          </w:tcPr>
          <w:p>
            <w:pPr>
              <w:pStyle w:val="TableContents"/>
              <w:bidi w:val="0"/>
              <w:spacing w:before="0" w:after="283"/>
              <w:jc w:val="right"/>
              <w:rPr/>
            </w:pPr>
            <w:r>
              <w:rPr/>
              <w:t>–</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1235" w:type="dxa"/>
            <w:tcBorders>
              <w:bottom w:val="single" w:sz="2" w:space="0" w:color="000000"/>
            </w:tcBorders>
            <w:shd w:fill="EDEDEE" w:val="clear"/>
            <w:tcMar>
              <w:bottom w:w="40" w:type="dxa"/>
            </w:tcMar>
            <w:vAlign w:val="center"/>
          </w:tcPr>
          <w:p>
            <w:pPr>
              <w:pStyle w:val="TableContents"/>
              <w:bidi w:val="0"/>
              <w:spacing w:before="0" w:after="283"/>
              <w:jc w:val="right"/>
              <w:rPr/>
            </w:pPr>
            <w:r>
              <w:rPr/>
              <w:t>$2,536,820</w:t>
            </w:r>
          </w:p>
        </w:tc>
      </w:tr>
      <w:tr>
        <w:trPr/>
        <w:tc>
          <w:tcPr>
            <w:tcW w:w="1010" w:type="dxa"/>
            <w:tcBorders>
              <w:bottom w:val="single" w:sz="12" w:space="0" w:color="636466"/>
            </w:tcBorders>
            <w:tcMar>
              <w:bottom w:w="40" w:type="dxa"/>
            </w:tcMar>
            <w:vAlign w:val="center"/>
          </w:tcPr>
          <w:p>
            <w:pPr>
              <w:pStyle w:val="TableContents"/>
              <w:bidi w:val="0"/>
              <w:spacing w:before="0" w:after="283"/>
              <w:jc w:val="left"/>
              <w:rPr/>
            </w:pPr>
            <w:r>
              <w:rPr/>
              <w:t>2/6/2025</w:t>
            </w:r>
          </w:p>
        </w:tc>
        <w:tc>
          <w:tcPr>
            <w:tcW w:w="300" w:type="dxa"/>
            <w:tcBorders>
              <w:bottom w:val="single" w:sz="12" w:space="0" w:color="636466"/>
            </w:tcBorders>
            <w:tcMar>
              <w:bottom w:w="40" w:type="dxa"/>
            </w:tcMar>
            <w:vAlign w:val="center"/>
          </w:tcPr>
          <w:p>
            <w:pPr>
              <w:pStyle w:val="TableContents"/>
              <w:bidi w:val="0"/>
              <w:spacing w:before="0" w:after="283"/>
              <w:jc w:val="left"/>
              <w:rPr/>
            </w:pPr>
            <w:r>
              <w:rPr/>
              <w:t> </w:t>
            </w:r>
          </w:p>
        </w:tc>
        <w:tc>
          <w:tcPr>
            <w:tcW w:w="980" w:type="dxa"/>
            <w:tcBorders>
              <w:bottom w:val="single" w:sz="12" w:space="0" w:color="636466"/>
            </w:tcBorders>
            <w:tcMar>
              <w:bottom w:w="40" w:type="dxa"/>
            </w:tcMar>
            <w:vAlign w:val="center"/>
          </w:tcPr>
          <w:p>
            <w:pPr>
              <w:pStyle w:val="TableContents"/>
              <w:bidi w:val="0"/>
              <w:spacing w:before="0" w:after="283"/>
              <w:jc w:val="right"/>
              <w:rPr/>
            </w:pPr>
            <w:r>
              <w:rPr/>
              <w:t>1/31/2025</w:t>
            </w:r>
          </w:p>
        </w:tc>
        <w:tc>
          <w:tcPr>
            <w:tcW w:w="300" w:type="dxa"/>
            <w:tcBorders>
              <w:bottom w:val="single" w:sz="12" w:space="0" w:color="636466"/>
            </w:tcBorders>
            <w:tcMar>
              <w:bottom w:w="40" w:type="dxa"/>
            </w:tcMar>
            <w:vAlign w:val="center"/>
          </w:tcPr>
          <w:p>
            <w:pPr>
              <w:pStyle w:val="TableContents"/>
              <w:bidi w:val="0"/>
              <w:spacing w:before="0" w:after="283"/>
              <w:jc w:val="left"/>
              <w:rPr/>
            </w:pPr>
            <w:r>
              <w:rPr/>
              <w:t> </w:t>
            </w:r>
          </w:p>
        </w:tc>
        <w:tc>
          <w:tcPr>
            <w:tcW w:w="905" w:type="dxa"/>
            <w:tcBorders>
              <w:bottom w:val="single" w:sz="12" w:space="0" w:color="636466"/>
            </w:tcBorders>
            <w:tcMar>
              <w:bottom w:w="40" w:type="dxa"/>
            </w:tcMar>
            <w:vAlign w:val="center"/>
          </w:tcPr>
          <w:p>
            <w:pPr>
              <w:pStyle w:val="TableContents"/>
              <w:bidi w:val="0"/>
              <w:spacing w:before="0" w:after="283"/>
              <w:jc w:val="right"/>
              <w:rPr/>
            </w:pPr>
            <w:r>
              <w:rPr/>
              <w:t>–</w:t>
            </w:r>
          </w:p>
        </w:tc>
        <w:tc>
          <w:tcPr>
            <w:tcW w:w="300" w:type="dxa"/>
            <w:tcBorders>
              <w:bottom w:val="single" w:sz="12" w:space="0" w:color="636466"/>
            </w:tcBorders>
            <w:tcMar>
              <w:bottom w:w="40" w:type="dxa"/>
            </w:tcMar>
            <w:vAlign w:val="center"/>
          </w:tcPr>
          <w:p>
            <w:pPr>
              <w:pStyle w:val="TableContents"/>
              <w:bidi w:val="0"/>
              <w:spacing w:before="0" w:after="283"/>
              <w:jc w:val="left"/>
              <w:rPr/>
            </w:pPr>
            <w:r>
              <w:rPr/>
              <w:t> </w:t>
            </w:r>
          </w:p>
        </w:tc>
        <w:tc>
          <w:tcPr>
            <w:tcW w:w="680" w:type="dxa"/>
            <w:tcBorders>
              <w:bottom w:val="single" w:sz="12" w:space="0" w:color="636466"/>
            </w:tcBorders>
            <w:tcMar>
              <w:bottom w:w="40" w:type="dxa"/>
            </w:tcMar>
            <w:vAlign w:val="center"/>
          </w:tcPr>
          <w:p>
            <w:pPr>
              <w:pStyle w:val="TableContents"/>
              <w:bidi w:val="0"/>
              <w:spacing w:before="0" w:after="283"/>
              <w:jc w:val="right"/>
              <w:rPr/>
            </w:pPr>
            <w:r>
              <w:rPr/>
              <w:t>–</w:t>
            </w:r>
          </w:p>
        </w:tc>
        <w:tc>
          <w:tcPr>
            <w:tcW w:w="300" w:type="dxa"/>
            <w:tcBorders>
              <w:bottom w:val="single" w:sz="12" w:space="0" w:color="636466"/>
            </w:tcBorders>
            <w:tcMar>
              <w:bottom w:w="40" w:type="dxa"/>
            </w:tcMar>
            <w:vAlign w:val="center"/>
          </w:tcPr>
          <w:p>
            <w:pPr>
              <w:pStyle w:val="TableContents"/>
              <w:bidi w:val="0"/>
              <w:spacing w:before="0" w:after="283"/>
              <w:jc w:val="left"/>
              <w:rPr/>
            </w:pPr>
            <w:r>
              <w:rPr/>
              <w:t> </w:t>
            </w:r>
          </w:p>
        </w:tc>
        <w:tc>
          <w:tcPr>
            <w:tcW w:w="890" w:type="dxa"/>
            <w:tcBorders>
              <w:bottom w:val="single" w:sz="12" w:space="0" w:color="636466"/>
            </w:tcBorders>
            <w:tcMar>
              <w:bottom w:w="40" w:type="dxa"/>
            </w:tcMar>
            <w:vAlign w:val="center"/>
          </w:tcPr>
          <w:p>
            <w:pPr>
              <w:pStyle w:val="TableContents"/>
              <w:bidi w:val="0"/>
              <w:spacing w:before="0" w:after="283"/>
              <w:jc w:val="right"/>
              <w:rPr/>
            </w:pPr>
            <w:r>
              <w:rPr/>
              <w:t>–</w:t>
            </w:r>
          </w:p>
        </w:tc>
        <w:tc>
          <w:tcPr>
            <w:tcW w:w="300" w:type="dxa"/>
            <w:tcBorders>
              <w:bottom w:val="single" w:sz="12" w:space="0" w:color="636466"/>
            </w:tcBorders>
            <w:tcMar>
              <w:bottom w:w="40" w:type="dxa"/>
            </w:tcMar>
            <w:vAlign w:val="center"/>
          </w:tcPr>
          <w:p>
            <w:pPr>
              <w:pStyle w:val="TableContents"/>
              <w:bidi w:val="0"/>
              <w:spacing w:before="0" w:after="283"/>
              <w:jc w:val="left"/>
              <w:rPr/>
            </w:pPr>
            <w:r>
              <w:rPr/>
              <w:t> </w:t>
            </w:r>
          </w:p>
        </w:tc>
        <w:tc>
          <w:tcPr>
            <w:tcW w:w="1145" w:type="dxa"/>
            <w:tcBorders>
              <w:bottom w:val="single" w:sz="12" w:space="0" w:color="636466"/>
            </w:tcBorders>
            <w:tcMar>
              <w:bottom w:w="40" w:type="dxa"/>
            </w:tcMar>
            <w:vAlign w:val="center"/>
          </w:tcPr>
          <w:p>
            <w:pPr>
              <w:pStyle w:val="TableContents"/>
              <w:bidi w:val="0"/>
              <w:spacing w:before="0" w:after="283"/>
              <w:jc w:val="right"/>
              <w:rPr/>
            </w:pPr>
            <w:r>
              <w:rPr/>
              <w:t>43,300</w:t>
            </w:r>
          </w:p>
        </w:tc>
        <w:tc>
          <w:tcPr>
            <w:tcW w:w="300" w:type="dxa"/>
            <w:tcBorders>
              <w:bottom w:val="single" w:sz="12" w:space="0" w:color="636466"/>
            </w:tcBorders>
            <w:tcMar>
              <w:bottom w:w="40" w:type="dxa"/>
            </w:tcMar>
            <w:vAlign w:val="center"/>
          </w:tcPr>
          <w:p>
            <w:pPr>
              <w:pStyle w:val="TableContents"/>
              <w:bidi w:val="0"/>
              <w:spacing w:before="0" w:after="283"/>
              <w:jc w:val="left"/>
              <w:rPr/>
            </w:pPr>
            <w:r>
              <w:rPr/>
              <w:t> </w:t>
            </w:r>
          </w:p>
        </w:tc>
        <w:tc>
          <w:tcPr>
            <w:tcW w:w="1100" w:type="dxa"/>
            <w:tcBorders>
              <w:bottom w:val="single" w:sz="12" w:space="0" w:color="636466"/>
            </w:tcBorders>
            <w:tcMar>
              <w:bottom w:w="40" w:type="dxa"/>
            </w:tcMar>
            <w:vAlign w:val="center"/>
          </w:tcPr>
          <w:p>
            <w:pPr>
              <w:pStyle w:val="TableContents"/>
              <w:bidi w:val="0"/>
              <w:spacing w:before="0" w:after="283"/>
              <w:jc w:val="right"/>
              <w:rPr/>
            </w:pPr>
            <w:r>
              <w:rPr/>
              <w:t>$128.78</w:t>
            </w:r>
          </w:p>
        </w:tc>
        <w:tc>
          <w:tcPr>
            <w:tcW w:w="300" w:type="dxa"/>
            <w:tcBorders>
              <w:bottom w:val="single" w:sz="12" w:space="0" w:color="636466"/>
            </w:tcBorders>
            <w:tcMar>
              <w:bottom w:w="40" w:type="dxa"/>
            </w:tcMar>
            <w:vAlign w:val="center"/>
          </w:tcPr>
          <w:p>
            <w:pPr>
              <w:pStyle w:val="TableContents"/>
              <w:bidi w:val="0"/>
              <w:spacing w:before="0" w:after="283"/>
              <w:jc w:val="left"/>
              <w:rPr/>
            </w:pPr>
            <w:r>
              <w:rPr/>
              <w:t> </w:t>
            </w:r>
          </w:p>
        </w:tc>
        <w:tc>
          <w:tcPr>
            <w:tcW w:w="1235" w:type="dxa"/>
            <w:tcBorders>
              <w:bottom w:val="single" w:sz="12" w:space="0" w:color="636466"/>
            </w:tcBorders>
            <w:shd w:fill="EDEDEE" w:val="clear"/>
            <w:tcMar>
              <w:bottom w:w="40" w:type="dxa"/>
            </w:tcMar>
            <w:vAlign w:val="center"/>
          </w:tcPr>
          <w:p>
            <w:pPr>
              <w:pStyle w:val="TableContents"/>
              <w:bidi w:val="0"/>
              <w:spacing w:before="0" w:after="283"/>
              <w:jc w:val="right"/>
              <w:rPr/>
            </w:pPr>
            <w:r>
              <w:rPr/>
              <w:t>$1,574,821</w:t>
            </w:r>
          </w:p>
        </w:tc>
      </w:tr>
      <w:tr>
        <w:trPr/>
        <w:tc>
          <w:tcPr>
            <w:tcW w:w="1010" w:type="dxa"/>
            <w:tcBorders>
              <w:bottom w:val="single" w:sz="12" w:space="0" w:color="C12E33"/>
            </w:tcBorders>
            <w:tcMar>
              <w:bottom w:w="40" w:type="dxa"/>
            </w:tcMar>
            <w:vAlign w:val="center"/>
          </w:tcPr>
          <w:p>
            <w:pPr>
              <w:pStyle w:val="TableContents"/>
              <w:bidi w:val="0"/>
              <w:spacing w:before="0" w:after="283"/>
              <w:jc w:val="left"/>
              <w:rPr>
                <w:b/>
                <w:sz w:val="15"/>
              </w:rPr>
            </w:pPr>
            <w:r>
              <w:rPr>
                <w:b/>
                <w:sz w:val="15"/>
              </w:rPr>
              <w:t>T. Brunk</w:t>
            </w:r>
          </w:p>
        </w:tc>
        <w:tc>
          <w:tcPr>
            <w:tcW w:w="300" w:type="dxa"/>
            <w:tcBorders>
              <w:bottom w:val="single" w:sz="12" w:space="0" w:color="C12E33"/>
            </w:tcBorders>
            <w:tcMar>
              <w:bottom w:w="40" w:type="dxa"/>
            </w:tcMar>
            <w:vAlign w:val="center"/>
          </w:tcPr>
          <w:p>
            <w:pPr>
              <w:pStyle w:val="TableContents"/>
              <w:bidi w:val="0"/>
              <w:spacing w:before="0" w:after="283"/>
              <w:jc w:val="left"/>
              <w:rPr/>
            </w:pPr>
            <w:r>
              <w:rPr/>
              <w:t> </w:t>
            </w:r>
          </w:p>
        </w:tc>
        <w:tc>
          <w:tcPr>
            <w:tcW w:w="980" w:type="dxa"/>
            <w:tcBorders>
              <w:bottom w:val="single" w:sz="12" w:space="0" w:color="C12E33"/>
            </w:tcBorders>
            <w:tcMar>
              <w:bottom w:w="40" w:type="dxa"/>
            </w:tcMar>
            <w:vAlign w:val="center"/>
          </w:tcPr>
          <w:p>
            <w:pPr>
              <w:pStyle w:val="TableContents"/>
              <w:bidi w:val="0"/>
              <w:spacing w:before="0" w:after="283"/>
              <w:jc w:val="left"/>
              <w:rPr/>
            </w:pPr>
            <w:r>
              <w:rPr/>
              <w:t> </w:t>
            </w:r>
          </w:p>
        </w:tc>
        <w:tc>
          <w:tcPr>
            <w:tcW w:w="300" w:type="dxa"/>
            <w:tcBorders>
              <w:bottom w:val="single" w:sz="12" w:space="0" w:color="C12E33"/>
            </w:tcBorders>
            <w:tcMar>
              <w:bottom w:w="40" w:type="dxa"/>
            </w:tcMar>
            <w:vAlign w:val="center"/>
          </w:tcPr>
          <w:p>
            <w:pPr>
              <w:pStyle w:val="TableContents"/>
              <w:bidi w:val="0"/>
              <w:spacing w:before="0" w:after="283"/>
              <w:jc w:val="left"/>
              <w:rPr/>
            </w:pPr>
            <w:r>
              <w:rPr/>
              <w:t> </w:t>
            </w:r>
          </w:p>
        </w:tc>
        <w:tc>
          <w:tcPr>
            <w:tcW w:w="905" w:type="dxa"/>
            <w:tcBorders>
              <w:bottom w:val="single" w:sz="12" w:space="0" w:color="C12E33"/>
            </w:tcBorders>
            <w:tcMar>
              <w:bottom w:w="40" w:type="dxa"/>
            </w:tcMar>
            <w:vAlign w:val="center"/>
          </w:tcPr>
          <w:p>
            <w:pPr>
              <w:pStyle w:val="TableContents"/>
              <w:bidi w:val="0"/>
              <w:spacing w:before="0" w:after="283"/>
              <w:jc w:val="left"/>
              <w:rPr/>
            </w:pPr>
            <w:r>
              <w:rPr/>
              <w:t> </w:t>
            </w:r>
          </w:p>
        </w:tc>
        <w:tc>
          <w:tcPr>
            <w:tcW w:w="300" w:type="dxa"/>
            <w:tcBorders>
              <w:bottom w:val="single" w:sz="12" w:space="0" w:color="C12E33"/>
            </w:tcBorders>
            <w:tcMar>
              <w:bottom w:w="40" w:type="dxa"/>
            </w:tcMar>
            <w:vAlign w:val="center"/>
          </w:tcPr>
          <w:p>
            <w:pPr>
              <w:pStyle w:val="TableContents"/>
              <w:bidi w:val="0"/>
              <w:spacing w:before="0" w:after="283"/>
              <w:jc w:val="left"/>
              <w:rPr/>
            </w:pPr>
            <w:r>
              <w:rPr/>
              <w:t> </w:t>
            </w:r>
          </w:p>
        </w:tc>
        <w:tc>
          <w:tcPr>
            <w:tcW w:w="680" w:type="dxa"/>
            <w:tcBorders>
              <w:bottom w:val="single" w:sz="12" w:space="0" w:color="C12E33"/>
            </w:tcBorders>
            <w:tcMar>
              <w:bottom w:w="40" w:type="dxa"/>
            </w:tcMar>
            <w:vAlign w:val="center"/>
          </w:tcPr>
          <w:p>
            <w:pPr>
              <w:pStyle w:val="TableContents"/>
              <w:bidi w:val="0"/>
              <w:spacing w:before="0" w:after="283"/>
              <w:jc w:val="left"/>
              <w:rPr/>
            </w:pPr>
            <w:r>
              <w:rPr/>
              <w:t> </w:t>
            </w:r>
          </w:p>
        </w:tc>
        <w:tc>
          <w:tcPr>
            <w:tcW w:w="300" w:type="dxa"/>
            <w:tcBorders>
              <w:bottom w:val="single" w:sz="12" w:space="0" w:color="C12E33"/>
            </w:tcBorders>
            <w:tcMar>
              <w:bottom w:w="40" w:type="dxa"/>
            </w:tcMar>
            <w:vAlign w:val="center"/>
          </w:tcPr>
          <w:p>
            <w:pPr>
              <w:pStyle w:val="TableContents"/>
              <w:bidi w:val="0"/>
              <w:spacing w:before="0" w:after="283"/>
              <w:jc w:val="left"/>
              <w:rPr/>
            </w:pPr>
            <w:r>
              <w:rPr/>
              <w:t> </w:t>
            </w:r>
          </w:p>
        </w:tc>
        <w:tc>
          <w:tcPr>
            <w:tcW w:w="890" w:type="dxa"/>
            <w:tcBorders>
              <w:bottom w:val="single" w:sz="12" w:space="0" w:color="C12E33"/>
            </w:tcBorders>
            <w:tcMar>
              <w:bottom w:w="40" w:type="dxa"/>
            </w:tcMar>
            <w:vAlign w:val="center"/>
          </w:tcPr>
          <w:p>
            <w:pPr>
              <w:pStyle w:val="TableContents"/>
              <w:bidi w:val="0"/>
              <w:spacing w:before="0" w:after="283"/>
              <w:jc w:val="left"/>
              <w:rPr/>
            </w:pPr>
            <w:r>
              <w:rPr/>
              <w:t> </w:t>
            </w:r>
          </w:p>
        </w:tc>
        <w:tc>
          <w:tcPr>
            <w:tcW w:w="300" w:type="dxa"/>
            <w:tcBorders>
              <w:bottom w:val="single" w:sz="12" w:space="0" w:color="C12E33"/>
            </w:tcBorders>
            <w:tcMar>
              <w:bottom w:w="40" w:type="dxa"/>
            </w:tcMar>
            <w:vAlign w:val="center"/>
          </w:tcPr>
          <w:p>
            <w:pPr>
              <w:pStyle w:val="TableContents"/>
              <w:bidi w:val="0"/>
              <w:spacing w:before="0" w:after="283"/>
              <w:jc w:val="left"/>
              <w:rPr/>
            </w:pPr>
            <w:r>
              <w:rPr/>
              <w:t> </w:t>
            </w:r>
          </w:p>
        </w:tc>
        <w:tc>
          <w:tcPr>
            <w:tcW w:w="1145" w:type="dxa"/>
            <w:tcBorders>
              <w:bottom w:val="single" w:sz="12" w:space="0" w:color="C12E33"/>
            </w:tcBorders>
            <w:tcMar>
              <w:bottom w:w="40" w:type="dxa"/>
            </w:tcMar>
            <w:vAlign w:val="center"/>
          </w:tcPr>
          <w:p>
            <w:pPr>
              <w:pStyle w:val="TableContents"/>
              <w:bidi w:val="0"/>
              <w:spacing w:before="0" w:after="283"/>
              <w:jc w:val="left"/>
              <w:rPr/>
            </w:pPr>
            <w:r>
              <w:rPr/>
              <w:t> </w:t>
            </w:r>
          </w:p>
        </w:tc>
        <w:tc>
          <w:tcPr>
            <w:tcW w:w="300" w:type="dxa"/>
            <w:tcBorders>
              <w:bottom w:val="single" w:sz="12" w:space="0" w:color="C12E33"/>
            </w:tcBorders>
            <w:tcMar>
              <w:bottom w:w="40" w:type="dxa"/>
            </w:tcMar>
            <w:vAlign w:val="center"/>
          </w:tcPr>
          <w:p>
            <w:pPr>
              <w:pStyle w:val="TableContents"/>
              <w:bidi w:val="0"/>
              <w:spacing w:before="0" w:after="283"/>
              <w:jc w:val="left"/>
              <w:rPr/>
            </w:pPr>
            <w:r>
              <w:rPr/>
              <w:t> </w:t>
            </w:r>
          </w:p>
        </w:tc>
        <w:tc>
          <w:tcPr>
            <w:tcW w:w="1100" w:type="dxa"/>
            <w:tcBorders>
              <w:bottom w:val="single" w:sz="12" w:space="0" w:color="C12E33"/>
            </w:tcBorders>
            <w:tcMar>
              <w:bottom w:w="40" w:type="dxa"/>
            </w:tcMar>
            <w:vAlign w:val="center"/>
          </w:tcPr>
          <w:p>
            <w:pPr>
              <w:pStyle w:val="TableContents"/>
              <w:bidi w:val="0"/>
              <w:spacing w:before="0" w:after="283"/>
              <w:jc w:val="left"/>
              <w:rPr/>
            </w:pPr>
            <w:r>
              <w:rPr/>
              <w:t> </w:t>
            </w:r>
          </w:p>
        </w:tc>
        <w:tc>
          <w:tcPr>
            <w:tcW w:w="300" w:type="dxa"/>
            <w:tcBorders>
              <w:bottom w:val="single" w:sz="12" w:space="0" w:color="C12E33"/>
            </w:tcBorders>
            <w:tcMar>
              <w:bottom w:w="40" w:type="dxa"/>
            </w:tcMar>
            <w:vAlign w:val="center"/>
          </w:tcPr>
          <w:p>
            <w:pPr>
              <w:pStyle w:val="TableContents"/>
              <w:bidi w:val="0"/>
              <w:spacing w:before="0" w:after="283"/>
              <w:jc w:val="left"/>
              <w:rPr/>
            </w:pPr>
            <w:r>
              <w:rPr/>
              <w:t> </w:t>
            </w:r>
          </w:p>
        </w:tc>
        <w:tc>
          <w:tcPr>
            <w:tcW w:w="1235" w:type="dxa"/>
            <w:tcBorders>
              <w:bottom w:val="single" w:sz="12" w:space="0" w:color="C12E33"/>
            </w:tcBorders>
            <w:shd w:fill="EDEDEE" w:val="clear"/>
            <w:tcMar>
              <w:bottom w:w="40" w:type="dxa"/>
            </w:tcMar>
            <w:vAlign w:val="center"/>
          </w:tcPr>
          <w:p>
            <w:pPr>
              <w:pStyle w:val="TableContents"/>
              <w:bidi w:val="0"/>
              <w:spacing w:before="0" w:after="283"/>
              <w:jc w:val="left"/>
              <w:rPr/>
            </w:pPr>
            <w:r>
              <w:rPr/>
              <w:t> </w:t>
            </w:r>
          </w:p>
        </w:tc>
      </w:tr>
      <w:tr>
        <w:trPr/>
        <w:tc>
          <w:tcPr>
            <w:tcW w:w="1010" w:type="dxa"/>
            <w:tcBorders>
              <w:bottom w:val="single" w:sz="2" w:space="0" w:color="000000"/>
            </w:tcBorders>
            <w:tcMar>
              <w:bottom w:w="40" w:type="dxa"/>
            </w:tcMar>
            <w:vAlign w:val="center"/>
          </w:tcPr>
          <w:p>
            <w:pPr>
              <w:pStyle w:val="TableContents"/>
              <w:bidi w:val="0"/>
              <w:spacing w:before="0" w:after="283"/>
              <w:jc w:val="left"/>
              <w:rPr/>
            </w:pPr>
            <w:r>
              <w:rPr/>
              <w:t>2/6/2025</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980" w:type="dxa"/>
            <w:tcBorders>
              <w:bottom w:val="single" w:sz="2" w:space="0" w:color="000000"/>
            </w:tcBorders>
            <w:tcMar>
              <w:bottom w:w="40" w:type="dxa"/>
            </w:tcMar>
            <w:vAlign w:val="center"/>
          </w:tcPr>
          <w:p>
            <w:pPr>
              <w:pStyle w:val="TableContents"/>
              <w:bidi w:val="0"/>
              <w:spacing w:before="0" w:after="283"/>
              <w:jc w:val="right"/>
              <w:rPr/>
            </w:pPr>
            <w:r>
              <w:rPr/>
              <w:t>1/31/2025</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905" w:type="dxa"/>
            <w:tcBorders>
              <w:bottom w:val="single" w:sz="2" w:space="0" w:color="000000"/>
            </w:tcBorders>
            <w:tcMar>
              <w:bottom w:w="40" w:type="dxa"/>
            </w:tcMar>
            <w:vAlign w:val="center"/>
          </w:tcPr>
          <w:p>
            <w:pPr>
              <w:pStyle w:val="TableContents"/>
              <w:bidi w:val="0"/>
              <w:spacing w:before="0" w:after="283"/>
              <w:jc w:val="right"/>
              <w:rPr/>
            </w:pPr>
            <w:r>
              <w:rPr/>
              <w:t>612</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680" w:type="dxa"/>
            <w:tcBorders>
              <w:bottom w:val="single" w:sz="2" w:space="0" w:color="000000"/>
            </w:tcBorders>
            <w:tcMar>
              <w:bottom w:w="40" w:type="dxa"/>
            </w:tcMar>
            <w:vAlign w:val="center"/>
          </w:tcPr>
          <w:p>
            <w:pPr>
              <w:pStyle w:val="TableContents"/>
              <w:bidi w:val="0"/>
              <w:spacing w:before="0" w:after="283"/>
              <w:jc w:val="right"/>
              <w:rPr/>
            </w:pPr>
            <w:r>
              <w:rPr/>
              <w:t>16,310</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890" w:type="dxa"/>
            <w:tcBorders>
              <w:bottom w:val="single" w:sz="2" w:space="0" w:color="000000"/>
            </w:tcBorders>
            <w:tcMar>
              <w:bottom w:w="40" w:type="dxa"/>
            </w:tcMar>
            <w:vAlign w:val="center"/>
          </w:tcPr>
          <w:p>
            <w:pPr>
              <w:pStyle w:val="TableContents"/>
              <w:bidi w:val="0"/>
              <w:spacing w:before="0" w:after="283"/>
              <w:jc w:val="right"/>
              <w:rPr/>
            </w:pPr>
            <w:r>
              <w:rPr/>
              <w:t>32,620</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1145" w:type="dxa"/>
            <w:tcBorders>
              <w:bottom w:val="single" w:sz="2" w:space="0" w:color="000000"/>
            </w:tcBorders>
            <w:tcMar>
              <w:bottom w:w="40" w:type="dxa"/>
            </w:tcMar>
            <w:vAlign w:val="center"/>
          </w:tcPr>
          <w:p>
            <w:pPr>
              <w:pStyle w:val="TableContents"/>
              <w:bidi w:val="0"/>
              <w:spacing w:before="0" w:after="283"/>
              <w:jc w:val="right"/>
              <w:rPr/>
            </w:pPr>
            <w:r>
              <w:rPr/>
              <w:t>–</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1100" w:type="dxa"/>
            <w:tcBorders>
              <w:bottom w:val="single" w:sz="2" w:space="0" w:color="000000"/>
            </w:tcBorders>
            <w:tcMar>
              <w:bottom w:w="40" w:type="dxa"/>
            </w:tcMar>
            <w:vAlign w:val="center"/>
          </w:tcPr>
          <w:p>
            <w:pPr>
              <w:pStyle w:val="TableContents"/>
              <w:bidi w:val="0"/>
              <w:spacing w:before="0" w:after="283"/>
              <w:jc w:val="right"/>
              <w:rPr/>
            </w:pPr>
            <w:r>
              <w:rPr/>
              <w:t>–</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1235" w:type="dxa"/>
            <w:tcBorders>
              <w:bottom w:val="single" w:sz="2" w:space="0" w:color="000000"/>
            </w:tcBorders>
            <w:shd w:fill="EDEDEE" w:val="clear"/>
            <w:tcMar>
              <w:bottom w:w="40" w:type="dxa"/>
            </w:tcMar>
            <w:vAlign w:val="center"/>
          </w:tcPr>
          <w:p>
            <w:pPr>
              <w:pStyle w:val="TableContents"/>
              <w:bidi w:val="0"/>
              <w:spacing w:before="0" w:after="283"/>
              <w:jc w:val="right"/>
              <w:rPr/>
            </w:pPr>
            <w:r>
              <w:rPr/>
              <w:t>$2,219,718</w:t>
            </w:r>
          </w:p>
        </w:tc>
      </w:tr>
      <w:tr>
        <w:trPr/>
        <w:tc>
          <w:tcPr>
            <w:tcW w:w="1010" w:type="dxa"/>
            <w:tcBorders>
              <w:bottom w:val="single" w:sz="12" w:space="0" w:color="636466"/>
            </w:tcBorders>
            <w:tcMar>
              <w:bottom w:w="40" w:type="dxa"/>
            </w:tcMar>
            <w:vAlign w:val="center"/>
          </w:tcPr>
          <w:p>
            <w:pPr>
              <w:pStyle w:val="TableContents"/>
              <w:bidi w:val="0"/>
              <w:spacing w:before="0" w:after="283"/>
              <w:jc w:val="left"/>
              <w:rPr/>
            </w:pPr>
            <w:r>
              <w:rPr/>
              <w:t>2/6/2025</w:t>
            </w:r>
          </w:p>
        </w:tc>
        <w:tc>
          <w:tcPr>
            <w:tcW w:w="300" w:type="dxa"/>
            <w:tcBorders>
              <w:bottom w:val="single" w:sz="12" w:space="0" w:color="636466"/>
            </w:tcBorders>
            <w:tcMar>
              <w:bottom w:w="40" w:type="dxa"/>
            </w:tcMar>
            <w:vAlign w:val="center"/>
          </w:tcPr>
          <w:p>
            <w:pPr>
              <w:pStyle w:val="TableContents"/>
              <w:bidi w:val="0"/>
              <w:spacing w:before="0" w:after="283"/>
              <w:jc w:val="left"/>
              <w:rPr/>
            </w:pPr>
            <w:r>
              <w:rPr/>
              <w:t> </w:t>
            </w:r>
          </w:p>
        </w:tc>
        <w:tc>
          <w:tcPr>
            <w:tcW w:w="980" w:type="dxa"/>
            <w:tcBorders>
              <w:bottom w:val="single" w:sz="12" w:space="0" w:color="636466"/>
            </w:tcBorders>
            <w:tcMar>
              <w:bottom w:w="40" w:type="dxa"/>
            </w:tcMar>
            <w:vAlign w:val="center"/>
          </w:tcPr>
          <w:p>
            <w:pPr>
              <w:pStyle w:val="TableContents"/>
              <w:bidi w:val="0"/>
              <w:spacing w:before="0" w:after="283"/>
              <w:jc w:val="right"/>
              <w:rPr/>
            </w:pPr>
            <w:r>
              <w:rPr/>
              <w:t>1/31/2025</w:t>
            </w:r>
          </w:p>
        </w:tc>
        <w:tc>
          <w:tcPr>
            <w:tcW w:w="300" w:type="dxa"/>
            <w:tcBorders>
              <w:bottom w:val="single" w:sz="12" w:space="0" w:color="636466"/>
            </w:tcBorders>
            <w:tcMar>
              <w:bottom w:w="40" w:type="dxa"/>
            </w:tcMar>
            <w:vAlign w:val="center"/>
          </w:tcPr>
          <w:p>
            <w:pPr>
              <w:pStyle w:val="TableContents"/>
              <w:bidi w:val="0"/>
              <w:spacing w:before="0" w:after="283"/>
              <w:jc w:val="left"/>
              <w:rPr/>
            </w:pPr>
            <w:r>
              <w:rPr/>
              <w:t> </w:t>
            </w:r>
          </w:p>
        </w:tc>
        <w:tc>
          <w:tcPr>
            <w:tcW w:w="905" w:type="dxa"/>
            <w:tcBorders>
              <w:bottom w:val="single" w:sz="12" w:space="0" w:color="636466"/>
            </w:tcBorders>
            <w:tcMar>
              <w:bottom w:w="40" w:type="dxa"/>
            </w:tcMar>
            <w:vAlign w:val="center"/>
          </w:tcPr>
          <w:p>
            <w:pPr>
              <w:pStyle w:val="TableContents"/>
              <w:bidi w:val="0"/>
              <w:spacing w:before="0" w:after="283"/>
              <w:jc w:val="right"/>
              <w:rPr/>
            </w:pPr>
            <w:r>
              <w:rPr/>
              <w:t>–</w:t>
            </w:r>
          </w:p>
        </w:tc>
        <w:tc>
          <w:tcPr>
            <w:tcW w:w="300" w:type="dxa"/>
            <w:tcBorders>
              <w:bottom w:val="single" w:sz="12" w:space="0" w:color="636466"/>
            </w:tcBorders>
            <w:tcMar>
              <w:bottom w:w="40" w:type="dxa"/>
            </w:tcMar>
            <w:vAlign w:val="center"/>
          </w:tcPr>
          <w:p>
            <w:pPr>
              <w:pStyle w:val="TableContents"/>
              <w:bidi w:val="0"/>
              <w:spacing w:before="0" w:after="283"/>
              <w:jc w:val="left"/>
              <w:rPr/>
            </w:pPr>
            <w:r>
              <w:rPr/>
              <w:t> </w:t>
            </w:r>
          </w:p>
        </w:tc>
        <w:tc>
          <w:tcPr>
            <w:tcW w:w="680" w:type="dxa"/>
            <w:tcBorders>
              <w:bottom w:val="single" w:sz="12" w:space="0" w:color="636466"/>
            </w:tcBorders>
            <w:tcMar>
              <w:bottom w:w="40" w:type="dxa"/>
            </w:tcMar>
            <w:vAlign w:val="center"/>
          </w:tcPr>
          <w:p>
            <w:pPr>
              <w:pStyle w:val="TableContents"/>
              <w:bidi w:val="0"/>
              <w:spacing w:before="0" w:after="283"/>
              <w:jc w:val="right"/>
              <w:rPr/>
            </w:pPr>
            <w:r>
              <w:rPr/>
              <w:t>–</w:t>
            </w:r>
          </w:p>
        </w:tc>
        <w:tc>
          <w:tcPr>
            <w:tcW w:w="300" w:type="dxa"/>
            <w:tcBorders>
              <w:bottom w:val="single" w:sz="12" w:space="0" w:color="636466"/>
            </w:tcBorders>
            <w:tcMar>
              <w:bottom w:w="40" w:type="dxa"/>
            </w:tcMar>
            <w:vAlign w:val="center"/>
          </w:tcPr>
          <w:p>
            <w:pPr>
              <w:pStyle w:val="TableContents"/>
              <w:bidi w:val="0"/>
              <w:spacing w:before="0" w:after="283"/>
              <w:jc w:val="left"/>
              <w:rPr/>
            </w:pPr>
            <w:r>
              <w:rPr/>
              <w:t> </w:t>
            </w:r>
          </w:p>
        </w:tc>
        <w:tc>
          <w:tcPr>
            <w:tcW w:w="890" w:type="dxa"/>
            <w:tcBorders>
              <w:bottom w:val="single" w:sz="12" w:space="0" w:color="636466"/>
            </w:tcBorders>
            <w:tcMar>
              <w:bottom w:w="40" w:type="dxa"/>
            </w:tcMar>
            <w:vAlign w:val="center"/>
          </w:tcPr>
          <w:p>
            <w:pPr>
              <w:pStyle w:val="TableContents"/>
              <w:bidi w:val="0"/>
              <w:spacing w:before="0" w:after="283"/>
              <w:jc w:val="right"/>
              <w:rPr/>
            </w:pPr>
            <w:r>
              <w:rPr/>
              <w:t>–</w:t>
            </w:r>
          </w:p>
        </w:tc>
        <w:tc>
          <w:tcPr>
            <w:tcW w:w="300" w:type="dxa"/>
            <w:tcBorders>
              <w:bottom w:val="single" w:sz="12" w:space="0" w:color="636466"/>
            </w:tcBorders>
            <w:tcMar>
              <w:bottom w:w="40" w:type="dxa"/>
            </w:tcMar>
            <w:vAlign w:val="center"/>
          </w:tcPr>
          <w:p>
            <w:pPr>
              <w:pStyle w:val="TableContents"/>
              <w:bidi w:val="0"/>
              <w:spacing w:before="0" w:after="283"/>
              <w:jc w:val="left"/>
              <w:rPr/>
            </w:pPr>
            <w:r>
              <w:rPr/>
              <w:t> </w:t>
            </w:r>
          </w:p>
        </w:tc>
        <w:tc>
          <w:tcPr>
            <w:tcW w:w="1145" w:type="dxa"/>
            <w:tcBorders>
              <w:bottom w:val="single" w:sz="12" w:space="0" w:color="636466"/>
            </w:tcBorders>
            <w:tcMar>
              <w:bottom w:w="40" w:type="dxa"/>
            </w:tcMar>
            <w:vAlign w:val="center"/>
          </w:tcPr>
          <w:p>
            <w:pPr>
              <w:pStyle w:val="TableContents"/>
              <w:bidi w:val="0"/>
              <w:spacing w:before="0" w:after="283"/>
              <w:jc w:val="right"/>
              <w:rPr/>
            </w:pPr>
            <w:r>
              <w:rPr/>
              <w:t>37,900</w:t>
            </w:r>
          </w:p>
        </w:tc>
        <w:tc>
          <w:tcPr>
            <w:tcW w:w="300" w:type="dxa"/>
            <w:tcBorders>
              <w:bottom w:val="single" w:sz="12" w:space="0" w:color="636466"/>
            </w:tcBorders>
            <w:tcMar>
              <w:bottom w:w="40" w:type="dxa"/>
            </w:tcMar>
            <w:vAlign w:val="center"/>
          </w:tcPr>
          <w:p>
            <w:pPr>
              <w:pStyle w:val="TableContents"/>
              <w:bidi w:val="0"/>
              <w:spacing w:before="0" w:after="283"/>
              <w:jc w:val="left"/>
              <w:rPr/>
            </w:pPr>
            <w:r>
              <w:rPr/>
              <w:t> </w:t>
            </w:r>
          </w:p>
        </w:tc>
        <w:tc>
          <w:tcPr>
            <w:tcW w:w="1100" w:type="dxa"/>
            <w:tcBorders>
              <w:bottom w:val="single" w:sz="12" w:space="0" w:color="636466"/>
            </w:tcBorders>
            <w:tcMar>
              <w:bottom w:w="40" w:type="dxa"/>
            </w:tcMar>
            <w:vAlign w:val="center"/>
          </w:tcPr>
          <w:p>
            <w:pPr>
              <w:pStyle w:val="TableContents"/>
              <w:bidi w:val="0"/>
              <w:spacing w:before="0" w:after="283"/>
              <w:jc w:val="right"/>
              <w:rPr/>
            </w:pPr>
            <w:r>
              <w:rPr/>
              <w:t>$128.78</w:t>
            </w:r>
          </w:p>
        </w:tc>
        <w:tc>
          <w:tcPr>
            <w:tcW w:w="300" w:type="dxa"/>
            <w:tcBorders>
              <w:bottom w:val="single" w:sz="12" w:space="0" w:color="636466"/>
            </w:tcBorders>
            <w:tcMar>
              <w:bottom w:w="40" w:type="dxa"/>
            </w:tcMar>
            <w:vAlign w:val="center"/>
          </w:tcPr>
          <w:p>
            <w:pPr>
              <w:pStyle w:val="TableContents"/>
              <w:bidi w:val="0"/>
              <w:spacing w:before="0" w:after="283"/>
              <w:jc w:val="left"/>
              <w:rPr/>
            </w:pPr>
            <w:r>
              <w:rPr/>
              <w:t> </w:t>
            </w:r>
          </w:p>
        </w:tc>
        <w:tc>
          <w:tcPr>
            <w:tcW w:w="1235" w:type="dxa"/>
            <w:tcBorders>
              <w:bottom w:val="single" w:sz="12" w:space="0" w:color="636466"/>
            </w:tcBorders>
            <w:shd w:fill="EDEDEE" w:val="clear"/>
            <w:tcMar>
              <w:bottom w:w="40" w:type="dxa"/>
            </w:tcMar>
            <w:vAlign w:val="center"/>
          </w:tcPr>
          <w:p>
            <w:pPr>
              <w:pStyle w:val="TableContents"/>
              <w:bidi w:val="0"/>
              <w:spacing w:before="0" w:after="283"/>
              <w:jc w:val="right"/>
              <w:rPr/>
            </w:pPr>
            <w:r>
              <w:rPr/>
              <w:t>$1,378,423</w:t>
            </w:r>
          </w:p>
        </w:tc>
      </w:tr>
    </w:tbl>
    <w:tbl>
      <w:tblPr>
        <w:tblW w:w="10205" w:type="dxa"/>
        <w:jc w:val="left"/>
        <w:tblInd w:w="0" w:type="dxa"/>
        <w:tblLayout w:type="fixed"/>
        <w:tblCellMar>
          <w:top w:w="0" w:type="dxa"/>
          <w:left w:w="0" w:type="dxa"/>
          <w:bottom w:w="0" w:type="dxa"/>
          <w:right w:w="0" w:type="dxa"/>
        </w:tblCellMar>
      </w:tblPr>
      <w:tblGrid>
        <w:gridCol w:w="236"/>
        <w:gridCol w:w="9969"/>
      </w:tblGrid>
      <w:tr>
        <w:trPr/>
        <w:tc>
          <w:tcPr>
            <w:tcW w:w="236" w:type="dxa"/>
            <w:tcBorders/>
            <w:vAlign w:val="center"/>
          </w:tcPr>
          <w:p>
            <w:pPr>
              <w:pStyle w:val="TableContents"/>
              <w:bidi w:val="0"/>
              <w:spacing w:before="0" w:after="283"/>
              <w:jc w:val="left"/>
              <w:rPr/>
            </w:pPr>
            <w:r>
              <w:rPr/>
              <w:t>(1)</w:t>
            </w:r>
          </w:p>
        </w:tc>
        <w:tc>
          <w:tcPr>
            <w:tcW w:w="9969" w:type="dxa"/>
            <w:tcBorders/>
            <w:vAlign w:val="center"/>
          </w:tcPr>
          <w:p>
            <w:pPr>
              <w:pStyle w:val="TableContents"/>
              <w:bidi w:val="0"/>
              <w:spacing w:before="0" w:after="283"/>
              <w:jc w:val="left"/>
              <w:rPr/>
            </w:pPr>
            <w:r>
              <w:rPr/>
              <w:t>Reflects the number of PSUs granted under the RTX LTIP during 2025, which vest based on Company performance relative to four performance metrics and the executive’s continued employment, except in the case of death, disability, qualifying separation within two years of a change-in-control, retirement or certain involuntary terminations. Vesting occurs following the three-year performance period with payouts ranging from 3.75%, if threshold performance is achieved for one of the TSR metrics that are weighted at 15%, to a maximum payout of 200%, if maximum performance is achieved for all four metrics. If RTX’s three-year TSR is negative, the payout for each TSR portion of the award is capped at 100%, regardless of RTX’s performance relative to the companies within the S&amp;P 500 Index and our Core A&amp;D Peers. Unvested PSUs do not earn dividend equivalents. Vested PSUs are settled in unrestricted shares of RTX Common Stock at the end of the performance period following the HCC Committee’s review and approval of performance achievement levels.</w:t>
            </w:r>
          </w:p>
        </w:tc>
      </w:tr>
      <w:tr>
        <w:trPr/>
        <w:tc>
          <w:tcPr>
            <w:tcW w:w="236" w:type="dxa"/>
            <w:tcBorders/>
            <w:vAlign w:val="center"/>
          </w:tcPr>
          <w:p>
            <w:pPr>
              <w:pStyle w:val="TableContents"/>
              <w:bidi w:val="0"/>
              <w:spacing w:before="0" w:after="283"/>
              <w:jc w:val="left"/>
              <w:rPr/>
            </w:pPr>
            <w:r>
              <w:rPr/>
              <w:t>(2)</w:t>
            </w:r>
          </w:p>
        </w:tc>
        <w:tc>
          <w:tcPr>
            <w:tcW w:w="9969" w:type="dxa"/>
            <w:tcBorders/>
            <w:vAlign w:val="center"/>
          </w:tcPr>
          <w:p>
            <w:pPr>
              <w:pStyle w:val="TableContents"/>
              <w:bidi w:val="0"/>
              <w:spacing w:before="0" w:after="283"/>
              <w:jc w:val="left"/>
              <w:rPr/>
            </w:pPr>
            <w:r>
              <w:rPr/>
              <w:t>Reflects the number of SARs granted under the RTX LTIP during 2025, which vest and become exercisable three years from the grant date. Vesting is subject to the executive’s continued employment, except in the case of death, disability, qualifying separation within two years of a change-in-control, retirement and certain involuntary terminations. Exercised SARs are settled in unrestricted shares of RTX Common Stock.</w:t>
            </w:r>
          </w:p>
        </w:tc>
      </w:tr>
      <w:tr>
        <w:trPr/>
        <w:tc>
          <w:tcPr>
            <w:tcW w:w="236" w:type="dxa"/>
            <w:tcBorders/>
            <w:vAlign w:val="center"/>
          </w:tcPr>
          <w:p>
            <w:pPr>
              <w:pStyle w:val="TableContents"/>
              <w:bidi w:val="0"/>
              <w:spacing w:before="0" w:after="283"/>
              <w:jc w:val="left"/>
              <w:rPr/>
            </w:pPr>
            <w:r>
              <w:rPr/>
              <w:t>(3)</w:t>
            </w:r>
          </w:p>
        </w:tc>
        <w:tc>
          <w:tcPr>
            <w:tcW w:w="9969" w:type="dxa"/>
            <w:tcBorders/>
            <w:vAlign w:val="center"/>
          </w:tcPr>
          <w:p>
            <w:pPr>
              <w:pStyle w:val="TableContents"/>
              <w:bidi w:val="0"/>
              <w:spacing w:before="0" w:after="283"/>
              <w:jc w:val="left"/>
              <w:rPr/>
            </w:pPr>
            <w:r>
              <w:rPr/>
              <w:t>The SAR exercise price equals the NYSE closing price of RTX Common Stock on the grant date.</w:t>
            </w:r>
          </w:p>
        </w:tc>
      </w:tr>
      <w:tr>
        <w:trPr/>
        <w:tc>
          <w:tcPr>
            <w:tcW w:w="236" w:type="dxa"/>
            <w:tcBorders/>
            <w:vAlign w:val="center"/>
          </w:tcPr>
          <w:p>
            <w:pPr>
              <w:pStyle w:val="TableContents"/>
              <w:bidi w:val="0"/>
              <w:spacing w:before="0" w:after="283"/>
              <w:jc w:val="left"/>
              <w:rPr/>
            </w:pPr>
            <w:r>
              <w:rPr/>
              <w:t>(4)</w:t>
            </w:r>
          </w:p>
        </w:tc>
        <w:tc>
          <w:tcPr>
            <w:tcW w:w="9969" w:type="dxa"/>
            <w:tcBorders/>
            <w:vAlign w:val="center"/>
          </w:tcPr>
          <w:p>
            <w:pPr>
              <w:pStyle w:val="TableContents"/>
              <w:bidi w:val="0"/>
              <w:spacing w:before="0" w:after="283"/>
              <w:jc w:val="left"/>
              <w:rPr/>
            </w:pPr>
            <w:r>
              <w:rPr/>
              <w:t>Reflects the grant date fair value of awards granted in 2025, with vesting assumed at 100% of target for PSUs. Values are calculated in accordance with FASB ASC Topic 718 but exclude the effect of estimated forfeitures.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15"/>
        </w:rPr>
      </w:pPr>
      <w:r>
        <w:rPr>
          <w:rFonts w:ascii="Arial;Helvetica;Sans-Serif" w:hAnsi="Arial;Helvetica;Sans-Serif"/>
          <w:b/>
          <w:i w:val="false"/>
          <w:caps w:val="false"/>
          <w:smallCaps w:val="false"/>
          <w:sz w:val="15"/>
        </w:rPr>
        <w:t xml:space="preserve">66    RTX </w:t>
      </w:r>
      <w:r>
        <w:rPr>
          <w:rFonts w:ascii="Arial;Helvetica;Sans-Serif" w:hAnsi="Arial;Helvetica;Sans-Serif"/>
          <w:b w:val="false"/>
          <w:i w:val="false"/>
          <w:caps w:val="false"/>
          <w:smallCaps w:val="false"/>
          <w:sz w:val="15"/>
        </w:rPr>
        <w:t>2026 PROXY STATEMENT</w:t>
      </w:r>
    </w:p>
    <w:p>
      <w:pPr>
        <w:pStyle w:val="HorizontalLine"/>
        <w:pBdr>
          <w:bottom w:val="double" w:sz="2" w:space="0" w:color="808080"/>
        </w:pBdr>
        <w:bidi w:val="0"/>
        <w:spacing w:before="0" w:after="283"/>
        <w:jc w:val="left"/>
        <w:rPr/>
      </w:pPr>
      <w:r>
        <w:rPr/>
      </w:r>
    </w:p>
    <w:p>
      <w:pPr>
        <w:pStyle w:val="TextBody"/>
        <w:bidi w:val="0"/>
        <w:spacing w:before="200" w:after="200"/>
        <w:jc w:val="left"/>
        <w:rPr/>
      </w:pPr>
      <w:hyperlink w:anchor="toc">
        <w:r>
          <w:rPr>
            <w:rStyle w:val="InternetLink"/>
            <w:rFonts w:ascii="Arial;Helvetica;Sans-Serif" w:hAnsi="Arial;Helvetica;Sans-Serif"/>
            <w:b/>
            <w:i w:val="false"/>
            <w:caps w:val="false"/>
            <w:smallCaps w:val="false"/>
            <w:sz w:val="16"/>
          </w:rPr>
          <w:t>Table of Contents</w:t>
        </w:r>
      </w:hyperlink>
    </w:p>
    <w:p>
      <w:pPr>
        <w:pStyle w:val="TextBody"/>
        <w:bidi w:val="0"/>
        <w:spacing w:before="0" w:after="0"/>
        <w:ind w:left="0" w:right="0" w:hanging="0"/>
        <w:jc w:val="right"/>
        <w:rPr>
          <w:rFonts w:ascii="Arial;Helvetica;Sans-Serif" w:hAnsi="Arial;Helvetica;Sans-Serif"/>
          <w:b/>
          <w:i w:val="false"/>
          <w:caps w:val="false"/>
          <w:smallCaps w:val="false"/>
          <w:color w:val="C12E33"/>
          <w:sz w:val="15"/>
        </w:rPr>
      </w:pPr>
      <w:r>
        <w:rPr>
          <w:rFonts w:ascii="Arial;Helvetica;Sans-Serif" w:hAnsi="Arial;Helvetica;Sans-Serif"/>
          <w:b/>
          <w:i w:val="false"/>
          <w:caps w:val="false"/>
          <w:smallCaps w:val="false"/>
          <w:color w:val="C12E33"/>
          <w:sz w:val="15"/>
        </w:rPr>
        <w:t>COMPENSATION TABLES</w:t>
      </w:r>
    </w:p>
    <w:p>
      <w:pPr>
        <w:pStyle w:val="TextBody"/>
        <w:bidi w:val="0"/>
        <w:spacing w:before="0" w:after="0"/>
        <w:ind w:left="0" w:right="0" w:hanging="0"/>
        <w:jc w:val="righ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OUTSTANDING EQUITY AWARDS AT FISCAL YEAR-END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34"/>
        </w:rPr>
      </w:pPr>
      <w:r>
        <w:rPr>
          <w:rFonts w:ascii="Arial;Helvetica;Sans-Serif" w:hAnsi="Arial;Helvetica;Sans-Serif"/>
          <w:b/>
          <w:i w:val="false"/>
          <w:caps w:val="false"/>
          <w:smallCaps w:val="false"/>
          <w:sz w:val="34"/>
        </w:rPr>
        <w:t>Outstanding Equity Awards at Fiscal Year-End</w:t>
      </w:r>
    </w:p>
    <w:p>
      <w:pPr>
        <w:pStyle w:val="TextBody"/>
        <w:bidi w:val="0"/>
        <w:spacing w:before="0" w:after="0"/>
        <w:ind w:left="0" w:right="0" w:hanging="0"/>
        <w:jc w:val="left"/>
        <w:rPr>
          <w:caps w:val="false"/>
          <w:smallCaps w:val="false"/>
        </w:rPr>
      </w:pPr>
      <w:r>
        <w:rPr>
          <w:caps w:val="false"/>
          <w:smallCaps w:val="false"/>
        </w:rPr>
        <w:t> </w:t>
      </w:r>
    </w:p>
    <w:tbl>
      <w:tblPr>
        <w:tblW w:w="12375" w:type="dxa"/>
        <w:jc w:val="left"/>
        <w:tblInd w:w="0" w:type="dxa"/>
        <w:tblLayout w:type="fixed"/>
        <w:tblCellMar>
          <w:top w:w="0" w:type="dxa"/>
          <w:left w:w="0" w:type="dxa"/>
          <w:bottom w:w="0" w:type="dxa"/>
          <w:right w:w="0" w:type="dxa"/>
        </w:tblCellMar>
      </w:tblPr>
      <w:tblGrid>
        <w:gridCol w:w="875"/>
        <w:gridCol w:w="300"/>
        <w:gridCol w:w="1265"/>
        <w:gridCol w:w="300"/>
        <w:gridCol w:w="1595"/>
        <w:gridCol w:w="300"/>
        <w:gridCol w:w="875"/>
        <w:gridCol w:w="300"/>
        <w:gridCol w:w="1115"/>
        <w:gridCol w:w="300"/>
        <w:gridCol w:w="875"/>
        <w:gridCol w:w="300"/>
        <w:gridCol w:w="1100"/>
        <w:gridCol w:w="300"/>
        <w:gridCol w:w="1040"/>
        <w:gridCol w:w="300"/>
        <w:gridCol w:w="1235"/>
      </w:tblGrid>
      <w:tr>
        <w:trPr/>
        <w:tc>
          <w:tcPr>
            <w:tcW w:w="875" w:type="dxa"/>
            <w:tcBorders/>
            <w:vAlign w:val="center"/>
          </w:tcPr>
          <w:p>
            <w:pPr>
              <w:pStyle w:val="TableContents"/>
              <w:bidi w:val="0"/>
              <w:spacing w:before="0" w:after="283"/>
              <w:jc w:val="left"/>
              <w:rPr>
                <w:color w:val="636466"/>
              </w:rPr>
            </w:pPr>
            <w:r>
              <w:rPr>
                <w:color w:val="636466"/>
              </w:rPr>
              <w:t> </w:t>
            </w:r>
          </w:p>
        </w:tc>
        <w:tc>
          <w:tcPr>
            <w:tcW w:w="300" w:type="dxa"/>
            <w:tcBorders/>
            <w:vAlign w:val="center"/>
          </w:tcPr>
          <w:p>
            <w:pPr>
              <w:pStyle w:val="TableContents"/>
              <w:bidi w:val="0"/>
              <w:spacing w:before="0" w:after="283"/>
              <w:jc w:val="left"/>
              <w:rPr>
                <w:color w:val="636466"/>
              </w:rPr>
            </w:pPr>
            <w:r>
              <w:rPr>
                <w:color w:val="636466"/>
              </w:rPr>
              <w:t> </w:t>
            </w:r>
          </w:p>
        </w:tc>
        <w:tc>
          <w:tcPr>
            <w:tcW w:w="5750" w:type="dxa"/>
            <w:gridSpan w:val="7"/>
            <w:tcBorders>
              <w:bottom w:val="single" w:sz="12" w:space="0" w:color="C12E33"/>
            </w:tcBorders>
            <w:tcMar>
              <w:bottom w:w="40" w:type="dxa"/>
            </w:tcMar>
            <w:vAlign w:val="center"/>
          </w:tcPr>
          <w:p>
            <w:pPr>
              <w:pStyle w:val="TableContents"/>
              <w:bidi w:val="0"/>
              <w:spacing w:before="0" w:after="283"/>
              <w:jc w:val="center"/>
              <w:rPr>
                <w:b/>
                <w:color w:val="636466"/>
              </w:rPr>
            </w:pPr>
            <w:r>
              <w:rPr>
                <w:b/>
                <w:color w:val="636466"/>
              </w:rPr>
              <w:t>Option Awards</w:t>
            </w:r>
          </w:p>
        </w:tc>
        <w:tc>
          <w:tcPr>
            <w:tcW w:w="300" w:type="dxa"/>
            <w:tcBorders/>
            <w:vAlign w:val="center"/>
          </w:tcPr>
          <w:p>
            <w:pPr>
              <w:pStyle w:val="TableContents"/>
              <w:bidi w:val="0"/>
              <w:spacing w:before="0" w:after="283"/>
              <w:jc w:val="left"/>
              <w:rPr>
                <w:color w:val="636466"/>
              </w:rPr>
            </w:pPr>
            <w:r>
              <w:rPr>
                <w:color w:val="636466"/>
              </w:rPr>
              <w:t> </w:t>
            </w:r>
          </w:p>
        </w:tc>
        <w:tc>
          <w:tcPr>
            <w:tcW w:w="5150" w:type="dxa"/>
            <w:gridSpan w:val="7"/>
            <w:tcBorders>
              <w:bottom w:val="single" w:sz="12" w:space="0" w:color="C12E33"/>
            </w:tcBorders>
            <w:tcMar>
              <w:bottom w:w="40" w:type="dxa"/>
            </w:tcMar>
            <w:vAlign w:val="center"/>
          </w:tcPr>
          <w:p>
            <w:pPr>
              <w:pStyle w:val="TableContents"/>
              <w:bidi w:val="0"/>
              <w:spacing w:before="0" w:after="283"/>
              <w:jc w:val="center"/>
              <w:rPr>
                <w:b/>
                <w:color w:val="636466"/>
              </w:rPr>
            </w:pPr>
            <w:r>
              <w:rPr>
                <w:b/>
                <w:color w:val="636466"/>
              </w:rPr>
              <w:t>Stock Awards</w:t>
            </w:r>
          </w:p>
        </w:tc>
      </w:tr>
      <w:tr>
        <w:trPr/>
        <w:tc>
          <w:tcPr>
            <w:tcW w:w="875" w:type="dxa"/>
            <w:tcBorders>
              <w:bottom w:val="single" w:sz="12" w:space="0" w:color="C12E33"/>
            </w:tcBorders>
            <w:tcMar>
              <w:bottom w:w="40" w:type="dxa"/>
            </w:tcMar>
            <w:vAlign w:val="center"/>
          </w:tcPr>
          <w:p>
            <w:pPr>
              <w:pStyle w:val="TableContents"/>
              <w:bidi w:val="0"/>
              <w:spacing w:before="0" w:after="283"/>
              <w:jc w:val="left"/>
              <w:rPr>
                <w:b/>
                <w:color w:val="636466"/>
              </w:rPr>
            </w:pPr>
            <w:r>
              <w:rPr>
                <w:b/>
                <w:color w:val="636466"/>
              </w:rPr>
              <w:t>Grant Date</w:t>
            </w:r>
          </w:p>
        </w:tc>
        <w:tc>
          <w:tcPr>
            <w:tcW w:w="300" w:type="dxa"/>
            <w:tcBorders>
              <w:bottom w:val="single" w:sz="12" w:space="0" w:color="C12E33"/>
            </w:tcBorders>
            <w:tcMar>
              <w:bottom w:w="40" w:type="dxa"/>
            </w:tcMar>
            <w:vAlign w:val="center"/>
          </w:tcPr>
          <w:p>
            <w:pPr>
              <w:pStyle w:val="TableContents"/>
              <w:bidi w:val="0"/>
              <w:spacing w:before="0" w:after="283"/>
              <w:jc w:val="left"/>
              <w:rPr>
                <w:color w:val="636466"/>
              </w:rPr>
            </w:pPr>
            <w:r>
              <w:rPr>
                <w:color w:val="636466"/>
              </w:rPr>
              <w:t>     </w:t>
            </w:r>
          </w:p>
        </w:tc>
        <w:tc>
          <w:tcPr>
            <w:tcW w:w="1265" w:type="dxa"/>
            <w:tcBorders>
              <w:bottom w:val="single" w:sz="12" w:space="0" w:color="C12E33"/>
            </w:tcBorders>
            <w:tcMar>
              <w:bottom w:w="40" w:type="dxa"/>
            </w:tcMar>
            <w:vAlign w:val="center"/>
          </w:tcPr>
          <w:p>
            <w:pPr>
              <w:pStyle w:val="TableContents"/>
              <w:bidi w:val="0"/>
              <w:spacing w:before="0" w:after="283"/>
              <w:jc w:val="right"/>
              <w:rPr>
                <w:color w:val="636466"/>
              </w:rPr>
            </w:pPr>
            <w:r>
              <w:rPr>
                <w:b/>
                <w:color w:val="636466"/>
              </w:rPr>
              <w:t>Number of</w:t>
            </w:r>
            <w:r>
              <w:rPr>
                <w:color w:val="636466"/>
              </w:rPr>
              <w:br/>
            </w:r>
            <w:r>
              <w:rPr>
                <w:b/>
                <w:color w:val="636466"/>
              </w:rPr>
              <w:t>Securities</w:t>
            </w:r>
            <w:r>
              <w:rPr>
                <w:color w:val="636466"/>
              </w:rPr>
              <w:br/>
            </w:r>
            <w:r>
              <w:rPr>
                <w:b/>
                <w:color w:val="636466"/>
              </w:rPr>
              <w:t>Underlying</w:t>
            </w:r>
            <w:r>
              <w:rPr>
                <w:color w:val="636466"/>
              </w:rPr>
              <w:br/>
            </w:r>
            <w:r>
              <w:rPr>
                <w:b/>
                <w:color w:val="636466"/>
              </w:rPr>
              <w:t>Unexercised</w:t>
            </w:r>
            <w:r>
              <w:rPr>
                <w:color w:val="636466"/>
              </w:rPr>
              <w:br/>
            </w:r>
            <w:r>
              <w:rPr>
                <w:b/>
                <w:color w:val="636466"/>
              </w:rPr>
              <w:t>Options (#)</w:t>
            </w:r>
            <w:r>
              <w:rPr>
                <w:color w:val="636466"/>
              </w:rPr>
              <w:br/>
            </w:r>
            <w:r>
              <w:rPr>
                <w:b/>
                <w:color w:val="636466"/>
              </w:rPr>
              <w:t>(Exercisable)</w:t>
            </w:r>
          </w:p>
        </w:tc>
        <w:tc>
          <w:tcPr>
            <w:tcW w:w="300" w:type="dxa"/>
            <w:tcBorders>
              <w:bottom w:val="single" w:sz="12" w:space="0" w:color="C12E33"/>
            </w:tcBorders>
            <w:tcMar>
              <w:bottom w:w="40" w:type="dxa"/>
            </w:tcMar>
            <w:vAlign w:val="center"/>
          </w:tcPr>
          <w:p>
            <w:pPr>
              <w:pStyle w:val="TableContents"/>
              <w:bidi w:val="0"/>
              <w:spacing w:before="0" w:after="283"/>
              <w:jc w:val="left"/>
              <w:rPr>
                <w:color w:val="636466"/>
              </w:rPr>
            </w:pPr>
            <w:r>
              <w:rPr>
                <w:color w:val="636466"/>
              </w:rPr>
              <w:t>     </w:t>
            </w:r>
          </w:p>
        </w:tc>
        <w:tc>
          <w:tcPr>
            <w:tcW w:w="1595" w:type="dxa"/>
            <w:tcBorders>
              <w:bottom w:val="single" w:sz="12" w:space="0" w:color="C12E33"/>
            </w:tcBorders>
            <w:tcMar>
              <w:bottom w:w="40" w:type="dxa"/>
            </w:tcMar>
            <w:vAlign w:val="center"/>
          </w:tcPr>
          <w:p>
            <w:pPr>
              <w:pStyle w:val="TableContents"/>
              <w:bidi w:val="0"/>
              <w:spacing w:before="0" w:after="283"/>
              <w:jc w:val="right"/>
              <w:rPr>
                <w:color w:val="636466"/>
              </w:rPr>
            </w:pPr>
            <w:r>
              <w:rPr>
                <w:b/>
                <w:color w:val="636466"/>
              </w:rPr>
              <w:t>Number of</w:t>
            </w:r>
            <w:r>
              <w:rPr>
                <w:color w:val="636466"/>
              </w:rPr>
              <w:br/>
            </w:r>
            <w:r>
              <w:rPr>
                <w:b/>
                <w:color w:val="636466"/>
              </w:rPr>
              <w:t>Securities</w:t>
            </w:r>
            <w:r>
              <w:rPr>
                <w:color w:val="636466"/>
              </w:rPr>
              <w:br/>
            </w:r>
            <w:r>
              <w:rPr>
                <w:b/>
                <w:color w:val="636466"/>
              </w:rPr>
              <w:t>Underlying</w:t>
            </w:r>
            <w:r>
              <w:rPr>
                <w:color w:val="636466"/>
              </w:rPr>
              <w:br/>
            </w:r>
            <w:r>
              <w:rPr>
                <w:b/>
                <w:color w:val="636466"/>
              </w:rPr>
              <w:t>Unexercised</w:t>
            </w:r>
            <w:r>
              <w:rPr>
                <w:color w:val="636466"/>
              </w:rPr>
              <w:br/>
            </w:r>
            <w:r>
              <w:rPr>
                <w:b/>
                <w:color w:val="636466"/>
              </w:rPr>
              <w:t>Options (#)</w:t>
            </w:r>
            <w:r>
              <w:rPr>
                <w:color w:val="636466"/>
              </w:rPr>
              <w:br/>
            </w:r>
            <w:r>
              <w:rPr>
                <w:b/>
                <w:color w:val="636466"/>
              </w:rPr>
              <w:t>(Unexercisable)</w:t>
            </w:r>
            <w:r>
              <w:rPr>
                <w:b/>
                <w:color w:val="636466"/>
                <w:position w:val="8"/>
                <w:sz w:val="19"/>
              </w:rPr>
              <w:t>(1)</w:t>
            </w:r>
          </w:p>
        </w:tc>
        <w:tc>
          <w:tcPr>
            <w:tcW w:w="300" w:type="dxa"/>
            <w:tcBorders>
              <w:bottom w:val="single" w:sz="12" w:space="0" w:color="C12E33"/>
            </w:tcBorders>
            <w:tcMar>
              <w:bottom w:w="40" w:type="dxa"/>
            </w:tcMar>
            <w:vAlign w:val="center"/>
          </w:tcPr>
          <w:p>
            <w:pPr>
              <w:pStyle w:val="TableContents"/>
              <w:bidi w:val="0"/>
              <w:spacing w:before="0" w:after="283"/>
              <w:jc w:val="left"/>
              <w:rPr>
                <w:color w:val="636466"/>
              </w:rPr>
            </w:pPr>
            <w:r>
              <w:rPr>
                <w:color w:val="636466"/>
              </w:rPr>
              <w:t>     </w:t>
            </w:r>
          </w:p>
        </w:tc>
        <w:tc>
          <w:tcPr>
            <w:tcW w:w="875" w:type="dxa"/>
            <w:tcBorders>
              <w:bottom w:val="single" w:sz="12" w:space="0" w:color="C12E33"/>
            </w:tcBorders>
            <w:tcMar>
              <w:bottom w:w="40" w:type="dxa"/>
            </w:tcMar>
            <w:vAlign w:val="center"/>
          </w:tcPr>
          <w:p>
            <w:pPr>
              <w:pStyle w:val="TableContents"/>
              <w:bidi w:val="0"/>
              <w:spacing w:before="0" w:after="283"/>
              <w:jc w:val="right"/>
              <w:rPr>
                <w:color w:val="636466"/>
              </w:rPr>
            </w:pPr>
            <w:r>
              <w:rPr>
                <w:b/>
                <w:color w:val="636466"/>
              </w:rPr>
              <w:t>Option</w:t>
            </w:r>
            <w:r>
              <w:rPr>
                <w:color w:val="636466"/>
              </w:rPr>
              <w:br/>
            </w:r>
            <w:r>
              <w:rPr>
                <w:b/>
                <w:color w:val="636466"/>
              </w:rPr>
              <w:t>Exercise</w:t>
            </w:r>
            <w:r>
              <w:rPr>
                <w:color w:val="636466"/>
              </w:rPr>
              <w:br/>
            </w:r>
            <w:r>
              <w:rPr>
                <w:b/>
                <w:color w:val="636466"/>
              </w:rPr>
              <w:t>Price ($)</w:t>
            </w:r>
            <w:r>
              <w:rPr>
                <w:b/>
                <w:color w:val="636466"/>
                <w:position w:val="8"/>
                <w:sz w:val="19"/>
              </w:rPr>
              <w:t>(2)</w:t>
            </w:r>
          </w:p>
        </w:tc>
        <w:tc>
          <w:tcPr>
            <w:tcW w:w="300" w:type="dxa"/>
            <w:tcBorders>
              <w:bottom w:val="single" w:sz="12" w:space="0" w:color="C12E33"/>
            </w:tcBorders>
            <w:tcMar>
              <w:bottom w:w="40" w:type="dxa"/>
            </w:tcMar>
            <w:vAlign w:val="center"/>
          </w:tcPr>
          <w:p>
            <w:pPr>
              <w:pStyle w:val="TableContents"/>
              <w:bidi w:val="0"/>
              <w:spacing w:before="0" w:after="283"/>
              <w:jc w:val="left"/>
              <w:rPr>
                <w:color w:val="636466"/>
              </w:rPr>
            </w:pPr>
            <w:r>
              <w:rPr>
                <w:color w:val="636466"/>
              </w:rPr>
              <w:t>     </w:t>
            </w:r>
          </w:p>
        </w:tc>
        <w:tc>
          <w:tcPr>
            <w:tcW w:w="1115" w:type="dxa"/>
            <w:tcBorders>
              <w:bottom w:val="single" w:sz="12" w:space="0" w:color="C12E33"/>
            </w:tcBorders>
            <w:tcMar>
              <w:bottom w:w="40" w:type="dxa"/>
            </w:tcMar>
            <w:vAlign w:val="center"/>
          </w:tcPr>
          <w:p>
            <w:pPr>
              <w:pStyle w:val="TableContents"/>
              <w:bidi w:val="0"/>
              <w:spacing w:before="0" w:after="283"/>
              <w:jc w:val="right"/>
              <w:rPr>
                <w:color w:val="636466"/>
              </w:rPr>
            </w:pPr>
            <w:r>
              <w:rPr>
                <w:b/>
                <w:color w:val="636466"/>
              </w:rPr>
              <w:t>Option</w:t>
            </w:r>
            <w:r>
              <w:rPr>
                <w:color w:val="636466"/>
              </w:rPr>
              <w:br/>
            </w:r>
            <w:r>
              <w:rPr>
                <w:b/>
                <w:color w:val="636466"/>
              </w:rPr>
              <w:t>Expiration</w:t>
            </w:r>
            <w:r>
              <w:rPr>
                <w:color w:val="636466"/>
              </w:rPr>
              <w:br/>
            </w:r>
            <w:r>
              <w:rPr>
                <w:b/>
                <w:color w:val="636466"/>
              </w:rPr>
              <w:t>Date</w:t>
            </w:r>
          </w:p>
        </w:tc>
        <w:tc>
          <w:tcPr>
            <w:tcW w:w="300" w:type="dxa"/>
            <w:tcBorders>
              <w:bottom w:val="single" w:sz="12" w:space="0" w:color="C12E33"/>
            </w:tcBorders>
            <w:tcMar>
              <w:bottom w:w="40" w:type="dxa"/>
            </w:tcMar>
            <w:vAlign w:val="center"/>
          </w:tcPr>
          <w:p>
            <w:pPr>
              <w:pStyle w:val="TableContents"/>
              <w:bidi w:val="0"/>
              <w:spacing w:before="0" w:after="283"/>
              <w:jc w:val="left"/>
              <w:rPr>
                <w:color w:val="636466"/>
              </w:rPr>
            </w:pPr>
            <w:r>
              <w:rPr>
                <w:color w:val="636466"/>
              </w:rPr>
              <w:t>     </w:t>
            </w:r>
          </w:p>
        </w:tc>
        <w:tc>
          <w:tcPr>
            <w:tcW w:w="875" w:type="dxa"/>
            <w:tcBorders>
              <w:bottom w:val="single" w:sz="12" w:space="0" w:color="C12E33"/>
            </w:tcBorders>
            <w:shd w:fill="EDEDEE" w:val="clear"/>
            <w:tcMar>
              <w:bottom w:w="40" w:type="dxa"/>
            </w:tcMar>
            <w:vAlign w:val="center"/>
          </w:tcPr>
          <w:p>
            <w:pPr>
              <w:pStyle w:val="TableContents"/>
              <w:bidi w:val="0"/>
              <w:spacing w:before="0" w:after="283"/>
              <w:jc w:val="right"/>
              <w:rPr>
                <w:color w:val="636466"/>
              </w:rPr>
            </w:pPr>
            <w:r>
              <w:rPr>
                <w:b/>
                <w:color w:val="636466"/>
              </w:rPr>
              <w:t>Number of</w:t>
            </w:r>
            <w:r>
              <w:rPr>
                <w:color w:val="636466"/>
              </w:rPr>
              <w:br/>
            </w:r>
            <w:r>
              <w:rPr>
                <w:b/>
                <w:color w:val="636466"/>
              </w:rPr>
              <w:t>Shares or</w:t>
            </w:r>
            <w:r>
              <w:rPr>
                <w:color w:val="636466"/>
              </w:rPr>
              <w:br/>
            </w:r>
            <w:r>
              <w:rPr>
                <w:b/>
                <w:color w:val="636466"/>
              </w:rPr>
              <w:t>Units of Stock</w:t>
            </w:r>
            <w:r>
              <w:rPr>
                <w:color w:val="636466"/>
              </w:rPr>
              <w:br/>
            </w:r>
            <w:r>
              <w:rPr>
                <w:b/>
                <w:color w:val="636466"/>
              </w:rPr>
              <w:t>That Have Not</w:t>
            </w:r>
            <w:r>
              <w:rPr>
                <w:color w:val="636466"/>
              </w:rPr>
              <w:br/>
            </w:r>
            <w:r>
              <w:rPr>
                <w:b/>
                <w:color w:val="636466"/>
              </w:rPr>
              <w:t>Vested (#)</w:t>
            </w:r>
          </w:p>
        </w:tc>
        <w:tc>
          <w:tcPr>
            <w:tcW w:w="300" w:type="dxa"/>
            <w:tcBorders>
              <w:bottom w:val="single" w:sz="12" w:space="0" w:color="C12E33"/>
            </w:tcBorders>
            <w:shd w:fill="EDEDEE" w:val="clear"/>
            <w:tcMar>
              <w:bottom w:w="40" w:type="dxa"/>
            </w:tcMar>
            <w:vAlign w:val="center"/>
          </w:tcPr>
          <w:p>
            <w:pPr>
              <w:pStyle w:val="TableContents"/>
              <w:bidi w:val="0"/>
              <w:spacing w:before="0" w:after="283"/>
              <w:jc w:val="left"/>
              <w:rPr>
                <w:color w:val="636466"/>
              </w:rPr>
            </w:pPr>
            <w:r>
              <w:rPr>
                <w:color w:val="636466"/>
              </w:rPr>
              <w:t>     </w:t>
            </w:r>
          </w:p>
        </w:tc>
        <w:tc>
          <w:tcPr>
            <w:tcW w:w="1100" w:type="dxa"/>
            <w:tcBorders>
              <w:bottom w:val="single" w:sz="12" w:space="0" w:color="C12E33"/>
            </w:tcBorders>
            <w:shd w:fill="EDEDEE" w:val="clear"/>
            <w:tcMar>
              <w:bottom w:w="40" w:type="dxa"/>
            </w:tcMar>
            <w:vAlign w:val="center"/>
          </w:tcPr>
          <w:p>
            <w:pPr>
              <w:pStyle w:val="TableContents"/>
              <w:bidi w:val="0"/>
              <w:spacing w:before="0" w:after="283"/>
              <w:jc w:val="right"/>
              <w:rPr>
                <w:color w:val="636466"/>
              </w:rPr>
            </w:pPr>
            <w:r>
              <w:rPr>
                <w:b/>
                <w:color w:val="636466"/>
              </w:rPr>
              <w:t>Market Value of</w:t>
            </w:r>
            <w:r>
              <w:rPr>
                <w:color w:val="636466"/>
              </w:rPr>
              <w:br/>
            </w:r>
            <w:r>
              <w:rPr>
                <w:b/>
                <w:color w:val="636466"/>
              </w:rPr>
              <w:t>Shares or Units</w:t>
            </w:r>
            <w:r>
              <w:rPr>
                <w:color w:val="636466"/>
              </w:rPr>
              <w:br/>
            </w:r>
            <w:r>
              <w:rPr>
                <w:b/>
                <w:color w:val="636466"/>
              </w:rPr>
              <w:t>of Stock That</w:t>
            </w:r>
            <w:r>
              <w:rPr>
                <w:color w:val="636466"/>
              </w:rPr>
              <w:br/>
            </w:r>
            <w:r>
              <w:rPr>
                <w:b/>
                <w:color w:val="636466"/>
              </w:rPr>
              <w:t>Have Not</w:t>
            </w:r>
            <w:r>
              <w:rPr>
                <w:color w:val="636466"/>
              </w:rPr>
              <w:br/>
            </w:r>
            <w:r>
              <w:rPr>
                <w:b/>
                <w:color w:val="636466"/>
              </w:rPr>
              <w:t>Vested ($)</w:t>
            </w:r>
            <w:r>
              <w:rPr>
                <w:b/>
                <w:color w:val="636466"/>
                <w:position w:val="8"/>
                <w:sz w:val="19"/>
              </w:rPr>
              <w:t>(3)</w:t>
            </w:r>
          </w:p>
        </w:tc>
        <w:tc>
          <w:tcPr>
            <w:tcW w:w="300" w:type="dxa"/>
            <w:tcBorders>
              <w:bottom w:val="single" w:sz="12" w:space="0" w:color="C12E33"/>
            </w:tcBorders>
            <w:shd w:fill="EDEDEE" w:val="clear"/>
            <w:tcMar>
              <w:bottom w:w="40" w:type="dxa"/>
            </w:tcMar>
            <w:vAlign w:val="center"/>
          </w:tcPr>
          <w:p>
            <w:pPr>
              <w:pStyle w:val="TableContents"/>
              <w:bidi w:val="0"/>
              <w:spacing w:before="0" w:after="283"/>
              <w:jc w:val="left"/>
              <w:rPr>
                <w:color w:val="636466"/>
              </w:rPr>
            </w:pPr>
            <w:r>
              <w:rPr>
                <w:color w:val="636466"/>
              </w:rPr>
              <w:t>     </w:t>
            </w:r>
          </w:p>
        </w:tc>
        <w:tc>
          <w:tcPr>
            <w:tcW w:w="1040" w:type="dxa"/>
            <w:tcBorders>
              <w:bottom w:val="single" w:sz="12" w:space="0" w:color="C12E33"/>
            </w:tcBorders>
            <w:shd w:fill="EDEDEE" w:val="clear"/>
            <w:tcMar>
              <w:bottom w:w="40" w:type="dxa"/>
            </w:tcMar>
            <w:vAlign w:val="center"/>
          </w:tcPr>
          <w:p>
            <w:pPr>
              <w:pStyle w:val="TableContents"/>
              <w:bidi w:val="0"/>
              <w:spacing w:before="0" w:after="283"/>
              <w:jc w:val="right"/>
              <w:rPr>
                <w:color w:val="636466"/>
              </w:rPr>
            </w:pPr>
            <w:r>
              <w:rPr>
                <w:b/>
                <w:color w:val="636466"/>
              </w:rPr>
              <w:t>Equity Incentive</w:t>
            </w:r>
            <w:r>
              <w:rPr>
                <w:color w:val="636466"/>
              </w:rPr>
              <w:br/>
            </w:r>
            <w:r>
              <w:rPr>
                <w:b/>
                <w:color w:val="636466"/>
              </w:rPr>
              <w:t>Plan Awards:</w:t>
            </w:r>
            <w:r>
              <w:rPr>
                <w:color w:val="636466"/>
              </w:rPr>
              <w:br/>
            </w:r>
            <w:r>
              <w:rPr>
                <w:b/>
                <w:color w:val="636466"/>
              </w:rPr>
              <w:t>Number of</w:t>
            </w:r>
            <w:r>
              <w:rPr>
                <w:color w:val="636466"/>
              </w:rPr>
              <w:br/>
            </w:r>
            <w:r>
              <w:rPr>
                <w:b/>
                <w:color w:val="636466"/>
              </w:rPr>
              <w:t>Unearned</w:t>
            </w:r>
            <w:r>
              <w:rPr>
                <w:color w:val="636466"/>
              </w:rPr>
              <w:br/>
            </w:r>
            <w:r>
              <w:rPr>
                <w:b/>
                <w:color w:val="636466"/>
              </w:rPr>
              <w:t>Shares, Units or</w:t>
            </w:r>
            <w:r>
              <w:rPr>
                <w:color w:val="636466"/>
              </w:rPr>
              <w:br/>
            </w:r>
            <w:r>
              <w:rPr>
                <w:b/>
                <w:color w:val="636466"/>
              </w:rPr>
              <w:t>Other Rights</w:t>
            </w:r>
            <w:r>
              <w:rPr>
                <w:color w:val="636466"/>
              </w:rPr>
              <w:br/>
            </w:r>
            <w:r>
              <w:rPr>
                <w:b/>
                <w:color w:val="636466"/>
              </w:rPr>
              <w:t>That Have Not</w:t>
            </w:r>
            <w:r>
              <w:rPr>
                <w:color w:val="636466"/>
              </w:rPr>
              <w:br/>
            </w:r>
            <w:r>
              <w:rPr>
                <w:b/>
                <w:color w:val="636466"/>
              </w:rPr>
              <w:t>Vested (#)</w:t>
            </w:r>
            <w:r>
              <w:rPr>
                <w:b/>
                <w:color w:val="636466"/>
                <w:position w:val="8"/>
                <w:sz w:val="19"/>
              </w:rPr>
              <w:t>(4)</w:t>
            </w:r>
          </w:p>
        </w:tc>
        <w:tc>
          <w:tcPr>
            <w:tcW w:w="300" w:type="dxa"/>
            <w:tcBorders>
              <w:bottom w:val="single" w:sz="12" w:space="0" w:color="C12E33"/>
            </w:tcBorders>
            <w:shd w:fill="EDEDEE" w:val="clear"/>
            <w:tcMar>
              <w:bottom w:w="40" w:type="dxa"/>
            </w:tcMar>
            <w:vAlign w:val="center"/>
          </w:tcPr>
          <w:p>
            <w:pPr>
              <w:pStyle w:val="TableContents"/>
              <w:bidi w:val="0"/>
              <w:spacing w:before="0" w:after="283"/>
              <w:jc w:val="left"/>
              <w:rPr>
                <w:color w:val="636466"/>
              </w:rPr>
            </w:pPr>
            <w:r>
              <w:rPr>
                <w:color w:val="636466"/>
              </w:rPr>
              <w:t>     </w:t>
            </w:r>
          </w:p>
        </w:tc>
        <w:tc>
          <w:tcPr>
            <w:tcW w:w="1235" w:type="dxa"/>
            <w:tcBorders>
              <w:bottom w:val="single" w:sz="12" w:space="0" w:color="C12E33"/>
            </w:tcBorders>
            <w:shd w:fill="EDEDEE" w:val="clear"/>
            <w:tcMar>
              <w:bottom w:w="40" w:type="dxa"/>
            </w:tcMar>
            <w:vAlign w:val="center"/>
          </w:tcPr>
          <w:p>
            <w:pPr>
              <w:pStyle w:val="TableContents"/>
              <w:bidi w:val="0"/>
              <w:spacing w:before="0" w:after="283"/>
              <w:jc w:val="right"/>
              <w:rPr>
                <w:color w:val="636466"/>
              </w:rPr>
            </w:pPr>
            <w:r>
              <w:rPr>
                <w:b/>
                <w:color w:val="636466"/>
              </w:rPr>
              <w:t>Equity Incentive</w:t>
            </w:r>
            <w:r>
              <w:rPr>
                <w:color w:val="636466"/>
              </w:rPr>
              <w:br/>
            </w:r>
            <w:r>
              <w:rPr>
                <w:b/>
                <w:color w:val="636466"/>
              </w:rPr>
              <w:t>Plan Awards:</w:t>
            </w:r>
            <w:r>
              <w:rPr>
                <w:color w:val="636466"/>
              </w:rPr>
              <w:br/>
            </w:r>
            <w:r>
              <w:rPr>
                <w:b/>
                <w:color w:val="636466"/>
              </w:rPr>
              <w:t>Market or</w:t>
            </w:r>
            <w:r>
              <w:rPr>
                <w:color w:val="636466"/>
              </w:rPr>
              <w:br/>
            </w:r>
            <w:r>
              <w:rPr>
                <w:b/>
                <w:color w:val="636466"/>
              </w:rPr>
              <w:t>Payout Value of</w:t>
            </w:r>
            <w:r>
              <w:rPr>
                <w:color w:val="636466"/>
              </w:rPr>
              <w:br/>
            </w:r>
            <w:r>
              <w:rPr>
                <w:b/>
                <w:color w:val="636466"/>
              </w:rPr>
              <w:t>Unearned</w:t>
            </w:r>
            <w:r>
              <w:rPr>
                <w:color w:val="636466"/>
              </w:rPr>
              <w:br/>
            </w:r>
            <w:r>
              <w:rPr>
                <w:b/>
                <w:color w:val="636466"/>
              </w:rPr>
              <w:t>Shares, Units or</w:t>
            </w:r>
            <w:r>
              <w:rPr>
                <w:color w:val="636466"/>
              </w:rPr>
              <w:br/>
            </w:r>
            <w:r>
              <w:rPr>
                <w:b/>
                <w:color w:val="636466"/>
              </w:rPr>
              <w:t>Other Rights</w:t>
            </w:r>
            <w:r>
              <w:rPr>
                <w:color w:val="636466"/>
              </w:rPr>
              <w:br/>
            </w:r>
            <w:r>
              <w:rPr>
                <w:b/>
                <w:color w:val="636466"/>
              </w:rPr>
              <w:t>That Have Not</w:t>
            </w:r>
            <w:r>
              <w:rPr>
                <w:color w:val="636466"/>
              </w:rPr>
              <w:br/>
            </w:r>
            <w:r>
              <w:rPr>
                <w:b/>
                <w:color w:val="636466"/>
              </w:rPr>
              <w:t>Vested ($)</w:t>
            </w:r>
            <w:r>
              <w:rPr>
                <w:b/>
                <w:color w:val="636466"/>
                <w:position w:val="8"/>
                <w:sz w:val="19"/>
              </w:rPr>
              <w:t>(5)</w:t>
            </w:r>
          </w:p>
        </w:tc>
      </w:tr>
      <w:tr>
        <w:trPr/>
        <w:tc>
          <w:tcPr>
            <w:tcW w:w="875" w:type="dxa"/>
            <w:tcBorders>
              <w:bottom w:val="single" w:sz="12" w:space="0" w:color="C12E33"/>
            </w:tcBorders>
            <w:tcMar>
              <w:bottom w:w="40" w:type="dxa"/>
            </w:tcMar>
            <w:vAlign w:val="center"/>
          </w:tcPr>
          <w:p>
            <w:pPr>
              <w:pStyle w:val="TableContents"/>
              <w:bidi w:val="0"/>
              <w:spacing w:before="0" w:after="283"/>
              <w:jc w:val="left"/>
              <w:rPr>
                <w:b/>
              </w:rPr>
            </w:pPr>
            <w:r>
              <w:rPr>
                <w:b/>
              </w:rPr>
              <w:t>C. Calio</w:t>
            </w:r>
          </w:p>
        </w:tc>
        <w:tc>
          <w:tcPr>
            <w:tcW w:w="300" w:type="dxa"/>
            <w:tcBorders>
              <w:bottom w:val="single" w:sz="12" w:space="0" w:color="C12E33"/>
            </w:tcBorders>
            <w:tcMar>
              <w:bottom w:w="40" w:type="dxa"/>
            </w:tcMar>
            <w:vAlign w:val="center"/>
          </w:tcPr>
          <w:p>
            <w:pPr>
              <w:pStyle w:val="TableContents"/>
              <w:bidi w:val="0"/>
              <w:spacing w:before="0" w:after="283"/>
              <w:jc w:val="left"/>
              <w:rPr/>
            </w:pPr>
            <w:r>
              <w:rPr/>
              <w:t> </w:t>
            </w:r>
          </w:p>
        </w:tc>
        <w:tc>
          <w:tcPr>
            <w:tcW w:w="1265" w:type="dxa"/>
            <w:tcBorders>
              <w:bottom w:val="single" w:sz="12" w:space="0" w:color="C12E33"/>
            </w:tcBorders>
            <w:tcMar>
              <w:bottom w:w="40" w:type="dxa"/>
            </w:tcMar>
            <w:vAlign w:val="center"/>
          </w:tcPr>
          <w:p>
            <w:pPr>
              <w:pStyle w:val="TableContents"/>
              <w:bidi w:val="0"/>
              <w:spacing w:before="0" w:after="283"/>
              <w:jc w:val="left"/>
              <w:rPr/>
            </w:pPr>
            <w:r>
              <w:rPr/>
              <w:t> </w:t>
            </w:r>
          </w:p>
        </w:tc>
        <w:tc>
          <w:tcPr>
            <w:tcW w:w="300" w:type="dxa"/>
            <w:tcBorders>
              <w:bottom w:val="single" w:sz="12" w:space="0" w:color="C12E33"/>
            </w:tcBorders>
            <w:tcMar>
              <w:bottom w:w="40" w:type="dxa"/>
            </w:tcMar>
            <w:vAlign w:val="center"/>
          </w:tcPr>
          <w:p>
            <w:pPr>
              <w:pStyle w:val="TableContents"/>
              <w:bidi w:val="0"/>
              <w:spacing w:before="0" w:after="283"/>
              <w:jc w:val="left"/>
              <w:rPr/>
            </w:pPr>
            <w:r>
              <w:rPr/>
              <w:t> </w:t>
            </w:r>
          </w:p>
        </w:tc>
        <w:tc>
          <w:tcPr>
            <w:tcW w:w="1595" w:type="dxa"/>
            <w:tcBorders>
              <w:bottom w:val="single" w:sz="12" w:space="0" w:color="C12E33"/>
            </w:tcBorders>
            <w:tcMar>
              <w:bottom w:w="40" w:type="dxa"/>
            </w:tcMar>
            <w:vAlign w:val="center"/>
          </w:tcPr>
          <w:p>
            <w:pPr>
              <w:pStyle w:val="TableContents"/>
              <w:bidi w:val="0"/>
              <w:spacing w:before="0" w:after="283"/>
              <w:jc w:val="left"/>
              <w:rPr/>
            </w:pPr>
            <w:r>
              <w:rPr/>
              <w:t> </w:t>
            </w:r>
          </w:p>
        </w:tc>
        <w:tc>
          <w:tcPr>
            <w:tcW w:w="300" w:type="dxa"/>
            <w:tcBorders>
              <w:bottom w:val="single" w:sz="12" w:space="0" w:color="C12E33"/>
            </w:tcBorders>
            <w:tcMar>
              <w:bottom w:w="40" w:type="dxa"/>
            </w:tcMar>
            <w:vAlign w:val="center"/>
          </w:tcPr>
          <w:p>
            <w:pPr>
              <w:pStyle w:val="TableContents"/>
              <w:bidi w:val="0"/>
              <w:spacing w:before="0" w:after="283"/>
              <w:jc w:val="left"/>
              <w:rPr/>
            </w:pPr>
            <w:r>
              <w:rPr/>
              <w:t> </w:t>
            </w:r>
          </w:p>
        </w:tc>
        <w:tc>
          <w:tcPr>
            <w:tcW w:w="875" w:type="dxa"/>
            <w:tcBorders>
              <w:bottom w:val="single" w:sz="12" w:space="0" w:color="C12E33"/>
            </w:tcBorders>
            <w:tcMar>
              <w:bottom w:w="40" w:type="dxa"/>
            </w:tcMar>
            <w:vAlign w:val="center"/>
          </w:tcPr>
          <w:p>
            <w:pPr>
              <w:pStyle w:val="TableContents"/>
              <w:bidi w:val="0"/>
              <w:spacing w:before="0" w:after="283"/>
              <w:jc w:val="left"/>
              <w:rPr/>
            </w:pPr>
            <w:r>
              <w:rPr/>
              <w:t> </w:t>
            </w:r>
          </w:p>
        </w:tc>
        <w:tc>
          <w:tcPr>
            <w:tcW w:w="300" w:type="dxa"/>
            <w:tcBorders>
              <w:bottom w:val="single" w:sz="12" w:space="0" w:color="C12E33"/>
            </w:tcBorders>
            <w:tcMar>
              <w:bottom w:w="40" w:type="dxa"/>
            </w:tcMar>
            <w:vAlign w:val="center"/>
          </w:tcPr>
          <w:p>
            <w:pPr>
              <w:pStyle w:val="TableContents"/>
              <w:bidi w:val="0"/>
              <w:spacing w:before="0" w:after="283"/>
              <w:jc w:val="left"/>
              <w:rPr/>
            </w:pPr>
            <w:r>
              <w:rPr/>
              <w:t> </w:t>
            </w:r>
          </w:p>
        </w:tc>
        <w:tc>
          <w:tcPr>
            <w:tcW w:w="1115" w:type="dxa"/>
            <w:tcBorders>
              <w:bottom w:val="single" w:sz="12" w:space="0" w:color="C12E33"/>
            </w:tcBorders>
            <w:tcMar>
              <w:bottom w:w="40" w:type="dxa"/>
            </w:tcMar>
            <w:vAlign w:val="center"/>
          </w:tcPr>
          <w:p>
            <w:pPr>
              <w:pStyle w:val="TableContents"/>
              <w:bidi w:val="0"/>
              <w:spacing w:before="0" w:after="283"/>
              <w:jc w:val="left"/>
              <w:rPr/>
            </w:pPr>
            <w:r>
              <w:rPr/>
              <w:t> </w:t>
            </w:r>
          </w:p>
        </w:tc>
        <w:tc>
          <w:tcPr>
            <w:tcW w:w="300" w:type="dxa"/>
            <w:tcBorders>
              <w:bottom w:val="single" w:sz="12" w:space="0" w:color="C12E33"/>
            </w:tcBorders>
            <w:tcMar>
              <w:bottom w:w="40" w:type="dxa"/>
            </w:tcMar>
            <w:vAlign w:val="center"/>
          </w:tcPr>
          <w:p>
            <w:pPr>
              <w:pStyle w:val="TableContents"/>
              <w:bidi w:val="0"/>
              <w:spacing w:before="0" w:after="283"/>
              <w:jc w:val="left"/>
              <w:rPr/>
            </w:pPr>
            <w:r>
              <w:rPr/>
              <w:t> </w:t>
            </w:r>
          </w:p>
        </w:tc>
        <w:tc>
          <w:tcPr>
            <w:tcW w:w="875" w:type="dxa"/>
            <w:tcBorders>
              <w:bottom w:val="single" w:sz="12" w:space="0" w:color="C12E33"/>
            </w:tcBorders>
            <w:shd w:fill="EDEDEE" w:val="clear"/>
            <w:tcMar>
              <w:bottom w:w="40" w:type="dxa"/>
            </w:tcMar>
            <w:vAlign w:val="center"/>
          </w:tcPr>
          <w:p>
            <w:pPr>
              <w:pStyle w:val="TableContents"/>
              <w:bidi w:val="0"/>
              <w:spacing w:before="0" w:after="283"/>
              <w:jc w:val="left"/>
              <w:rPr/>
            </w:pPr>
            <w:r>
              <w:rPr/>
              <w:t> </w:t>
            </w:r>
          </w:p>
        </w:tc>
        <w:tc>
          <w:tcPr>
            <w:tcW w:w="300" w:type="dxa"/>
            <w:tcBorders>
              <w:bottom w:val="single" w:sz="12" w:space="0" w:color="C12E33"/>
            </w:tcBorders>
            <w:shd w:fill="EDEDEE" w:val="clear"/>
            <w:tcMar>
              <w:bottom w:w="40" w:type="dxa"/>
            </w:tcMar>
            <w:vAlign w:val="center"/>
          </w:tcPr>
          <w:p>
            <w:pPr>
              <w:pStyle w:val="TableContents"/>
              <w:bidi w:val="0"/>
              <w:spacing w:before="0" w:after="283"/>
              <w:jc w:val="left"/>
              <w:rPr/>
            </w:pPr>
            <w:r>
              <w:rPr/>
              <w:t> </w:t>
            </w:r>
          </w:p>
        </w:tc>
        <w:tc>
          <w:tcPr>
            <w:tcW w:w="1100" w:type="dxa"/>
            <w:tcBorders>
              <w:bottom w:val="single" w:sz="12" w:space="0" w:color="C12E33"/>
            </w:tcBorders>
            <w:shd w:fill="EDEDEE" w:val="clear"/>
            <w:tcMar>
              <w:bottom w:w="40" w:type="dxa"/>
            </w:tcMar>
            <w:vAlign w:val="center"/>
          </w:tcPr>
          <w:p>
            <w:pPr>
              <w:pStyle w:val="TableContents"/>
              <w:bidi w:val="0"/>
              <w:spacing w:before="0" w:after="283"/>
              <w:jc w:val="left"/>
              <w:rPr/>
            </w:pPr>
            <w:r>
              <w:rPr/>
              <w:t> </w:t>
            </w:r>
          </w:p>
        </w:tc>
        <w:tc>
          <w:tcPr>
            <w:tcW w:w="300" w:type="dxa"/>
            <w:tcBorders>
              <w:bottom w:val="single" w:sz="12" w:space="0" w:color="C12E33"/>
            </w:tcBorders>
            <w:shd w:fill="EDEDEE" w:val="clear"/>
            <w:tcMar>
              <w:bottom w:w="40" w:type="dxa"/>
            </w:tcMar>
            <w:vAlign w:val="center"/>
          </w:tcPr>
          <w:p>
            <w:pPr>
              <w:pStyle w:val="TableContents"/>
              <w:bidi w:val="0"/>
              <w:spacing w:before="0" w:after="283"/>
              <w:jc w:val="left"/>
              <w:rPr/>
            </w:pPr>
            <w:r>
              <w:rPr/>
              <w:t> </w:t>
            </w:r>
          </w:p>
        </w:tc>
        <w:tc>
          <w:tcPr>
            <w:tcW w:w="1040" w:type="dxa"/>
            <w:tcBorders>
              <w:bottom w:val="single" w:sz="12" w:space="0" w:color="C12E33"/>
            </w:tcBorders>
            <w:shd w:fill="EDEDEE" w:val="clear"/>
            <w:tcMar>
              <w:bottom w:w="40" w:type="dxa"/>
            </w:tcMar>
            <w:vAlign w:val="center"/>
          </w:tcPr>
          <w:p>
            <w:pPr>
              <w:pStyle w:val="TableContents"/>
              <w:bidi w:val="0"/>
              <w:spacing w:before="0" w:after="283"/>
              <w:jc w:val="left"/>
              <w:rPr/>
            </w:pPr>
            <w:r>
              <w:rPr/>
              <w:t> </w:t>
            </w:r>
          </w:p>
        </w:tc>
        <w:tc>
          <w:tcPr>
            <w:tcW w:w="300" w:type="dxa"/>
            <w:tcBorders>
              <w:bottom w:val="single" w:sz="12" w:space="0" w:color="C12E33"/>
            </w:tcBorders>
            <w:shd w:fill="EDEDEE" w:val="clear"/>
            <w:tcMar>
              <w:bottom w:w="40" w:type="dxa"/>
            </w:tcMar>
            <w:vAlign w:val="center"/>
          </w:tcPr>
          <w:p>
            <w:pPr>
              <w:pStyle w:val="TableContents"/>
              <w:bidi w:val="0"/>
              <w:spacing w:before="0" w:after="283"/>
              <w:jc w:val="left"/>
              <w:rPr/>
            </w:pPr>
            <w:r>
              <w:rPr/>
              <w:t> </w:t>
            </w:r>
          </w:p>
        </w:tc>
        <w:tc>
          <w:tcPr>
            <w:tcW w:w="1235" w:type="dxa"/>
            <w:tcBorders>
              <w:bottom w:val="single" w:sz="12" w:space="0" w:color="C12E33"/>
            </w:tcBorders>
            <w:shd w:fill="EDEDEE" w:val="clear"/>
            <w:tcMar>
              <w:bottom w:w="40" w:type="dxa"/>
            </w:tcMar>
            <w:vAlign w:val="center"/>
          </w:tcPr>
          <w:p>
            <w:pPr>
              <w:pStyle w:val="TableContents"/>
              <w:bidi w:val="0"/>
              <w:spacing w:before="0" w:after="283"/>
              <w:jc w:val="left"/>
              <w:rPr/>
            </w:pPr>
            <w:r>
              <w:rPr/>
              <w:t> </w:t>
            </w:r>
          </w:p>
        </w:tc>
      </w:tr>
      <w:tr>
        <w:trPr/>
        <w:tc>
          <w:tcPr>
            <w:tcW w:w="875" w:type="dxa"/>
            <w:tcBorders>
              <w:bottom w:val="single" w:sz="2" w:space="0" w:color="000000"/>
            </w:tcBorders>
            <w:tcMar>
              <w:bottom w:w="40" w:type="dxa"/>
            </w:tcMar>
            <w:vAlign w:val="center"/>
          </w:tcPr>
          <w:p>
            <w:pPr>
              <w:pStyle w:val="TableContents"/>
              <w:bidi w:val="0"/>
              <w:spacing w:before="0" w:after="283"/>
              <w:jc w:val="left"/>
              <w:rPr/>
            </w:pPr>
            <w:r>
              <w:rPr/>
              <w:t>2/6/2025</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1265" w:type="dxa"/>
            <w:tcBorders>
              <w:bottom w:val="single" w:sz="2" w:space="0" w:color="000000"/>
            </w:tcBorders>
            <w:tcMar>
              <w:bottom w:w="40" w:type="dxa"/>
            </w:tcMar>
            <w:vAlign w:val="center"/>
          </w:tcPr>
          <w:p>
            <w:pPr>
              <w:pStyle w:val="TableContents"/>
              <w:bidi w:val="0"/>
              <w:spacing w:before="0" w:after="283"/>
              <w:jc w:val="right"/>
              <w:rPr/>
            </w:pPr>
            <w:r>
              <w:rPr/>
              <w:t>–</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1595" w:type="dxa"/>
            <w:tcBorders>
              <w:bottom w:val="single" w:sz="2" w:space="0" w:color="000000"/>
            </w:tcBorders>
            <w:tcMar>
              <w:bottom w:w="40" w:type="dxa"/>
            </w:tcMar>
            <w:vAlign w:val="center"/>
          </w:tcPr>
          <w:p>
            <w:pPr>
              <w:pStyle w:val="TableContents"/>
              <w:bidi w:val="0"/>
              <w:spacing w:before="0" w:after="283"/>
              <w:jc w:val="right"/>
              <w:rPr/>
            </w:pPr>
            <w:r>
              <w:rPr/>
              <w:t>185,700</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875" w:type="dxa"/>
            <w:tcBorders>
              <w:bottom w:val="single" w:sz="2" w:space="0" w:color="000000"/>
            </w:tcBorders>
            <w:tcMar>
              <w:bottom w:w="40" w:type="dxa"/>
            </w:tcMar>
            <w:vAlign w:val="center"/>
          </w:tcPr>
          <w:p>
            <w:pPr>
              <w:pStyle w:val="TableContents"/>
              <w:bidi w:val="0"/>
              <w:spacing w:before="0" w:after="283"/>
              <w:jc w:val="right"/>
              <w:rPr/>
            </w:pPr>
            <w:r>
              <w:rPr/>
              <w:t>$128.78</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1115" w:type="dxa"/>
            <w:tcBorders>
              <w:bottom w:val="single" w:sz="2" w:space="0" w:color="000000"/>
            </w:tcBorders>
            <w:tcMar>
              <w:bottom w:w="40" w:type="dxa"/>
            </w:tcMar>
            <w:vAlign w:val="center"/>
          </w:tcPr>
          <w:p>
            <w:pPr>
              <w:pStyle w:val="TableContents"/>
              <w:bidi w:val="0"/>
              <w:spacing w:before="0" w:after="283"/>
              <w:jc w:val="right"/>
              <w:rPr/>
            </w:pPr>
            <w:r>
              <w:rPr/>
              <w:t>2/5/2035</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875" w:type="dxa"/>
            <w:tcBorders>
              <w:bottom w:val="single" w:sz="2" w:space="0" w:color="000000"/>
            </w:tcBorders>
            <w:shd w:fill="EDEDEE" w:val="clear"/>
            <w:tcMar>
              <w:bottom w:w="40" w:type="dxa"/>
            </w:tcMar>
            <w:vAlign w:val="center"/>
          </w:tcPr>
          <w:p>
            <w:pPr>
              <w:pStyle w:val="TableContents"/>
              <w:bidi w:val="0"/>
              <w:spacing w:before="0" w:after="283"/>
              <w:jc w:val="right"/>
              <w:rPr/>
            </w:pPr>
            <w:r>
              <w:rPr/>
              <w:t>–</w:t>
            </w:r>
          </w:p>
        </w:tc>
        <w:tc>
          <w:tcPr>
            <w:tcW w:w="300" w:type="dxa"/>
            <w:tcBorders>
              <w:bottom w:val="single" w:sz="2" w:space="0" w:color="000000"/>
            </w:tcBorders>
            <w:shd w:fill="EDEDEE" w:val="clear"/>
            <w:tcMar>
              <w:bottom w:w="40" w:type="dxa"/>
            </w:tcMar>
            <w:vAlign w:val="center"/>
          </w:tcPr>
          <w:p>
            <w:pPr>
              <w:pStyle w:val="TableContents"/>
              <w:bidi w:val="0"/>
              <w:spacing w:before="0" w:after="283"/>
              <w:jc w:val="left"/>
              <w:rPr/>
            </w:pPr>
            <w:r>
              <w:rPr/>
              <w:t> </w:t>
            </w:r>
          </w:p>
        </w:tc>
        <w:tc>
          <w:tcPr>
            <w:tcW w:w="1100" w:type="dxa"/>
            <w:tcBorders>
              <w:bottom w:val="single" w:sz="2" w:space="0" w:color="000000"/>
            </w:tcBorders>
            <w:shd w:fill="EDEDEE" w:val="clear"/>
            <w:tcMar>
              <w:bottom w:w="40" w:type="dxa"/>
            </w:tcMar>
            <w:vAlign w:val="center"/>
          </w:tcPr>
          <w:p>
            <w:pPr>
              <w:pStyle w:val="TableContents"/>
              <w:bidi w:val="0"/>
              <w:spacing w:before="0" w:after="283"/>
              <w:jc w:val="right"/>
              <w:rPr/>
            </w:pPr>
            <w:r>
              <w:rPr/>
              <w:t>–</w:t>
            </w:r>
          </w:p>
        </w:tc>
        <w:tc>
          <w:tcPr>
            <w:tcW w:w="300" w:type="dxa"/>
            <w:tcBorders>
              <w:bottom w:val="single" w:sz="2" w:space="0" w:color="000000"/>
            </w:tcBorders>
            <w:shd w:fill="EDEDEE" w:val="clear"/>
            <w:tcMar>
              <w:bottom w:w="40" w:type="dxa"/>
            </w:tcMar>
            <w:vAlign w:val="center"/>
          </w:tcPr>
          <w:p>
            <w:pPr>
              <w:pStyle w:val="TableContents"/>
              <w:bidi w:val="0"/>
              <w:spacing w:before="0" w:after="283"/>
              <w:jc w:val="left"/>
              <w:rPr/>
            </w:pPr>
            <w:r>
              <w:rPr/>
              <w:t> </w:t>
            </w:r>
          </w:p>
        </w:tc>
        <w:tc>
          <w:tcPr>
            <w:tcW w:w="1040" w:type="dxa"/>
            <w:tcBorders>
              <w:bottom w:val="single" w:sz="2" w:space="0" w:color="000000"/>
            </w:tcBorders>
            <w:shd w:fill="EDEDEE" w:val="clear"/>
            <w:tcMar>
              <w:bottom w:w="40" w:type="dxa"/>
            </w:tcMar>
            <w:vAlign w:val="center"/>
          </w:tcPr>
          <w:p>
            <w:pPr>
              <w:pStyle w:val="TableContents"/>
              <w:bidi w:val="0"/>
              <w:spacing w:before="0" w:after="283"/>
              <w:jc w:val="right"/>
              <w:rPr/>
            </w:pPr>
            <w:r>
              <w:rPr/>
              <w:t>159,820</w:t>
            </w:r>
          </w:p>
        </w:tc>
        <w:tc>
          <w:tcPr>
            <w:tcW w:w="300" w:type="dxa"/>
            <w:tcBorders>
              <w:bottom w:val="single" w:sz="2" w:space="0" w:color="000000"/>
            </w:tcBorders>
            <w:shd w:fill="EDEDEE" w:val="clear"/>
            <w:tcMar>
              <w:bottom w:w="40" w:type="dxa"/>
            </w:tcMar>
            <w:vAlign w:val="center"/>
          </w:tcPr>
          <w:p>
            <w:pPr>
              <w:pStyle w:val="TableContents"/>
              <w:bidi w:val="0"/>
              <w:spacing w:before="0" w:after="283"/>
              <w:jc w:val="left"/>
              <w:rPr/>
            </w:pPr>
            <w:r>
              <w:rPr/>
              <w:t> </w:t>
            </w:r>
          </w:p>
        </w:tc>
        <w:tc>
          <w:tcPr>
            <w:tcW w:w="1235" w:type="dxa"/>
            <w:tcBorders>
              <w:bottom w:val="single" w:sz="2" w:space="0" w:color="000000"/>
            </w:tcBorders>
            <w:shd w:fill="EDEDEE" w:val="clear"/>
            <w:tcMar>
              <w:bottom w:w="40" w:type="dxa"/>
            </w:tcMar>
            <w:vAlign w:val="center"/>
          </w:tcPr>
          <w:p>
            <w:pPr>
              <w:pStyle w:val="TableContents"/>
              <w:bidi w:val="0"/>
              <w:spacing w:before="0" w:after="283"/>
              <w:jc w:val="right"/>
              <w:rPr/>
            </w:pPr>
            <w:r>
              <w:rPr/>
              <w:t>$29,310,988</w:t>
            </w:r>
          </w:p>
        </w:tc>
      </w:tr>
      <w:tr>
        <w:trPr/>
        <w:tc>
          <w:tcPr>
            <w:tcW w:w="875" w:type="dxa"/>
            <w:tcBorders>
              <w:bottom w:val="single" w:sz="2" w:space="0" w:color="000000"/>
            </w:tcBorders>
            <w:tcMar>
              <w:bottom w:w="40" w:type="dxa"/>
            </w:tcMar>
            <w:vAlign w:val="center"/>
          </w:tcPr>
          <w:p>
            <w:pPr>
              <w:pStyle w:val="TableContents"/>
              <w:bidi w:val="0"/>
              <w:spacing w:before="0" w:after="283"/>
              <w:jc w:val="left"/>
              <w:rPr/>
            </w:pPr>
            <w:r>
              <w:rPr/>
              <w:t>2/8/2024</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1265" w:type="dxa"/>
            <w:tcBorders>
              <w:bottom w:val="single" w:sz="2" w:space="0" w:color="000000"/>
            </w:tcBorders>
            <w:tcMar>
              <w:bottom w:w="40" w:type="dxa"/>
            </w:tcMar>
            <w:vAlign w:val="center"/>
          </w:tcPr>
          <w:p>
            <w:pPr>
              <w:pStyle w:val="TableContents"/>
              <w:bidi w:val="0"/>
              <w:spacing w:before="0" w:after="283"/>
              <w:jc w:val="right"/>
              <w:rPr/>
            </w:pPr>
            <w:r>
              <w:rPr/>
              <w:t>–</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1595" w:type="dxa"/>
            <w:tcBorders>
              <w:bottom w:val="single" w:sz="2" w:space="0" w:color="000000"/>
            </w:tcBorders>
            <w:tcMar>
              <w:bottom w:w="40" w:type="dxa"/>
            </w:tcMar>
            <w:vAlign w:val="center"/>
          </w:tcPr>
          <w:p>
            <w:pPr>
              <w:pStyle w:val="TableContents"/>
              <w:bidi w:val="0"/>
              <w:spacing w:before="0" w:after="283"/>
              <w:jc w:val="right"/>
              <w:rPr/>
            </w:pPr>
            <w:r>
              <w:rPr/>
              <w:t>247,200</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875" w:type="dxa"/>
            <w:tcBorders>
              <w:bottom w:val="single" w:sz="2" w:space="0" w:color="000000"/>
            </w:tcBorders>
            <w:tcMar>
              <w:bottom w:w="40" w:type="dxa"/>
            </w:tcMar>
            <w:vAlign w:val="center"/>
          </w:tcPr>
          <w:p>
            <w:pPr>
              <w:pStyle w:val="TableContents"/>
              <w:bidi w:val="0"/>
              <w:spacing w:before="0" w:after="283"/>
              <w:jc w:val="right"/>
              <w:rPr/>
            </w:pPr>
            <w:r>
              <w:rPr/>
              <w:t>$91.04</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1115" w:type="dxa"/>
            <w:tcBorders>
              <w:bottom w:val="single" w:sz="2" w:space="0" w:color="000000"/>
            </w:tcBorders>
            <w:tcMar>
              <w:bottom w:w="40" w:type="dxa"/>
            </w:tcMar>
            <w:vAlign w:val="center"/>
          </w:tcPr>
          <w:p>
            <w:pPr>
              <w:pStyle w:val="TableContents"/>
              <w:bidi w:val="0"/>
              <w:spacing w:before="0" w:after="283"/>
              <w:jc w:val="right"/>
              <w:rPr/>
            </w:pPr>
            <w:r>
              <w:rPr/>
              <w:t>2/7/2034</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875" w:type="dxa"/>
            <w:tcBorders>
              <w:bottom w:val="single" w:sz="2" w:space="0" w:color="000000"/>
            </w:tcBorders>
            <w:shd w:fill="EDEDEE" w:val="clear"/>
            <w:tcMar>
              <w:bottom w:w="40" w:type="dxa"/>
            </w:tcMar>
            <w:vAlign w:val="center"/>
          </w:tcPr>
          <w:p>
            <w:pPr>
              <w:pStyle w:val="TableContents"/>
              <w:bidi w:val="0"/>
              <w:spacing w:before="0" w:after="283"/>
              <w:jc w:val="right"/>
              <w:rPr/>
            </w:pPr>
            <w:r>
              <w:rPr/>
              <w:t>–</w:t>
            </w:r>
          </w:p>
        </w:tc>
        <w:tc>
          <w:tcPr>
            <w:tcW w:w="300" w:type="dxa"/>
            <w:tcBorders>
              <w:bottom w:val="single" w:sz="2" w:space="0" w:color="000000"/>
            </w:tcBorders>
            <w:shd w:fill="EDEDEE" w:val="clear"/>
            <w:tcMar>
              <w:bottom w:w="40" w:type="dxa"/>
            </w:tcMar>
            <w:vAlign w:val="center"/>
          </w:tcPr>
          <w:p>
            <w:pPr>
              <w:pStyle w:val="TableContents"/>
              <w:bidi w:val="0"/>
              <w:spacing w:before="0" w:after="283"/>
              <w:jc w:val="left"/>
              <w:rPr/>
            </w:pPr>
            <w:r>
              <w:rPr/>
              <w:t> </w:t>
            </w:r>
          </w:p>
        </w:tc>
        <w:tc>
          <w:tcPr>
            <w:tcW w:w="1100" w:type="dxa"/>
            <w:tcBorders>
              <w:bottom w:val="single" w:sz="2" w:space="0" w:color="000000"/>
            </w:tcBorders>
            <w:shd w:fill="EDEDEE" w:val="clear"/>
            <w:tcMar>
              <w:bottom w:w="40" w:type="dxa"/>
            </w:tcMar>
            <w:vAlign w:val="center"/>
          </w:tcPr>
          <w:p>
            <w:pPr>
              <w:pStyle w:val="TableContents"/>
              <w:bidi w:val="0"/>
              <w:spacing w:before="0" w:after="283"/>
              <w:jc w:val="right"/>
              <w:rPr/>
            </w:pPr>
            <w:r>
              <w:rPr/>
              <w:t>–</w:t>
            </w:r>
          </w:p>
        </w:tc>
        <w:tc>
          <w:tcPr>
            <w:tcW w:w="300" w:type="dxa"/>
            <w:tcBorders>
              <w:bottom w:val="single" w:sz="2" w:space="0" w:color="000000"/>
            </w:tcBorders>
            <w:shd w:fill="EDEDEE" w:val="clear"/>
            <w:tcMar>
              <w:bottom w:w="40" w:type="dxa"/>
            </w:tcMar>
            <w:vAlign w:val="center"/>
          </w:tcPr>
          <w:p>
            <w:pPr>
              <w:pStyle w:val="TableContents"/>
              <w:bidi w:val="0"/>
              <w:spacing w:before="0" w:after="283"/>
              <w:jc w:val="left"/>
              <w:rPr/>
            </w:pPr>
            <w:r>
              <w:rPr/>
              <w:t> </w:t>
            </w:r>
          </w:p>
        </w:tc>
        <w:tc>
          <w:tcPr>
            <w:tcW w:w="1040" w:type="dxa"/>
            <w:tcBorders>
              <w:bottom w:val="single" w:sz="2" w:space="0" w:color="000000"/>
            </w:tcBorders>
            <w:shd w:fill="EDEDEE" w:val="clear"/>
            <w:tcMar>
              <w:bottom w:w="40" w:type="dxa"/>
            </w:tcMar>
            <w:vAlign w:val="center"/>
          </w:tcPr>
          <w:p>
            <w:pPr>
              <w:pStyle w:val="TableContents"/>
              <w:bidi w:val="0"/>
              <w:spacing w:before="0" w:after="283"/>
              <w:jc w:val="right"/>
              <w:rPr/>
            </w:pPr>
            <w:r>
              <w:rPr/>
              <w:t>177,950</w:t>
            </w:r>
          </w:p>
        </w:tc>
        <w:tc>
          <w:tcPr>
            <w:tcW w:w="300" w:type="dxa"/>
            <w:tcBorders>
              <w:bottom w:val="single" w:sz="2" w:space="0" w:color="000000"/>
            </w:tcBorders>
            <w:shd w:fill="EDEDEE" w:val="clear"/>
            <w:tcMar>
              <w:bottom w:w="40" w:type="dxa"/>
            </w:tcMar>
            <w:vAlign w:val="center"/>
          </w:tcPr>
          <w:p>
            <w:pPr>
              <w:pStyle w:val="TableContents"/>
              <w:bidi w:val="0"/>
              <w:spacing w:before="0" w:after="283"/>
              <w:jc w:val="left"/>
              <w:rPr/>
            </w:pPr>
            <w:r>
              <w:rPr/>
              <w:t> </w:t>
            </w:r>
          </w:p>
        </w:tc>
        <w:tc>
          <w:tcPr>
            <w:tcW w:w="1235" w:type="dxa"/>
            <w:tcBorders>
              <w:bottom w:val="single" w:sz="2" w:space="0" w:color="000000"/>
            </w:tcBorders>
            <w:shd w:fill="EDEDEE" w:val="clear"/>
            <w:tcMar>
              <w:bottom w:w="40" w:type="dxa"/>
            </w:tcMar>
            <w:vAlign w:val="center"/>
          </w:tcPr>
          <w:p>
            <w:pPr>
              <w:pStyle w:val="TableContents"/>
              <w:bidi w:val="0"/>
              <w:spacing w:before="0" w:after="283"/>
              <w:jc w:val="right"/>
              <w:rPr/>
            </w:pPr>
            <w:r>
              <w:rPr/>
              <w:t>$32,636,030</w:t>
            </w:r>
          </w:p>
        </w:tc>
      </w:tr>
      <w:tr>
        <w:trPr/>
        <w:tc>
          <w:tcPr>
            <w:tcW w:w="875" w:type="dxa"/>
            <w:tcBorders>
              <w:bottom w:val="single" w:sz="2" w:space="0" w:color="000000"/>
            </w:tcBorders>
            <w:tcMar>
              <w:bottom w:w="40" w:type="dxa"/>
            </w:tcMar>
            <w:vAlign w:val="center"/>
          </w:tcPr>
          <w:p>
            <w:pPr>
              <w:pStyle w:val="TableContents"/>
              <w:bidi w:val="0"/>
              <w:spacing w:before="0" w:after="283"/>
              <w:jc w:val="left"/>
              <w:rPr/>
            </w:pPr>
            <w:r>
              <w:rPr/>
              <w:t>2/8/2023</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1265" w:type="dxa"/>
            <w:tcBorders>
              <w:bottom w:val="single" w:sz="2" w:space="0" w:color="000000"/>
            </w:tcBorders>
            <w:tcMar>
              <w:bottom w:w="40" w:type="dxa"/>
            </w:tcMar>
            <w:vAlign w:val="center"/>
          </w:tcPr>
          <w:p>
            <w:pPr>
              <w:pStyle w:val="TableContents"/>
              <w:bidi w:val="0"/>
              <w:spacing w:before="0" w:after="283"/>
              <w:jc w:val="right"/>
              <w:rPr/>
            </w:pPr>
            <w:r>
              <w:rPr/>
              <w:t>–</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1595" w:type="dxa"/>
            <w:tcBorders>
              <w:bottom w:val="single" w:sz="2" w:space="0" w:color="000000"/>
            </w:tcBorders>
            <w:tcMar>
              <w:bottom w:w="40" w:type="dxa"/>
            </w:tcMar>
            <w:vAlign w:val="center"/>
          </w:tcPr>
          <w:p>
            <w:pPr>
              <w:pStyle w:val="TableContents"/>
              <w:bidi w:val="0"/>
              <w:spacing w:before="0" w:after="283"/>
              <w:jc w:val="right"/>
              <w:rPr/>
            </w:pPr>
            <w:r>
              <w:rPr/>
              <w:t>161,900</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875" w:type="dxa"/>
            <w:tcBorders>
              <w:bottom w:val="single" w:sz="2" w:space="0" w:color="000000"/>
            </w:tcBorders>
            <w:tcMar>
              <w:bottom w:w="40" w:type="dxa"/>
            </w:tcMar>
            <w:vAlign w:val="center"/>
          </w:tcPr>
          <w:p>
            <w:pPr>
              <w:pStyle w:val="TableContents"/>
              <w:bidi w:val="0"/>
              <w:spacing w:before="0" w:after="283"/>
              <w:jc w:val="right"/>
              <w:rPr/>
            </w:pPr>
            <w:r>
              <w:rPr/>
              <w:t>$97.65</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1115" w:type="dxa"/>
            <w:tcBorders>
              <w:bottom w:val="single" w:sz="2" w:space="0" w:color="000000"/>
            </w:tcBorders>
            <w:tcMar>
              <w:bottom w:w="40" w:type="dxa"/>
            </w:tcMar>
            <w:vAlign w:val="center"/>
          </w:tcPr>
          <w:p>
            <w:pPr>
              <w:pStyle w:val="TableContents"/>
              <w:bidi w:val="0"/>
              <w:spacing w:before="0" w:after="283"/>
              <w:jc w:val="right"/>
              <w:rPr/>
            </w:pPr>
            <w:r>
              <w:rPr/>
              <w:t>2/7/2033</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875" w:type="dxa"/>
            <w:tcBorders>
              <w:bottom w:val="single" w:sz="2" w:space="0" w:color="000000"/>
            </w:tcBorders>
            <w:shd w:fill="EDEDEE" w:val="clear"/>
            <w:tcMar>
              <w:bottom w:w="40" w:type="dxa"/>
            </w:tcMar>
            <w:vAlign w:val="center"/>
          </w:tcPr>
          <w:p>
            <w:pPr>
              <w:pStyle w:val="TableContents"/>
              <w:bidi w:val="0"/>
              <w:spacing w:before="0" w:after="283"/>
              <w:jc w:val="right"/>
              <w:rPr/>
            </w:pPr>
            <w:r>
              <w:rPr/>
              <w:t>–</w:t>
            </w:r>
          </w:p>
        </w:tc>
        <w:tc>
          <w:tcPr>
            <w:tcW w:w="300" w:type="dxa"/>
            <w:tcBorders>
              <w:bottom w:val="single" w:sz="2" w:space="0" w:color="000000"/>
            </w:tcBorders>
            <w:shd w:fill="EDEDEE" w:val="clear"/>
            <w:tcMar>
              <w:bottom w:w="40" w:type="dxa"/>
            </w:tcMar>
            <w:vAlign w:val="center"/>
          </w:tcPr>
          <w:p>
            <w:pPr>
              <w:pStyle w:val="TableContents"/>
              <w:bidi w:val="0"/>
              <w:spacing w:before="0" w:after="283"/>
              <w:jc w:val="left"/>
              <w:rPr/>
            </w:pPr>
            <w:r>
              <w:rPr/>
              <w:t> </w:t>
            </w:r>
          </w:p>
        </w:tc>
        <w:tc>
          <w:tcPr>
            <w:tcW w:w="1100" w:type="dxa"/>
            <w:tcBorders>
              <w:bottom w:val="single" w:sz="2" w:space="0" w:color="000000"/>
            </w:tcBorders>
            <w:shd w:fill="EDEDEE" w:val="clear"/>
            <w:tcMar>
              <w:bottom w:w="40" w:type="dxa"/>
            </w:tcMar>
            <w:vAlign w:val="center"/>
          </w:tcPr>
          <w:p>
            <w:pPr>
              <w:pStyle w:val="TableContents"/>
              <w:bidi w:val="0"/>
              <w:spacing w:before="0" w:after="283"/>
              <w:jc w:val="right"/>
              <w:rPr/>
            </w:pPr>
            <w:r>
              <w:rPr/>
              <w:t>–</w:t>
            </w:r>
          </w:p>
        </w:tc>
        <w:tc>
          <w:tcPr>
            <w:tcW w:w="300" w:type="dxa"/>
            <w:tcBorders>
              <w:bottom w:val="single" w:sz="2" w:space="0" w:color="000000"/>
            </w:tcBorders>
            <w:shd w:fill="EDEDEE" w:val="clear"/>
            <w:tcMar>
              <w:bottom w:w="40" w:type="dxa"/>
            </w:tcMar>
            <w:vAlign w:val="center"/>
          </w:tcPr>
          <w:p>
            <w:pPr>
              <w:pStyle w:val="TableContents"/>
              <w:bidi w:val="0"/>
              <w:spacing w:before="0" w:after="283"/>
              <w:jc w:val="left"/>
              <w:rPr/>
            </w:pPr>
            <w:r>
              <w:rPr/>
              <w:t> </w:t>
            </w:r>
          </w:p>
        </w:tc>
        <w:tc>
          <w:tcPr>
            <w:tcW w:w="1040" w:type="dxa"/>
            <w:tcBorders>
              <w:bottom w:val="single" w:sz="2" w:space="0" w:color="000000"/>
            </w:tcBorders>
            <w:shd w:fill="EDEDEE" w:val="clear"/>
            <w:tcMar>
              <w:bottom w:w="40" w:type="dxa"/>
            </w:tcMar>
            <w:vAlign w:val="center"/>
          </w:tcPr>
          <w:p>
            <w:pPr>
              <w:pStyle w:val="TableContents"/>
              <w:bidi w:val="0"/>
              <w:spacing w:before="0" w:after="283"/>
              <w:jc w:val="right"/>
              <w:rPr/>
            </w:pPr>
            <w:r>
              <w:rPr/>
              <w:t>89,710</w:t>
            </w:r>
          </w:p>
        </w:tc>
        <w:tc>
          <w:tcPr>
            <w:tcW w:w="300" w:type="dxa"/>
            <w:tcBorders>
              <w:bottom w:val="single" w:sz="2" w:space="0" w:color="000000"/>
            </w:tcBorders>
            <w:shd w:fill="EDEDEE" w:val="clear"/>
            <w:tcMar>
              <w:bottom w:w="40" w:type="dxa"/>
            </w:tcMar>
            <w:vAlign w:val="center"/>
          </w:tcPr>
          <w:p>
            <w:pPr>
              <w:pStyle w:val="TableContents"/>
              <w:bidi w:val="0"/>
              <w:spacing w:before="0" w:after="283"/>
              <w:jc w:val="left"/>
              <w:rPr/>
            </w:pPr>
            <w:r>
              <w:rPr/>
              <w:t> </w:t>
            </w:r>
          </w:p>
        </w:tc>
        <w:tc>
          <w:tcPr>
            <w:tcW w:w="1235" w:type="dxa"/>
            <w:tcBorders>
              <w:bottom w:val="single" w:sz="2" w:space="0" w:color="000000"/>
            </w:tcBorders>
            <w:shd w:fill="EDEDEE" w:val="clear"/>
            <w:tcMar>
              <w:bottom w:w="40" w:type="dxa"/>
            </w:tcMar>
            <w:vAlign w:val="center"/>
          </w:tcPr>
          <w:p>
            <w:pPr>
              <w:pStyle w:val="TableContents"/>
              <w:bidi w:val="0"/>
              <w:spacing w:before="0" w:after="283"/>
              <w:jc w:val="right"/>
              <w:rPr/>
            </w:pPr>
            <w:r>
              <w:rPr/>
              <w:t>$16,452,759</w:t>
            </w:r>
          </w:p>
        </w:tc>
      </w:tr>
      <w:tr>
        <w:trPr/>
        <w:tc>
          <w:tcPr>
            <w:tcW w:w="875" w:type="dxa"/>
            <w:tcBorders>
              <w:bottom w:val="single" w:sz="2" w:space="0" w:color="000000"/>
            </w:tcBorders>
            <w:tcMar>
              <w:bottom w:w="40" w:type="dxa"/>
            </w:tcMar>
            <w:vAlign w:val="center"/>
          </w:tcPr>
          <w:p>
            <w:pPr>
              <w:pStyle w:val="TableContents"/>
              <w:bidi w:val="0"/>
              <w:spacing w:before="0" w:after="283"/>
              <w:jc w:val="left"/>
              <w:rPr/>
            </w:pPr>
            <w:r>
              <w:rPr/>
              <w:t>2/15/2022</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1265" w:type="dxa"/>
            <w:tcBorders>
              <w:bottom w:val="single" w:sz="2" w:space="0" w:color="000000"/>
            </w:tcBorders>
            <w:tcMar>
              <w:bottom w:w="40" w:type="dxa"/>
            </w:tcMar>
            <w:vAlign w:val="center"/>
          </w:tcPr>
          <w:p>
            <w:pPr>
              <w:pStyle w:val="TableContents"/>
              <w:bidi w:val="0"/>
              <w:spacing w:before="0" w:after="283"/>
              <w:jc w:val="right"/>
              <w:rPr/>
            </w:pPr>
            <w:r>
              <w:rPr/>
              <w:t>135,400</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1595" w:type="dxa"/>
            <w:tcBorders>
              <w:bottom w:val="single" w:sz="2" w:space="0" w:color="000000"/>
            </w:tcBorders>
            <w:tcMar>
              <w:bottom w:w="40" w:type="dxa"/>
            </w:tcMar>
            <w:vAlign w:val="center"/>
          </w:tcPr>
          <w:p>
            <w:pPr>
              <w:pStyle w:val="TableContents"/>
              <w:bidi w:val="0"/>
              <w:spacing w:before="0" w:after="283"/>
              <w:jc w:val="right"/>
              <w:rPr/>
            </w:pPr>
            <w:r>
              <w:rPr/>
              <w:t>–</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875" w:type="dxa"/>
            <w:tcBorders>
              <w:bottom w:val="single" w:sz="2" w:space="0" w:color="000000"/>
            </w:tcBorders>
            <w:tcMar>
              <w:bottom w:w="40" w:type="dxa"/>
            </w:tcMar>
            <w:vAlign w:val="center"/>
          </w:tcPr>
          <w:p>
            <w:pPr>
              <w:pStyle w:val="TableContents"/>
              <w:bidi w:val="0"/>
              <w:spacing w:before="0" w:after="283"/>
              <w:jc w:val="right"/>
              <w:rPr/>
            </w:pPr>
            <w:r>
              <w:rPr/>
              <w:t>$94.04</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1115" w:type="dxa"/>
            <w:tcBorders>
              <w:bottom w:val="single" w:sz="2" w:space="0" w:color="000000"/>
            </w:tcBorders>
            <w:tcMar>
              <w:bottom w:w="40" w:type="dxa"/>
            </w:tcMar>
            <w:vAlign w:val="center"/>
          </w:tcPr>
          <w:p>
            <w:pPr>
              <w:pStyle w:val="TableContents"/>
              <w:bidi w:val="0"/>
              <w:spacing w:before="0" w:after="283"/>
              <w:jc w:val="right"/>
              <w:rPr/>
            </w:pPr>
            <w:r>
              <w:rPr/>
              <w:t>2/14/2032</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875" w:type="dxa"/>
            <w:tcBorders>
              <w:bottom w:val="single" w:sz="2" w:space="0" w:color="000000"/>
            </w:tcBorders>
            <w:shd w:fill="EDEDEE" w:val="clear"/>
            <w:tcMar>
              <w:bottom w:w="40" w:type="dxa"/>
            </w:tcMar>
            <w:vAlign w:val="center"/>
          </w:tcPr>
          <w:p>
            <w:pPr>
              <w:pStyle w:val="TableContents"/>
              <w:bidi w:val="0"/>
              <w:spacing w:before="0" w:after="283"/>
              <w:jc w:val="right"/>
              <w:rPr/>
            </w:pPr>
            <w:r>
              <w:rPr/>
              <w:t>–</w:t>
            </w:r>
          </w:p>
        </w:tc>
        <w:tc>
          <w:tcPr>
            <w:tcW w:w="300" w:type="dxa"/>
            <w:tcBorders>
              <w:bottom w:val="single" w:sz="2" w:space="0" w:color="000000"/>
            </w:tcBorders>
            <w:shd w:fill="EDEDEE" w:val="clear"/>
            <w:tcMar>
              <w:bottom w:w="40" w:type="dxa"/>
            </w:tcMar>
            <w:vAlign w:val="center"/>
          </w:tcPr>
          <w:p>
            <w:pPr>
              <w:pStyle w:val="TableContents"/>
              <w:bidi w:val="0"/>
              <w:spacing w:before="0" w:after="283"/>
              <w:jc w:val="left"/>
              <w:rPr/>
            </w:pPr>
            <w:r>
              <w:rPr/>
              <w:t> </w:t>
            </w:r>
          </w:p>
        </w:tc>
        <w:tc>
          <w:tcPr>
            <w:tcW w:w="1100" w:type="dxa"/>
            <w:tcBorders>
              <w:bottom w:val="single" w:sz="2" w:space="0" w:color="000000"/>
            </w:tcBorders>
            <w:shd w:fill="EDEDEE" w:val="clear"/>
            <w:tcMar>
              <w:bottom w:w="40" w:type="dxa"/>
            </w:tcMar>
            <w:vAlign w:val="center"/>
          </w:tcPr>
          <w:p>
            <w:pPr>
              <w:pStyle w:val="TableContents"/>
              <w:bidi w:val="0"/>
              <w:spacing w:before="0" w:after="283"/>
              <w:jc w:val="right"/>
              <w:rPr/>
            </w:pPr>
            <w:r>
              <w:rPr/>
              <w:t>–</w:t>
            </w:r>
          </w:p>
        </w:tc>
        <w:tc>
          <w:tcPr>
            <w:tcW w:w="300" w:type="dxa"/>
            <w:tcBorders>
              <w:bottom w:val="single" w:sz="2" w:space="0" w:color="000000"/>
            </w:tcBorders>
            <w:shd w:fill="EDEDEE" w:val="clear"/>
            <w:tcMar>
              <w:bottom w:w="40" w:type="dxa"/>
            </w:tcMar>
            <w:vAlign w:val="center"/>
          </w:tcPr>
          <w:p>
            <w:pPr>
              <w:pStyle w:val="TableContents"/>
              <w:bidi w:val="0"/>
              <w:spacing w:before="0" w:after="283"/>
              <w:jc w:val="left"/>
              <w:rPr/>
            </w:pPr>
            <w:r>
              <w:rPr/>
              <w:t> </w:t>
            </w:r>
          </w:p>
        </w:tc>
        <w:tc>
          <w:tcPr>
            <w:tcW w:w="1040" w:type="dxa"/>
            <w:tcBorders>
              <w:bottom w:val="single" w:sz="2" w:space="0" w:color="000000"/>
            </w:tcBorders>
            <w:shd w:fill="EDEDEE" w:val="clear"/>
            <w:tcMar>
              <w:bottom w:w="40" w:type="dxa"/>
            </w:tcMar>
            <w:vAlign w:val="center"/>
          </w:tcPr>
          <w:p>
            <w:pPr>
              <w:pStyle w:val="TableContents"/>
              <w:bidi w:val="0"/>
              <w:spacing w:before="0" w:after="283"/>
              <w:jc w:val="right"/>
              <w:rPr/>
            </w:pPr>
            <w:r>
              <w:rPr/>
              <w:t>–</w:t>
            </w:r>
          </w:p>
        </w:tc>
        <w:tc>
          <w:tcPr>
            <w:tcW w:w="300" w:type="dxa"/>
            <w:tcBorders>
              <w:bottom w:val="single" w:sz="2" w:space="0" w:color="000000"/>
            </w:tcBorders>
            <w:shd w:fill="EDEDEE" w:val="clear"/>
            <w:tcMar>
              <w:bottom w:w="40" w:type="dxa"/>
            </w:tcMar>
            <w:vAlign w:val="center"/>
          </w:tcPr>
          <w:p>
            <w:pPr>
              <w:pStyle w:val="TableContents"/>
              <w:bidi w:val="0"/>
              <w:spacing w:before="0" w:after="283"/>
              <w:jc w:val="left"/>
              <w:rPr/>
            </w:pPr>
            <w:r>
              <w:rPr/>
              <w:t> </w:t>
            </w:r>
          </w:p>
        </w:tc>
        <w:tc>
          <w:tcPr>
            <w:tcW w:w="1235" w:type="dxa"/>
            <w:tcBorders>
              <w:bottom w:val="single" w:sz="2" w:space="0" w:color="000000"/>
            </w:tcBorders>
            <w:shd w:fill="EDEDEE" w:val="clear"/>
            <w:tcMar>
              <w:bottom w:w="40" w:type="dxa"/>
            </w:tcMar>
            <w:vAlign w:val="center"/>
          </w:tcPr>
          <w:p>
            <w:pPr>
              <w:pStyle w:val="TableContents"/>
              <w:bidi w:val="0"/>
              <w:spacing w:before="0" w:after="283"/>
              <w:jc w:val="right"/>
              <w:rPr/>
            </w:pPr>
            <w:r>
              <w:rPr/>
              <w:t>–</w:t>
            </w:r>
          </w:p>
        </w:tc>
      </w:tr>
      <w:tr>
        <w:trPr/>
        <w:tc>
          <w:tcPr>
            <w:tcW w:w="875" w:type="dxa"/>
            <w:tcBorders>
              <w:bottom w:val="single" w:sz="2" w:space="0" w:color="000000"/>
            </w:tcBorders>
            <w:tcMar>
              <w:bottom w:w="40" w:type="dxa"/>
            </w:tcMar>
            <w:vAlign w:val="center"/>
          </w:tcPr>
          <w:p>
            <w:pPr>
              <w:pStyle w:val="TableContents"/>
              <w:bidi w:val="0"/>
              <w:spacing w:before="0" w:after="283"/>
              <w:jc w:val="left"/>
              <w:rPr/>
            </w:pPr>
            <w:r>
              <w:rPr/>
              <w:t>2/8/2021</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1265" w:type="dxa"/>
            <w:tcBorders>
              <w:bottom w:val="single" w:sz="2" w:space="0" w:color="000000"/>
            </w:tcBorders>
            <w:tcMar>
              <w:bottom w:w="40" w:type="dxa"/>
            </w:tcMar>
            <w:vAlign w:val="center"/>
          </w:tcPr>
          <w:p>
            <w:pPr>
              <w:pStyle w:val="TableContents"/>
              <w:bidi w:val="0"/>
              <w:spacing w:before="0" w:after="283"/>
              <w:jc w:val="right"/>
              <w:rPr/>
            </w:pPr>
            <w:r>
              <w:rPr/>
              <w:t>43,900</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1595" w:type="dxa"/>
            <w:tcBorders>
              <w:bottom w:val="single" w:sz="2" w:space="0" w:color="000000"/>
            </w:tcBorders>
            <w:tcMar>
              <w:bottom w:w="40" w:type="dxa"/>
            </w:tcMar>
            <w:vAlign w:val="center"/>
          </w:tcPr>
          <w:p>
            <w:pPr>
              <w:pStyle w:val="TableContents"/>
              <w:bidi w:val="0"/>
              <w:spacing w:before="0" w:after="283"/>
              <w:jc w:val="right"/>
              <w:rPr/>
            </w:pPr>
            <w:r>
              <w:rPr/>
              <w:t>–</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875" w:type="dxa"/>
            <w:tcBorders>
              <w:bottom w:val="single" w:sz="2" w:space="0" w:color="000000"/>
            </w:tcBorders>
            <w:tcMar>
              <w:bottom w:w="40" w:type="dxa"/>
            </w:tcMar>
            <w:vAlign w:val="center"/>
          </w:tcPr>
          <w:p>
            <w:pPr>
              <w:pStyle w:val="TableContents"/>
              <w:bidi w:val="0"/>
              <w:spacing w:before="0" w:after="283"/>
              <w:jc w:val="right"/>
              <w:rPr/>
            </w:pPr>
            <w:r>
              <w:rPr/>
              <w:t>$72.49</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1115" w:type="dxa"/>
            <w:tcBorders>
              <w:bottom w:val="single" w:sz="2" w:space="0" w:color="000000"/>
            </w:tcBorders>
            <w:tcMar>
              <w:bottom w:w="40" w:type="dxa"/>
            </w:tcMar>
            <w:vAlign w:val="center"/>
          </w:tcPr>
          <w:p>
            <w:pPr>
              <w:pStyle w:val="TableContents"/>
              <w:bidi w:val="0"/>
              <w:spacing w:before="0" w:after="283"/>
              <w:jc w:val="right"/>
              <w:rPr/>
            </w:pPr>
            <w:r>
              <w:rPr/>
              <w:t>2/7/2031</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875" w:type="dxa"/>
            <w:tcBorders>
              <w:bottom w:val="single" w:sz="2" w:space="0" w:color="000000"/>
            </w:tcBorders>
            <w:shd w:fill="EDEDEE" w:val="clear"/>
            <w:tcMar>
              <w:bottom w:w="40" w:type="dxa"/>
            </w:tcMar>
            <w:vAlign w:val="center"/>
          </w:tcPr>
          <w:p>
            <w:pPr>
              <w:pStyle w:val="TableContents"/>
              <w:bidi w:val="0"/>
              <w:spacing w:before="0" w:after="283"/>
              <w:jc w:val="right"/>
              <w:rPr/>
            </w:pPr>
            <w:r>
              <w:rPr/>
              <w:t>–</w:t>
            </w:r>
          </w:p>
        </w:tc>
        <w:tc>
          <w:tcPr>
            <w:tcW w:w="300" w:type="dxa"/>
            <w:tcBorders>
              <w:bottom w:val="single" w:sz="2" w:space="0" w:color="000000"/>
            </w:tcBorders>
            <w:shd w:fill="EDEDEE" w:val="clear"/>
            <w:tcMar>
              <w:bottom w:w="40" w:type="dxa"/>
            </w:tcMar>
            <w:vAlign w:val="center"/>
          </w:tcPr>
          <w:p>
            <w:pPr>
              <w:pStyle w:val="TableContents"/>
              <w:bidi w:val="0"/>
              <w:spacing w:before="0" w:after="283"/>
              <w:jc w:val="left"/>
              <w:rPr/>
            </w:pPr>
            <w:r>
              <w:rPr/>
              <w:t> </w:t>
            </w:r>
          </w:p>
        </w:tc>
        <w:tc>
          <w:tcPr>
            <w:tcW w:w="1100" w:type="dxa"/>
            <w:tcBorders>
              <w:bottom w:val="single" w:sz="2" w:space="0" w:color="000000"/>
            </w:tcBorders>
            <w:shd w:fill="EDEDEE" w:val="clear"/>
            <w:tcMar>
              <w:bottom w:w="40" w:type="dxa"/>
            </w:tcMar>
            <w:vAlign w:val="center"/>
          </w:tcPr>
          <w:p>
            <w:pPr>
              <w:pStyle w:val="TableContents"/>
              <w:bidi w:val="0"/>
              <w:spacing w:before="0" w:after="283"/>
              <w:jc w:val="right"/>
              <w:rPr/>
            </w:pPr>
            <w:r>
              <w:rPr/>
              <w:t>–</w:t>
            </w:r>
          </w:p>
        </w:tc>
        <w:tc>
          <w:tcPr>
            <w:tcW w:w="300" w:type="dxa"/>
            <w:tcBorders>
              <w:bottom w:val="single" w:sz="2" w:space="0" w:color="000000"/>
            </w:tcBorders>
            <w:shd w:fill="EDEDEE" w:val="clear"/>
            <w:tcMar>
              <w:bottom w:w="40" w:type="dxa"/>
            </w:tcMar>
            <w:vAlign w:val="center"/>
          </w:tcPr>
          <w:p>
            <w:pPr>
              <w:pStyle w:val="TableContents"/>
              <w:bidi w:val="0"/>
              <w:spacing w:before="0" w:after="283"/>
              <w:jc w:val="left"/>
              <w:rPr/>
            </w:pPr>
            <w:r>
              <w:rPr/>
              <w:t> </w:t>
            </w:r>
          </w:p>
        </w:tc>
        <w:tc>
          <w:tcPr>
            <w:tcW w:w="1040" w:type="dxa"/>
            <w:tcBorders>
              <w:bottom w:val="single" w:sz="2" w:space="0" w:color="000000"/>
            </w:tcBorders>
            <w:shd w:fill="EDEDEE" w:val="clear"/>
            <w:tcMar>
              <w:bottom w:w="40" w:type="dxa"/>
            </w:tcMar>
            <w:vAlign w:val="center"/>
          </w:tcPr>
          <w:p>
            <w:pPr>
              <w:pStyle w:val="TableContents"/>
              <w:bidi w:val="0"/>
              <w:spacing w:before="0" w:after="283"/>
              <w:jc w:val="right"/>
              <w:rPr/>
            </w:pPr>
            <w:r>
              <w:rPr/>
              <w:t>–</w:t>
            </w:r>
          </w:p>
        </w:tc>
        <w:tc>
          <w:tcPr>
            <w:tcW w:w="300" w:type="dxa"/>
            <w:tcBorders>
              <w:bottom w:val="single" w:sz="2" w:space="0" w:color="000000"/>
            </w:tcBorders>
            <w:shd w:fill="EDEDEE" w:val="clear"/>
            <w:tcMar>
              <w:bottom w:w="40" w:type="dxa"/>
            </w:tcMar>
            <w:vAlign w:val="center"/>
          </w:tcPr>
          <w:p>
            <w:pPr>
              <w:pStyle w:val="TableContents"/>
              <w:bidi w:val="0"/>
              <w:spacing w:before="0" w:after="283"/>
              <w:jc w:val="left"/>
              <w:rPr/>
            </w:pPr>
            <w:r>
              <w:rPr/>
              <w:t> </w:t>
            </w:r>
          </w:p>
        </w:tc>
        <w:tc>
          <w:tcPr>
            <w:tcW w:w="1235" w:type="dxa"/>
            <w:tcBorders>
              <w:bottom w:val="single" w:sz="2" w:space="0" w:color="000000"/>
            </w:tcBorders>
            <w:shd w:fill="EDEDEE" w:val="clear"/>
            <w:tcMar>
              <w:bottom w:w="40" w:type="dxa"/>
            </w:tcMar>
            <w:vAlign w:val="center"/>
          </w:tcPr>
          <w:p>
            <w:pPr>
              <w:pStyle w:val="TableContents"/>
              <w:bidi w:val="0"/>
              <w:spacing w:before="0" w:after="283"/>
              <w:jc w:val="right"/>
              <w:rPr/>
            </w:pPr>
            <w:r>
              <w:rPr/>
              <w:t>–</w:t>
            </w:r>
          </w:p>
        </w:tc>
      </w:tr>
      <w:tr>
        <w:trPr/>
        <w:tc>
          <w:tcPr>
            <w:tcW w:w="875" w:type="dxa"/>
            <w:tcBorders>
              <w:bottom w:val="single" w:sz="2" w:space="0" w:color="000000"/>
            </w:tcBorders>
            <w:tcMar>
              <w:bottom w:w="40" w:type="dxa"/>
            </w:tcMar>
            <w:vAlign w:val="center"/>
          </w:tcPr>
          <w:p>
            <w:pPr>
              <w:pStyle w:val="TableContents"/>
              <w:bidi w:val="0"/>
              <w:spacing w:before="0" w:after="283"/>
              <w:jc w:val="left"/>
              <w:rPr/>
            </w:pPr>
            <w:r>
              <w:rPr/>
              <w:t>2/4/2020</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1265" w:type="dxa"/>
            <w:tcBorders>
              <w:bottom w:val="single" w:sz="2" w:space="0" w:color="000000"/>
            </w:tcBorders>
            <w:tcMar>
              <w:bottom w:w="40" w:type="dxa"/>
            </w:tcMar>
            <w:vAlign w:val="center"/>
          </w:tcPr>
          <w:p>
            <w:pPr>
              <w:pStyle w:val="TableContents"/>
              <w:bidi w:val="0"/>
              <w:spacing w:before="0" w:after="283"/>
              <w:jc w:val="right"/>
              <w:rPr/>
            </w:pPr>
            <w:r>
              <w:rPr/>
              <w:t>91,912</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1595" w:type="dxa"/>
            <w:tcBorders>
              <w:bottom w:val="single" w:sz="2" w:space="0" w:color="000000"/>
            </w:tcBorders>
            <w:tcMar>
              <w:bottom w:w="40" w:type="dxa"/>
            </w:tcMar>
            <w:vAlign w:val="center"/>
          </w:tcPr>
          <w:p>
            <w:pPr>
              <w:pStyle w:val="TableContents"/>
              <w:bidi w:val="0"/>
              <w:spacing w:before="0" w:after="283"/>
              <w:jc w:val="right"/>
              <w:rPr/>
            </w:pPr>
            <w:r>
              <w:rPr/>
              <w:t>–</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875" w:type="dxa"/>
            <w:tcBorders>
              <w:bottom w:val="single" w:sz="2" w:space="0" w:color="000000"/>
            </w:tcBorders>
            <w:tcMar>
              <w:bottom w:w="40" w:type="dxa"/>
            </w:tcMar>
            <w:vAlign w:val="center"/>
          </w:tcPr>
          <w:p>
            <w:pPr>
              <w:pStyle w:val="TableContents"/>
              <w:bidi w:val="0"/>
              <w:spacing w:before="0" w:after="283"/>
              <w:jc w:val="right"/>
              <w:rPr/>
            </w:pPr>
            <w:r>
              <w:rPr/>
              <w:t>$90.73</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1115" w:type="dxa"/>
            <w:tcBorders>
              <w:bottom w:val="single" w:sz="2" w:space="0" w:color="000000"/>
            </w:tcBorders>
            <w:tcMar>
              <w:bottom w:w="40" w:type="dxa"/>
            </w:tcMar>
            <w:vAlign w:val="center"/>
          </w:tcPr>
          <w:p>
            <w:pPr>
              <w:pStyle w:val="TableContents"/>
              <w:bidi w:val="0"/>
              <w:spacing w:before="0" w:after="283"/>
              <w:jc w:val="right"/>
              <w:rPr/>
            </w:pPr>
            <w:r>
              <w:rPr/>
              <w:t>2/3/2030</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875" w:type="dxa"/>
            <w:tcBorders>
              <w:bottom w:val="single" w:sz="2" w:space="0" w:color="000000"/>
            </w:tcBorders>
            <w:shd w:fill="EDEDEE" w:val="clear"/>
            <w:tcMar>
              <w:bottom w:w="40" w:type="dxa"/>
            </w:tcMar>
            <w:vAlign w:val="center"/>
          </w:tcPr>
          <w:p>
            <w:pPr>
              <w:pStyle w:val="TableContents"/>
              <w:bidi w:val="0"/>
              <w:spacing w:before="0" w:after="283"/>
              <w:jc w:val="right"/>
              <w:rPr/>
            </w:pPr>
            <w:r>
              <w:rPr/>
              <w:t>–</w:t>
            </w:r>
          </w:p>
        </w:tc>
        <w:tc>
          <w:tcPr>
            <w:tcW w:w="300" w:type="dxa"/>
            <w:tcBorders>
              <w:bottom w:val="single" w:sz="2" w:space="0" w:color="000000"/>
            </w:tcBorders>
            <w:shd w:fill="EDEDEE" w:val="clear"/>
            <w:tcMar>
              <w:bottom w:w="40" w:type="dxa"/>
            </w:tcMar>
            <w:vAlign w:val="center"/>
          </w:tcPr>
          <w:p>
            <w:pPr>
              <w:pStyle w:val="TableContents"/>
              <w:bidi w:val="0"/>
              <w:spacing w:before="0" w:after="283"/>
              <w:jc w:val="left"/>
              <w:rPr/>
            </w:pPr>
            <w:r>
              <w:rPr/>
              <w:t> </w:t>
            </w:r>
          </w:p>
        </w:tc>
        <w:tc>
          <w:tcPr>
            <w:tcW w:w="1100" w:type="dxa"/>
            <w:tcBorders>
              <w:bottom w:val="single" w:sz="2" w:space="0" w:color="000000"/>
            </w:tcBorders>
            <w:shd w:fill="EDEDEE" w:val="clear"/>
            <w:tcMar>
              <w:bottom w:w="40" w:type="dxa"/>
            </w:tcMar>
            <w:vAlign w:val="center"/>
          </w:tcPr>
          <w:p>
            <w:pPr>
              <w:pStyle w:val="TableContents"/>
              <w:bidi w:val="0"/>
              <w:spacing w:before="0" w:after="283"/>
              <w:jc w:val="right"/>
              <w:rPr/>
            </w:pPr>
            <w:r>
              <w:rPr/>
              <w:t>–</w:t>
            </w:r>
          </w:p>
        </w:tc>
        <w:tc>
          <w:tcPr>
            <w:tcW w:w="300" w:type="dxa"/>
            <w:tcBorders>
              <w:bottom w:val="single" w:sz="2" w:space="0" w:color="000000"/>
            </w:tcBorders>
            <w:shd w:fill="EDEDEE" w:val="clear"/>
            <w:tcMar>
              <w:bottom w:w="40" w:type="dxa"/>
            </w:tcMar>
            <w:vAlign w:val="center"/>
          </w:tcPr>
          <w:p>
            <w:pPr>
              <w:pStyle w:val="TableContents"/>
              <w:bidi w:val="0"/>
              <w:spacing w:before="0" w:after="283"/>
              <w:jc w:val="left"/>
              <w:rPr/>
            </w:pPr>
            <w:r>
              <w:rPr/>
              <w:t> </w:t>
            </w:r>
          </w:p>
        </w:tc>
        <w:tc>
          <w:tcPr>
            <w:tcW w:w="1040" w:type="dxa"/>
            <w:tcBorders>
              <w:bottom w:val="single" w:sz="2" w:space="0" w:color="000000"/>
            </w:tcBorders>
            <w:shd w:fill="EDEDEE" w:val="clear"/>
            <w:tcMar>
              <w:bottom w:w="40" w:type="dxa"/>
            </w:tcMar>
            <w:vAlign w:val="center"/>
          </w:tcPr>
          <w:p>
            <w:pPr>
              <w:pStyle w:val="TableContents"/>
              <w:bidi w:val="0"/>
              <w:spacing w:before="0" w:after="283"/>
              <w:jc w:val="right"/>
              <w:rPr/>
            </w:pPr>
            <w:r>
              <w:rPr/>
              <w:t>–</w:t>
            </w:r>
          </w:p>
        </w:tc>
        <w:tc>
          <w:tcPr>
            <w:tcW w:w="300" w:type="dxa"/>
            <w:tcBorders>
              <w:bottom w:val="single" w:sz="2" w:space="0" w:color="000000"/>
            </w:tcBorders>
            <w:shd w:fill="EDEDEE" w:val="clear"/>
            <w:tcMar>
              <w:bottom w:w="40" w:type="dxa"/>
            </w:tcMar>
            <w:vAlign w:val="center"/>
          </w:tcPr>
          <w:p>
            <w:pPr>
              <w:pStyle w:val="TableContents"/>
              <w:bidi w:val="0"/>
              <w:spacing w:before="0" w:after="283"/>
              <w:jc w:val="left"/>
              <w:rPr/>
            </w:pPr>
            <w:r>
              <w:rPr/>
              <w:t> </w:t>
            </w:r>
          </w:p>
        </w:tc>
        <w:tc>
          <w:tcPr>
            <w:tcW w:w="1235" w:type="dxa"/>
            <w:tcBorders>
              <w:bottom w:val="single" w:sz="2" w:space="0" w:color="000000"/>
            </w:tcBorders>
            <w:shd w:fill="EDEDEE" w:val="clear"/>
            <w:tcMar>
              <w:bottom w:w="40" w:type="dxa"/>
            </w:tcMar>
            <w:vAlign w:val="center"/>
          </w:tcPr>
          <w:p>
            <w:pPr>
              <w:pStyle w:val="TableContents"/>
              <w:bidi w:val="0"/>
              <w:spacing w:before="0" w:after="283"/>
              <w:jc w:val="right"/>
              <w:rPr/>
            </w:pPr>
            <w:r>
              <w:rPr/>
              <w:t>–</w:t>
            </w:r>
          </w:p>
        </w:tc>
      </w:tr>
      <w:tr>
        <w:trPr/>
        <w:tc>
          <w:tcPr>
            <w:tcW w:w="875" w:type="dxa"/>
            <w:tcBorders>
              <w:bottom w:val="single" w:sz="2" w:space="0" w:color="000000"/>
            </w:tcBorders>
            <w:tcMar>
              <w:bottom w:w="40" w:type="dxa"/>
            </w:tcMar>
            <w:vAlign w:val="center"/>
          </w:tcPr>
          <w:p>
            <w:pPr>
              <w:pStyle w:val="TableContents"/>
              <w:bidi w:val="0"/>
              <w:spacing w:before="0" w:after="283"/>
              <w:jc w:val="left"/>
              <w:rPr/>
            </w:pPr>
            <w:r>
              <w:rPr/>
              <w:t>2/5/2019</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1265" w:type="dxa"/>
            <w:tcBorders>
              <w:bottom w:val="single" w:sz="2" w:space="0" w:color="000000"/>
            </w:tcBorders>
            <w:tcMar>
              <w:bottom w:w="40" w:type="dxa"/>
            </w:tcMar>
            <w:vAlign w:val="center"/>
          </w:tcPr>
          <w:p>
            <w:pPr>
              <w:pStyle w:val="TableContents"/>
              <w:bidi w:val="0"/>
              <w:spacing w:before="0" w:after="283"/>
              <w:jc w:val="right"/>
              <w:rPr/>
            </w:pPr>
            <w:r>
              <w:rPr/>
              <w:t>54,810</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1595" w:type="dxa"/>
            <w:tcBorders>
              <w:bottom w:val="single" w:sz="2" w:space="0" w:color="000000"/>
            </w:tcBorders>
            <w:tcMar>
              <w:bottom w:w="40" w:type="dxa"/>
            </w:tcMar>
            <w:vAlign w:val="center"/>
          </w:tcPr>
          <w:p>
            <w:pPr>
              <w:pStyle w:val="TableContents"/>
              <w:bidi w:val="0"/>
              <w:spacing w:before="0" w:after="283"/>
              <w:jc w:val="right"/>
              <w:rPr/>
            </w:pPr>
            <w:r>
              <w:rPr/>
              <w:t>–</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875" w:type="dxa"/>
            <w:tcBorders>
              <w:bottom w:val="single" w:sz="2" w:space="0" w:color="000000"/>
            </w:tcBorders>
            <w:tcMar>
              <w:bottom w:w="40" w:type="dxa"/>
            </w:tcMar>
            <w:vAlign w:val="center"/>
          </w:tcPr>
          <w:p>
            <w:pPr>
              <w:pStyle w:val="TableContents"/>
              <w:bidi w:val="0"/>
              <w:spacing w:before="0" w:after="283"/>
              <w:jc w:val="right"/>
              <w:rPr/>
            </w:pPr>
            <w:r>
              <w:rPr/>
              <w:t>$71.62</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1115" w:type="dxa"/>
            <w:tcBorders>
              <w:bottom w:val="single" w:sz="2" w:space="0" w:color="000000"/>
            </w:tcBorders>
            <w:tcMar>
              <w:bottom w:w="40" w:type="dxa"/>
            </w:tcMar>
            <w:vAlign w:val="center"/>
          </w:tcPr>
          <w:p>
            <w:pPr>
              <w:pStyle w:val="TableContents"/>
              <w:bidi w:val="0"/>
              <w:spacing w:before="0" w:after="283"/>
              <w:jc w:val="right"/>
              <w:rPr/>
            </w:pPr>
            <w:r>
              <w:rPr/>
              <w:t>2/4/2029</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875" w:type="dxa"/>
            <w:tcBorders>
              <w:bottom w:val="single" w:sz="2" w:space="0" w:color="000000"/>
            </w:tcBorders>
            <w:shd w:fill="EDEDEE" w:val="clear"/>
            <w:tcMar>
              <w:bottom w:w="40" w:type="dxa"/>
            </w:tcMar>
            <w:vAlign w:val="center"/>
          </w:tcPr>
          <w:p>
            <w:pPr>
              <w:pStyle w:val="TableContents"/>
              <w:bidi w:val="0"/>
              <w:spacing w:before="0" w:after="283"/>
              <w:jc w:val="right"/>
              <w:rPr/>
            </w:pPr>
            <w:r>
              <w:rPr/>
              <w:t>–</w:t>
            </w:r>
          </w:p>
        </w:tc>
        <w:tc>
          <w:tcPr>
            <w:tcW w:w="300" w:type="dxa"/>
            <w:tcBorders>
              <w:bottom w:val="single" w:sz="2" w:space="0" w:color="000000"/>
            </w:tcBorders>
            <w:shd w:fill="EDEDEE" w:val="clear"/>
            <w:tcMar>
              <w:bottom w:w="40" w:type="dxa"/>
            </w:tcMar>
            <w:vAlign w:val="center"/>
          </w:tcPr>
          <w:p>
            <w:pPr>
              <w:pStyle w:val="TableContents"/>
              <w:bidi w:val="0"/>
              <w:spacing w:before="0" w:after="283"/>
              <w:jc w:val="left"/>
              <w:rPr/>
            </w:pPr>
            <w:r>
              <w:rPr/>
              <w:t> </w:t>
            </w:r>
          </w:p>
        </w:tc>
        <w:tc>
          <w:tcPr>
            <w:tcW w:w="1100" w:type="dxa"/>
            <w:tcBorders>
              <w:bottom w:val="single" w:sz="2" w:space="0" w:color="000000"/>
            </w:tcBorders>
            <w:shd w:fill="EDEDEE" w:val="clear"/>
            <w:tcMar>
              <w:bottom w:w="40" w:type="dxa"/>
            </w:tcMar>
            <w:vAlign w:val="center"/>
          </w:tcPr>
          <w:p>
            <w:pPr>
              <w:pStyle w:val="TableContents"/>
              <w:bidi w:val="0"/>
              <w:spacing w:before="0" w:after="283"/>
              <w:jc w:val="right"/>
              <w:rPr/>
            </w:pPr>
            <w:r>
              <w:rPr/>
              <w:t>–</w:t>
            </w:r>
          </w:p>
        </w:tc>
        <w:tc>
          <w:tcPr>
            <w:tcW w:w="300" w:type="dxa"/>
            <w:tcBorders>
              <w:bottom w:val="single" w:sz="2" w:space="0" w:color="000000"/>
            </w:tcBorders>
            <w:shd w:fill="EDEDEE" w:val="clear"/>
            <w:tcMar>
              <w:bottom w:w="40" w:type="dxa"/>
            </w:tcMar>
            <w:vAlign w:val="center"/>
          </w:tcPr>
          <w:p>
            <w:pPr>
              <w:pStyle w:val="TableContents"/>
              <w:bidi w:val="0"/>
              <w:spacing w:before="0" w:after="283"/>
              <w:jc w:val="left"/>
              <w:rPr/>
            </w:pPr>
            <w:r>
              <w:rPr/>
              <w:t> </w:t>
            </w:r>
          </w:p>
        </w:tc>
        <w:tc>
          <w:tcPr>
            <w:tcW w:w="1040" w:type="dxa"/>
            <w:tcBorders>
              <w:bottom w:val="single" w:sz="2" w:space="0" w:color="000000"/>
            </w:tcBorders>
            <w:shd w:fill="EDEDEE" w:val="clear"/>
            <w:tcMar>
              <w:bottom w:w="40" w:type="dxa"/>
            </w:tcMar>
            <w:vAlign w:val="center"/>
          </w:tcPr>
          <w:p>
            <w:pPr>
              <w:pStyle w:val="TableContents"/>
              <w:bidi w:val="0"/>
              <w:spacing w:before="0" w:after="283"/>
              <w:jc w:val="right"/>
              <w:rPr/>
            </w:pPr>
            <w:r>
              <w:rPr/>
              <w:t>–</w:t>
            </w:r>
          </w:p>
        </w:tc>
        <w:tc>
          <w:tcPr>
            <w:tcW w:w="300" w:type="dxa"/>
            <w:tcBorders>
              <w:bottom w:val="single" w:sz="2" w:space="0" w:color="000000"/>
            </w:tcBorders>
            <w:shd w:fill="EDEDEE" w:val="clear"/>
            <w:tcMar>
              <w:bottom w:w="40" w:type="dxa"/>
            </w:tcMar>
            <w:vAlign w:val="center"/>
          </w:tcPr>
          <w:p>
            <w:pPr>
              <w:pStyle w:val="TableContents"/>
              <w:bidi w:val="0"/>
              <w:spacing w:before="0" w:after="283"/>
              <w:jc w:val="left"/>
              <w:rPr/>
            </w:pPr>
            <w:r>
              <w:rPr/>
              <w:t> </w:t>
            </w:r>
          </w:p>
        </w:tc>
        <w:tc>
          <w:tcPr>
            <w:tcW w:w="1235" w:type="dxa"/>
            <w:tcBorders>
              <w:bottom w:val="single" w:sz="2" w:space="0" w:color="000000"/>
            </w:tcBorders>
            <w:shd w:fill="EDEDEE" w:val="clear"/>
            <w:tcMar>
              <w:bottom w:w="40" w:type="dxa"/>
            </w:tcMar>
            <w:vAlign w:val="center"/>
          </w:tcPr>
          <w:p>
            <w:pPr>
              <w:pStyle w:val="TableContents"/>
              <w:bidi w:val="0"/>
              <w:spacing w:before="0" w:after="283"/>
              <w:jc w:val="right"/>
              <w:rPr/>
            </w:pPr>
            <w:r>
              <w:rPr/>
              <w:t>–</w:t>
            </w:r>
          </w:p>
        </w:tc>
      </w:tr>
      <w:tr>
        <w:trPr/>
        <w:tc>
          <w:tcPr>
            <w:tcW w:w="875" w:type="dxa"/>
            <w:tcBorders>
              <w:bottom w:val="single" w:sz="2" w:space="0" w:color="000000"/>
            </w:tcBorders>
            <w:tcMar>
              <w:bottom w:w="40" w:type="dxa"/>
            </w:tcMar>
            <w:vAlign w:val="center"/>
          </w:tcPr>
          <w:p>
            <w:pPr>
              <w:pStyle w:val="TableContents"/>
              <w:bidi w:val="0"/>
              <w:spacing w:before="0" w:after="283"/>
              <w:jc w:val="left"/>
              <w:rPr/>
            </w:pPr>
            <w:r>
              <w:rPr/>
              <w:t>1/2/2018</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1265" w:type="dxa"/>
            <w:tcBorders>
              <w:bottom w:val="single" w:sz="2" w:space="0" w:color="000000"/>
            </w:tcBorders>
            <w:tcMar>
              <w:bottom w:w="40" w:type="dxa"/>
            </w:tcMar>
            <w:vAlign w:val="center"/>
          </w:tcPr>
          <w:p>
            <w:pPr>
              <w:pStyle w:val="TableContents"/>
              <w:bidi w:val="0"/>
              <w:spacing w:before="0" w:after="283"/>
              <w:jc w:val="right"/>
              <w:rPr/>
            </w:pPr>
            <w:r>
              <w:rPr/>
              <w:t>31,199</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1595" w:type="dxa"/>
            <w:tcBorders>
              <w:bottom w:val="single" w:sz="2" w:space="0" w:color="000000"/>
            </w:tcBorders>
            <w:tcMar>
              <w:bottom w:w="40" w:type="dxa"/>
            </w:tcMar>
            <w:vAlign w:val="center"/>
          </w:tcPr>
          <w:p>
            <w:pPr>
              <w:pStyle w:val="TableContents"/>
              <w:bidi w:val="0"/>
              <w:spacing w:before="0" w:after="283"/>
              <w:jc w:val="right"/>
              <w:rPr/>
            </w:pPr>
            <w:r>
              <w:rPr/>
              <w:t>–</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875" w:type="dxa"/>
            <w:tcBorders>
              <w:bottom w:val="single" w:sz="2" w:space="0" w:color="000000"/>
            </w:tcBorders>
            <w:tcMar>
              <w:bottom w:w="40" w:type="dxa"/>
            </w:tcMar>
            <w:vAlign w:val="center"/>
          </w:tcPr>
          <w:p>
            <w:pPr>
              <w:pStyle w:val="TableContents"/>
              <w:bidi w:val="0"/>
              <w:spacing w:before="0" w:after="283"/>
              <w:jc w:val="right"/>
              <w:rPr/>
            </w:pPr>
            <w:r>
              <w:rPr/>
              <w:t>$76.00</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1115" w:type="dxa"/>
            <w:tcBorders>
              <w:bottom w:val="single" w:sz="2" w:space="0" w:color="000000"/>
            </w:tcBorders>
            <w:tcMar>
              <w:bottom w:w="40" w:type="dxa"/>
            </w:tcMar>
            <w:vAlign w:val="center"/>
          </w:tcPr>
          <w:p>
            <w:pPr>
              <w:pStyle w:val="TableContents"/>
              <w:bidi w:val="0"/>
              <w:spacing w:before="0" w:after="283"/>
              <w:jc w:val="right"/>
              <w:rPr/>
            </w:pPr>
            <w:r>
              <w:rPr/>
              <w:t>1/1/2028</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875" w:type="dxa"/>
            <w:tcBorders>
              <w:bottom w:val="single" w:sz="2" w:space="0" w:color="000000"/>
            </w:tcBorders>
            <w:shd w:fill="EDEDEE" w:val="clear"/>
            <w:tcMar>
              <w:bottom w:w="40" w:type="dxa"/>
            </w:tcMar>
            <w:vAlign w:val="center"/>
          </w:tcPr>
          <w:p>
            <w:pPr>
              <w:pStyle w:val="TableContents"/>
              <w:bidi w:val="0"/>
              <w:spacing w:before="0" w:after="283"/>
              <w:jc w:val="right"/>
              <w:rPr/>
            </w:pPr>
            <w:r>
              <w:rPr/>
              <w:t>–</w:t>
            </w:r>
          </w:p>
        </w:tc>
        <w:tc>
          <w:tcPr>
            <w:tcW w:w="300" w:type="dxa"/>
            <w:tcBorders>
              <w:bottom w:val="single" w:sz="2" w:space="0" w:color="000000"/>
            </w:tcBorders>
            <w:shd w:fill="EDEDEE" w:val="clear"/>
            <w:tcMar>
              <w:bottom w:w="40" w:type="dxa"/>
            </w:tcMar>
            <w:vAlign w:val="center"/>
          </w:tcPr>
          <w:p>
            <w:pPr>
              <w:pStyle w:val="TableContents"/>
              <w:bidi w:val="0"/>
              <w:spacing w:before="0" w:after="283"/>
              <w:jc w:val="left"/>
              <w:rPr/>
            </w:pPr>
            <w:r>
              <w:rPr/>
              <w:t> </w:t>
            </w:r>
          </w:p>
        </w:tc>
        <w:tc>
          <w:tcPr>
            <w:tcW w:w="1100" w:type="dxa"/>
            <w:tcBorders>
              <w:bottom w:val="single" w:sz="2" w:space="0" w:color="000000"/>
            </w:tcBorders>
            <w:shd w:fill="EDEDEE" w:val="clear"/>
            <w:tcMar>
              <w:bottom w:w="40" w:type="dxa"/>
            </w:tcMar>
            <w:vAlign w:val="center"/>
          </w:tcPr>
          <w:p>
            <w:pPr>
              <w:pStyle w:val="TableContents"/>
              <w:bidi w:val="0"/>
              <w:spacing w:before="0" w:after="283"/>
              <w:jc w:val="right"/>
              <w:rPr/>
            </w:pPr>
            <w:r>
              <w:rPr/>
              <w:t>–</w:t>
            </w:r>
          </w:p>
        </w:tc>
        <w:tc>
          <w:tcPr>
            <w:tcW w:w="300" w:type="dxa"/>
            <w:tcBorders>
              <w:bottom w:val="single" w:sz="2" w:space="0" w:color="000000"/>
            </w:tcBorders>
            <w:shd w:fill="EDEDEE" w:val="clear"/>
            <w:tcMar>
              <w:bottom w:w="40" w:type="dxa"/>
            </w:tcMar>
            <w:vAlign w:val="center"/>
          </w:tcPr>
          <w:p>
            <w:pPr>
              <w:pStyle w:val="TableContents"/>
              <w:bidi w:val="0"/>
              <w:spacing w:before="0" w:after="283"/>
              <w:jc w:val="left"/>
              <w:rPr/>
            </w:pPr>
            <w:r>
              <w:rPr/>
              <w:t> </w:t>
            </w:r>
          </w:p>
        </w:tc>
        <w:tc>
          <w:tcPr>
            <w:tcW w:w="1040" w:type="dxa"/>
            <w:tcBorders>
              <w:bottom w:val="single" w:sz="2" w:space="0" w:color="000000"/>
            </w:tcBorders>
            <w:shd w:fill="EDEDEE" w:val="clear"/>
            <w:tcMar>
              <w:bottom w:w="40" w:type="dxa"/>
            </w:tcMar>
            <w:vAlign w:val="center"/>
          </w:tcPr>
          <w:p>
            <w:pPr>
              <w:pStyle w:val="TableContents"/>
              <w:bidi w:val="0"/>
              <w:spacing w:before="0" w:after="283"/>
              <w:jc w:val="right"/>
              <w:rPr/>
            </w:pPr>
            <w:r>
              <w:rPr/>
              <w:t>–</w:t>
            </w:r>
          </w:p>
        </w:tc>
        <w:tc>
          <w:tcPr>
            <w:tcW w:w="300" w:type="dxa"/>
            <w:tcBorders>
              <w:bottom w:val="single" w:sz="2" w:space="0" w:color="000000"/>
            </w:tcBorders>
            <w:shd w:fill="EDEDEE" w:val="clear"/>
            <w:tcMar>
              <w:bottom w:w="40" w:type="dxa"/>
            </w:tcMar>
            <w:vAlign w:val="center"/>
          </w:tcPr>
          <w:p>
            <w:pPr>
              <w:pStyle w:val="TableContents"/>
              <w:bidi w:val="0"/>
              <w:spacing w:before="0" w:after="283"/>
              <w:jc w:val="left"/>
              <w:rPr/>
            </w:pPr>
            <w:r>
              <w:rPr/>
              <w:t> </w:t>
            </w:r>
          </w:p>
        </w:tc>
        <w:tc>
          <w:tcPr>
            <w:tcW w:w="1235" w:type="dxa"/>
            <w:tcBorders>
              <w:bottom w:val="single" w:sz="2" w:space="0" w:color="000000"/>
            </w:tcBorders>
            <w:shd w:fill="EDEDEE" w:val="clear"/>
            <w:tcMar>
              <w:bottom w:w="40" w:type="dxa"/>
            </w:tcMar>
            <w:vAlign w:val="center"/>
          </w:tcPr>
          <w:p>
            <w:pPr>
              <w:pStyle w:val="TableContents"/>
              <w:bidi w:val="0"/>
              <w:spacing w:before="0" w:after="283"/>
              <w:jc w:val="right"/>
              <w:rPr/>
            </w:pPr>
            <w:r>
              <w:rPr/>
              <w:t>–</w:t>
            </w:r>
          </w:p>
        </w:tc>
      </w:tr>
      <w:tr>
        <w:trPr/>
        <w:tc>
          <w:tcPr>
            <w:tcW w:w="875" w:type="dxa"/>
            <w:tcBorders>
              <w:bottom w:val="single" w:sz="12" w:space="0" w:color="636466"/>
            </w:tcBorders>
            <w:tcMar>
              <w:bottom w:w="40" w:type="dxa"/>
            </w:tcMar>
            <w:vAlign w:val="center"/>
          </w:tcPr>
          <w:p>
            <w:pPr>
              <w:pStyle w:val="TableContents"/>
              <w:bidi w:val="0"/>
              <w:spacing w:before="0" w:after="283"/>
              <w:jc w:val="left"/>
              <w:rPr/>
            </w:pPr>
            <w:r>
              <w:rPr/>
              <w:t>1/18/2017</w:t>
            </w:r>
          </w:p>
        </w:tc>
        <w:tc>
          <w:tcPr>
            <w:tcW w:w="300" w:type="dxa"/>
            <w:tcBorders>
              <w:bottom w:val="single" w:sz="12" w:space="0" w:color="636466"/>
            </w:tcBorders>
            <w:tcMar>
              <w:bottom w:w="40" w:type="dxa"/>
            </w:tcMar>
            <w:vAlign w:val="center"/>
          </w:tcPr>
          <w:p>
            <w:pPr>
              <w:pStyle w:val="TableContents"/>
              <w:bidi w:val="0"/>
              <w:spacing w:before="0" w:after="283"/>
              <w:jc w:val="left"/>
              <w:rPr/>
            </w:pPr>
            <w:r>
              <w:rPr/>
              <w:t> </w:t>
            </w:r>
          </w:p>
        </w:tc>
        <w:tc>
          <w:tcPr>
            <w:tcW w:w="1265" w:type="dxa"/>
            <w:tcBorders>
              <w:bottom w:val="single" w:sz="12" w:space="0" w:color="636466"/>
            </w:tcBorders>
            <w:tcMar>
              <w:bottom w:w="40" w:type="dxa"/>
            </w:tcMar>
            <w:vAlign w:val="center"/>
          </w:tcPr>
          <w:p>
            <w:pPr>
              <w:pStyle w:val="TableContents"/>
              <w:bidi w:val="0"/>
              <w:spacing w:before="0" w:after="283"/>
              <w:jc w:val="right"/>
              <w:rPr/>
            </w:pPr>
            <w:r>
              <w:rPr/>
              <w:t>–</w:t>
            </w:r>
          </w:p>
        </w:tc>
        <w:tc>
          <w:tcPr>
            <w:tcW w:w="300" w:type="dxa"/>
            <w:tcBorders>
              <w:bottom w:val="single" w:sz="12" w:space="0" w:color="636466"/>
            </w:tcBorders>
            <w:tcMar>
              <w:bottom w:w="40" w:type="dxa"/>
            </w:tcMar>
            <w:vAlign w:val="center"/>
          </w:tcPr>
          <w:p>
            <w:pPr>
              <w:pStyle w:val="TableContents"/>
              <w:bidi w:val="0"/>
              <w:spacing w:before="0" w:after="283"/>
              <w:jc w:val="left"/>
              <w:rPr/>
            </w:pPr>
            <w:r>
              <w:rPr/>
              <w:t> </w:t>
            </w:r>
          </w:p>
        </w:tc>
        <w:tc>
          <w:tcPr>
            <w:tcW w:w="1595" w:type="dxa"/>
            <w:tcBorders>
              <w:bottom w:val="single" w:sz="12" w:space="0" w:color="636466"/>
            </w:tcBorders>
            <w:tcMar>
              <w:bottom w:w="40" w:type="dxa"/>
            </w:tcMar>
            <w:vAlign w:val="center"/>
          </w:tcPr>
          <w:p>
            <w:pPr>
              <w:pStyle w:val="TableContents"/>
              <w:bidi w:val="0"/>
              <w:spacing w:before="0" w:after="283"/>
              <w:jc w:val="right"/>
              <w:rPr/>
            </w:pPr>
            <w:r>
              <w:rPr/>
              <w:t>–</w:t>
            </w:r>
          </w:p>
        </w:tc>
        <w:tc>
          <w:tcPr>
            <w:tcW w:w="300" w:type="dxa"/>
            <w:tcBorders>
              <w:bottom w:val="single" w:sz="12" w:space="0" w:color="636466"/>
            </w:tcBorders>
            <w:tcMar>
              <w:bottom w:w="40" w:type="dxa"/>
            </w:tcMar>
            <w:vAlign w:val="center"/>
          </w:tcPr>
          <w:p>
            <w:pPr>
              <w:pStyle w:val="TableContents"/>
              <w:bidi w:val="0"/>
              <w:spacing w:before="0" w:after="283"/>
              <w:jc w:val="left"/>
              <w:rPr/>
            </w:pPr>
            <w:r>
              <w:rPr/>
              <w:t> </w:t>
            </w:r>
          </w:p>
        </w:tc>
        <w:tc>
          <w:tcPr>
            <w:tcW w:w="875" w:type="dxa"/>
            <w:tcBorders>
              <w:bottom w:val="single" w:sz="12" w:space="0" w:color="636466"/>
            </w:tcBorders>
            <w:tcMar>
              <w:bottom w:w="40" w:type="dxa"/>
            </w:tcMar>
            <w:vAlign w:val="center"/>
          </w:tcPr>
          <w:p>
            <w:pPr>
              <w:pStyle w:val="TableContents"/>
              <w:bidi w:val="0"/>
              <w:spacing w:before="0" w:after="283"/>
              <w:jc w:val="right"/>
              <w:rPr/>
            </w:pPr>
            <w:r>
              <w:rPr/>
              <w:t>–</w:t>
            </w:r>
          </w:p>
        </w:tc>
        <w:tc>
          <w:tcPr>
            <w:tcW w:w="300" w:type="dxa"/>
            <w:tcBorders>
              <w:bottom w:val="single" w:sz="12" w:space="0" w:color="636466"/>
            </w:tcBorders>
            <w:tcMar>
              <w:bottom w:w="40" w:type="dxa"/>
            </w:tcMar>
            <w:vAlign w:val="center"/>
          </w:tcPr>
          <w:p>
            <w:pPr>
              <w:pStyle w:val="TableContents"/>
              <w:bidi w:val="0"/>
              <w:spacing w:before="0" w:after="283"/>
              <w:jc w:val="left"/>
              <w:rPr/>
            </w:pPr>
            <w:r>
              <w:rPr/>
              <w:t> </w:t>
            </w:r>
          </w:p>
        </w:tc>
        <w:tc>
          <w:tcPr>
            <w:tcW w:w="1115" w:type="dxa"/>
            <w:tcBorders>
              <w:bottom w:val="single" w:sz="12" w:space="0" w:color="636466"/>
            </w:tcBorders>
            <w:tcMar>
              <w:bottom w:w="40" w:type="dxa"/>
            </w:tcMar>
            <w:vAlign w:val="center"/>
          </w:tcPr>
          <w:p>
            <w:pPr>
              <w:pStyle w:val="TableContents"/>
              <w:bidi w:val="0"/>
              <w:spacing w:before="0" w:after="283"/>
              <w:jc w:val="right"/>
              <w:rPr/>
            </w:pPr>
            <w:r>
              <w:rPr/>
              <w:t>–</w:t>
            </w:r>
          </w:p>
        </w:tc>
        <w:tc>
          <w:tcPr>
            <w:tcW w:w="300" w:type="dxa"/>
            <w:tcBorders>
              <w:bottom w:val="single" w:sz="12" w:space="0" w:color="636466"/>
            </w:tcBorders>
            <w:tcMar>
              <w:bottom w:w="40" w:type="dxa"/>
            </w:tcMar>
            <w:vAlign w:val="center"/>
          </w:tcPr>
          <w:p>
            <w:pPr>
              <w:pStyle w:val="TableContents"/>
              <w:bidi w:val="0"/>
              <w:spacing w:before="0" w:after="283"/>
              <w:jc w:val="left"/>
              <w:rPr/>
            </w:pPr>
            <w:r>
              <w:rPr/>
              <w:t> </w:t>
            </w:r>
          </w:p>
        </w:tc>
        <w:tc>
          <w:tcPr>
            <w:tcW w:w="875" w:type="dxa"/>
            <w:tcBorders>
              <w:bottom w:val="single" w:sz="12" w:space="0" w:color="636466"/>
            </w:tcBorders>
            <w:shd w:fill="EDEDEE" w:val="clear"/>
            <w:tcMar>
              <w:bottom w:w="40" w:type="dxa"/>
            </w:tcMar>
            <w:vAlign w:val="center"/>
          </w:tcPr>
          <w:p>
            <w:pPr>
              <w:pStyle w:val="TableContents"/>
              <w:bidi w:val="0"/>
              <w:spacing w:before="0" w:after="283"/>
              <w:jc w:val="right"/>
              <w:rPr/>
            </w:pPr>
            <w:r>
              <w:rPr/>
              <w:t>18,765</w:t>
            </w:r>
            <w:r>
              <w:rPr>
                <w:position w:val="8"/>
                <w:sz w:val="19"/>
              </w:rPr>
              <w:t>(6)</w:t>
            </w:r>
          </w:p>
        </w:tc>
        <w:tc>
          <w:tcPr>
            <w:tcW w:w="300" w:type="dxa"/>
            <w:tcBorders>
              <w:bottom w:val="single" w:sz="12" w:space="0" w:color="636466"/>
            </w:tcBorders>
            <w:shd w:fill="EDEDEE" w:val="clear"/>
            <w:tcMar>
              <w:bottom w:w="40" w:type="dxa"/>
            </w:tcMar>
            <w:vAlign w:val="center"/>
          </w:tcPr>
          <w:p>
            <w:pPr>
              <w:pStyle w:val="TableContents"/>
              <w:bidi w:val="0"/>
              <w:spacing w:before="0" w:after="283"/>
              <w:jc w:val="left"/>
              <w:rPr/>
            </w:pPr>
            <w:r>
              <w:rPr/>
              <w:t> </w:t>
            </w:r>
          </w:p>
        </w:tc>
        <w:tc>
          <w:tcPr>
            <w:tcW w:w="1100" w:type="dxa"/>
            <w:tcBorders>
              <w:bottom w:val="single" w:sz="12" w:space="0" w:color="636466"/>
            </w:tcBorders>
            <w:shd w:fill="EDEDEE" w:val="clear"/>
            <w:tcMar>
              <w:bottom w:w="40" w:type="dxa"/>
            </w:tcMar>
            <w:vAlign w:val="center"/>
          </w:tcPr>
          <w:p>
            <w:pPr>
              <w:pStyle w:val="TableContents"/>
              <w:bidi w:val="0"/>
              <w:spacing w:before="0" w:after="283"/>
              <w:jc w:val="right"/>
              <w:rPr/>
            </w:pPr>
            <w:r>
              <w:rPr/>
              <w:t>$3,441,501</w:t>
            </w:r>
          </w:p>
        </w:tc>
        <w:tc>
          <w:tcPr>
            <w:tcW w:w="300" w:type="dxa"/>
            <w:tcBorders>
              <w:bottom w:val="single" w:sz="12" w:space="0" w:color="636466"/>
            </w:tcBorders>
            <w:shd w:fill="EDEDEE" w:val="clear"/>
            <w:tcMar>
              <w:bottom w:w="40" w:type="dxa"/>
            </w:tcMar>
            <w:vAlign w:val="center"/>
          </w:tcPr>
          <w:p>
            <w:pPr>
              <w:pStyle w:val="TableContents"/>
              <w:bidi w:val="0"/>
              <w:spacing w:before="0" w:after="283"/>
              <w:jc w:val="left"/>
              <w:rPr/>
            </w:pPr>
            <w:r>
              <w:rPr/>
              <w:t> </w:t>
            </w:r>
          </w:p>
        </w:tc>
        <w:tc>
          <w:tcPr>
            <w:tcW w:w="1040" w:type="dxa"/>
            <w:tcBorders>
              <w:bottom w:val="single" w:sz="12" w:space="0" w:color="636466"/>
            </w:tcBorders>
            <w:shd w:fill="EDEDEE" w:val="clear"/>
            <w:tcMar>
              <w:bottom w:w="40" w:type="dxa"/>
            </w:tcMar>
            <w:vAlign w:val="center"/>
          </w:tcPr>
          <w:p>
            <w:pPr>
              <w:pStyle w:val="TableContents"/>
              <w:bidi w:val="0"/>
              <w:spacing w:before="0" w:after="283"/>
              <w:jc w:val="right"/>
              <w:rPr/>
            </w:pPr>
            <w:r>
              <w:rPr/>
              <w:t>–</w:t>
            </w:r>
          </w:p>
        </w:tc>
        <w:tc>
          <w:tcPr>
            <w:tcW w:w="300" w:type="dxa"/>
            <w:tcBorders>
              <w:bottom w:val="single" w:sz="12" w:space="0" w:color="636466"/>
            </w:tcBorders>
            <w:shd w:fill="EDEDEE" w:val="clear"/>
            <w:tcMar>
              <w:bottom w:w="40" w:type="dxa"/>
            </w:tcMar>
            <w:vAlign w:val="center"/>
          </w:tcPr>
          <w:p>
            <w:pPr>
              <w:pStyle w:val="TableContents"/>
              <w:bidi w:val="0"/>
              <w:spacing w:before="0" w:after="283"/>
              <w:jc w:val="left"/>
              <w:rPr/>
            </w:pPr>
            <w:r>
              <w:rPr/>
              <w:t> </w:t>
            </w:r>
          </w:p>
        </w:tc>
        <w:tc>
          <w:tcPr>
            <w:tcW w:w="1235" w:type="dxa"/>
            <w:tcBorders>
              <w:bottom w:val="single" w:sz="12" w:space="0" w:color="636466"/>
            </w:tcBorders>
            <w:shd w:fill="EDEDEE" w:val="clear"/>
            <w:tcMar>
              <w:bottom w:w="40" w:type="dxa"/>
            </w:tcMar>
            <w:vAlign w:val="center"/>
          </w:tcPr>
          <w:p>
            <w:pPr>
              <w:pStyle w:val="TableContents"/>
              <w:bidi w:val="0"/>
              <w:spacing w:before="0" w:after="283"/>
              <w:jc w:val="right"/>
              <w:rPr/>
            </w:pPr>
            <w:r>
              <w:rPr/>
              <w:t>–</w:t>
            </w:r>
          </w:p>
        </w:tc>
      </w:tr>
      <w:tr>
        <w:trPr/>
        <w:tc>
          <w:tcPr>
            <w:tcW w:w="875" w:type="dxa"/>
            <w:tcBorders>
              <w:bottom w:val="single" w:sz="12" w:space="0" w:color="C12E33"/>
            </w:tcBorders>
            <w:tcMar>
              <w:bottom w:w="40" w:type="dxa"/>
            </w:tcMar>
            <w:vAlign w:val="center"/>
          </w:tcPr>
          <w:p>
            <w:pPr>
              <w:pStyle w:val="TableContents"/>
              <w:bidi w:val="0"/>
              <w:spacing w:before="0" w:after="283"/>
              <w:jc w:val="left"/>
              <w:rPr>
                <w:b/>
              </w:rPr>
            </w:pPr>
            <w:r>
              <w:rPr>
                <w:b/>
              </w:rPr>
              <w:t>N. Mitchill, Jr.</w:t>
            </w:r>
          </w:p>
        </w:tc>
        <w:tc>
          <w:tcPr>
            <w:tcW w:w="300" w:type="dxa"/>
            <w:tcBorders>
              <w:bottom w:val="single" w:sz="12" w:space="0" w:color="C12E33"/>
            </w:tcBorders>
            <w:tcMar>
              <w:bottom w:w="40" w:type="dxa"/>
            </w:tcMar>
            <w:vAlign w:val="center"/>
          </w:tcPr>
          <w:p>
            <w:pPr>
              <w:pStyle w:val="TableContents"/>
              <w:bidi w:val="0"/>
              <w:spacing w:before="0" w:after="283"/>
              <w:jc w:val="left"/>
              <w:rPr/>
            </w:pPr>
            <w:r>
              <w:rPr/>
              <w:t> </w:t>
            </w:r>
          </w:p>
        </w:tc>
        <w:tc>
          <w:tcPr>
            <w:tcW w:w="1265" w:type="dxa"/>
            <w:tcBorders>
              <w:bottom w:val="single" w:sz="12" w:space="0" w:color="C12E33"/>
            </w:tcBorders>
            <w:tcMar>
              <w:bottom w:w="40" w:type="dxa"/>
            </w:tcMar>
            <w:vAlign w:val="center"/>
          </w:tcPr>
          <w:p>
            <w:pPr>
              <w:pStyle w:val="TableContents"/>
              <w:bidi w:val="0"/>
              <w:spacing w:before="0" w:after="283"/>
              <w:jc w:val="left"/>
              <w:rPr/>
            </w:pPr>
            <w:r>
              <w:rPr/>
              <w:t> </w:t>
            </w:r>
          </w:p>
        </w:tc>
        <w:tc>
          <w:tcPr>
            <w:tcW w:w="300" w:type="dxa"/>
            <w:tcBorders>
              <w:bottom w:val="single" w:sz="12" w:space="0" w:color="C12E33"/>
            </w:tcBorders>
            <w:tcMar>
              <w:bottom w:w="40" w:type="dxa"/>
            </w:tcMar>
            <w:vAlign w:val="center"/>
          </w:tcPr>
          <w:p>
            <w:pPr>
              <w:pStyle w:val="TableContents"/>
              <w:bidi w:val="0"/>
              <w:spacing w:before="0" w:after="283"/>
              <w:jc w:val="left"/>
              <w:rPr/>
            </w:pPr>
            <w:r>
              <w:rPr/>
              <w:t> </w:t>
            </w:r>
          </w:p>
        </w:tc>
        <w:tc>
          <w:tcPr>
            <w:tcW w:w="1595" w:type="dxa"/>
            <w:tcBorders>
              <w:bottom w:val="single" w:sz="12" w:space="0" w:color="C12E33"/>
            </w:tcBorders>
            <w:tcMar>
              <w:bottom w:w="40" w:type="dxa"/>
            </w:tcMar>
            <w:vAlign w:val="center"/>
          </w:tcPr>
          <w:p>
            <w:pPr>
              <w:pStyle w:val="TableContents"/>
              <w:bidi w:val="0"/>
              <w:spacing w:before="0" w:after="283"/>
              <w:jc w:val="left"/>
              <w:rPr/>
            </w:pPr>
            <w:r>
              <w:rPr/>
              <w:t> </w:t>
            </w:r>
          </w:p>
        </w:tc>
        <w:tc>
          <w:tcPr>
            <w:tcW w:w="300" w:type="dxa"/>
            <w:tcBorders>
              <w:bottom w:val="single" w:sz="12" w:space="0" w:color="C12E33"/>
            </w:tcBorders>
            <w:tcMar>
              <w:bottom w:w="40" w:type="dxa"/>
            </w:tcMar>
            <w:vAlign w:val="center"/>
          </w:tcPr>
          <w:p>
            <w:pPr>
              <w:pStyle w:val="TableContents"/>
              <w:bidi w:val="0"/>
              <w:spacing w:before="0" w:after="283"/>
              <w:jc w:val="left"/>
              <w:rPr/>
            </w:pPr>
            <w:r>
              <w:rPr/>
              <w:t> </w:t>
            </w:r>
          </w:p>
        </w:tc>
        <w:tc>
          <w:tcPr>
            <w:tcW w:w="875" w:type="dxa"/>
            <w:tcBorders>
              <w:bottom w:val="single" w:sz="12" w:space="0" w:color="C12E33"/>
            </w:tcBorders>
            <w:tcMar>
              <w:bottom w:w="40" w:type="dxa"/>
            </w:tcMar>
            <w:vAlign w:val="center"/>
          </w:tcPr>
          <w:p>
            <w:pPr>
              <w:pStyle w:val="TableContents"/>
              <w:bidi w:val="0"/>
              <w:spacing w:before="0" w:after="283"/>
              <w:jc w:val="left"/>
              <w:rPr/>
            </w:pPr>
            <w:r>
              <w:rPr/>
              <w:t> </w:t>
            </w:r>
          </w:p>
        </w:tc>
        <w:tc>
          <w:tcPr>
            <w:tcW w:w="300" w:type="dxa"/>
            <w:tcBorders>
              <w:bottom w:val="single" w:sz="12" w:space="0" w:color="C12E33"/>
            </w:tcBorders>
            <w:tcMar>
              <w:bottom w:w="40" w:type="dxa"/>
            </w:tcMar>
            <w:vAlign w:val="center"/>
          </w:tcPr>
          <w:p>
            <w:pPr>
              <w:pStyle w:val="TableContents"/>
              <w:bidi w:val="0"/>
              <w:spacing w:before="0" w:after="283"/>
              <w:jc w:val="left"/>
              <w:rPr/>
            </w:pPr>
            <w:r>
              <w:rPr/>
              <w:t> </w:t>
            </w:r>
          </w:p>
        </w:tc>
        <w:tc>
          <w:tcPr>
            <w:tcW w:w="1115" w:type="dxa"/>
            <w:tcBorders>
              <w:bottom w:val="single" w:sz="12" w:space="0" w:color="C12E33"/>
            </w:tcBorders>
            <w:tcMar>
              <w:bottom w:w="40" w:type="dxa"/>
            </w:tcMar>
            <w:vAlign w:val="center"/>
          </w:tcPr>
          <w:p>
            <w:pPr>
              <w:pStyle w:val="TableContents"/>
              <w:bidi w:val="0"/>
              <w:spacing w:before="0" w:after="283"/>
              <w:jc w:val="left"/>
              <w:rPr/>
            </w:pPr>
            <w:r>
              <w:rPr/>
              <w:t> </w:t>
            </w:r>
          </w:p>
        </w:tc>
        <w:tc>
          <w:tcPr>
            <w:tcW w:w="300" w:type="dxa"/>
            <w:tcBorders>
              <w:bottom w:val="single" w:sz="12" w:space="0" w:color="C12E33"/>
            </w:tcBorders>
            <w:tcMar>
              <w:bottom w:w="40" w:type="dxa"/>
            </w:tcMar>
            <w:vAlign w:val="center"/>
          </w:tcPr>
          <w:p>
            <w:pPr>
              <w:pStyle w:val="TableContents"/>
              <w:bidi w:val="0"/>
              <w:spacing w:before="0" w:after="283"/>
              <w:jc w:val="left"/>
              <w:rPr/>
            </w:pPr>
            <w:r>
              <w:rPr/>
              <w:t> </w:t>
            </w:r>
          </w:p>
        </w:tc>
        <w:tc>
          <w:tcPr>
            <w:tcW w:w="875" w:type="dxa"/>
            <w:tcBorders>
              <w:bottom w:val="single" w:sz="12" w:space="0" w:color="C12E33"/>
            </w:tcBorders>
            <w:shd w:fill="EDEDEE" w:val="clear"/>
            <w:tcMar>
              <w:bottom w:w="40" w:type="dxa"/>
            </w:tcMar>
            <w:vAlign w:val="center"/>
          </w:tcPr>
          <w:p>
            <w:pPr>
              <w:pStyle w:val="TableContents"/>
              <w:bidi w:val="0"/>
              <w:spacing w:before="0" w:after="283"/>
              <w:jc w:val="left"/>
              <w:rPr/>
            </w:pPr>
            <w:r>
              <w:rPr/>
              <w:t> </w:t>
            </w:r>
          </w:p>
        </w:tc>
        <w:tc>
          <w:tcPr>
            <w:tcW w:w="300" w:type="dxa"/>
            <w:tcBorders>
              <w:bottom w:val="single" w:sz="12" w:space="0" w:color="C12E33"/>
            </w:tcBorders>
            <w:shd w:fill="EDEDEE" w:val="clear"/>
            <w:tcMar>
              <w:bottom w:w="40" w:type="dxa"/>
            </w:tcMar>
            <w:vAlign w:val="center"/>
          </w:tcPr>
          <w:p>
            <w:pPr>
              <w:pStyle w:val="TableContents"/>
              <w:bidi w:val="0"/>
              <w:spacing w:before="0" w:after="283"/>
              <w:jc w:val="left"/>
              <w:rPr/>
            </w:pPr>
            <w:r>
              <w:rPr/>
              <w:t> </w:t>
            </w:r>
          </w:p>
        </w:tc>
        <w:tc>
          <w:tcPr>
            <w:tcW w:w="1100" w:type="dxa"/>
            <w:tcBorders>
              <w:bottom w:val="single" w:sz="12" w:space="0" w:color="C12E33"/>
            </w:tcBorders>
            <w:shd w:fill="EDEDEE" w:val="clear"/>
            <w:tcMar>
              <w:bottom w:w="40" w:type="dxa"/>
            </w:tcMar>
            <w:vAlign w:val="center"/>
          </w:tcPr>
          <w:p>
            <w:pPr>
              <w:pStyle w:val="TableContents"/>
              <w:bidi w:val="0"/>
              <w:spacing w:before="0" w:after="283"/>
              <w:jc w:val="left"/>
              <w:rPr/>
            </w:pPr>
            <w:r>
              <w:rPr/>
              <w:t> </w:t>
            </w:r>
          </w:p>
        </w:tc>
        <w:tc>
          <w:tcPr>
            <w:tcW w:w="300" w:type="dxa"/>
            <w:tcBorders>
              <w:bottom w:val="single" w:sz="12" w:space="0" w:color="C12E33"/>
            </w:tcBorders>
            <w:shd w:fill="EDEDEE" w:val="clear"/>
            <w:tcMar>
              <w:bottom w:w="40" w:type="dxa"/>
            </w:tcMar>
            <w:vAlign w:val="center"/>
          </w:tcPr>
          <w:p>
            <w:pPr>
              <w:pStyle w:val="TableContents"/>
              <w:bidi w:val="0"/>
              <w:spacing w:before="0" w:after="283"/>
              <w:jc w:val="left"/>
              <w:rPr/>
            </w:pPr>
            <w:r>
              <w:rPr/>
              <w:t> </w:t>
            </w:r>
          </w:p>
        </w:tc>
        <w:tc>
          <w:tcPr>
            <w:tcW w:w="1040" w:type="dxa"/>
            <w:tcBorders>
              <w:bottom w:val="single" w:sz="12" w:space="0" w:color="C12E33"/>
            </w:tcBorders>
            <w:shd w:fill="EDEDEE" w:val="clear"/>
            <w:tcMar>
              <w:bottom w:w="40" w:type="dxa"/>
            </w:tcMar>
            <w:vAlign w:val="center"/>
          </w:tcPr>
          <w:p>
            <w:pPr>
              <w:pStyle w:val="TableContents"/>
              <w:bidi w:val="0"/>
              <w:spacing w:before="0" w:after="283"/>
              <w:jc w:val="left"/>
              <w:rPr/>
            </w:pPr>
            <w:r>
              <w:rPr/>
              <w:t> </w:t>
            </w:r>
          </w:p>
        </w:tc>
        <w:tc>
          <w:tcPr>
            <w:tcW w:w="300" w:type="dxa"/>
            <w:tcBorders>
              <w:bottom w:val="single" w:sz="12" w:space="0" w:color="C12E33"/>
            </w:tcBorders>
            <w:shd w:fill="EDEDEE" w:val="clear"/>
            <w:tcMar>
              <w:bottom w:w="40" w:type="dxa"/>
            </w:tcMar>
            <w:vAlign w:val="center"/>
          </w:tcPr>
          <w:p>
            <w:pPr>
              <w:pStyle w:val="TableContents"/>
              <w:bidi w:val="0"/>
              <w:spacing w:before="0" w:after="283"/>
              <w:jc w:val="left"/>
              <w:rPr/>
            </w:pPr>
            <w:r>
              <w:rPr/>
              <w:t> </w:t>
            </w:r>
          </w:p>
        </w:tc>
        <w:tc>
          <w:tcPr>
            <w:tcW w:w="1235" w:type="dxa"/>
            <w:tcBorders>
              <w:bottom w:val="single" w:sz="12" w:space="0" w:color="C12E33"/>
            </w:tcBorders>
            <w:shd w:fill="EDEDEE" w:val="clear"/>
            <w:tcMar>
              <w:bottom w:w="40" w:type="dxa"/>
            </w:tcMar>
            <w:vAlign w:val="center"/>
          </w:tcPr>
          <w:p>
            <w:pPr>
              <w:pStyle w:val="TableContents"/>
              <w:bidi w:val="0"/>
              <w:spacing w:before="0" w:after="283"/>
              <w:jc w:val="left"/>
              <w:rPr/>
            </w:pPr>
            <w:r>
              <w:rPr/>
              <w:t> </w:t>
            </w:r>
          </w:p>
        </w:tc>
      </w:tr>
      <w:tr>
        <w:trPr/>
        <w:tc>
          <w:tcPr>
            <w:tcW w:w="875" w:type="dxa"/>
            <w:tcBorders>
              <w:bottom w:val="single" w:sz="2" w:space="0" w:color="000000"/>
            </w:tcBorders>
            <w:tcMar>
              <w:bottom w:w="40" w:type="dxa"/>
            </w:tcMar>
            <w:vAlign w:val="center"/>
          </w:tcPr>
          <w:p>
            <w:pPr>
              <w:pStyle w:val="TableContents"/>
              <w:bidi w:val="0"/>
              <w:spacing w:before="0" w:after="283"/>
              <w:jc w:val="left"/>
              <w:rPr/>
            </w:pPr>
            <w:r>
              <w:rPr/>
              <w:t>2/6/2025</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1265" w:type="dxa"/>
            <w:tcBorders>
              <w:bottom w:val="single" w:sz="2" w:space="0" w:color="000000"/>
            </w:tcBorders>
            <w:tcMar>
              <w:bottom w:w="40" w:type="dxa"/>
            </w:tcMar>
            <w:vAlign w:val="center"/>
          </w:tcPr>
          <w:p>
            <w:pPr>
              <w:pStyle w:val="TableContents"/>
              <w:bidi w:val="0"/>
              <w:spacing w:before="0" w:after="283"/>
              <w:jc w:val="right"/>
              <w:rPr/>
            </w:pPr>
            <w:r>
              <w:rPr/>
              <w:t>–</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1595" w:type="dxa"/>
            <w:tcBorders>
              <w:bottom w:val="single" w:sz="2" w:space="0" w:color="000000"/>
            </w:tcBorders>
            <w:tcMar>
              <w:bottom w:w="40" w:type="dxa"/>
            </w:tcMar>
            <w:vAlign w:val="center"/>
          </w:tcPr>
          <w:p>
            <w:pPr>
              <w:pStyle w:val="TableContents"/>
              <w:bidi w:val="0"/>
              <w:spacing w:before="0" w:after="283"/>
              <w:jc w:val="right"/>
              <w:rPr/>
            </w:pPr>
            <w:r>
              <w:rPr/>
              <w:t>70,400</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875" w:type="dxa"/>
            <w:tcBorders>
              <w:bottom w:val="single" w:sz="2" w:space="0" w:color="000000"/>
            </w:tcBorders>
            <w:tcMar>
              <w:bottom w:w="40" w:type="dxa"/>
            </w:tcMar>
            <w:vAlign w:val="center"/>
          </w:tcPr>
          <w:p>
            <w:pPr>
              <w:pStyle w:val="TableContents"/>
              <w:bidi w:val="0"/>
              <w:spacing w:before="0" w:after="283"/>
              <w:jc w:val="right"/>
              <w:rPr/>
            </w:pPr>
            <w:r>
              <w:rPr/>
              <w:t>$128.78</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1115" w:type="dxa"/>
            <w:tcBorders>
              <w:bottom w:val="single" w:sz="2" w:space="0" w:color="000000"/>
            </w:tcBorders>
            <w:tcMar>
              <w:bottom w:w="40" w:type="dxa"/>
            </w:tcMar>
            <w:vAlign w:val="center"/>
          </w:tcPr>
          <w:p>
            <w:pPr>
              <w:pStyle w:val="TableContents"/>
              <w:bidi w:val="0"/>
              <w:spacing w:before="0" w:after="283"/>
              <w:jc w:val="right"/>
              <w:rPr/>
            </w:pPr>
            <w:r>
              <w:rPr/>
              <w:t>2/5/2035</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875" w:type="dxa"/>
            <w:tcBorders>
              <w:bottom w:val="single" w:sz="2" w:space="0" w:color="000000"/>
            </w:tcBorders>
            <w:shd w:fill="EDEDEE" w:val="clear"/>
            <w:tcMar>
              <w:bottom w:w="40" w:type="dxa"/>
            </w:tcMar>
            <w:vAlign w:val="center"/>
          </w:tcPr>
          <w:p>
            <w:pPr>
              <w:pStyle w:val="TableContents"/>
              <w:bidi w:val="0"/>
              <w:spacing w:before="0" w:after="283"/>
              <w:jc w:val="right"/>
              <w:rPr/>
            </w:pPr>
            <w:r>
              <w:rPr/>
              <w:t>–</w:t>
            </w:r>
          </w:p>
        </w:tc>
        <w:tc>
          <w:tcPr>
            <w:tcW w:w="300" w:type="dxa"/>
            <w:tcBorders>
              <w:bottom w:val="single" w:sz="2" w:space="0" w:color="000000"/>
            </w:tcBorders>
            <w:shd w:fill="EDEDEE" w:val="clear"/>
            <w:tcMar>
              <w:bottom w:w="40" w:type="dxa"/>
            </w:tcMar>
            <w:vAlign w:val="center"/>
          </w:tcPr>
          <w:p>
            <w:pPr>
              <w:pStyle w:val="TableContents"/>
              <w:bidi w:val="0"/>
              <w:spacing w:before="0" w:after="283"/>
              <w:jc w:val="left"/>
              <w:rPr/>
            </w:pPr>
            <w:r>
              <w:rPr/>
              <w:t> </w:t>
            </w:r>
          </w:p>
        </w:tc>
        <w:tc>
          <w:tcPr>
            <w:tcW w:w="1100" w:type="dxa"/>
            <w:tcBorders>
              <w:bottom w:val="single" w:sz="2" w:space="0" w:color="000000"/>
            </w:tcBorders>
            <w:shd w:fill="EDEDEE" w:val="clear"/>
            <w:tcMar>
              <w:bottom w:w="40" w:type="dxa"/>
            </w:tcMar>
            <w:vAlign w:val="center"/>
          </w:tcPr>
          <w:p>
            <w:pPr>
              <w:pStyle w:val="TableContents"/>
              <w:bidi w:val="0"/>
              <w:spacing w:before="0" w:after="283"/>
              <w:jc w:val="right"/>
              <w:rPr/>
            </w:pPr>
            <w:r>
              <w:rPr/>
              <w:t>–</w:t>
            </w:r>
          </w:p>
        </w:tc>
        <w:tc>
          <w:tcPr>
            <w:tcW w:w="300" w:type="dxa"/>
            <w:tcBorders>
              <w:bottom w:val="single" w:sz="2" w:space="0" w:color="000000"/>
            </w:tcBorders>
            <w:shd w:fill="EDEDEE" w:val="clear"/>
            <w:tcMar>
              <w:bottom w:w="40" w:type="dxa"/>
            </w:tcMar>
            <w:vAlign w:val="center"/>
          </w:tcPr>
          <w:p>
            <w:pPr>
              <w:pStyle w:val="TableContents"/>
              <w:bidi w:val="0"/>
              <w:spacing w:before="0" w:after="283"/>
              <w:jc w:val="left"/>
              <w:rPr/>
            </w:pPr>
            <w:r>
              <w:rPr/>
              <w:t> </w:t>
            </w:r>
          </w:p>
        </w:tc>
        <w:tc>
          <w:tcPr>
            <w:tcW w:w="1040" w:type="dxa"/>
            <w:tcBorders>
              <w:bottom w:val="single" w:sz="2" w:space="0" w:color="000000"/>
            </w:tcBorders>
            <w:shd w:fill="EDEDEE" w:val="clear"/>
            <w:tcMar>
              <w:bottom w:w="40" w:type="dxa"/>
            </w:tcMar>
            <w:vAlign w:val="center"/>
          </w:tcPr>
          <w:p>
            <w:pPr>
              <w:pStyle w:val="TableContents"/>
              <w:bidi w:val="0"/>
              <w:spacing w:before="0" w:after="283"/>
              <w:jc w:val="right"/>
              <w:rPr/>
            </w:pPr>
            <w:r>
              <w:rPr/>
              <w:t>60,570</w:t>
            </w:r>
          </w:p>
        </w:tc>
        <w:tc>
          <w:tcPr>
            <w:tcW w:w="300" w:type="dxa"/>
            <w:tcBorders>
              <w:bottom w:val="single" w:sz="2" w:space="0" w:color="000000"/>
            </w:tcBorders>
            <w:shd w:fill="EDEDEE" w:val="clear"/>
            <w:tcMar>
              <w:bottom w:w="40" w:type="dxa"/>
            </w:tcMar>
            <w:vAlign w:val="center"/>
          </w:tcPr>
          <w:p>
            <w:pPr>
              <w:pStyle w:val="TableContents"/>
              <w:bidi w:val="0"/>
              <w:spacing w:before="0" w:after="283"/>
              <w:jc w:val="left"/>
              <w:rPr/>
            </w:pPr>
            <w:r>
              <w:rPr/>
              <w:t> </w:t>
            </w:r>
          </w:p>
        </w:tc>
        <w:tc>
          <w:tcPr>
            <w:tcW w:w="1235" w:type="dxa"/>
            <w:tcBorders>
              <w:bottom w:val="single" w:sz="2" w:space="0" w:color="000000"/>
            </w:tcBorders>
            <w:shd w:fill="EDEDEE" w:val="clear"/>
            <w:tcMar>
              <w:bottom w:w="40" w:type="dxa"/>
            </w:tcMar>
            <w:vAlign w:val="center"/>
          </w:tcPr>
          <w:p>
            <w:pPr>
              <w:pStyle w:val="TableContents"/>
              <w:bidi w:val="0"/>
              <w:spacing w:before="0" w:after="283"/>
              <w:jc w:val="right"/>
              <w:rPr/>
            </w:pPr>
            <w:r>
              <w:rPr/>
              <w:t>$11,108,538</w:t>
            </w:r>
          </w:p>
        </w:tc>
      </w:tr>
      <w:tr>
        <w:trPr/>
        <w:tc>
          <w:tcPr>
            <w:tcW w:w="875" w:type="dxa"/>
            <w:tcBorders>
              <w:bottom w:val="single" w:sz="2" w:space="0" w:color="000000"/>
            </w:tcBorders>
            <w:tcMar>
              <w:bottom w:w="40" w:type="dxa"/>
            </w:tcMar>
            <w:vAlign w:val="center"/>
          </w:tcPr>
          <w:p>
            <w:pPr>
              <w:pStyle w:val="TableContents"/>
              <w:bidi w:val="0"/>
              <w:spacing w:before="0" w:after="283"/>
              <w:jc w:val="left"/>
              <w:rPr/>
            </w:pPr>
            <w:r>
              <w:rPr/>
              <w:t>2/8/2024</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1265" w:type="dxa"/>
            <w:tcBorders>
              <w:bottom w:val="single" w:sz="2" w:space="0" w:color="000000"/>
            </w:tcBorders>
            <w:tcMar>
              <w:bottom w:w="40" w:type="dxa"/>
            </w:tcMar>
            <w:vAlign w:val="center"/>
          </w:tcPr>
          <w:p>
            <w:pPr>
              <w:pStyle w:val="TableContents"/>
              <w:bidi w:val="0"/>
              <w:spacing w:before="0" w:after="283"/>
              <w:jc w:val="right"/>
              <w:rPr/>
            </w:pPr>
            <w:r>
              <w:rPr/>
              <w:t>–</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1595" w:type="dxa"/>
            <w:tcBorders>
              <w:bottom w:val="single" w:sz="2" w:space="0" w:color="000000"/>
            </w:tcBorders>
            <w:tcMar>
              <w:bottom w:w="40" w:type="dxa"/>
            </w:tcMar>
            <w:vAlign w:val="center"/>
          </w:tcPr>
          <w:p>
            <w:pPr>
              <w:pStyle w:val="TableContents"/>
              <w:bidi w:val="0"/>
              <w:spacing w:before="0" w:after="283"/>
              <w:jc w:val="right"/>
              <w:rPr/>
            </w:pPr>
            <w:r>
              <w:rPr/>
              <w:t>100,700</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875" w:type="dxa"/>
            <w:tcBorders>
              <w:bottom w:val="single" w:sz="2" w:space="0" w:color="000000"/>
            </w:tcBorders>
            <w:tcMar>
              <w:bottom w:w="40" w:type="dxa"/>
            </w:tcMar>
            <w:vAlign w:val="center"/>
          </w:tcPr>
          <w:p>
            <w:pPr>
              <w:pStyle w:val="TableContents"/>
              <w:bidi w:val="0"/>
              <w:spacing w:before="0" w:after="283"/>
              <w:jc w:val="right"/>
              <w:rPr/>
            </w:pPr>
            <w:r>
              <w:rPr/>
              <w:t>$91.04</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1115" w:type="dxa"/>
            <w:tcBorders>
              <w:bottom w:val="single" w:sz="2" w:space="0" w:color="000000"/>
            </w:tcBorders>
            <w:tcMar>
              <w:bottom w:w="40" w:type="dxa"/>
            </w:tcMar>
            <w:vAlign w:val="center"/>
          </w:tcPr>
          <w:p>
            <w:pPr>
              <w:pStyle w:val="TableContents"/>
              <w:bidi w:val="0"/>
              <w:spacing w:before="0" w:after="283"/>
              <w:jc w:val="right"/>
              <w:rPr/>
            </w:pPr>
            <w:r>
              <w:rPr/>
              <w:t>2/7/2034</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875" w:type="dxa"/>
            <w:tcBorders>
              <w:bottom w:val="single" w:sz="2" w:space="0" w:color="000000"/>
            </w:tcBorders>
            <w:shd w:fill="EDEDEE" w:val="clear"/>
            <w:tcMar>
              <w:bottom w:w="40" w:type="dxa"/>
            </w:tcMar>
            <w:vAlign w:val="center"/>
          </w:tcPr>
          <w:p>
            <w:pPr>
              <w:pStyle w:val="TableContents"/>
              <w:bidi w:val="0"/>
              <w:spacing w:before="0" w:after="283"/>
              <w:jc w:val="right"/>
              <w:rPr/>
            </w:pPr>
            <w:r>
              <w:rPr/>
              <w:t>–</w:t>
            </w:r>
          </w:p>
        </w:tc>
        <w:tc>
          <w:tcPr>
            <w:tcW w:w="300" w:type="dxa"/>
            <w:tcBorders>
              <w:bottom w:val="single" w:sz="2" w:space="0" w:color="000000"/>
            </w:tcBorders>
            <w:shd w:fill="EDEDEE" w:val="clear"/>
            <w:tcMar>
              <w:bottom w:w="40" w:type="dxa"/>
            </w:tcMar>
            <w:vAlign w:val="center"/>
          </w:tcPr>
          <w:p>
            <w:pPr>
              <w:pStyle w:val="TableContents"/>
              <w:bidi w:val="0"/>
              <w:spacing w:before="0" w:after="283"/>
              <w:jc w:val="left"/>
              <w:rPr/>
            </w:pPr>
            <w:r>
              <w:rPr/>
              <w:t> </w:t>
            </w:r>
          </w:p>
        </w:tc>
        <w:tc>
          <w:tcPr>
            <w:tcW w:w="1100" w:type="dxa"/>
            <w:tcBorders>
              <w:bottom w:val="single" w:sz="2" w:space="0" w:color="000000"/>
            </w:tcBorders>
            <w:shd w:fill="EDEDEE" w:val="clear"/>
            <w:tcMar>
              <w:bottom w:w="40" w:type="dxa"/>
            </w:tcMar>
            <w:vAlign w:val="center"/>
          </w:tcPr>
          <w:p>
            <w:pPr>
              <w:pStyle w:val="TableContents"/>
              <w:bidi w:val="0"/>
              <w:spacing w:before="0" w:after="283"/>
              <w:jc w:val="right"/>
              <w:rPr/>
            </w:pPr>
            <w:r>
              <w:rPr/>
              <w:t>–</w:t>
            </w:r>
          </w:p>
        </w:tc>
        <w:tc>
          <w:tcPr>
            <w:tcW w:w="300" w:type="dxa"/>
            <w:tcBorders>
              <w:bottom w:val="single" w:sz="2" w:space="0" w:color="000000"/>
            </w:tcBorders>
            <w:shd w:fill="EDEDEE" w:val="clear"/>
            <w:tcMar>
              <w:bottom w:w="40" w:type="dxa"/>
            </w:tcMar>
            <w:vAlign w:val="center"/>
          </w:tcPr>
          <w:p>
            <w:pPr>
              <w:pStyle w:val="TableContents"/>
              <w:bidi w:val="0"/>
              <w:spacing w:before="0" w:after="283"/>
              <w:jc w:val="left"/>
              <w:rPr/>
            </w:pPr>
            <w:r>
              <w:rPr/>
              <w:t> </w:t>
            </w:r>
          </w:p>
        </w:tc>
        <w:tc>
          <w:tcPr>
            <w:tcW w:w="1040" w:type="dxa"/>
            <w:tcBorders>
              <w:bottom w:val="single" w:sz="2" w:space="0" w:color="000000"/>
            </w:tcBorders>
            <w:shd w:fill="EDEDEE" w:val="clear"/>
            <w:tcMar>
              <w:bottom w:w="40" w:type="dxa"/>
            </w:tcMar>
            <w:vAlign w:val="center"/>
          </w:tcPr>
          <w:p>
            <w:pPr>
              <w:pStyle w:val="TableContents"/>
              <w:bidi w:val="0"/>
              <w:spacing w:before="0" w:after="283"/>
              <w:jc w:val="right"/>
              <w:rPr/>
            </w:pPr>
            <w:r>
              <w:rPr/>
              <w:t>72,500</w:t>
            </w:r>
          </w:p>
        </w:tc>
        <w:tc>
          <w:tcPr>
            <w:tcW w:w="300" w:type="dxa"/>
            <w:tcBorders>
              <w:bottom w:val="single" w:sz="2" w:space="0" w:color="000000"/>
            </w:tcBorders>
            <w:shd w:fill="EDEDEE" w:val="clear"/>
            <w:tcMar>
              <w:bottom w:w="40" w:type="dxa"/>
            </w:tcMar>
            <w:vAlign w:val="center"/>
          </w:tcPr>
          <w:p>
            <w:pPr>
              <w:pStyle w:val="TableContents"/>
              <w:bidi w:val="0"/>
              <w:spacing w:before="0" w:after="283"/>
              <w:jc w:val="left"/>
              <w:rPr/>
            </w:pPr>
            <w:r>
              <w:rPr/>
              <w:t> </w:t>
            </w:r>
          </w:p>
        </w:tc>
        <w:tc>
          <w:tcPr>
            <w:tcW w:w="1235" w:type="dxa"/>
            <w:tcBorders>
              <w:bottom w:val="single" w:sz="2" w:space="0" w:color="000000"/>
            </w:tcBorders>
            <w:shd w:fill="EDEDEE" w:val="clear"/>
            <w:tcMar>
              <w:bottom w:w="40" w:type="dxa"/>
            </w:tcMar>
            <w:vAlign w:val="center"/>
          </w:tcPr>
          <w:p>
            <w:pPr>
              <w:pStyle w:val="TableContents"/>
              <w:bidi w:val="0"/>
              <w:spacing w:before="0" w:after="283"/>
              <w:jc w:val="right"/>
              <w:rPr/>
            </w:pPr>
            <w:r>
              <w:rPr/>
              <w:t>$13,296,500</w:t>
            </w:r>
          </w:p>
        </w:tc>
      </w:tr>
      <w:tr>
        <w:trPr/>
        <w:tc>
          <w:tcPr>
            <w:tcW w:w="875" w:type="dxa"/>
            <w:tcBorders>
              <w:bottom w:val="single" w:sz="2" w:space="0" w:color="000000"/>
            </w:tcBorders>
            <w:tcMar>
              <w:bottom w:w="40" w:type="dxa"/>
            </w:tcMar>
            <w:vAlign w:val="center"/>
          </w:tcPr>
          <w:p>
            <w:pPr>
              <w:pStyle w:val="TableContents"/>
              <w:bidi w:val="0"/>
              <w:spacing w:before="0" w:after="283"/>
              <w:jc w:val="left"/>
              <w:rPr/>
            </w:pPr>
            <w:r>
              <w:rPr/>
              <w:t>2/8/2023</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1265" w:type="dxa"/>
            <w:tcBorders>
              <w:bottom w:val="single" w:sz="2" w:space="0" w:color="000000"/>
            </w:tcBorders>
            <w:tcMar>
              <w:bottom w:w="40" w:type="dxa"/>
            </w:tcMar>
            <w:vAlign w:val="center"/>
          </w:tcPr>
          <w:p>
            <w:pPr>
              <w:pStyle w:val="TableContents"/>
              <w:bidi w:val="0"/>
              <w:spacing w:before="0" w:after="283"/>
              <w:jc w:val="right"/>
              <w:rPr/>
            </w:pPr>
            <w:r>
              <w:rPr/>
              <w:t>–</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1595" w:type="dxa"/>
            <w:tcBorders>
              <w:bottom w:val="single" w:sz="2" w:space="0" w:color="000000"/>
            </w:tcBorders>
            <w:tcMar>
              <w:bottom w:w="40" w:type="dxa"/>
            </w:tcMar>
            <w:vAlign w:val="center"/>
          </w:tcPr>
          <w:p>
            <w:pPr>
              <w:pStyle w:val="TableContents"/>
              <w:bidi w:val="0"/>
              <w:spacing w:before="0" w:after="283"/>
              <w:jc w:val="right"/>
              <w:rPr/>
            </w:pPr>
            <w:r>
              <w:rPr/>
              <w:t>76,900</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875" w:type="dxa"/>
            <w:tcBorders>
              <w:bottom w:val="single" w:sz="2" w:space="0" w:color="000000"/>
            </w:tcBorders>
            <w:tcMar>
              <w:bottom w:w="40" w:type="dxa"/>
            </w:tcMar>
            <w:vAlign w:val="center"/>
          </w:tcPr>
          <w:p>
            <w:pPr>
              <w:pStyle w:val="TableContents"/>
              <w:bidi w:val="0"/>
              <w:spacing w:before="0" w:after="283"/>
              <w:jc w:val="right"/>
              <w:rPr/>
            </w:pPr>
            <w:r>
              <w:rPr/>
              <w:t>$97.65</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1115" w:type="dxa"/>
            <w:tcBorders>
              <w:bottom w:val="single" w:sz="2" w:space="0" w:color="000000"/>
            </w:tcBorders>
            <w:tcMar>
              <w:bottom w:w="40" w:type="dxa"/>
            </w:tcMar>
            <w:vAlign w:val="center"/>
          </w:tcPr>
          <w:p>
            <w:pPr>
              <w:pStyle w:val="TableContents"/>
              <w:bidi w:val="0"/>
              <w:spacing w:before="0" w:after="283"/>
              <w:jc w:val="right"/>
              <w:rPr/>
            </w:pPr>
            <w:r>
              <w:rPr/>
              <w:t>2/7/2033</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875" w:type="dxa"/>
            <w:tcBorders>
              <w:bottom w:val="single" w:sz="2" w:space="0" w:color="000000"/>
            </w:tcBorders>
            <w:shd w:fill="EDEDEE" w:val="clear"/>
            <w:tcMar>
              <w:bottom w:w="40" w:type="dxa"/>
            </w:tcMar>
            <w:vAlign w:val="center"/>
          </w:tcPr>
          <w:p>
            <w:pPr>
              <w:pStyle w:val="TableContents"/>
              <w:bidi w:val="0"/>
              <w:spacing w:before="0" w:after="283"/>
              <w:jc w:val="right"/>
              <w:rPr/>
            </w:pPr>
            <w:r>
              <w:rPr/>
              <w:t>–</w:t>
            </w:r>
          </w:p>
        </w:tc>
        <w:tc>
          <w:tcPr>
            <w:tcW w:w="300" w:type="dxa"/>
            <w:tcBorders>
              <w:bottom w:val="single" w:sz="2" w:space="0" w:color="000000"/>
            </w:tcBorders>
            <w:shd w:fill="EDEDEE" w:val="clear"/>
            <w:tcMar>
              <w:bottom w:w="40" w:type="dxa"/>
            </w:tcMar>
            <w:vAlign w:val="center"/>
          </w:tcPr>
          <w:p>
            <w:pPr>
              <w:pStyle w:val="TableContents"/>
              <w:bidi w:val="0"/>
              <w:spacing w:before="0" w:after="283"/>
              <w:jc w:val="left"/>
              <w:rPr/>
            </w:pPr>
            <w:r>
              <w:rPr/>
              <w:t> </w:t>
            </w:r>
          </w:p>
        </w:tc>
        <w:tc>
          <w:tcPr>
            <w:tcW w:w="1100" w:type="dxa"/>
            <w:tcBorders>
              <w:bottom w:val="single" w:sz="2" w:space="0" w:color="000000"/>
            </w:tcBorders>
            <w:shd w:fill="EDEDEE" w:val="clear"/>
            <w:tcMar>
              <w:bottom w:w="40" w:type="dxa"/>
            </w:tcMar>
            <w:vAlign w:val="center"/>
          </w:tcPr>
          <w:p>
            <w:pPr>
              <w:pStyle w:val="TableContents"/>
              <w:bidi w:val="0"/>
              <w:spacing w:before="0" w:after="283"/>
              <w:jc w:val="right"/>
              <w:rPr/>
            </w:pPr>
            <w:r>
              <w:rPr/>
              <w:t>–</w:t>
            </w:r>
          </w:p>
        </w:tc>
        <w:tc>
          <w:tcPr>
            <w:tcW w:w="300" w:type="dxa"/>
            <w:tcBorders>
              <w:bottom w:val="single" w:sz="2" w:space="0" w:color="000000"/>
            </w:tcBorders>
            <w:shd w:fill="EDEDEE" w:val="clear"/>
            <w:tcMar>
              <w:bottom w:w="40" w:type="dxa"/>
            </w:tcMar>
            <w:vAlign w:val="center"/>
          </w:tcPr>
          <w:p>
            <w:pPr>
              <w:pStyle w:val="TableContents"/>
              <w:bidi w:val="0"/>
              <w:spacing w:before="0" w:after="283"/>
              <w:jc w:val="left"/>
              <w:rPr/>
            </w:pPr>
            <w:r>
              <w:rPr/>
              <w:t> </w:t>
            </w:r>
          </w:p>
        </w:tc>
        <w:tc>
          <w:tcPr>
            <w:tcW w:w="1040" w:type="dxa"/>
            <w:tcBorders>
              <w:bottom w:val="single" w:sz="2" w:space="0" w:color="000000"/>
            </w:tcBorders>
            <w:shd w:fill="EDEDEE" w:val="clear"/>
            <w:tcMar>
              <w:bottom w:w="40" w:type="dxa"/>
            </w:tcMar>
            <w:vAlign w:val="center"/>
          </w:tcPr>
          <w:p>
            <w:pPr>
              <w:pStyle w:val="TableContents"/>
              <w:bidi w:val="0"/>
              <w:spacing w:before="0" w:after="283"/>
              <w:jc w:val="right"/>
              <w:rPr/>
            </w:pPr>
            <w:r>
              <w:rPr/>
              <w:t>42,617</w:t>
            </w:r>
          </w:p>
        </w:tc>
        <w:tc>
          <w:tcPr>
            <w:tcW w:w="300" w:type="dxa"/>
            <w:tcBorders>
              <w:bottom w:val="single" w:sz="2" w:space="0" w:color="000000"/>
            </w:tcBorders>
            <w:shd w:fill="EDEDEE" w:val="clear"/>
            <w:tcMar>
              <w:bottom w:w="40" w:type="dxa"/>
            </w:tcMar>
            <w:vAlign w:val="center"/>
          </w:tcPr>
          <w:p>
            <w:pPr>
              <w:pStyle w:val="TableContents"/>
              <w:bidi w:val="0"/>
              <w:spacing w:before="0" w:after="283"/>
              <w:jc w:val="left"/>
              <w:rPr/>
            </w:pPr>
            <w:r>
              <w:rPr/>
              <w:t> </w:t>
            </w:r>
          </w:p>
        </w:tc>
        <w:tc>
          <w:tcPr>
            <w:tcW w:w="1235" w:type="dxa"/>
            <w:tcBorders>
              <w:bottom w:val="single" w:sz="2" w:space="0" w:color="000000"/>
            </w:tcBorders>
            <w:shd w:fill="EDEDEE" w:val="clear"/>
            <w:tcMar>
              <w:bottom w:w="40" w:type="dxa"/>
            </w:tcMar>
            <w:vAlign w:val="center"/>
          </w:tcPr>
          <w:p>
            <w:pPr>
              <w:pStyle w:val="TableContents"/>
              <w:bidi w:val="0"/>
              <w:spacing w:before="0" w:after="283"/>
              <w:jc w:val="right"/>
              <w:rPr/>
            </w:pPr>
            <w:r>
              <w:rPr/>
              <w:t>$7,816,031</w:t>
            </w:r>
          </w:p>
        </w:tc>
      </w:tr>
      <w:tr>
        <w:trPr/>
        <w:tc>
          <w:tcPr>
            <w:tcW w:w="875" w:type="dxa"/>
            <w:tcBorders>
              <w:bottom w:val="single" w:sz="2" w:space="0" w:color="000000"/>
            </w:tcBorders>
            <w:tcMar>
              <w:bottom w:w="40" w:type="dxa"/>
            </w:tcMar>
            <w:vAlign w:val="center"/>
          </w:tcPr>
          <w:p>
            <w:pPr>
              <w:pStyle w:val="TableContents"/>
              <w:bidi w:val="0"/>
              <w:spacing w:before="0" w:after="283"/>
              <w:jc w:val="left"/>
              <w:rPr/>
            </w:pPr>
            <w:r>
              <w:rPr/>
              <w:t>2/15/2022</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1265" w:type="dxa"/>
            <w:tcBorders>
              <w:bottom w:val="single" w:sz="2" w:space="0" w:color="000000"/>
            </w:tcBorders>
            <w:tcMar>
              <w:bottom w:w="40" w:type="dxa"/>
            </w:tcMar>
            <w:vAlign w:val="center"/>
          </w:tcPr>
          <w:p>
            <w:pPr>
              <w:pStyle w:val="TableContents"/>
              <w:bidi w:val="0"/>
              <w:spacing w:before="0" w:after="283"/>
              <w:jc w:val="right"/>
              <w:rPr/>
            </w:pPr>
            <w:r>
              <w:rPr/>
              <w:t>77,400</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1595" w:type="dxa"/>
            <w:tcBorders>
              <w:bottom w:val="single" w:sz="2" w:space="0" w:color="000000"/>
            </w:tcBorders>
            <w:tcMar>
              <w:bottom w:w="40" w:type="dxa"/>
            </w:tcMar>
            <w:vAlign w:val="center"/>
          </w:tcPr>
          <w:p>
            <w:pPr>
              <w:pStyle w:val="TableContents"/>
              <w:bidi w:val="0"/>
              <w:spacing w:before="0" w:after="283"/>
              <w:jc w:val="right"/>
              <w:rPr/>
            </w:pPr>
            <w:r>
              <w:rPr/>
              <w:t>–</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875" w:type="dxa"/>
            <w:tcBorders>
              <w:bottom w:val="single" w:sz="2" w:space="0" w:color="000000"/>
            </w:tcBorders>
            <w:tcMar>
              <w:bottom w:w="40" w:type="dxa"/>
            </w:tcMar>
            <w:vAlign w:val="center"/>
          </w:tcPr>
          <w:p>
            <w:pPr>
              <w:pStyle w:val="TableContents"/>
              <w:bidi w:val="0"/>
              <w:spacing w:before="0" w:after="283"/>
              <w:jc w:val="right"/>
              <w:rPr/>
            </w:pPr>
            <w:r>
              <w:rPr/>
              <w:t>$94.04</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1115" w:type="dxa"/>
            <w:tcBorders>
              <w:bottom w:val="single" w:sz="2" w:space="0" w:color="000000"/>
            </w:tcBorders>
            <w:tcMar>
              <w:bottom w:w="40" w:type="dxa"/>
            </w:tcMar>
            <w:vAlign w:val="center"/>
          </w:tcPr>
          <w:p>
            <w:pPr>
              <w:pStyle w:val="TableContents"/>
              <w:bidi w:val="0"/>
              <w:spacing w:before="0" w:after="283"/>
              <w:jc w:val="right"/>
              <w:rPr/>
            </w:pPr>
            <w:r>
              <w:rPr/>
              <w:t>2/14/2032</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875" w:type="dxa"/>
            <w:tcBorders>
              <w:bottom w:val="single" w:sz="2" w:space="0" w:color="000000"/>
            </w:tcBorders>
            <w:shd w:fill="EDEDEE" w:val="clear"/>
            <w:tcMar>
              <w:bottom w:w="40" w:type="dxa"/>
            </w:tcMar>
            <w:vAlign w:val="center"/>
          </w:tcPr>
          <w:p>
            <w:pPr>
              <w:pStyle w:val="TableContents"/>
              <w:bidi w:val="0"/>
              <w:spacing w:before="0" w:after="283"/>
              <w:jc w:val="right"/>
              <w:rPr/>
            </w:pPr>
            <w:r>
              <w:rPr/>
              <w:t>–</w:t>
            </w:r>
          </w:p>
        </w:tc>
        <w:tc>
          <w:tcPr>
            <w:tcW w:w="300" w:type="dxa"/>
            <w:tcBorders>
              <w:bottom w:val="single" w:sz="2" w:space="0" w:color="000000"/>
            </w:tcBorders>
            <w:shd w:fill="EDEDEE" w:val="clear"/>
            <w:tcMar>
              <w:bottom w:w="40" w:type="dxa"/>
            </w:tcMar>
            <w:vAlign w:val="center"/>
          </w:tcPr>
          <w:p>
            <w:pPr>
              <w:pStyle w:val="TableContents"/>
              <w:bidi w:val="0"/>
              <w:spacing w:before="0" w:after="283"/>
              <w:jc w:val="left"/>
              <w:rPr/>
            </w:pPr>
            <w:r>
              <w:rPr/>
              <w:t> </w:t>
            </w:r>
          </w:p>
        </w:tc>
        <w:tc>
          <w:tcPr>
            <w:tcW w:w="1100" w:type="dxa"/>
            <w:tcBorders>
              <w:bottom w:val="single" w:sz="2" w:space="0" w:color="000000"/>
            </w:tcBorders>
            <w:shd w:fill="EDEDEE" w:val="clear"/>
            <w:tcMar>
              <w:bottom w:w="40" w:type="dxa"/>
            </w:tcMar>
            <w:vAlign w:val="center"/>
          </w:tcPr>
          <w:p>
            <w:pPr>
              <w:pStyle w:val="TableContents"/>
              <w:bidi w:val="0"/>
              <w:spacing w:before="0" w:after="283"/>
              <w:jc w:val="right"/>
              <w:rPr/>
            </w:pPr>
            <w:r>
              <w:rPr/>
              <w:t>–</w:t>
            </w:r>
          </w:p>
        </w:tc>
        <w:tc>
          <w:tcPr>
            <w:tcW w:w="300" w:type="dxa"/>
            <w:tcBorders>
              <w:bottom w:val="single" w:sz="2" w:space="0" w:color="000000"/>
            </w:tcBorders>
            <w:shd w:fill="EDEDEE" w:val="clear"/>
            <w:tcMar>
              <w:bottom w:w="40" w:type="dxa"/>
            </w:tcMar>
            <w:vAlign w:val="center"/>
          </w:tcPr>
          <w:p>
            <w:pPr>
              <w:pStyle w:val="TableContents"/>
              <w:bidi w:val="0"/>
              <w:spacing w:before="0" w:after="283"/>
              <w:jc w:val="left"/>
              <w:rPr/>
            </w:pPr>
            <w:r>
              <w:rPr/>
              <w:t> </w:t>
            </w:r>
          </w:p>
        </w:tc>
        <w:tc>
          <w:tcPr>
            <w:tcW w:w="1040" w:type="dxa"/>
            <w:tcBorders>
              <w:bottom w:val="single" w:sz="2" w:space="0" w:color="000000"/>
            </w:tcBorders>
            <w:shd w:fill="EDEDEE" w:val="clear"/>
            <w:tcMar>
              <w:bottom w:w="40" w:type="dxa"/>
            </w:tcMar>
            <w:vAlign w:val="center"/>
          </w:tcPr>
          <w:p>
            <w:pPr>
              <w:pStyle w:val="TableContents"/>
              <w:bidi w:val="0"/>
              <w:spacing w:before="0" w:after="283"/>
              <w:jc w:val="right"/>
              <w:rPr/>
            </w:pPr>
            <w:r>
              <w:rPr/>
              <w:t>–</w:t>
            </w:r>
          </w:p>
        </w:tc>
        <w:tc>
          <w:tcPr>
            <w:tcW w:w="300" w:type="dxa"/>
            <w:tcBorders>
              <w:bottom w:val="single" w:sz="2" w:space="0" w:color="000000"/>
            </w:tcBorders>
            <w:shd w:fill="EDEDEE" w:val="clear"/>
            <w:tcMar>
              <w:bottom w:w="40" w:type="dxa"/>
            </w:tcMar>
            <w:vAlign w:val="center"/>
          </w:tcPr>
          <w:p>
            <w:pPr>
              <w:pStyle w:val="TableContents"/>
              <w:bidi w:val="0"/>
              <w:spacing w:before="0" w:after="283"/>
              <w:jc w:val="left"/>
              <w:rPr/>
            </w:pPr>
            <w:r>
              <w:rPr/>
              <w:t> </w:t>
            </w:r>
          </w:p>
        </w:tc>
        <w:tc>
          <w:tcPr>
            <w:tcW w:w="1235" w:type="dxa"/>
            <w:tcBorders>
              <w:bottom w:val="single" w:sz="2" w:space="0" w:color="000000"/>
            </w:tcBorders>
            <w:shd w:fill="EDEDEE" w:val="clear"/>
            <w:tcMar>
              <w:bottom w:w="40" w:type="dxa"/>
            </w:tcMar>
            <w:vAlign w:val="center"/>
          </w:tcPr>
          <w:p>
            <w:pPr>
              <w:pStyle w:val="TableContents"/>
              <w:bidi w:val="0"/>
              <w:spacing w:before="0" w:after="283"/>
              <w:jc w:val="right"/>
              <w:rPr/>
            </w:pPr>
            <w:r>
              <w:rPr/>
              <w:t>–</w:t>
            </w:r>
          </w:p>
        </w:tc>
      </w:tr>
      <w:tr>
        <w:trPr/>
        <w:tc>
          <w:tcPr>
            <w:tcW w:w="875" w:type="dxa"/>
            <w:tcBorders>
              <w:bottom w:val="single" w:sz="2" w:space="0" w:color="000000"/>
            </w:tcBorders>
            <w:tcMar>
              <w:bottom w:w="40" w:type="dxa"/>
            </w:tcMar>
            <w:vAlign w:val="center"/>
          </w:tcPr>
          <w:p>
            <w:pPr>
              <w:pStyle w:val="TableContents"/>
              <w:bidi w:val="0"/>
              <w:spacing w:before="0" w:after="283"/>
              <w:jc w:val="left"/>
              <w:rPr/>
            </w:pPr>
            <w:r>
              <w:rPr/>
              <w:t>4/26/2021</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1265" w:type="dxa"/>
            <w:tcBorders>
              <w:bottom w:val="single" w:sz="2" w:space="0" w:color="000000"/>
            </w:tcBorders>
            <w:tcMar>
              <w:bottom w:w="40" w:type="dxa"/>
            </w:tcMar>
            <w:vAlign w:val="center"/>
          </w:tcPr>
          <w:p>
            <w:pPr>
              <w:pStyle w:val="TableContents"/>
              <w:bidi w:val="0"/>
              <w:spacing w:before="0" w:after="283"/>
              <w:jc w:val="right"/>
              <w:rPr/>
            </w:pPr>
            <w:r>
              <w:rPr/>
              <w:t>16,900</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1595" w:type="dxa"/>
            <w:tcBorders>
              <w:bottom w:val="single" w:sz="2" w:space="0" w:color="000000"/>
            </w:tcBorders>
            <w:tcMar>
              <w:bottom w:w="40" w:type="dxa"/>
            </w:tcMar>
            <w:vAlign w:val="center"/>
          </w:tcPr>
          <w:p>
            <w:pPr>
              <w:pStyle w:val="TableContents"/>
              <w:bidi w:val="0"/>
              <w:spacing w:before="0" w:after="283"/>
              <w:jc w:val="right"/>
              <w:rPr/>
            </w:pPr>
            <w:r>
              <w:rPr/>
              <w:t>–</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875" w:type="dxa"/>
            <w:tcBorders>
              <w:bottom w:val="single" w:sz="2" w:space="0" w:color="000000"/>
            </w:tcBorders>
            <w:tcMar>
              <w:bottom w:w="40" w:type="dxa"/>
            </w:tcMar>
            <w:vAlign w:val="center"/>
          </w:tcPr>
          <w:p>
            <w:pPr>
              <w:pStyle w:val="TableContents"/>
              <w:bidi w:val="0"/>
              <w:spacing w:before="0" w:after="283"/>
              <w:jc w:val="right"/>
              <w:rPr/>
            </w:pPr>
            <w:r>
              <w:rPr/>
              <w:t>$81.00</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1115" w:type="dxa"/>
            <w:tcBorders>
              <w:bottom w:val="single" w:sz="2" w:space="0" w:color="000000"/>
            </w:tcBorders>
            <w:tcMar>
              <w:bottom w:w="40" w:type="dxa"/>
            </w:tcMar>
            <w:vAlign w:val="center"/>
          </w:tcPr>
          <w:p>
            <w:pPr>
              <w:pStyle w:val="TableContents"/>
              <w:bidi w:val="0"/>
              <w:spacing w:before="0" w:after="283"/>
              <w:jc w:val="right"/>
              <w:rPr/>
            </w:pPr>
            <w:r>
              <w:rPr/>
              <w:t>4/25/2031</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875" w:type="dxa"/>
            <w:tcBorders>
              <w:bottom w:val="single" w:sz="2" w:space="0" w:color="000000"/>
            </w:tcBorders>
            <w:shd w:fill="EDEDEE" w:val="clear"/>
            <w:tcMar>
              <w:bottom w:w="40" w:type="dxa"/>
            </w:tcMar>
            <w:vAlign w:val="center"/>
          </w:tcPr>
          <w:p>
            <w:pPr>
              <w:pStyle w:val="TableContents"/>
              <w:bidi w:val="0"/>
              <w:spacing w:before="0" w:after="283"/>
              <w:jc w:val="right"/>
              <w:rPr/>
            </w:pPr>
            <w:r>
              <w:rPr/>
              <w:t>–</w:t>
            </w:r>
          </w:p>
        </w:tc>
        <w:tc>
          <w:tcPr>
            <w:tcW w:w="300" w:type="dxa"/>
            <w:tcBorders>
              <w:bottom w:val="single" w:sz="2" w:space="0" w:color="000000"/>
            </w:tcBorders>
            <w:shd w:fill="EDEDEE" w:val="clear"/>
            <w:tcMar>
              <w:bottom w:w="40" w:type="dxa"/>
            </w:tcMar>
            <w:vAlign w:val="center"/>
          </w:tcPr>
          <w:p>
            <w:pPr>
              <w:pStyle w:val="TableContents"/>
              <w:bidi w:val="0"/>
              <w:spacing w:before="0" w:after="283"/>
              <w:jc w:val="left"/>
              <w:rPr/>
            </w:pPr>
            <w:r>
              <w:rPr/>
              <w:t> </w:t>
            </w:r>
          </w:p>
        </w:tc>
        <w:tc>
          <w:tcPr>
            <w:tcW w:w="1100" w:type="dxa"/>
            <w:tcBorders>
              <w:bottom w:val="single" w:sz="2" w:space="0" w:color="000000"/>
            </w:tcBorders>
            <w:shd w:fill="EDEDEE" w:val="clear"/>
            <w:tcMar>
              <w:bottom w:w="40" w:type="dxa"/>
            </w:tcMar>
            <w:vAlign w:val="center"/>
          </w:tcPr>
          <w:p>
            <w:pPr>
              <w:pStyle w:val="TableContents"/>
              <w:bidi w:val="0"/>
              <w:spacing w:before="0" w:after="283"/>
              <w:jc w:val="right"/>
              <w:rPr/>
            </w:pPr>
            <w:r>
              <w:rPr/>
              <w:t>–</w:t>
            </w:r>
          </w:p>
        </w:tc>
        <w:tc>
          <w:tcPr>
            <w:tcW w:w="300" w:type="dxa"/>
            <w:tcBorders>
              <w:bottom w:val="single" w:sz="2" w:space="0" w:color="000000"/>
            </w:tcBorders>
            <w:shd w:fill="EDEDEE" w:val="clear"/>
            <w:tcMar>
              <w:bottom w:w="40" w:type="dxa"/>
            </w:tcMar>
            <w:vAlign w:val="center"/>
          </w:tcPr>
          <w:p>
            <w:pPr>
              <w:pStyle w:val="TableContents"/>
              <w:bidi w:val="0"/>
              <w:spacing w:before="0" w:after="283"/>
              <w:jc w:val="left"/>
              <w:rPr/>
            </w:pPr>
            <w:r>
              <w:rPr/>
              <w:t> </w:t>
            </w:r>
          </w:p>
        </w:tc>
        <w:tc>
          <w:tcPr>
            <w:tcW w:w="1040" w:type="dxa"/>
            <w:tcBorders>
              <w:bottom w:val="single" w:sz="2" w:space="0" w:color="000000"/>
            </w:tcBorders>
            <w:shd w:fill="EDEDEE" w:val="clear"/>
            <w:tcMar>
              <w:bottom w:w="40" w:type="dxa"/>
            </w:tcMar>
            <w:vAlign w:val="center"/>
          </w:tcPr>
          <w:p>
            <w:pPr>
              <w:pStyle w:val="TableContents"/>
              <w:bidi w:val="0"/>
              <w:spacing w:before="0" w:after="283"/>
              <w:jc w:val="right"/>
              <w:rPr/>
            </w:pPr>
            <w:r>
              <w:rPr/>
              <w:t>–</w:t>
            </w:r>
          </w:p>
        </w:tc>
        <w:tc>
          <w:tcPr>
            <w:tcW w:w="300" w:type="dxa"/>
            <w:tcBorders>
              <w:bottom w:val="single" w:sz="2" w:space="0" w:color="000000"/>
            </w:tcBorders>
            <w:shd w:fill="EDEDEE" w:val="clear"/>
            <w:tcMar>
              <w:bottom w:w="40" w:type="dxa"/>
            </w:tcMar>
            <w:vAlign w:val="center"/>
          </w:tcPr>
          <w:p>
            <w:pPr>
              <w:pStyle w:val="TableContents"/>
              <w:bidi w:val="0"/>
              <w:spacing w:before="0" w:after="283"/>
              <w:jc w:val="left"/>
              <w:rPr/>
            </w:pPr>
            <w:r>
              <w:rPr/>
              <w:t> </w:t>
            </w:r>
          </w:p>
        </w:tc>
        <w:tc>
          <w:tcPr>
            <w:tcW w:w="1235" w:type="dxa"/>
            <w:tcBorders>
              <w:bottom w:val="single" w:sz="2" w:space="0" w:color="000000"/>
            </w:tcBorders>
            <w:shd w:fill="EDEDEE" w:val="clear"/>
            <w:tcMar>
              <w:bottom w:w="40" w:type="dxa"/>
            </w:tcMar>
            <w:vAlign w:val="center"/>
          </w:tcPr>
          <w:p>
            <w:pPr>
              <w:pStyle w:val="TableContents"/>
              <w:bidi w:val="0"/>
              <w:spacing w:before="0" w:after="283"/>
              <w:jc w:val="right"/>
              <w:rPr/>
            </w:pPr>
            <w:r>
              <w:rPr/>
              <w:t>–</w:t>
            </w:r>
          </w:p>
        </w:tc>
      </w:tr>
      <w:tr>
        <w:trPr/>
        <w:tc>
          <w:tcPr>
            <w:tcW w:w="875" w:type="dxa"/>
            <w:tcBorders>
              <w:bottom w:val="single" w:sz="2" w:space="0" w:color="000000"/>
            </w:tcBorders>
            <w:tcMar>
              <w:bottom w:w="40" w:type="dxa"/>
            </w:tcMar>
            <w:vAlign w:val="center"/>
          </w:tcPr>
          <w:p>
            <w:pPr>
              <w:pStyle w:val="TableContents"/>
              <w:bidi w:val="0"/>
              <w:spacing w:before="0" w:after="283"/>
              <w:jc w:val="left"/>
              <w:rPr/>
            </w:pPr>
            <w:r>
              <w:rPr/>
              <w:t>2/8/2021</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1265" w:type="dxa"/>
            <w:tcBorders>
              <w:bottom w:val="single" w:sz="2" w:space="0" w:color="000000"/>
            </w:tcBorders>
            <w:tcMar>
              <w:bottom w:w="40" w:type="dxa"/>
            </w:tcMar>
            <w:vAlign w:val="center"/>
          </w:tcPr>
          <w:p>
            <w:pPr>
              <w:pStyle w:val="TableContents"/>
              <w:bidi w:val="0"/>
              <w:spacing w:before="0" w:after="283"/>
              <w:jc w:val="right"/>
              <w:rPr/>
            </w:pPr>
            <w:r>
              <w:rPr/>
              <w:t>18,900</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1595" w:type="dxa"/>
            <w:tcBorders>
              <w:bottom w:val="single" w:sz="2" w:space="0" w:color="000000"/>
            </w:tcBorders>
            <w:tcMar>
              <w:bottom w:w="40" w:type="dxa"/>
            </w:tcMar>
            <w:vAlign w:val="center"/>
          </w:tcPr>
          <w:p>
            <w:pPr>
              <w:pStyle w:val="TableContents"/>
              <w:bidi w:val="0"/>
              <w:spacing w:before="0" w:after="283"/>
              <w:jc w:val="right"/>
              <w:rPr/>
            </w:pPr>
            <w:r>
              <w:rPr/>
              <w:t>–</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875" w:type="dxa"/>
            <w:tcBorders>
              <w:bottom w:val="single" w:sz="2" w:space="0" w:color="000000"/>
            </w:tcBorders>
            <w:tcMar>
              <w:bottom w:w="40" w:type="dxa"/>
            </w:tcMar>
            <w:vAlign w:val="center"/>
          </w:tcPr>
          <w:p>
            <w:pPr>
              <w:pStyle w:val="TableContents"/>
              <w:bidi w:val="0"/>
              <w:spacing w:before="0" w:after="283"/>
              <w:jc w:val="right"/>
              <w:rPr/>
            </w:pPr>
            <w:r>
              <w:rPr/>
              <w:t>$72.49</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1115" w:type="dxa"/>
            <w:tcBorders>
              <w:bottom w:val="single" w:sz="2" w:space="0" w:color="000000"/>
            </w:tcBorders>
            <w:tcMar>
              <w:bottom w:w="40" w:type="dxa"/>
            </w:tcMar>
            <w:vAlign w:val="center"/>
          </w:tcPr>
          <w:p>
            <w:pPr>
              <w:pStyle w:val="TableContents"/>
              <w:bidi w:val="0"/>
              <w:spacing w:before="0" w:after="283"/>
              <w:jc w:val="right"/>
              <w:rPr/>
            </w:pPr>
            <w:r>
              <w:rPr/>
              <w:t>2/7/2031</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875" w:type="dxa"/>
            <w:tcBorders>
              <w:bottom w:val="single" w:sz="2" w:space="0" w:color="000000"/>
            </w:tcBorders>
            <w:shd w:fill="EDEDEE" w:val="clear"/>
            <w:tcMar>
              <w:bottom w:w="40" w:type="dxa"/>
            </w:tcMar>
            <w:vAlign w:val="center"/>
          </w:tcPr>
          <w:p>
            <w:pPr>
              <w:pStyle w:val="TableContents"/>
              <w:bidi w:val="0"/>
              <w:spacing w:before="0" w:after="283"/>
              <w:jc w:val="right"/>
              <w:rPr/>
            </w:pPr>
            <w:r>
              <w:rPr/>
              <w:t>–</w:t>
            </w:r>
          </w:p>
        </w:tc>
        <w:tc>
          <w:tcPr>
            <w:tcW w:w="300" w:type="dxa"/>
            <w:tcBorders>
              <w:bottom w:val="single" w:sz="2" w:space="0" w:color="000000"/>
            </w:tcBorders>
            <w:shd w:fill="EDEDEE" w:val="clear"/>
            <w:tcMar>
              <w:bottom w:w="40" w:type="dxa"/>
            </w:tcMar>
            <w:vAlign w:val="center"/>
          </w:tcPr>
          <w:p>
            <w:pPr>
              <w:pStyle w:val="TableContents"/>
              <w:bidi w:val="0"/>
              <w:spacing w:before="0" w:after="283"/>
              <w:jc w:val="left"/>
              <w:rPr/>
            </w:pPr>
            <w:r>
              <w:rPr/>
              <w:t> </w:t>
            </w:r>
          </w:p>
        </w:tc>
        <w:tc>
          <w:tcPr>
            <w:tcW w:w="1100" w:type="dxa"/>
            <w:tcBorders>
              <w:bottom w:val="single" w:sz="2" w:space="0" w:color="000000"/>
            </w:tcBorders>
            <w:shd w:fill="EDEDEE" w:val="clear"/>
            <w:tcMar>
              <w:bottom w:w="40" w:type="dxa"/>
            </w:tcMar>
            <w:vAlign w:val="center"/>
          </w:tcPr>
          <w:p>
            <w:pPr>
              <w:pStyle w:val="TableContents"/>
              <w:bidi w:val="0"/>
              <w:spacing w:before="0" w:after="283"/>
              <w:jc w:val="right"/>
              <w:rPr/>
            </w:pPr>
            <w:r>
              <w:rPr/>
              <w:t>–</w:t>
            </w:r>
          </w:p>
        </w:tc>
        <w:tc>
          <w:tcPr>
            <w:tcW w:w="300" w:type="dxa"/>
            <w:tcBorders>
              <w:bottom w:val="single" w:sz="2" w:space="0" w:color="000000"/>
            </w:tcBorders>
            <w:shd w:fill="EDEDEE" w:val="clear"/>
            <w:tcMar>
              <w:bottom w:w="40" w:type="dxa"/>
            </w:tcMar>
            <w:vAlign w:val="center"/>
          </w:tcPr>
          <w:p>
            <w:pPr>
              <w:pStyle w:val="TableContents"/>
              <w:bidi w:val="0"/>
              <w:spacing w:before="0" w:after="283"/>
              <w:jc w:val="left"/>
              <w:rPr/>
            </w:pPr>
            <w:r>
              <w:rPr/>
              <w:t> </w:t>
            </w:r>
          </w:p>
        </w:tc>
        <w:tc>
          <w:tcPr>
            <w:tcW w:w="1040" w:type="dxa"/>
            <w:tcBorders>
              <w:bottom w:val="single" w:sz="2" w:space="0" w:color="000000"/>
            </w:tcBorders>
            <w:shd w:fill="EDEDEE" w:val="clear"/>
            <w:tcMar>
              <w:bottom w:w="40" w:type="dxa"/>
            </w:tcMar>
            <w:vAlign w:val="center"/>
          </w:tcPr>
          <w:p>
            <w:pPr>
              <w:pStyle w:val="TableContents"/>
              <w:bidi w:val="0"/>
              <w:spacing w:before="0" w:after="283"/>
              <w:jc w:val="right"/>
              <w:rPr/>
            </w:pPr>
            <w:r>
              <w:rPr/>
              <w:t>–</w:t>
            </w:r>
          </w:p>
        </w:tc>
        <w:tc>
          <w:tcPr>
            <w:tcW w:w="300" w:type="dxa"/>
            <w:tcBorders>
              <w:bottom w:val="single" w:sz="2" w:space="0" w:color="000000"/>
            </w:tcBorders>
            <w:shd w:fill="EDEDEE" w:val="clear"/>
            <w:tcMar>
              <w:bottom w:w="40" w:type="dxa"/>
            </w:tcMar>
            <w:vAlign w:val="center"/>
          </w:tcPr>
          <w:p>
            <w:pPr>
              <w:pStyle w:val="TableContents"/>
              <w:bidi w:val="0"/>
              <w:spacing w:before="0" w:after="283"/>
              <w:jc w:val="left"/>
              <w:rPr/>
            </w:pPr>
            <w:r>
              <w:rPr/>
              <w:t> </w:t>
            </w:r>
          </w:p>
        </w:tc>
        <w:tc>
          <w:tcPr>
            <w:tcW w:w="1235" w:type="dxa"/>
            <w:tcBorders>
              <w:bottom w:val="single" w:sz="2" w:space="0" w:color="000000"/>
            </w:tcBorders>
            <w:shd w:fill="EDEDEE" w:val="clear"/>
            <w:tcMar>
              <w:bottom w:w="40" w:type="dxa"/>
            </w:tcMar>
            <w:vAlign w:val="center"/>
          </w:tcPr>
          <w:p>
            <w:pPr>
              <w:pStyle w:val="TableContents"/>
              <w:bidi w:val="0"/>
              <w:spacing w:before="0" w:after="283"/>
              <w:jc w:val="right"/>
              <w:rPr/>
            </w:pPr>
            <w:r>
              <w:rPr/>
              <w:t>–</w:t>
            </w:r>
          </w:p>
        </w:tc>
      </w:tr>
      <w:tr>
        <w:trPr/>
        <w:tc>
          <w:tcPr>
            <w:tcW w:w="875" w:type="dxa"/>
            <w:tcBorders>
              <w:bottom w:val="single" w:sz="2" w:space="0" w:color="000000"/>
            </w:tcBorders>
            <w:tcMar>
              <w:bottom w:w="40" w:type="dxa"/>
            </w:tcMar>
            <w:vAlign w:val="center"/>
          </w:tcPr>
          <w:p>
            <w:pPr>
              <w:pStyle w:val="TableContents"/>
              <w:bidi w:val="0"/>
              <w:spacing w:before="0" w:after="283"/>
              <w:jc w:val="left"/>
              <w:rPr/>
            </w:pPr>
            <w:r>
              <w:rPr/>
              <w:t>2/4/2020</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1265" w:type="dxa"/>
            <w:tcBorders>
              <w:bottom w:val="single" w:sz="2" w:space="0" w:color="000000"/>
            </w:tcBorders>
            <w:tcMar>
              <w:bottom w:w="40" w:type="dxa"/>
            </w:tcMar>
            <w:vAlign w:val="center"/>
          </w:tcPr>
          <w:p>
            <w:pPr>
              <w:pStyle w:val="TableContents"/>
              <w:bidi w:val="0"/>
              <w:spacing w:before="0" w:after="283"/>
              <w:jc w:val="right"/>
              <w:rPr/>
            </w:pPr>
            <w:r>
              <w:rPr/>
              <w:t>52,280</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1595" w:type="dxa"/>
            <w:tcBorders>
              <w:bottom w:val="single" w:sz="2" w:space="0" w:color="000000"/>
            </w:tcBorders>
            <w:tcMar>
              <w:bottom w:w="40" w:type="dxa"/>
            </w:tcMar>
            <w:vAlign w:val="center"/>
          </w:tcPr>
          <w:p>
            <w:pPr>
              <w:pStyle w:val="TableContents"/>
              <w:bidi w:val="0"/>
              <w:spacing w:before="0" w:after="283"/>
              <w:jc w:val="right"/>
              <w:rPr/>
            </w:pPr>
            <w:r>
              <w:rPr/>
              <w:t>–</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875" w:type="dxa"/>
            <w:tcBorders>
              <w:bottom w:val="single" w:sz="2" w:space="0" w:color="000000"/>
            </w:tcBorders>
            <w:tcMar>
              <w:bottom w:w="40" w:type="dxa"/>
            </w:tcMar>
            <w:vAlign w:val="center"/>
          </w:tcPr>
          <w:p>
            <w:pPr>
              <w:pStyle w:val="TableContents"/>
              <w:bidi w:val="0"/>
              <w:spacing w:before="0" w:after="283"/>
              <w:jc w:val="right"/>
              <w:rPr/>
            </w:pPr>
            <w:r>
              <w:rPr/>
              <w:t>$90.73</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1115" w:type="dxa"/>
            <w:tcBorders>
              <w:bottom w:val="single" w:sz="2" w:space="0" w:color="000000"/>
            </w:tcBorders>
            <w:tcMar>
              <w:bottom w:w="40" w:type="dxa"/>
            </w:tcMar>
            <w:vAlign w:val="center"/>
          </w:tcPr>
          <w:p>
            <w:pPr>
              <w:pStyle w:val="TableContents"/>
              <w:bidi w:val="0"/>
              <w:spacing w:before="0" w:after="283"/>
              <w:jc w:val="right"/>
              <w:rPr/>
            </w:pPr>
            <w:r>
              <w:rPr/>
              <w:t>2/3/2030</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875" w:type="dxa"/>
            <w:tcBorders>
              <w:bottom w:val="single" w:sz="2" w:space="0" w:color="000000"/>
            </w:tcBorders>
            <w:shd w:fill="EDEDEE" w:val="clear"/>
            <w:tcMar>
              <w:bottom w:w="40" w:type="dxa"/>
            </w:tcMar>
            <w:vAlign w:val="center"/>
          </w:tcPr>
          <w:p>
            <w:pPr>
              <w:pStyle w:val="TableContents"/>
              <w:bidi w:val="0"/>
              <w:spacing w:before="0" w:after="283"/>
              <w:jc w:val="right"/>
              <w:rPr/>
            </w:pPr>
            <w:r>
              <w:rPr/>
              <w:t>–</w:t>
            </w:r>
          </w:p>
        </w:tc>
        <w:tc>
          <w:tcPr>
            <w:tcW w:w="300" w:type="dxa"/>
            <w:tcBorders>
              <w:bottom w:val="single" w:sz="2" w:space="0" w:color="000000"/>
            </w:tcBorders>
            <w:shd w:fill="EDEDEE" w:val="clear"/>
            <w:tcMar>
              <w:bottom w:w="40" w:type="dxa"/>
            </w:tcMar>
            <w:vAlign w:val="center"/>
          </w:tcPr>
          <w:p>
            <w:pPr>
              <w:pStyle w:val="TableContents"/>
              <w:bidi w:val="0"/>
              <w:spacing w:before="0" w:after="283"/>
              <w:jc w:val="left"/>
              <w:rPr/>
            </w:pPr>
            <w:r>
              <w:rPr/>
              <w:t> </w:t>
            </w:r>
          </w:p>
        </w:tc>
        <w:tc>
          <w:tcPr>
            <w:tcW w:w="1100" w:type="dxa"/>
            <w:tcBorders>
              <w:bottom w:val="single" w:sz="2" w:space="0" w:color="000000"/>
            </w:tcBorders>
            <w:shd w:fill="EDEDEE" w:val="clear"/>
            <w:tcMar>
              <w:bottom w:w="40" w:type="dxa"/>
            </w:tcMar>
            <w:vAlign w:val="center"/>
          </w:tcPr>
          <w:p>
            <w:pPr>
              <w:pStyle w:val="TableContents"/>
              <w:bidi w:val="0"/>
              <w:spacing w:before="0" w:after="283"/>
              <w:jc w:val="right"/>
              <w:rPr/>
            </w:pPr>
            <w:r>
              <w:rPr/>
              <w:t>–</w:t>
            </w:r>
          </w:p>
        </w:tc>
        <w:tc>
          <w:tcPr>
            <w:tcW w:w="300" w:type="dxa"/>
            <w:tcBorders>
              <w:bottom w:val="single" w:sz="2" w:space="0" w:color="000000"/>
            </w:tcBorders>
            <w:shd w:fill="EDEDEE" w:val="clear"/>
            <w:tcMar>
              <w:bottom w:w="40" w:type="dxa"/>
            </w:tcMar>
            <w:vAlign w:val="center"/>
          </w:tcPr>
          <w:p>
            <w:pPr>
              <w:pStyle w:val="TableContents"/>
              <w:bidi w:val="0"/>
              <w:spacing w:before="0" w:after="283"/>
              <w:jc w:val="left"/>
              <w:rPr/>
            </w:pPr>
            <w:r>
              <w:rPr/>
              <w:t> </w:t>
            </w:r>
          </w:p>
        </w:tc>
        <w:tc>
          <w:tcPr>
            <w:tcW w:w="1040" w:type="dxa"/>
            <w:tcBorders>
              <w:bottom w:val="single" w:sz="2" w:space="0" w:color="000000"/>
            </w:tcBorders>
            <w:shd w:fill="EDEDEE" w:val="clear"/>
            <w:tcMar>
              <w:bottom w:w="40" w:type="dxa"/>
            </w:tcMar>
            <w:vAlign w:val="center"/>
          </w:tcPr>
          <w:p>
            <w:pPr>
              <w:pStyle w:val="TableContents"/>
              <w:bidi w:val="0"/>
              <w:spacing w:before="0" w:after="283"/>
              <w:jc w:val="right"/>
              <w:rPr/>
            </w:pPr>
            <w:r>
              <w:rPr/>
              <w:t>–</w:t>
            </w:r>
          </w:p>
        </w:tc>
        <w:tc>
          <w:tcPr>
            <w:tcW w:w="300" w:type="dxa"/>
            <w:tcBorders>
              <w:bottom w:val="single" w:sz="2" w:space="0" w:color="000000"/>
            </w:tcBorders>
            <w:shd w:fill="EDEDEE" w:val="clear"/>
            <w:tcMar>
              <w:bottom w:w="40" w:type="dxa"/>
            </w:tcMar>
            <w:vAlign w:val="center"/>
          </w:tcPr>
          <w:p>
            <w:pPr>
              <w:pStyle w:val="TableContents"/>
              <w:bidi w:val="0"/>
              <w:spacing w:before="0" w:after="283"/>
              <w:jc w:val="left"/>
              <w:rPr/>
            </w:pPr>
            <w:r>
              <w:rPr/>
              <w:t> </w:t>
            </w:r>
          </w:p>
        </w:tc>
        <w:tc>
          <w:tcPr>
            <w:tcW w:w="1235" w:type="dxa"/>
            <w:tcBorders>
              <w:bottom w:val="single" w:sz="2" w:space="0" w:color="000000"/>
            </w:tcBorders>
            <w:shd w:fill="EDEDEE" w:val="clear"/>
            <w:tcMar>
              <w:bottom w:w="40" w:type="dxa"/>
            </w:tcMar>
            <w:vAlign w:val="center"/>
          </w:tcPr>
          <w:p>
            <w:pPr>
              <w:pStyle w:val="TableContents"/>
              <w:bidi w:val="0"/>
              <w:spacing w:before="0" w:after="283"/>
              <w:jc w:val="right"/>
              <w:rPr/>
            </w:pPr>
            <w:r>
              <w:rPr/>
              <w:t>–</w:t>
            </w:r>
          </w:p>
        </w:tc>
      </w:tr>
      <w:tr>
        <w:trPr/>
        <w:tc>
          <w:tcPr>
            <w:tcW w:w="875" w:type="dxa"/>
            <w:tcBorders>
              <w:bottom w:val="single" w:sz="2" w:space="0" w:color="000000"/>
            </w:tcBorders>
            <w:tcMar>
              <w:bottom w:w="40" w:type="dxa"/>
            </w:tcMar>
            <w:vAlign w:val="center"/>
          </w:tcPr>
          <w:p>
            <w:pPr>
              <w:pStyle w:val="TableContents"/>
              <w:bidi w:val="0"/>
              <w:spacing w:before="0" w:after="283"/>
              <w:jc w:val="left"/>
              <w:rPr/>
            </w:pPr>
            <w:r>
              <w:rPr/>
              <w:t>2/5/2019</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1265" w:type="dxa"/>
            <w:tcBorders>
              <w:bottom w:val="single" w:sz="2" w:space="0" w:color="000000"/>
            </w:tcBorders>
            <w:tcMar>
              <w:bottom w:w="40" w:type="dxa"/>
            </w:tcMar>
            <w:vAlign w:val="center"/>
          </w:tcPr>
          <w:p>
            <w:pPr>
              <w:pStyle w:val="TableContents"/>
              <w:bidi w:val="0"/>
              <w:spacing w:before="0" w:after="283"/>
              <w:jc w:val="right"/>
              <w:rPr/>
            </w:pPr>
            <w:r>
              <w:rPr/>
              <w:t>46,377</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1595" w:type="dxa"/>
            <w:tcBorders>
              <w:bottom w:val="single" w:sz="2" w:space="0" w:color="000000"/>
            </w:tcBorders>
            <w:tcMar>
              <w:bottom w:w="40" w:type="dxa"/>
            </w:tcMar>
            <w:vAlign w:val="center"/>
          </w:tcPr>
          <w:p>
            <w:pPr>
              <w:pStyle w:val="TableContents"/>
              <w:bidi w:val="0"/>
              <w:spacing w:before="0" w:after="283"/>
              <w:jc w:val="right"/>
              <w:rPr/>
            </w:pPr>
            <w:r>
              <w:rPr/>
              <w:t>–</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875" w:type="dxa"/>
            <w:tcBorders>
              <w:bottom w:val="single" w:sz="2" w:space="0" w:color="000000"/>
            </w:tcBorders>
            <w:tcMar>
              <w:bottom w:w="40" w:type="dxa"/>
            </w:tcMar>
            <w:vAlign w:val="center"/>
          </w:tcPr>
          <w:p>
            <w:pPr>
              <w:pStyle w:val="TableContents"/>
              <w:bidi w:val="0"/>
              <w:spacing w:before="0" w:after="283"/>
              <w:jc w:val="right"/>
              <w:rPr/>
            </w:pPr>
            <w:r>
              <w:rPr/>
              <w:t>$71.62</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1115" w:type="dxa"/>
            <w:tcBorders>
              <w:bottom w:val="single" w:sz="2" w:space="0" w:color="000000"/>
            </w:tcBorders>
            <w:tcMar>
              <w:bottom w:w="40" w:type="dxa"/>
            </w:tcMar>
            <w:vAlign w:val="center"/>
          </w:tcPr>
          <w:p>
            <w:pPr>
              <w:pStyle w:val="TableContents"/>
              <w:bidi w:val="0"/>
              <w:spacing w:before="0" w:after="283"/>
              <w:jc w:val="right"/>
              <w:rPr/>
            </w:pPr>
            <w:r>
              <w:rPr/>
              <w:t>2/4/2029</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875" w:type="dxa"/>
            <w:tcBorders>
              <w:bottom w:val="single" w:sz="2" w:space="0" w:color="000000"/>
            </w:tcBorders>
            <w:shd w:fill="EDEDEE" w:val="clear"/>
            <w:tcMar>
              <w:bottom w:w="40" w:type="dxa"/>
            </w:tcMar>
            <w:vAlign w:val="center"/>
          </w:tcPr>
          <w:p>
            <w:pPr>
              <w:pStyle w:val="TableContents"/>
              <w:bidi w:val="0"/>
              <w:spacing w:before="0" w:after="283"/>
              <w:jc w:val="right"/>
              <w:rPr/>
            </w:pPr>
            <w:r>
              <w:rPr/>
              <w:t>–</w:t>
            </w:r>
          </w:p>
        </w:tc>
        <w:tc>
          <w:tcPr>
            <w:tcW w:w="300" w:type="dxa"/>
            <w:tcBorders>
              <w:bottom w:val="single" w:sz="2" w:space="0" w:color="000000"/>
            </w:tcBorders>
            <w:shd w:fill="EDEDEE" w:val="clear"/>
            <w:tcMar>
              <w:bottom w:w="40" w:type="dxa"/>
            </w:tcMar>
            <w:vAlign w:val="center"/>
          </w:tcPr>
          <w:p>
            <w:pPr>
              <w:pStyle w:val="TableContents"/>
              <w:bidi w:val="0"/>
              <w:spacing w:before="0" w:after="283"/>
              <w:jc w:val="left"/>
              <w:rPr/>
            </w:pPr>
            <w:r>
              <w:rPr/>
              <w:t> </w:t>
            </w:r>
          </w:p>
        </w:tc>
        <w:tc>
          <w:tcPr>
            <w:tcW w:w="1100" w:type="dxa"/>
            <w:tcBorders>
              <w:bottom w:val="single" w:sz="2" w:space="0" w:color="000000"/>
            </w:tcBorders>
            <w:shd w:fill="EDEDEE" w:val="clear"/>
            <w:tcMar>
              <w:bottom w:w="40" w:type="dxa"/>
            </w:tcMar>
            <w:vAlign w:val="center"/>
          </w:tcPr>
          <w:p>
            <w:pPr>
              <w:pStyle w:val="TableContents"/>
              <w:bidi w:val="0"/>
              <w:spacing w:before="0" w:after="283"/>
              <w:jc w:val="right"/>
              <w:rPr/>
            </w:pPr>
            <w:r>
              <w:rPr/>
              <w:t>–</w:t>
            </w:r>
          </w:p>
        </w:tc>
        <w:tc>
          <w:tcPr>
            <w:tcW w:w="300" w:type="dxa"/>
            <w:tcBorders>
              <w:bottom w:val="single" w:sz="2" w:space="0" w:color="000000"/>
            </w:tcBorders>
            <w:shd w:fill="EDEDEE" w:val="clear"/>
            <w:tcMar>
              <w:bottom w:w="40" w:type="dxa"/>
            </w:tcMar>
            <w:vAlign w:val="center"/>
          </w:tcPr>
          <w:p>
            <w:pPr>
              <w:pStyle w:val="TableContents"/>
              <w:bidi w:val="0"/>
              <w:spacing w:before="0" w:after="283"/>
              <w:jc w:val="left"/>
              <w:rPr/>
            </w:pPr>
            <w:r>
              <w:rPr/>
              <w:t> </w:t>
            </w:r>
          </w:p>
        </w:tc>
        <w:tc>
          <w:tcPr>
            <w:tcW w:w="1040" w:type="dxa"/>
            <w:tcBorders>
              <w:bottom w:val="single" w:sz="2" w:space="0" w:color="000000"/>
            </w:tcBorders>
            <w:shd w:fill="EDEDEE" w:val="clear"/>
            <w:tcMar>
              <w:bottom w:w="40" w:type="dxa"/>
            </w:tcMar>
            <w:vAlign w:val="center"/>
          </w:tcPr>
          <w:p>
            <w:pPr>
              <w:pStyle w:val="TableContents"/>
              <w:bidi w:val="0"/>
              <w:spacing w:before="0" w:after="283"/>
              <w:jc w:val="right"/>
              <w:rPr/>
            </w:pPr>
            <w:r>
              <w:rPr/>
              <w:t>–</w:t>
            </w:r>
          </w:p>
        </w:tc>
        <w:tc>
          <w:tcPr>
            <w:tcW w:w="300" w:type="dxa"/>
            <w:tcBorders>
              <w:bottom w:val="single" w:sz="2" w:space="0" w:color="000000"/>
            </w:tcBorders>
            <w:shd w:fill="EDEDEE" w:val="clear"/>
            <w:tcMar>
              <w:bottom w:w="40" w:type="dxa"/>
            </w:tcMar>
            <w:vAlign w:val="center"/>
          </w:tcPr>
          <w:p>
            <w:pPr>
              <w:pStyle w:val="TableContents"/>
              <w:bidi w:val="0"/>
              <w:spacing w:before="0" w:after="283"/>
              <w:jc w:val="left"/>
              <w:rPr/>
            </w:pPr>
            <w:r>
              <w:rPr/>
              <w:t> </w:t>
            </w:r>
          </w:p>
        </w:tc>
        <w:tc>
          <w:tcPr>
            <w:tcW w:w="1235" w:type="dxa"/>
            <w:tcBorders>
              <w:bottom w:val="single" w:sz="2" w:space="0" w:color="000000"/>
            </w:tcBorders>
            <w:shd w:fill="EDEDEE" w:val="clear"/>
            <w:tcMar>
              <w:bottom w:w="40" w:type="dxa"/>
            </w:tcMar>
            <w:vAlign w:val="center"/>
          </w:tcPr>
          <w:p>
            <w:pPr>
              <w:pStyle w:val="TableContents"/>
              <w:bidi w:val="0"/>
              <w:spacing w:before="0" w:after="283"/>
              <w:jc w:val="right"/>
              <w:rPr/>
            </w:pPr>
            <w:r>
              <w:rPr/>
              <w:t>–</w:t>
            </w:r>
          </w:p>
        </w:tc>
      </w:tr>
      <w:tr>
        <w:trPr/>
        <w:tc>
          <w:tcPr>
            <w:tcW w:w="875" w:type="dxa"/>
            <w:tcBorders>
              <w:bottom w:val="single" w:sz="2" w:space="0" w:color="000000"/>
            </w:tcBorders>
            <w:tcMar>
              <w:bottom w:w="40" w:type="dxa"/>
            </w:tcMar>
            <w:vAlign w:val="center"/>
          </w:tcPr>
          <w:p>
            <w:pPr>
              <w:pStyle w:val="TableContents"/>
              <w:bidi w:val="0"/>
              <w:spacing w:before="0" w:after="283"/>
              <w:jc w:val="left"/>
              <w:rPr/>
            </w:pPr>
            <w:r>
              <w:rPr/>
              <w:t>1/2/2018</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1265" w:type="dxa"/>
            <w:tcBorders>
              <w:bottom w:val="single" w:sz="2" w:space="0" w:color="000000"/>
            </w:tcBorders>
            <w:tcMar>
              <w:bottom w:w="40" w:type="dxa"/>
            </w:tcMar>
            <w:vAlign w:val="center"/>
          </w:tcPr>
          <w:p>
            <w:pPr>
              <w:pStyle w:val="TableContents"/>
              <w:bidi w:val="0"/>
              <w:spacing w:before="0" w:after="283"/>
              <w:jc w:val="right"/>
              <w:rPr/>
            </w:pPr>
            <w:r>
              <w:rPr/>
              <w:t>19,394</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1595" w:type="dxa"/>
            <w:tcBorders>
              <w:bottom w:val="single" w:sz="2" w:space="0" w:color="000000"/>
            </w:tcBorders>
            <w:tcMar>
              <w:bottom w:w="40" w:type="dxa"/>
            </w:tcMar>
            <w:vAlign w:val="center"/>
          </w:tcPr>
          <w:p>
            <w:pPr>
              <w:pStyle w:val="TableContents"/>
              <w:bidi w:val="0"/>
              <w:spacing w:before="0" w:after="283"/>
              <w:jc w:val="right"/>
              <w:rPr/>
            </w:pPr>
            <w:r>
              <w:rPr/>
              <w:t>–</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875" w:type="dxa"/>
            <w:tcBorders>
              <w:bottom w:val="single" w:sz="2" w:space="0" w:color="000000"/>
            </w:tcBorders>
            <w:tcMar>
              <w:bottom w:w="40" w:type="dxa"/>
            </w:tcMar>
            <w:vAlign w:val="center"/>
          </w:tcPr>
          <w:p>
            <w:pPr>
              <w:pStyle w:val="TableContents"/>
              <w:bidi w:val="0"/>
              <w:spacing w:before="0" w:after="283"/>
              <w:jc w:val="right"/>
              <w:rPr/>
            </w:pPr>
            <w:r>
              <w:rPr/>
              <w:t>$76.00</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1115" w:type="dxa"/>
            <w:tcBorders>
              <w:bottom w:val="single" w:sz="2" w:space="0" w:color="000000"/>
            </w:tcBorders>
            <w:tcMar>
              <w:bottom w:w="40" w:type="dxa"/>
            </w:tcMar>
            <w:vAlign w:val="center"/>
          </w:tcPr>
          <w:p>
            <w:pPr>
              <w:pStyle w:val="TableContents"/>
              <w:bidi w:val="0"/>
              <w:spacing w:before="0" w:after="283"/>
              <w:jc w:val="right"/>
              <w:rPr/>
            </w:pPr>
            <w:r>
              <w:rPr/>
              <w:t>1/1/2028</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875" w:type="dxa"/>
            <w:tcBorders>
              <w:bottom w:val="single" w:sz="2" w:space="0" w:color="000000"/>
            </w:tcBorders>
            <w:shd w:fill="EDEDEE" w:val="clear"/>
            <w:tcMar>
              <w:bottom w:w="40" w:type="dxa"/>
            </w:tcMar>
            <w:vAlign w:val="center"/>
          </w:tcPr>
          <w:p>
            <w:pPr>
              <w:pStyle w:val="TableContents"/>
              <w:bidi w:val="0"/>
              <w:spacing w:before="0" w:after="283"/>
              <w:jc w:val="right"/>
              <w:rPr/>
            </w:pPr>
            <w:r>
              <w:rPr/>
              <w:t>–</w:t>
            </w:r>
          </w:p>
        </w:tc>
        <w:tc>
          <w:tcPr>
            <w:tcW w:w="300" w:type="dxa"/>
            <w:tcBorders>
              <w:bottom w:val="single" w:sz="2" w:space="0" w:color="000000"/>
            </w:tcBorders>
            <w:shd w:fill="EDEDEE" w:val="clear"/>
            <w:tcMar>
              <w:bottom w:w="40" w:type="dxa"/>
            </w:tcMar>
            <w:vAlign w:val="center"/>
          </w:tcPr>
          <w:p>
            <w:pPr>
              <w:pStyle w:val="TableContents"/>
              <w:bidi w:val="0"/>
              <w:spacing w:before="0" w:after="283"/>
              <w:jc w:val="left"/>
              <w:rPr/>
            </w:pPr>
            <w:r>
              <w:rPr/>
              <w:t> </w:t>
            </w:r>
          </w:p>
        </w:tc>
        <w:tc>
          <w:tcPr>
            <w:tcW w:w="1100" w:type="dxa"/>
            <w:tcBorders>
              <w:bottom w:val="single" w:sz="2" w:space="0" w:color="000000"/>
            </w:tcBorders>
            <w:shd w:fill="EDEDEE" w:val="clear"/>
            <w:tcMar>
              <w:bottom w:w="40" w:type="dxa"/>
            </w:tcMar>
            <w:vAlign w:val="center"/>
          </w:tcPr>
          <w:p>
            <w:pPr>
              <w:pStyle w:val="TableContents"/>
              <w:bidi w:val="0"/>
              <w:spacing w:before="0" w:after="283"/>
              <w:jc w:val="right"/>
              <w:rPr/>
            </w:pPr>
            <w:r>
              <w:rPr/>
              <w:t>–</w:t>
            </w:r>
          </w:p>
        </w:tc>
        <w:tc>
          <w:tcPr>
            <w:tcW w:w="300" w:type="dxa"/>
            <w:tcBorders>
              <w:bottom w:val="single" w:sz="2" w:space="0" w:color="000000"/>
            </w:tcBorders>
            <w:shd w:fill="EDEDEE" w:val="clear"/>
            <w:tcMar>
              <w:bottom w:w="40" w:type="dxa"/>
            </w:tcMar>
            <w:vAlign w:val="center"/>
          </w:tcPr>
          <w:p>
            <w:pPr>
              <w:pStyle w:val="TableContents"/>
              <w:bidi w:val="0"/>
              <w:spacing w:before="0" w:after="283"/>
              <w:jc w:val="left"/>
              <w:rPr/>
            </w:pPr>
            <w:r>
              <w:rPr/>
              <w:t> </w:t>
            </w:r>
          </w:p>
        </w:tc>
        <w:tc>
          <w:tcPr>
            <w:tcW w:w="1040" w:type="dxa"/>
            <w:tcBorders>
              <w:bottom w:val="single" w:sz="2" w:space="0" w:color="000000"/>
            </w:tcBorders>
            <w:shd w:fill="EDEDEE" w:val="clear"/>
            <w:tcMar>
              <w:bottom w:w="40" w:type="dxa"/>
            </w:tcMar>
            <w:vAlign w:val="center"/>
          </w:tcPr>
          <w:p>
            <w:pPr>
              <w:pStyle w:val="TableContents"/>
              <w:bidi w:val="0"/>
              <w:spacing w:before="0" w:after="283"/>
              <w:jc w:val="right"/>
              <w:rPr/>
            </w:pPr>
            <w:r>
              <w:rPr/>
              <w:t>–</w:t>
            </w:r>
          </w:p>
        </w:tc>
        <w:tc>
          <w:tcPr>
            <w:tcW w:w="300" w:type="dxa"/>
            <w:tcBorders>
              <w:bottom w:val="single" w:sz="2" w:space="0" w:color="000000"/>
            </w:tcBorders>
            <w:shd w:fill="EDEDEE" w:val="clear"/>
            <w:tcMar>
              <w:bottom w:w="40" w:type="dxa"/>
            </w:tcMar>
            <w:vAlign w:val="center"/>
          </w:tcPr>
          <w:p>
            <w:pPr>
              <w:pStyle w:val="TableContents"/>
              <w:bidi w:val="0"/>
              <w:spacing w:before="0" w:after="283"/>
              <w:jc w:val="left"/>
              <w:rPr/>
            </w:pPr>
            <w:r>
              <w:rPr/>
              <w:t> </w:t>
            </w:r>
          </w:p>
        </w:tc>
        <w:tc>
          <w:tcPr>
            <w:tcW w:w="1235" w:type="dxa"/>
            <w:tcBorders>
              <w:bottom w:val="single" w:sz="2" w:space="0" w:color="000000"/>
            </w:tcBorders>
            <w:shd w:fill="EDEDEE" w:val="clear"/>
            <w:tcMar>
              <w:bottom w:w="40" w:type="dxa"/>
            </w:tcMar>
            <w:vAlign w:val="center"/>
          </w:tcPr>
          <w:p>
            <w:pPr>
              <w:pStyle w:val="TableContents"/>
              <w:bidi w:val="0"/>
              <w:spacing w:before="0" w:after="283"/>
              <w:jc w:val="right"/>
              <w:rPr/>
            </w:pPr>
            <w:r>
              <w:rPr/>
              <w:t>–</w:t>
            </w:r>
          </w:p>
        </w:tc>
      </w:tr>
      <w:tr>
        <w:trPr/>
        <w:tc>
          <w:tcPr>
            <w:tcW w:w="875" w:type="dxa"/>
            <w:tcBorders>
              <w:bottom w:val="single" w:sz="12" w:space="0" w:color="636466"/>
            </w:tcBorders>
            <w:tcMar>
              <w:bottom w:w="40" w:type="dxa"/>
            </w:tcMar>
            <w:vAlign w:val="center"/>
          </w:tcPr>
          <w:p>
            <w:pPr>
              <w:pStyle w:val="TableContents"/>
              <w:bidi w:val="0"/>
              <w:spacing w:before="0" w:after="283"/>
              <w:jc w:val="left"/>
              <w:rPr/>
            </w:pPr>
            <w:r>
              <w:rPr/>
              <w:t>1/18/2017</w:t>
            </w:r>
          </w:p>
        </w:tc>
        <w:tc>
          <w:tcPr>
            <w:tcW w:w="300" w:type="dxa"/>
            <w:tcBorders>
              <w:bottom w:val="single" w:sz="12" w:space="0" w:color="636466"/>
            </w:tcBorders>
            <w:tcMar>
              <w:bottom w:w="40" w:type="dxa"/>
            </w:tcMar>
            <w:vAlign w:val="center"/>
          </w:tcPr>
          <w:p>
            <w:pPr>
              <w:pStyle w:val="TableContents"/>
              <w:bidi w:val="0"/>
              <w:spacing w:before="0" w:after="283"/>
              <w:jc w:val="left"/>
              <w:rPr/>
            </w:pPr>
            <w:r>
              <w:rPr/>
              <w:t> </w:t>
            </w:r>
          </w:p>
        </w:tc>
        <w:tc>
          <w:tcPr>
            <w:tcW w:w="1265" w:type="dxa"/>
            <w:tcBorders>
              <w:bottom w:val="single" w:sz="12" w:space="0" w:color="636466"/>
            </w:tcBorders>
            <w:tcMar>
              <w:bottom w:w="40" w:type="dxa"/>
            </w:tcMar>
            <w:vAlign w:val="center"/>
          </w:tcPr>
          <w:p>
            <w:pPr>
              <w:pStyle w:val="TableContents"/>
              <w:bidi w:val="0"/>
              <w:spacing w:before="0" w:after="283"/>
              <w:jc w:val="right"/>
              <w:rPr/>
            </w:pPr>
            <w:r>
              <w:rPr/>
              <w:t>–</w:t>
            </w:r>
          </w:p>
        </w:tc>
        <w:tc>
          <w:tcPr>
            <w:tcW w:w="300" w:type="dxa"/>
            <w:tcBorders>
              <w:bottom w:val="single" w:sz="12" w:space="0" w:color="636466"/>
            </w:tcBorders>
            <w:tcMar>
              <w:bottom w:w="40" w:type="dxa"/>
            </w:tcMar>
            <w:vAlign w:val="center"/>
          </w:tcPr>
          <w:p>
            <w:pPr>
              <w:pStyle w:val="TableContents"/>
              <w:bidi w:val="0"/>
              <w:spacing w:before="0" w:after="283"/>
              <w:jc w:val="left"/>
              <w:rPr/>
            </w:pPr>
            <w:r>
              <w:rPr/>
              <w:t> </w:t>
            </w:r>
          </w:p>
        </w:tc>
        <w:tc>
          <w:tcPr>
            <w:tcW w:w="1595" w:type="dxa"/>
            <w:tcBorders>
              <w:bottom w:val="single" w:sz="12" w:space="0" w:color="636466"/>
            </w:tcBorders>
            <w:tcMar>
              <w:bottom w:w="40" w:type="dxa"/>
            </w:tcMar>
            <w:vAlign w:val="center"/>
          </w:tcPr>
          <w:p>
            <w:pPr>
              <w:pStyle w:val="TableContents"/>
              <w:bidi w:val="0"/>
              <w:spacing w:before="0" w:after="283"/>
              <w:jc w:val="right"/>
              <w:rPr/>
            </w:pPr>
            <w:r>
              <w:rPr/>
              <w:t>–</w:t>
            </w:r>
          </w:p>
        </w:tc>
        <w:tc>
          <w:tcPr>
            <w:tcW w:w="300" w:type="dxa"/>
            <w:tcBorders>
              <w:bottom w:val="single" w:sz="12" w:space="0" w:color="636466"/>
            </w:tcBorders>
            <w:tcMar>
              <w:bottom w:w="40" w:type="dxa"/>
            </w:tcMar>
            <w:vAlign w:val="center"/>
          </w:tcPr>
          <w:p>
            <w:pPr>
              <w:pStyle w:val="TableContents"/>
              <w:bidi w:val="0"/>
              <w:spacing w:before="0" w:after="283"/>
              <w:jc w:val="left"/>
              <w:rPr/>
            </w:pPr>
            <w:r>
              <w:rPr/>
              <w:t> </w:t>
            </w:r>
          </w:p>
        </w:tc>
        <w:tc>
          <w:tcPr>
            <w:tcW w:w="875" w:type="dxa"/>
            <w:tcBorders>
              <w:bottom w:val="single" w:sz="12" w:space="0" w:color="636466"/>
            </w:tcBorders>
            <w:tcMar>
              <w:bottom w:w="40" w:type="dxa"/>
            </w:tcMar>
            <w:vAlign w:val="center"/>
          </w:tcPr>
          <w:p>
            <w:pPr>
              <w:pStyle w:val="TableContents"/>
              <w:bidi w:val="0"/>
              <w:spacing w:before="0" w:after="283"/>
              <w:jc w:val="right"/>
              <w:rPr/>
            </w:pPr>
            <w:r>
              <w:rPr/>
              <w:t>–</w:t>
            </w:r>
          </w:p>
        </w:tc>
        <w:tc>
          <w:tcPr>
            <w:tcW w:w="300" w:type="dxa"/>
            <w:tcBorders>
              <w:bottom w:val="single" w:sz="12" w:space="0" w:color="636466"/>
            </w:tcBorders>
            <w:tcMar>
              <w:bottom w:w="40" w:type="dxa"/>
            </w:tcMar>
            <w:vAlign w:val="center"/>
          </w:tcPr>
          <w:p>
            <w:pPr>
              <w:pStyle w:val="TableContents"/>
              <w:bidi w:val="0"/>
              <w:spacing w:before="0" w:after="283"/>
              <w:jc w:val="left"/>
              <w:rPr/>
            </w:pPr>
            <w:r>
              <w:rPr/>
              <w:t> </w:t>
            </w:r>
          </w:p>
        </w:tc>
        <w:tc>
          <w:tcPr>
            <w:tcW w:w="1115" w:type="dxa"/>
            <w:tcBorders>
              <w:bottom w:val="single" w:sz="12" w:space="0" w:color="636466"/>
            </w:tcBorders>
            <w:tcMar>
              <w:bottom w:w="40" w:type="dxa"/>
            </w:tcMar>
            <w:vAlign w:val="center"/>
          </w:tcPr>
          <w:p>
            <w:pPr>
              <w:pStyle w:val="TableContents"/>
              <w:bidi w:val="0"/>
              <w:spacing w:before="0" w:after="283"/>
              <w:jc w:val="right"/>
              <w:rPr/>
            </w:pPr>
            <w:r>
              <w:rPr/>
              <w:t>–</w:t>
            </w:r>
          </w:p>
        </w:tc>
        <w:tc>
          <w:tcPr>
            <w:tcW w:w="300" w:type="dxa"/>
            <w:tcBorders>
              <w:bottom w:val="single" w:sz="12" w:space="0" w:color="636466"/>
            </w:tcBorders>
            <w:tcMar>
              <w:bottom w:w="40" w:type="dxa"/>
            </w:tcMar>
            <w:vAlign w:val="center"/>
          </w:tcPr>
          <w:p>
            <w:pPr>
              <w:pStyle w:val="TableContents"/>
              <w:bidi w:val="0"/>
              <w:spacing w:before="0" w:after="283"/>
              <w:jc w:val="left"/>
              <w:rPr/>
            </w:pPr>
            <w:r>
              <w:rPr/>
              <w:t> </w:t>
            </w:r>
          </w:p>
        </w:tc>
        <w:tc>
          <w:tcPr>
            <w:tcW w:w="875" w:type="dxa"/>
            <w:tcBorders>
              <w:bottom w:val="single" w:sz="12" w:space="0" w:color="636466"/>
            </w:tcBorders>
            <w:shd w:fill="EDEDEE" w:val="clear"/>
            <w:tcMar>
              <w:bottom w:w="40" w:type="dxa"/>
            </w:tcMar>
            <w:vAlign w:val="center"/>
          </w:tcPr>
          <w:p>
            <w:pPr>
              <w:pStyle w:val="TableContents"/>
              <w:bidi w:val="0"/>
              <w:spacing w:before="0" w:after="283"/>
              <w:jc w:val="right"/>
              <w:rPr/>
            </w:pPr>
            <w:r>
              <w:rPr/>
              <w:t>18,765</w:t>
            </w:r>
            <w:r>
              <w:rPr>
                <w:position w:val="8"/>
                <w:sz w:val="19"/>
              </w:rPr>
              <w:t>(6)</w:t>
            </w:r>
          </w:p>
        </w:tc>
        <w:tc>
          <w:tcPr>
            <w:tcW w:w="300" w:type="dxa"/>
            <w:tcBorders>
              <w:bottom w:val="single" w:sz="12" w:space="0" w:color="636466"/>
            </w:tcBorders>
            <w:shd w:fill="EDEDEE" w:val="clear"/>
            <w:tcMar>
              <w:bottom w:w="40" w:type="dxa"/>
            </w:tcMar>
            <w:vAlign w:val="center"/>
          </w:tcPr>
          <w:p>
            <w:pPr>
              <w:pStyle w:val="TableContents"/>
              <w:bidi w:val="0"/>
              <w:spacing w:before="0" w:after="283"/>
              <w:jc w:val="left"/>
              <w:rPr/>
            </w:pPr>
            <w:r>
              <w:rPr/>
              <w:t> </w:t>
            </w:r>
          </w:p>
        </w:tc>
        <w:tc>
          <w:tcPr>
            <w:tcW w:w="1100" w:type="dxa"/>
            <w:tcBorders>
              <w:bottom w:val="single" w:sz="12" w:space="0" w:color="636466"/>
            </w:tcBorders>
            <w:shd w:fill="EDEDEE" w:val="clear"/>
            <w:tcMar>
              <w:bottom w:w="40" w:type="dxa"/>
            </w:tcMar>
            <w:vAlign w:val="center"/>
          </w:tcPr>
          <w:p>
            <w:pPr>
              <w:pStyle w:val="TableContents"/>
              <w:bidi w:val="0"/>
              <w:spacing w:before="0" w:after="283"/>
              <w:jc w:val="right"/>
              <w:rPr/>
            </w:pPr>
            <w:r>
              <w:rPr/>
              <w:t>$3,441,501</w:t>
            </w:r>
          </w:p>
        </w:tc>
        <w:tc>
          <w:tcPr>
            <w:tcW w:w="300" w:type="dxa"/>
            <w:tcBorders>
              <w:bottom w:val="single" w:sz="12" w:space="0" w:color="636466"/>
            </w:tcBorders>
            <w:shd w:fill="EDEDEE" w:val="clear"/>
            <w:tcMar>
              <w:bottom w:w="40" w:type="dxa"/>
            </w:tcMar>
            <w:vAlign w:val="center"/>
          </w:tcPr>
          <w:p>
            <w:pPr>
              <w:pStyle w:val="TableContents"/>
              <w:bidi w:val="0"/>
              <w:spacing w:before="0" w:after="283"/>
              <w:jc w:val="left"/>
              <w:rPr/>
            </w:pPr>
            <w:r>
              <w:rPr/>
              <w:t> </w:t>
            </w:r>
          </w:p>
        </w:tc>
        <w:tc>
          <w:tcPr>
            <w:tcW w:w="1040" w:type="dxa"/>
            <w:tcBorders>
              <w:bottom w:val="single" w:sz="12" w:space="0" w:color="636466"/>
            </w:tcBorders>
            <w:shd w:fill="EDEDEE" w:val="clear"/>
            <w:tcMar>
              <w:bottom w:w="40" w:type="dxa"/>
            </w:tcMar>
            <w:vAlign w:val="center"/>
          </w:tcPr>
          <w:p>
            <w:pPr>
              <w:pStyle w:val="TableContents"/>
              <w:bidi w:val="0"/>
              <w:spacing w:before="0" w:after="283"/>
              <w:jc w:val="right"/>
              <w:rPr/>
            </w:pPr>
            <w:r>
              <w:rPr/>
              <w:t>–</w:t>
            </w:r>
          </w:p>
        </w:tc>
        <w:tc>
          <w:tcPr>
            <w:tcW w:w="300" w:type="dxa"/>
            <w:tcBorders>
              <w:bottom w:val="single" w:sz="12" w:space="0" w:color="636466"/>
            </w:tcBorders>
            <w:shd w:fill="EDEDEE" w:val="clear"/>
            <w:tcMar>
              <w:bottom w:w="40" w:type="dxa"/>
            </w:tcMar>
            <w:vAlign w:val="center"/>
          </w:tcPr>
          <w:p>
            <w:pPr>
              <w:pStyle w:val="TableContents"/>
              <w:bidi w:val="0"/>
              <w:spacing w:before="0" w:after="283"/>
              <w:jc w:val="left"/>
              <w:rPr/>
            </w:pPr>
            <w:r>
              <w:rPr/>
              <w:t> </w:t>
            </w:r>
          </w:p>
        </w:tc>
        <w:tc>
          <w:tcPr>
            <w:tcW w:w="1235" w:type="dxa"/>
            <w:tcBorders>
              <w:bottom w:val="single" w:sz="12" w:space="0" w:color="636466"/>
            </w:tcBorders>
            <w:shd w:fill="EDEDEE" w:val="clear"/>
            <w:tcMar>
              <w:bottom w:w="40" w:type="dxa"/>
            </w:tcMar>
            <w:vAlign w:val="center"/>
          </w:tcPr>
          <w:p>
            <w:pPr>
              <w:pStyle w:val="TableContents"/>
              <w:bidi w:val="0"/>
              <w:spacing w:before="0" w:after="283"/>
              <w:jc w:val="right"/>
              <w:rPr/>
            </w:pPr>
            <w:r>
              <w:rPr/>
              <w:t>–</w:t>
            </w:r>
          </w:p>
        </w:tc>
      </w:tr>
      <w:tr>
        <w:trPr/>
        <w:tc>
          <w:tcPr>
            <w:tcW w:w="875" w:type="dxa"/>
            <w:tcBorders>
              <w:bottom w:val="single" w:sz="12" w:space="0" w:color="C12E33"/>
            </w:tcBorders>
            <w:tcMar>
              <w:bottom w:w="40" w:type="dxa"/>
            </w:tcMar>
            <w:vAlign w:val="center"/>
          </w:tcPr>
          <w:p>
            <w:pPr>
              <w:pStyle w:val="TableContents"/>
              <w:bidi w:val="0"/>
              <w:spacing w:before="0" w:after="283"/>
              <w:jc w:val="left"/>
              <w:rPr>
                <w:b/>
              </w:rPr>
            </w:pPr>
            <w:r>
              <w:rPr>
                <w:b/>
              </w:rPr>
              <w:t>P. Jasper</w:t>
            </w:r>
          </w:p>
        </w:tc>
        <w:tc>
          <w:tcPr>
            <w:tcW w:w="300" w:type="dxa"/>
            <w:tcBorders>
              <w:bottom w:val="single" w:sz="12" w:space="0" w:color="C12E33"/>
            </w:tcBorders>
            <w:tcMar>
              <w:bottom w:w="40" w:type="dxa"/>
            </w:tcMar>
            <w:vAlign w:val="center"/>
          </w:tcPr>
          <w:p>
            <w:pPr>
              <w:pStyle w:val="TableContents"/>
              <w:bidi w:val="0"/>
              <w:spacing w:before="0" w:after="283"/>
              <w:jc w:val="left"/>
              <w:rPr/>
            </w:pPr>
            <w:r>
              <w:rPr/>
              <w:t> </w:t>
            </w:r>
          </w:p>
        </w:tc>
        <w:tc>
          <w:tcPr>
            <w:tcW w:w="1265" w:type="dxa"/>
            <w:tcBorders>
              <w:bottom w:val="single" w:sz="12" w:space="0" w:color="C12E33"/>
            </w:tcBorders>
            <w:tcMar>
              <w:bottom w:w="40" w:type="dxa"/>
            </w:tcMar>
            <w:vAlign w:val="center"/>
          </w:tcPr>
          <w:p>
            <w:pPr>
              <w:pStyle w:val="TableContents"/>
              <w:bidi w:val="0"/>
              <w:spacing w:before="0" w:after="283"/>
              <w:jc w:val="left"/>
              <w:rPr/>
            </w:pPr>
            <w:r>
              <w:rPr/>
              <w:t> </w:t>
            </w:r>
          </w:p>
        </w:tc>
        <w:tc>
          <w:tcPr>
            <w:tcW w:w="300" w:type="dxa"/>
            <w:tcBorders>
              <w:bottom w:val="single" w:sz="12" w:space="0" w:color="C12E33"/>
            </w:tcBorders>
            <w:tcMar>
              <w:bottom w:w="40" w:type="dxa"/>
            </w:tcMar>
            <w:vAlign w:val="center"/>
          </w:tcPr>
          <w:p>
            <w:pPr>
              <w:pStyle w:val="TableContents"/>
              <w:bidi w:val="0"/>
              <w:spacing w:before="0" w:after="283"/>
              <w:jc w:val="left"/>
              <w:rPr/>
            </w:pPr>
            <w:r>
              <w:rPr/>
              <w:t> </w:t>
            </w:r>
          </w:p>
        </w:tc>
        <w:tc>
          <w:tcPr>
            <w:tcW w:w="1595" w:type="dxa"/>
            <w:tcBorders>
              <w:bottom w:val="single" w:sz="12" w:space="0" w:color="C12E33"/>
            </w:tcBorders>
            <w:tcMar>
              <w:bottom w:w="40" w:type="dxa"/>
            </w:tcMar>
            <w:vAlign w:val="center"/>
          </w:tcPr>
          <w:p>
            <w:pPr>
              <w:pStyle w:val="TableContents"/>
              <w:bidi w:val="0"/>
              <w:spacing w:before="0" w:after="283"/>
              <w:jc w:val="left"/>
              <w:rPr/>
            </w:pPr>
            <w:r>
              <w:rPr/>
              <w:t> </w:t>
            </w:r>
          </w:p>
        </w:tc>
        <w:tc>
          <w:tcPr>
            <w:tcW w:w="300" w:type="dxa"/>
            <w:tcBorders>
              <w:bottom w:val="single" w:sz="12" w:space="0" w:color="C12E33"/>
            </w:tcBorders>
            <w:tcMar>
              <w:bottom w:w="40" w:type="dxa"/>
            </w:tcMar>
            <w:vAlign w:val="center"/>
          </w:tcPr>
          <w:p>
            <w:pPr>
              <w:pStyle w:val="TableContents"/>
              <w:bidi w:val="0"/>
              <w:spacing w:before="0" w:after="283"/>
              <w:jc w:val="left"/>
              <w:rPr/>
            </w:pPr>
            <w:r>
              <w:rPr/>
              <w:t> </w:t>
            </w:r>
          </w:p>
        </w:tc>
        <w:tc>
          <w:tcPr>
            <w:tcW w:w="875" w:type="dxa"/>
            <w:tcBorders>
              <w:bottom w:val="single" w:sz="12" w:space="0" w:color="C12E33"/>
            </w:tcBorders>
            <w:tcMar>
              <w:bottom w:w="40" w:type="dxa"/>
            </w:tcMar>
            <w:vAlign w:val="center"/>
          </w:tcPr>
          <w:p>
            <w:pPr>
              <w:pStyle w:val="TableContents"/>
              <w:bidi w:val="0"/>
              <w:spacing w:before="0" w:after="283"/>
              <w:jc w:val="left"/>
              <w:rPr/>
            </w:pPr>
            <w:r>
              <w:rPr/>
              <w:t> </w:t>
            </w:r>
          </w:p>
        </w:tc>
        <w:tc>
          <w:tcPr>
            <w:tcW w:w="300" w:type="dxa"/>
            <w:tcBorders>
              <w:bottom w:val="single" w:sz="12" w:space="0" w:color="C12E33"/>
            </w:tcBorders>
            <w:tcMar>
              <w:bottom w:w="40" w:type="dxa"/>
            </w:tcMar>
            <w:vAlign w:val="center"/>
          </w:tcPr>
          <w:p>
            <w:pPr>
              <w:pStyle w:val="TableContents"/>
              <w:bidi w:val="0"/>
              <w:spacing w:before="0" w:after="283"/>
              <w:jc w:val="left"/>
              <w:rPr/>
            </w:pPr>
            <w:r>
              <w:rPr/>
              <w:t> </w:t>
            </w:r>
          </w:p>
        </w:tc>
        <w:tc>
          <w:tcPr>
            <w:tcW w:w="1115" w:type="dxa"/>
            <w:tcBorders>
              <w:bottom w:val="single" w:sz="12" w:space="0" w:color="C12E33"/>
            </w:tcBorders>
            <w:tcMar>
              <w:bottom w:w="40" w:type="dxa"/>
            </w:tcMar>
            <w:vAlign w:val="center"/>
          </w:tcPr>
          <w:p>
            <w:pPr>
              <w:pStyle w:val="TableContents"/>
              <w:bidi w:val="0"/>
              <w:spacing w:before="0" w:after="283"/>
              <w:jc w:val="left"/>
              <w:rPr/>
            </w:pPr>
            <w:r>
              <w:rPr/>
              <w:t> </w:t>
            </w:r>
          </w:p>
        </w:tc>
        <w:tc>
          <w:tcPr>
            <w:tcW w:w="300" w:type="dxa"/>
            <w:tcBorders>
              <w:bottom w:val="single" w:sz="12" w:space="0" w:color="C12E33"/>
            </w:tcBorders>
            <w:tcMar>
              <w:bottom w:w="40" w:type="dxa"/>
            </w:tcMar>
            <w:vAlign w:val="center"/>
          </w:tcPr>
          <w:p>
            <w:pPr>
              <w:pStyle w:val="TableContents"/>
              <w:bidi w:val="0"/>
              <w:spacing w:before="0" w:after="283"/>
              <w:jc w:val="left"/>
              <w:rPr/>
            </w:pPr>
            <w:r>
              <w:rPr/>
              <w:t> </w:t>
            </w:r>
          </w:p>
        </w:tc>
        <w:tc>
          <w:tcPr>
            <w:tcW w:w="875" w:type="dxa"/>
            <w:tcBorders>
              <w:bottom w:val="single" w:sz="12" w:space="0" w:color="C12E33"/>
            </w:tcBorders>
            <w:shd w:fill="EDEDEE" w:val="clear"/>
            <w:tcMar>
              <w:bottom w:w="40" w:type="dxa"/>
            </w:tcMar>
            <w:vAlign w:val="center"/>
          </w:tcPr>
          <w:p>
            <w:pPr>
              <w:pStyle w:val="TableContents"/>
              <w:bidi w:val="0"/>
              <w:spacing w:before="0" w:after="283"/>
              <w:jc w:val="left"/>
              <w:rPr/>
            </w:pPr>
            <w:r>
              <w:rPr/>
              <w:t> </w:t>
            </w:r>
          </w:p>
        </w:tc>
        <w:tc>
          <w:tcPr>
            <w:tcW w:w="300" w:type="dxa"/>
            <w:tcBorders>
              <w:bottom w:val="single" w:sz="12" w:space="0" w:color="C12E33"/>
            </w:tcBorders>
            <w:shd w:fill="EDEDEE" w:val="clear"/>
            <w:tcMar>
              <w:bottom w:w="40" w:type="dxa"/>
            </w:tcMar>
            <w:vAlign w:val="center"/>
          </w:tcPr>
          <w:p>
            <w:pPr>
              <w:pStyle w:val="TableContents"/>
              <w:bidi w:val="0"/>
              <w:spacing w:before="0" w:after="283"/>
              <w:jc w:val="left"/>
              <w:rPr/>
            </w:pPr>
            <w:r>
              <w:rPr/>
              <w:t> </w:t>
            </w:r>
          </w:p>
        </w:tc>
        <w:tc>
          <w:tcPr>
            <w:tcW w:w="1100" w:type="dxa"/>
            <w:tcBorders>
              <w:bottom w:val="single" w:sz="12" w:space="0" w:color="C12E33"/>
            </w:tcBorders>
            <w:shd w:fill="EDEDEE" w:val="clear"/>
            <w:tcMar>
              <w:bottom w:w="40" w:type="dxa"/>
            </w:tcMar>
            <w:vAlign w:val="center"/>
          </w:tcPr>
          <w:p>
            <w:pPr>
              <w:pStyle w:val="TableContents"/>
              <w:bidi w:val="0"/>
              <w:spacing w:before="0" w:after="283"/>
              <w:jc w:val="left"/>
              <w:rPr/>
            </w:pPr>
            <w:r>
              <w:rPr/>
              <w:t> </w:t>
            </w:r>
          </w:p>
        </w:tc>
        <w:tc>
          <w:tcPr>
            <w:tcW w:w="300" w:type="dxa"/>
            <w:tcBorders>
              <w:bottom w:val="single" w:sz="12" w:space="0" w:color="C12E33"/>
            </w:tcBorders>
            <w:shd w:fill="EDEDEE" w:val="clear"/>
            <w:tcMar>
              <w:bottom w:w="40" w:type="dxa"/>
            </w:tcMar>
            <w:vAlign w:val="center"/>
          </w:tcPr>
          <w:p>
            <w:pPr>
              <w:pStyle w:val="TableContents"/>
              <w:bidi w:val="0"/>
              <w:spacing w:before="0" w:after="283"/>
              <w:jc w:val="left"/>
              <w:rPr/>
            </w:pPr>
            <w:r>
              <w:rPr/>
              <w:t> </w:t>
            </w:r>
          </w:p>
        </w:tc>
        <w:tc>
          <w:tcPr>
            <w:tcW w:w="1040" w:type="dxa"/>
            <w:tcBorders>
              <w:bottom w:val="single" w:sz="12" w:space="0" w:color="C12E33"/>
            </w:tcBorders>
            <w:shd w:fill="EDEDEE" w:val="clear"/>
            <w:tcMar>
              <w:bottom w:w="40" w:type="dxa"/>
            </w:tcMar>
            <w:vAlign w:val="center"/>
          </w:tcPr>
          <w:p>
            <w:pPr>
              <w:pStyle w:val="TableContents"/>
              <w:bidi w:val="0"/>
              <w:spacing w:before="0" w:after="283"/>
              <w:jc w:val="left"/>
              <w:rPr/>
            </w:pPr>
            <w:r>
              <w:rPr/>
              <w:t> </w:t>
            </w:r>
          </w:p>
        </w:tc>
        <w:tc>
          <w:tcPr>
            <w:tcW w:w="300" w:type="dxa"/>
            <w:tcBorders>
              <w:bottom w:val="single" w:sz="12" w:space="0" w:color="C12E33"/>
            </w:tcBorders>
            <w:shd w:fill="EDEDEE" w:val="clear"/>
            <w:tcMar>
              <w:bottom w:w="40" w:type="dxa"/>
            </w:tcMar>
            <w:vAlign w:val="center"/>
          </w:tcPr>
          <w:p>
            <w:pPr>
              <w:pStyle w:val="TableContents"/>
              <w:bidi w:val="0"/>
              <w:spacing w:before="0" w:after="283"/>
              <w:jc w:val="left"/>
              <w:rPr/>
            </w:pPr>
            <w:r>
              <w:rPr/>
              <w:t> </w:t>
            </w:r>
          </w:p>
        </w:tc>
        <w:tc>
          <w:tcPr>
            <w:tcW w:w="1235" w:type="dxa"/>
            <w:tcBorders>
              <w:bottom w:val="single" w:sz="12" w:space="0" w:color="C12E33"/>
            </w:tcBorders>
            <w:shd w:fill="EDEDEE" w:val="clear"/>
            <w:tcMar>
              <w:bottom w:w="40" w:type="dxa"/>
            </w:tcMar>
            <w:vAlign w:val="center"/>
          </w:tcPr>
          <w:p>
            <w:pPr>
              <w:pStyle w:val="TableContents"/>
              <w:bidi w:val="0"/>
              <w:spacing w:before="0" w:after="283"/>
              <w:jc w:val="left"/>
              <w:rPr/>
            </w:pPr>
            <w:r>
              <w:rPr/>
              <w:t> </w:t>
            </w:r>
          </w:p>
        </w:tc>
      </w:tr>
      <w:tr>
        <w:trPr/>
        <w:tc>
          <w:tcPr>
            <w:tcW w:w="875" w:type="dxa"/>
            <w:tcBorders>
              <w:bottom w:val="single" w:sz="2" w:space="0" w:color="000000"/>
            </w:tcBorders>
            <w:tcMar>
              <w:bottom w:w="40" w:type="dxa"/>
            </w:tcMar>
            <w:vAlign w:val="center"/>
          </w:tcPr>
          <w:p>
            <w:pPr>
              <w:pStyle w:val="TableContents"/>
              <w:bidi w:val="0"/>
              <w:spacing w:before="0" w:after="283"/>
              <w:jc w:val="left"/>
              <w:rPr/>
            </w:pPr>
            <w:r>
              <w:rPr/>
              <w:t>2/6/2025</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1265" w:type="dxa"/>
            <w:tcBorders>
              <w:bottom w:val="single" w:sz="2" w:space="0" w:color="000000"/>
            </w:tcBorders>
            <w:tcMar>
              <w:bottom w:w="40" w:type="dxa"/>
            </w:tcMar>
            <w:vAlign w:val="center"/>
          </w:tcPr>
          <w:p>
            <w:pPr>
              <w:pStyle w:val="TableContents"/>
              <w:bidi w:val="0"/>
              <w:spacing w:before="0" w:after="283"/>
              <w:jc w:val="right"/>
              <w:rPr/>
            </w:pPr>
            <w:r>
              <w:rPr/>
              <w:t>–</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1595" w:type="dxa"/>
            <w:tcBorders>
              <w:bottom w:val="single" w:sz="2" w:space="0" w:color="000000"/>
            </w:tcBorders>
            <w:tcMar>
              <w:bottom w:w="40" w:type="dxa"/>
            </w:tcMar>
            <w:vAlign w:val="center"/>
          </w:tcPr>
          <w:p>
            <w:pPr>
              <w:pStyle w:val="TableContents"/>
              <w:bidi w:val="0"/>
              <w:spacing w:before="0" w:after="283"/>
              <w:jc w:val="right"/>
              <w:rPr/>
            </w:pPr>
            <w:r>
              <w:rPr/>
              <w:t>43,300</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875" w:type="dxa"/>
            <w:tcBorders>
              <w:bottom w:val="single" w:sz="2" w:space="0" w:color="000000"/>
            </w:tcBorders>
            <w:tcMar>
              <w:bottom w:w="40" w:type="dxa"/>
            </w:tcMar>
            <w:vAlign w:val="center"/>
          </w:tcPr>
          <w:p>
            <w:pPr>
              <w:pStyle w:val="TableContents"/>
              <w:bidi w:val="0"/>
              <w:spacing w:before="0" w:after="283"/>
              <w:jc w:val="right"/>
              <w:rPr/>
            </w:pPr>
            <w:r>
              <w:rPr/>
              <w:t>$128.78</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1115" w:type="dxa"/>
            <w:tcBorders>
              <w:bottom w:val="single" w:sz="2" w:space="0" w:color="000000"/>
            </w:tcBorders>
            <w:tcMar>
              <w:bottom w:w="40" w:type="dxa"/>
            </w:tcMar>
            <w:vAlign w:val="center"/>
          </w:tcPr>
          <w:p>
            <w:pPr>
              <w:pStyle w:val="TableContents"/>
              <w:bidi w:val="0"/>
              <w:spacing w:before="0" w:after="283"/>
              <w:jc w:val="right"/>
              <w:rPr/>
            </w:pPr>
            <w:r>
              <w:rPr/>
              <w:t>2/5/2035</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875" w:type="dxa"/>
            <w:tcBorders>
              <w:bottom w:val="single" w:sz="2" w:space="0" w:color="000000"/>
            </w:tcBorders>
            <w:shd w:fill="EDEDEE" w:val="clear"/>
            <w:tcMar>
              <w:bottom w:w="40" w:type="dxa"/>
            </w:tcMar>
            <w:vAlign w:val="center"/>
          </w:tcPr>
          <w:p>
            <w:pPr>
              <w:pStyle w:val="TableContents"/>
              <w:bidi w:val="0"/>
              <w:spacing w:before="0" w:after="283"/>
              <w:jc w:val="right"/>
              <w:rPr/>
            </w:pPr>
            <w:r>
              <w:rPr/>
              <w:t>–</w:t>
            </w:r>
          </w:p>
        </w:tc>
        <w:tc>
          <w:tcPr>
            <w:tcW w:w="300" w:type="dxa"/>
            <w:tcBorders>
              <w:bottom w:val="single" w:sz="2" w:space="0" w:color="000000"/>
            </w:tcBorders>
            <w:shd w:fill="EDEDEE" w:val="clear"/>
            <w:tcMar>
              <w:bottom w:w="40" w:type="dxa"/>
            </w:tcMar>
            <w:vAlign w:val="center"/>
          </w:tcPr>
          <w:p>
            <w:pPr>
              <w:pStyle w:val="TableContents"/>
              <w:bidi w:val="0"/>
              <w:spacing w:before="0" w:after="283"/>
              <w:jc w:val="left"/>
              <w:rPr/>
            </w:pPr>
            <w:r>
              <w:rPr/>
              <w:t> </w:t>
            </w:r>
          </w:p>
        </w:tc>
        <w:tc>
          <w:tcPr>
            <w:tcW w:w="1100" w:type="dxa"/>
            <w:tcBorders>
              <w:bottom w:val="single" w:sz="2" w:space="0" w:color="000000"/>
            </w:tcBorders>
            <w:shd w:fill="EDEDEE" w:val="clear"/>
            <w:tcMar>
              <w:bottom w:w="40" w:type="dxa"/>
            </w:tcMar>
            <w:vAlign w:val="center"/>
          </w:tcPr>
          <w:p>
            <w:pPr>
              <w:pStyle w:val="TableContents"/>
              <w:bidi w:val="0"/>
              <w:spacing w:before="0" w:after="283"/>
              <w:jc w:val="right"/>
              <w:rPr/>
            </w:pPr>
            <w:r>
              <w:rPr/>
              <w:t>–</w:t>
            </w:r>
          </w:p>
        </w:tc>
        <w:tc>
          <w:tcPr>
            <w:tcW w:w="300" w:type="dxa"/>
            <w:tcBorders>
              <w:bottom w:val="single" w:sz="2" w:space="0" w:color="000000"/>
            </w:tcBorders>
            <w:shd w:fill="EDEDEE" w:val="clear"/>
            <w:tcMar>
              <w:bottom w:w="40" w:type="dxa"/>
            </w:tcMar>
            <w:vAlign w:val="center"/>
          </w:tcPr>
          <w:p>
            <w:pPr>
              <w:pStyle w:val="TableContents"/>
              <w:bidi w:val="0"/>
              <w:spacing w:before="0" w:after="283"/>
              <w:jc w:val="left"/>
              <w:rPr/>
            </w:pPr>
            <w:r>
              <w:rPr/>
              <w:t> </w:t>
            </w:r>
          </w:p>
        </w:tc>
        <w:tc>
          <w:tcPr>
            <w:tcW w:w="1040" w:type="dxa"/>
            <w:tcBorders>
              <w:bottom w:val="single" w:sz="2" w:space="0" w:color="000000"/>
            </w:tcBorders>
            <w:shd w:fill="EDEDEE" w:val="clear"/>
            <w:tcMar>
              <w:bottom w:w="40" w:type="dxa"/>
            </w:tcMar>
            <w:vAlign w:val="center"/>
          </w:tcPr>
          <w:p>
            <w:pPr>
              <w:pStyle w:val="TableContents"/>
              <w:bidi w:val="0"/>
              <w:spacing w:before="0" w:after="283"/>
              <w:jc w:val="right"/>
              <w:rPr/>
            </w:pPr>
            <w:r>
              <w:rPr/>
              <w:t>37,280</w:t>
            </w:r>
          </w:p>
        </w:tc>
        <w:tc>
          <w:tcPr>
            <w:tcW w:w="300" w:type="dxa"/>
            <w:tcBorders>
              <w:bottom w:val="single" w:sz="2" w:space="0" w:color="000000"/>
            </w:tcBorders>
            <w:shd w:fill="EDEDEE" w:val="clear"/>
            <w:tcMar>
              <w:bottom w:w="40" w:type="dxa"/>
            </w:tcMar>
            <w:vAlign w:val="center"/>
          </w:tcPr>
          <w:p>
            <w:pPr>
              <w:pStyle w:val="TableContents"/>
              <w:bidi w:val="0"/>
              <w:spacing w:before="0" w:after="283"/>
              <w:jc w:val="left"/>
              <w:rPr/>
            </w:pPr>
            <w:r>
              <w:rPr/>
              <w:t> </w:t>
            </w:r>
          </w:p>
        </w:tc>
        <w:tc>
          <w:tcPr>
            <w:tcW w:w="1235" w:type="dxa"/>
            <w:tcBorders>
              <w:bottom w:val="single" w:sz="2" w:space="0" w:color="000000"/>
            </w:tcBorders>
            <w:shd w:fill="EDEDEE" w:val="clear"/>
            <w:tcMar>
              <w:bottom w:w="40" w:type="dxa"/>
            </w:tcMar>
            <w:vAlign w:val="center"/>
          </w:tcPr>
          <w:p>
            <w:pPr>
              <w:pStyle w:val="TableContents"/>
              <w:bidi w:val="0"/>
              <w:spacing w:before="0" w:after="283"/>
              <w:jc w:val="right"/>
              <w:rPr/>
            </w:pPr>
            <w:r>
              <w:rPr/>
              <w:t>$6,837,152</w:t>
            </w:r>
          </w:p>
        </w:tc>
      </w:tr>
      <w:tr>
        <w:trPr/>
        <w:tc>
          <w:tcPr>
            <w:tcW w:w="875" w:type="dxa"/>
            <w:tcBorders>
              <w:bottom w:val="single" w:sz="2" w:space="0" w:color="000000"/>
            </w:tcBorders>
            <w:tcMar>
              <w:bottom w:w="40" w:type="dxa"/>
            </w:tcMar>
            <w:vAlign w:val="center"/>
          </w:tcPr>
          <w:p>
            <w:pPr>
              <w:pStyle w:val="TableContents"/>
              <w:bidi w:val="0"/>
              <w:spacing w:before="0" w:after="283"/>
              <w:jc w:val="left"/>
              <w:rPr/>
            </w:pPr>
            <w:r>
              <w:rPr/>
              <w:t>2/8/2024</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1265" w:type="dxa"/>
            <w:tcBorders>
              <w:bottom w:val="single" w:sz="2" w:space="0" w:color="000000"/>
            </w:tcBorders>
            <w:tcMar>
              <w:bottom w:w="40" w:type="dxa"/>
            </w:tcMar>
            <w:vAlign w:val="center"/>
          </w:tcPr>
          <w:p>
            <w:pPr>
              <w:pStyle w:val="TableContents"/>
              <w:bidi w:val="0"/>
              <w:spacing w:before="0" w:after="283"/>
              <w:jc w:val="right"/>
              <w:rPr/>
            </w:pPr>
            <w:r>
              <w:rPr/>
              <w:t>–</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1595" w:type="dxa"/>
            <w:tcBorders>
              <w:bottom w:val="single" w:sz="2" w:space="0" w:color="000000"/>
            </w:tcBorders>
            <w:tcMar>
              <w:bottom w:w="40" w:type="dxa"/>
            </w:tcMar>
            <w:vAlign w:val="center"/>
          </w:tcPr>
          <w:p>
            <w:pPr>
              <w:pStyle w:val="TableContents"/>
              <w:bidi w:val="0"/>
              <w:spacing w:before="0" w:after="283"/>
              <w:jc w:val="right"/>
              <w:rPr/>
            </w:pPr>
            <w:r>
              <w:rPr/>
              <w:t>59,500</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875" w:type="dxa"/>
            <w:tcBorders>
              <w:bottom w:val="single" w:sz="2" w:space="0" w:color="000000"/>
            </w:tcBorders>
            <w:tcMar>
              <w:bottom w:w="40" w:type="dxa"/>
            </w:tcMar>
            <w:vAlign w:val="center"/>
          </w:tcPr>
          <w:p>
            <w:pPr>
              <w:pStyle w:val="TableContents"/>
              <w:bidi w:val="0"/>
              <w:spacing w:before="0" w:after="283"/>
              <w:jc w:val="right"/>
              <w:rPr/>
            </w:pPr>
            <w:r>
              <w:rPr/>
              <w:t>$91.04</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1115" w:type="dxa"/>
            <w:tcBorders>
              <w:bottom w:val="single" w:sz="2" w:space="0" w:color="000000"/>
            </w:tcBorders>
            <w:tcMar>
              <w:bottom w:w="40" w:type="dxa"/>
            </w:tcMar>
            <w:vAlign w:val="center"/>
          </w:tcPr>
          <w:p>
            <w:pPr>
              <w:pStyle w:val="TableContents"/>
              <w:bidi w:val="0"/>
              <w:spacing w:before="0" w:after="283"/>
              <w:jc w:val="right"/>
              <w:rPr/>
            </w:pPr>
            <w:r>
              <w:rPr/>
              <w:t>2/7/2034</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875" w:type="dxa"/>
            <w:tcBorders>
              <w:bottom w:val="single" w:sz="2" w:space="0" w:color="000000"/>
            </w:tcBorders>
            <w:shd w:fill="EDEDEE" w:val="clear"/>
            <w:tcMar>
              <w:bottom w:w="40" w:type="dxa"/>
            </w:tcMar>
            <w:vAlign w:val="center"/>
          </w:tcPr>
          <w:p>
            <w:pPr>
              <w:pStyle w:val="TableContents"/>
              <w:bidi w:val="0"/>
              <w:spacing w:before="0" w:after="283"/>
              <w:jc w:val="right"/>
              <w:rPr/>
            </w:pPr>
            <w:r>
              <w:rPr/>
              <w:t>–</w:t>
            </w:r>
          </w:p>
        </w:tc>
        <w:tc>
          <w:tcPr>
            <w:tcW w:w="300" w:type="dxa"/>
            <w:tcBorders>
              <w:bottom w:val="single" w:sz="2" w:space="0" w:color="000000"/>
            </w:tcBorders>
            <w:shd w:fill="EDEDEE" w:val="clear"/>
            <w:tcMar>
              <w:bottom w:w="40" w:type="dxa"/>
            </w:tcMar>
            <w:vAlign w:val="center"/>
          </w:tcPr>
          <w:p>
            <w:pPr>
              <w:pStyle w:val="TableContents"/>
              <w:bidi w:val="0"/>
              <w:spacing w:before="0" w:after="283"/>
              <w:jc w:val="left"/>
              <w:rPr/>
            </w:pPr>
            <w:r>
              <w:rPr/>
              <w:t> </w:t>
            </w:r>
          </w:p>
        </w:tc>
        <w:tc>
          <w:tcPr>
            <w:tcW w:w="1100" w:type="dxa"/>
            <w:tcBorders>
              <w:bottom w:val="single" w:sz="2" w:space="0" w:color="000000"/>
            </w:tcBorders>
            <w:shd w:fill="EDEDEE" w:val="clear"/>
            <w:tcMar>
              <w:bottom w:w="40" w:type="dxa"/>
            </w:tcMar>
            <w:vAlign w:val="center"/>
          </w:tcPr>
          <w:p>
            <w:pPr>
              <w:pStyle w:val="TableContents"/>
              <w:bidi w:val="0"/>
              <w:spacing w:before="0" w:after="283"/>
              <w:jc w:val="right"/>
              <w:rPr/>
            </w:pPr>
            <w:r>
              <w:rPr/>
              <w:t>–</w:t>
            </w:r>
          </w:p>
        </w:tc>
        <w:tc>
          <w:tcPr>
            <w:tcW w:w="300" w:type="dxa"/>
            <w:tcBorders>
              <w:bottom w:val="single" w:sz="2" w:space="0" w:color="000000"/>
            </w:tcBorders>
            <w:shd w:fill="EDEDEE" w:val="clear"/>
            <w:tcMar>
              <w:bottom w:w="40" w:type="dxa"/>
            </w:tcMar>
            <w:vAlign w:val="center"/>
          </w:tcPr>
          <w:p>
            <w:pPr>
              <w:pStyle w:val="TableContents"/>
              <w:bidi w:val="0"/>
              <w:spacing w:before="0" w:after="283"/>
              <w:jc w:val="left"/>
              <w:rPr/>
            </w:pPr>
            <w:r>
              <w:rPr/>
              <w:t> </w:t>
            </w:r>
          </w:p>
        </w:tc>
        <w:tc>
          <w:tcPr>
            <w:tcW w:w="1040" w:type="dxa"/>
            <w:tcBorders>
              <w:bottom w:val="single" w:sz="2" w:space="0" w:color="000000"/>
            </w:tcBorders>
            <w:shd w:fill="EDEDEE" w:val="clear"/>
            <w:tcMar>
              <w:bottom w:w="40" w:type="dxa"/>
            </w:tcMar>
            <w:vAlign w:val="center"/>
          </w:tcPr>
          <w:p>
            <w:pPr>
              <w:pStyle w:val="TableContents"/>
              <w:bidi w:val="0"/>
              <w:spacing w:before="0" w:after="283"/>
              <w:jc w:val="right"/>
              <w:rPr/>
            </w:pPr>
            <w:r>
              <w:rPr/>
              <w:t>42,840</w:t>
            </w:r>
          </w:p>
        </w:tc>
        <w:tc>
          <w:tcPr>
            <w:tcW w:w="300" w:type="dxa"/>
            <w:tcBorders>
              <w:bottom w:val="single" w:sz="2" w:space="0" w:color="000000"/>
            </w:tcBorders>
            <w:shd w:fill="EDEDEE" w:val="clear"/>
            <w:tcMar>
              <w:bottom w:w="40" w:type="dxa"/>
            </w:tcMar>
            <w:vAlign w:val="center"/>
          </w:tcPr>
          <w:p>
            <w:pPr>
              <w:pStyle w:val="TableContents"/>
              <w:bidi w:val="0"/>
              <w:spacing w:before="0" w:after="283"/>
              <w:jc w:val="left"/>
              <w:rPr/>
            </w:pPr>
            <w:r>
              <w:rPr/>
              <w:t> </w:t>
            </w:r>
          </w:p>
        </w:tc>
        <w:tc>
          <w:tcPr>
            <w:tcW w:w="1235" w:type="dxa"/>
            <w:tcBorders>
              <w:bottom w:val="single" w:sz="2" w:space="0" w:color="000000"/>
            </w:tcBorders>
            <w:shd w:fill="EDEDEE" w:val="clear"/>
            <w:tcMar>
              <w:bottom w:w="40" w:type="dxa"/>
            </w:tcMar>
            <w:vAlign w:val="center"/>
          </w:tcPr>
          <w:p>
            <w:pPr>
              <w:pStyle w:val="TableContents"/>
              <w:bidi w:val="0"/>
              <w:spacing w:before="0" w:after="283"/>
              <w:jc w:val="right"/>
              <w:rPr/>
            </w:pPr>
            <w:r>
              <w:rPr/>
              <w:t>$7,856,856</w:t>
            </w:r>
          </w:p>
        </w:tc>
      </w:tr>
      <w:tr>
        <w:trPr/>
        <w:tc>
          <w:tcPr>
            <w:tcW w:w="875" w:type="dxa"/>
            <w:tcBorders>
              <w:bottom w:val="single" w:sz="2" w:space="0" w:color="000000"/>
            </w:tcBorders>
            <w:tcMar>
              <w:bottom w:w="40" w:type="dxa"/>
            </w:tcMar>
            <w:vAlign w:val="center"/>
          </w:tcPr>
          <w:p>
            <w:pPr>
              <w:pStyle w:val="TableContents"/>
              <w:bidi w:val="0"/>
              <w:spacing w:before="0" w:after="283"/>
              <w:jc w:val="left"/>
              <w:rPr/>
            </w:pPr>
            <w:r>
              <w:rPr/>
              <w:t>2/8/2023</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1265" w:type="dxa"/>
            <w:tcBorders>
              <w:bottom w:val="single" w:sz="2" w:space="0" w:color="000000"/>
            </w:tcBorders>
            <w:tcMar>
              <w:bottom w:w="40" w:type="dxa"/>
            </w:tcMar>
            <w:vAlign w:val="center"/>
          </w:tcPr>
          <w:p>
            <w:pPr>
              <w:pStyle w:val="TableContents"/>
              <w:bidi w:val="0"/>
              <w:spacing w:before="0" w:after="283"/>
              <w:jc w:val="right"/>
              <w:rPr/>
            </w:pPr>
            <w:r>
              <w:rPr/>
              <w:t>–</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1595" w:type="dxa"/>
            <w:tcBorders>
              <w:bottom w:val="single" w:sz="2" w:space="0" w:color="000000"/>
            </w:tcBorders>
            <w:tcMar>
              <w:bottom w:w="40" w:type="dxa"/>
            </w:tcMar>
            <w:vAlign w:val="center"/>
          </w:tcPr>
          <w:p>
            <w:pPr>
              <w:pStyle w:val="TableContents"/>
              <w:bidi w:val="0"/>
              <w:spacing w:before="0" w:after="283"/>
              <w:jc w:val="right"/>
              <w:rPr/>
            </w:pPr>
            <w:r>
              <w:rPr/>
              <w:t>21,900</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875" w:type="dxa"/>
            <w:tcBorders>
              <w:bottom w:val="single" w:sz="2" w:space="0" w:color="000000"/>
            </w:tcBorders>
            <w:tcMar>
              <w:bottom w:w="40" w:type="dxa"/>
            </w:tcMar>
            <w:vAlign w:val="center"/>
          </w:tcPr>
          <w:p>
            <w:pPr>
              <w:pStyle w:val="TableContents"/>
              <w:bidi w:val="0"/>
              <w:spacing w:before="0" w:after="283"/>
              <w:jc w:val="right"/>
              <w:rPr/>
            </w:pPr>
            <w:r>
              <w:rPr/>
              <w:t>$97.65</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1115" w:type="dxa"/>
            <w:tcBorders>
              <w:bottom w:val="single" w:sz="2" w:space="0" w:color="000000"/>
            </w:tcBorders>
            <w:tcMar>
              <w:bottom w:w="40" w:type="dxa"/>
            </w:tcMar>
            <w:vAlign w:val="center"/>
          </w:tcPr>
          <w:p>
            <w:pPr>
              <w:pStyle w:val="TableContents"/>
              <w:bidi w:val="0"/>
              <w:spacing w:before="0" w:after="283"/>
              <w:jc w:val="right"/>
              <w:rPr/>
            </w:pPr>
            <w:r>
              <w:rPr/>
              <w:t>2/7/2033</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875" w:type="dxa"/>
            <w:tcBorders>
              <w:bottom w:val="single" w:sz="2" w:space="0" w:color="000000"/>
            </w:tcBorders>
            <w:shd w:fill="EDEDEE" w:val="clear"/>
            <w:tcMar>
              <w:bottom w:w="40" w:type="dxa"/>
            </w:tcMar>
            <w:vAlign w:val="center"/>
          </w:tcPr>
          <w:p>
            <w:pPr>
              <w:pStyle w:val="TableContents"/>
              <w:bidi w:val="0"/>
              <w:spacing w:before="0" w:after="283"/>
              <w:jc w:val="right"/>
              <w:rPr/>
            </w:pPr>
            <w:r>
              <w:rPr/>
              <w:t>2,832</w:t>
            </w:r>
            <w:r>
              <w:rPr>
                <w:position w:val="8"/>
                <w:sz w:val="19"/>
              </w:rPr>
              <w:t>(7)</w:t>
            </w:r>
          </w:p>
        </w:tc>
        <w:tc>
          <w:tcPr>
            <w:tcW w:w="300" w:type="dxa"/>
            <w:tcBorders>
              <w:bottom w:val="single" w:sz="2" w:space="0" w:color="000000"/>
            </w:tcBorders>
            <w:shd w:fill="EDEDEE" w:val="clear"/>
            <w:tcMar>
              <w:bottom w:w="40" w:type="dxa"/>
            </w:tcMar>
            <w:vAlign w:val="center"/>
          </w:tcPr>
          <w:p>
            <w:pPr>
              <w:pStyle w:val="TableContents"/>
              <w:bidi w:val="0"/>
              <w:spacing w:before="0" w:after="283"/>
              <w:jc w:val="left"/>
              <w:rPr/>
            </w:pPr>
            <w:r>
              <w:rPr/>
              <w:t> </w:t>
            </w:r>
          </w:p>
        </w:tc>
        <w:tc>
          <w:tcPr>
            <w:tcW w:w="1100" w:type="dxa"/>
            <w:tcBorders>
              <w:bottom w:val="single" w:sz="2" w:space="0" w:color="000000"/>
            </w:tcBorders>
            <w:shd w:fill="EDEDEE" w:val="clear"/>
            <w:tcMar>
              <w:bottom w:w="40" w:type="dxa"/>
            </w:tcMar>
            <w:vAlign w:val="center"/>
          </w:tcPr>
          <w:p>
            <w:pPr>
              <w:pStyle w:val="TableContents"/>
              <w:bidi w:val="0"/>
              <w:spacing w:before="0" w:after="283"/>
              <w:jc w:val="right"/>
              <w:rPr/>
            </w:pPr>
            <w:r>
              <w:rPr/>
              <w:t>$519,389</w:t>
            </w:r>
          </w:p>
        </w:tc>
        <w:tc>
          <w:tcPr>
            <w:tcW w:w="300" w:type="dxa"/>
            <w:tcBorders>
              <w:bottom w:val="single" w:sz="2" w:space="0" w:color="000000"/>
            </w:tcBorders>
            <w:shd w:fill="EDEDEE" w:val="clear"/>
            <w:tcMar>
              <w:bottom w:w="40" w:type="dxa"/>
            </w:tcMar>
            <w:vAlign w:val="center"/>
          </w:tcPr>
          <w:p>
            <w:pPr>
              <w:pStyle w:val="TableContents"/>
              <w:bidi w:val="0"/>
              <w:spacing w:before="0" w:after="283"/>
              <w:jc w:val="left"/>
              <w:rPr/>
            </w:pPr>
            <w:r>
              <w:rPr/>
              <w:t> </w:t>
            </w:r>
          </w:p>
        </w:tc>
        <w:tc>
          <w:tcPr>
            <w:tcW w:w="1040" w:type="dxa"/>
            <w:tcBorders>
              <w:bottom w:val="single" w:sz="2" w:space="0" w:color="000000"/>
            </w:tcBorders>
            <w:shd w:fill="EDEDEE" w:val="clear"/>
            <w:tcMar>
              <w:bottom w:w="40" w:type="dxa"/>
            </w:tcMar>
            <w:vAlign w:val="center"/>
          </w:tcPr>
          <w:p>
            <w:pPr>
              <w:pStyle w:val="TableContents"/>
              <w:bidi w:val="0"/>
              <w:spacing w:before="0" w:after="283"/>
              <w:jc w:val="right"/>
              <w:rPr/>
            </w:pPr>
            <w:r>
              <w:rPr/>
              <w:t>8,074</w:t>
            </w:r>
          </w:p>
        </w:tc>
        <w:tc>
          <w:tcPr>
            <w:tcW w:w="300" w:type="dxa"/>
            <w:tcBorders>
              <w:bottom w:val="single" w:sz="2" w:space="0" w:color="000000"/>
            </w:tcBorders>
            <w:shd w:fill="EDEDEE" w:val="clear"/>
            <w:tcMar>
              <w:bottom w:w="40" w:type="dxa"/>
            </w:tcMar>
            <w:vAlign w:val="center"/>
          </w:tcPr>
          <w:p>
            <w:pPr>
              <w:pStyle w:val="TableContents"/>
              <w:bidi w:val="0"/>
              <w:spacing w:before="0" w:after="283"/>
              <w:jc w:val="left"/>
              <w:rPr/>
            </w:pPr>
            <w:r>
              <w:rPr/>
              <w:t> </w:t>
            </w:r>
          </w:p>
        </w:tc>
        <w:tc>
          <w:tcPr>
            <w:tcW w:w="1235" w:type="dxa"/>
            <w:tcBorders>
              <w:bottom w:val="single" w:sz="2" w:space="0" w:color="000000"/>
            </w:tcBorders>
            <w:shd w:fill="EDEDEE" w:val="clear"/>
            <w:tcMar>
              <w:bottom w:w="40" w:type="dxa"/>
            </w:tcMar>
            <w:vAlign w:val="center"/>
          </w:tcPr>
          <w:p>
            <w:pPr>
              <w:pStyle w:val="TableContents"/>
              <w:bidi w:val="0"/>
              <w:spacing w:before="0" w:after="283"/>
              <w:jc w:val="right"/>
              <w:rPr/>
            </w:pPr>
            <w:r>
              <w:rPr/>
              <w:t>$1,480,735</w:t>
            </w:r>
          </w:p>
        </w:tc>
      </w:tr>
      <w:tr>
        <w:trPr/>
        <w:tc>
          <w:tcPr>
            <w:tcW w:w="875" w:type="dxa"/>
            <w:tcBorders>
              <w:bottom w:val="single" w:sz="2" w:space="0" w:color="000000"/>
            </w:tcBorders>
            <w:tcMar>
              <w:bottom w:w="40" w:type="dxa"/>
            </w:tcMar>
            <w:vAlign w:val="center"/>
          </w:tcPr>
          <w:p>
            <w:pPr>
              <w:pStyle w:val="TableContents"/>
              <w:bidi w:val="0"/>
              <w:spacing w:before="0" w:after="283"/>
              <w:jc w:val="left"/>
              <w:rPr/>
            </w:pPr>
            <w:r>
              <w:rPr/>
              <w:t>2/15/2022</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1265" w:type="dxa"/>
            <w:tcBorders>
              <w:bottom w:val="single" w:sz="2" w:space="0" w:color="000000"/>
            </w:tcBorders>
            <w:tcMar>
              <w:bottom w:w="40" w:type="dxa"/>
            </w:tcMar>
            <w:vAlign w:val="center"/>
          </w:tcPr>
          <w:p>
            <w:pPr>
              <w:pStyle w:val="TableContents"/>
              <w:bidi w:val="0"/>
              <w:spacing w:before="0" w:after="283"/>
              <w:jc w:val="right"/>
              <w:rPr/>
            </w:pPr>
            <w:r>
              <w:rPr/>
              <w:t>26,100</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1595" w:type="dxa"/>
            <w:tcBorders>
              <w:bottom w:val="single" w:sz="2" w:space="0" w:color="000000"/>
            </w:tcBorders>
            <w:tcMar>
              <w:bottom w:w="40" w:type="dxa"/>
            </w:tcMar>
            <w:vAlign w:val="center"/>
          </w:tcPr>
          <w:p>
            <w:pPr>
              <w:pStyle w:val="TableContents"/>
              <w:bidi w:val="0"/>
              <w:spacing w:before="0" w:after="283"/>
              <w:jc w:val="right"/>
              <w:rPr/>
            </w:pPr>
            <w:r>
              <w:rPr/>
              <w:t>–</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875" w:type="dxa"/>
            <w:tcBorders>
              <w:bottom w:val="single" w:sz="2" w:space="0" w:color="000000"/>
            </w:tcBorders>
            <w:tcMar>
              <w:bottom w:w="40" w:type="dxa"/>
            </w:tcMar>
            <w:vAlign w:val="center"/>
          </w:tcPr>
          <w:p>
            <w:pPr>
              <w:pStyle w:val="TableContents"/>
              <w:bidi w:val="0"/>
              <w:spacing w:before="0" w:after="283"/>
              <w:jc w:val="right"/>
              <w:rPr/>
            </w:pPr>
            <w:r>
              <w:rPr/>
              <w:t>$94.04</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1115" w:type="dxa"/>
            <w:tcBorders>
              <w:bottom w:val="single" w:sz="2" w:space="0" w:color="000000"/>
            </w:tcBorders>
            <w:tcMar>
              <w:bottom w:w="40" w:type="dxa"/>
            </w:tcMar>
            <w:vAlign w:val="center"/>
          </w:tcPr>
          <w:p>
            <w:pPr>
              <w:pStyle w:val="TableContents"/>
              <w:bidi w:val="0"/>
              <w:spacing w:before="0" w:after="283"/>
              <w:jc w:val="right"/>
              <w:rPr/>
            </w:pPr>
            <w:r>
              <w:rPr/>
              <w:t>2/14/2032</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875" w:type="dxa"/>
            <w:tcBorders>
              <w:bottom w:val="single" w:sz="2" w:space="0" w:color="000000"/>
            </w:tcBorders>
            <w:shd w:fill="EDEDEE" w:val="clear"/>
            <w:tcMar>
              <w:bottom w:w="40" w:type="dxa"/>
            </w:tcMar>
            <w:vAlign w:val="center"/>
          </w:tcPr>
          <w:p>
            <w:pPr>
              <w:pStyle w:val="TableContents"/>
              <w:bidi w:val="0"/>
              <w:spacing w:before="0" w:after="283"/>
              <w:jc w:val="right"/>
              <w:rPr/>
            </w:pPr>
            <w:r>
              <w:rPr/>
              <w:t>–</w:t>
            </w:r>
          </w:p>
        </w:tc>
        <w:tc>
          <w:tcPr>
            <w:tcW w:w="300" w:type="dxa"/>
            <w:tcBorders>
              <w:bottom w:val="single" w:sz="2" w:space="0" w:color="000000"/>
            </w:tcBorders>
            <w:shd w:fill="EDEDEE" w:val="clear"/>
            <w:tcMar>
              <w:bottom w:w="40" w:type="dxa"/>
            </w:tcMar>
            <w:vAlign w:val="center"/>
          </w:tcPr>
          <w:p>
            <w:pPr>
              <w:pStyle w:val="TableContents"/>
              <w:bidi w:val="0"/>
              <w:spacing w:before="0" w:after="283"/>
              <w:jc w:val="left"/>
              <w:rPr/>
            </w:pPr>
            <w:r>
              <w:rPr/>
              <w:t> </w:t>
            </w:r>
          </w:p>
        </w:tc>
        <w:tc>
          <w:tcPr>
            <w:tcW w:w="1100" w:type="dxa"/>
            <w:tcBorders>
              <w:bottom w:val="single" w:sz="2" w:space="0" w:color="000000"/>
            </w:tcBorders>
            <w:shd w:fill="EDEDEE" w:val="clear"/>
            <w:tcMar>
              <w:bottom w:w="40" w:type="dxa"/>
            </w:tcMar>
            <w:vAlign w:val="center"/>
          </w:tcPr>
          <w:p>
            <w:pPr>
              <w:pStyle w:val="TableContents"/>
              <w:bidi w:val="0"/>
              <w:spacing w:before="0" w:after="283"/>
              <w:jc w:val="right"/>
              <w:rPr/>
            </w:pPr>
            <w:r>
              <w:rPr/>
              <w:t>–</w:t>
            </w:r>
          </w:p>
        </w:tc>
        <w:tc>
          <w:tcPr>
            <w:tcW w:w="300" w:type="dxa"/>
            <w:tcBorders>
              <w:bottom w:val="single" w:sz="2" w:space="0" w:color="000000"/>
            </w:tcBorders>
            <w:shd w:fill="EDEDEE" w:val="clear"/>
            <w:tcMar>
              <w:bottom w:w="40" w:type="dxa"/>
            </w:tcMar>
            <w:vAlign w:val="center"/>
          </w:tcPr>
          <w:p>
            <w:pPr>
              <w:pStyle w:val="TableContents"/>
              <w:bidi w:val="0"/>
              <w:spacing w:before="0" w:after="283"/>
              <w:jc w:val="left"/>
              <w:rPr/>
            </w:pPr>
            <w:r>
              <w:rPr/>
              <w:t> </w:t>
            </w:r>
          </w:p>
        </w:tc>
        <w:tc>
          <w:tcPr>
            <w:tcW w:w="1040" w:type="dxa"/>
            <w:tcBorders>
              <w:bottom w:val="single" w:sz="2" w:space="0" w:color="000000"/>
            </w:tcBorders>
            <w:shd w:fill="EDEDEE" w:val="clear"/>
            <w:tcMar>
              <w:bottom w:w="40" w:type="dxa"/>
            </w:tcMar>
            <w:vAlign w:val="center"/>
          </w:tcPr>
          <w:p>
            <w:pPr>
              <w:pStyle w:val="TableContents"/>
              <w:bidi w:val="0"/>
              <w:spacing w:before="0" w:after="283"/>
              <w:jc w:val="right"/>
              <w:rPr/>
            </w:pPr>
            <w:r>
              <w:rPr/>
              <w:t>–</w:t>
            </w:r>
          </w:p>
        </w:tc>
        <w:tc>
          <w:tcPr>
            <w:tcW w:w="300" w:type="dxa"/>
            <w:tcBorders>
              <w:bottom w:val="single" w:sz="2" w:space="0" w:color="000000"/>
            </w:tcBorders>
            <w:shd w:fill="EDEDEE" w:val="clear"/>
            <w:tcMar>
              <w:bottom w:w="40" w:type="dxa"/>
            </w:tcMar>
            <w:vAlign w:val="center"/>
          </w:tcPr>
          <w:p>
            <w:pPr>
              <w:pStyle w:val="TableContents"/>
              <w:bidi w:val="0"/>
              <w:spacing w:before="0" w:after="283"/>
              <w:jc w:val="left"/>
              <w:rPr/>
            </w:pPr>
            <w:r>
              <w:rPr/>
              <w:t> </w:t>
            </w:r>
          </w:p>
        </w:tc>
        <w:tc>
          <w:tcPr>
            <w:tcW w:w="1235" w:type="dxa"/>
            <w:tcBorders>
              <w:bottom w:val="single" w:sz="2" w:space="0" w:color="000000"/>
            </w:tcBorders>
            <w:shd w:fill="EDEDEE" w:val="clear"/>
            <w:tcMar>
              <w:bottom w:w="40" w:type="dxa"/>
            </w:tcMar>
            <w:vAlign w:val="center"/>
          </w:tcPr>
          <w:p>
            <w:pPr>
              <w:pStyle w:val="TableContents"/>
              <w:bidi w:val="0"/>
              <w:spacing w:before="0" w:after="283"/>
              <w:jc w:val="right"/>
              <w:rPr/>
            </w:pPr>
            <w:r>
              <w:rPr/>
              <w:t>–</w:t>
            </w:r>
          </w:p>
        </w:tc>
      </w:tr>
      <w:tr>
        <w:trPr/>
        <w:tc>
          <w:tcPr>
            <w:tcW w:w="875" w:type="dxa"/>
            <w:tcBorders>
              <w:bottom w:val="single" w:sz="2" w:space="0" w:color="000000"/>
            </w:tcBorders>
            <w:tcMar>
              <w:bottom w:w="40" w:type="dxa"/>
            </w:tcMar>
            <w:vAlign w:val="center"/>
          </w:tcPr>
          <w:p>
            <w:pPr>
              <w:pStyle w:val="TableContents"/>
              <w:bidi w:val="0"/>
              <w:spacing w:before="0" w:after="283"/>
              <w:jc w:val="left"/>
              <w:rPr/>
            </w:pPr>
            <w:r>
              <w:rPr/>
              <w:t>2/8/2021</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1265" w:type="dxa"/>
            <w:tcBorders>
              <w:bottom w:val="single" w:sz="2" w:space="0" w:color="000000"/>
            </w:tcBorders>
            <w:tcMar>
              <w:bottom w:w="40" w:type="dxa"/>
            </w:tcMar>
            <w:vAlign w:val="center"/>
          </w:tcPr>
          <w:p>
            <w:pPr>
              <w:pStyle w:val="TableContents"/>
              <w:bidi w:val="0"/>
              <w:spacing w:before="0" w:after="283"/>
              <w:jc w:val="right"/>
              <w:rPr/>
            </w:pPr>
            <w:r>
              <w:rPr/>
              <w:t>16,100</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1595" w:type="dxa"/>
            <w:tcBorders>
              <w:bottom w:val="single" w:sz="2" w:space="0" w:color="000000"/>
            </w:tcBorders>
            <w:tcMar>
              <w:bottom w:w="40" w:type="dxa"/>
            </w:tcMar>
            <w:vAlign w:val="center"/>
          </w:tcPr>
          <w:p>
            <w:pPr>
              <w:pStyle w:val="TableContents"/>
              <w:bidi w:val="0"/>
              <w:spacing w:before="0" w:after="283"/>
              <w:jc w:val="right"/>
              <w:rPr/>
            </w:pPr>
            <w:r>
              <w:rPr/>
              <w:t>–</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875" w:type="dxa"/>
            <w:tcBorders>
              <w:bottom w:val="single" w:sz="2" w:space="0" w:color="000000"/>
            </w:tcBorders>
            <w:tcMar>
              <w:bottom w:w="40" w:type="dxa"/>
            </w:tcMar>
            <w:vAlign w:val="center"/>
          </w:tcPr>
          <w:p>
            <w:pPr>
              <w:pStyle w:val="TableContents"/>
              <w:bidi w:val="0"/>
              <w:spacing w:before="0" w:after="283"/>
              <w:jc w:val="right"/>
              <w:rPr/>
            </w:pPr>
            <w:r>
              <w:rPr/>
              <w:t>$72.49</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1115" w:type="dxa"/>
            <w:tcBorders>
              <w:bottom w:val="single" w:sz="2" w:space="0" w:color="000000"/>
            </w:tcBorders>
            <w:tcMar>
              <w:bottom w:w="40" w:type="dxa"/>
            </w:tcMar>
            <w:vAlign w:val="center"/>
          </w:tcPr>
          <w:p>
            <w:pPr>
              <w:pStyle w:val="TableContents"/>
              <w:bidi w:val="0"/>
              <w:spacing w:before="0" w:after="283"/>
              <w:jc w:val="right"/>
              <w:rPr/>
            </w:pPr>
            <w:r>
              <w:rPr/>
              <w:t>2/7/2031</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875" w:type="dxa"/>
            <w:tcBorders>
              <w:bottom w:val="single" w:sz="2" w:space="0" w:color="000000"/>
            </w:tcBorders>
            <w:shd w:fill="EDEDEE" w:val="clear"/>
            <w:tcMar>
              <w:bottom w:w="40" w:type="dxa"/>
            </w:tcMar>
            <w:vAlign w:val="center"/>
          </w:tcPr>
          <w:p>
            <w:pPr>
              <w:pStyle w:val="TableContents"/>
              <w:bidi w:val="0"/>
              <w:spacing w:before="0" w:after="283"/>
              <w:jc w:val="right"/>
              <w:rPr/>
            </w:pPr>
            <w:r>
              <w:rPr/>
              <w:t>–</w:t>
            </w:r>
          </w:p>
        </w:tc>
        <w:tc>
          <w:tcPr>
            <w:tcW w:w="300" w:type="dxa"/>
            <w:tcBorders>
              <w:bottom w:val="single" w:sz="2" w:space="0" w:color="000000"/>
            </w:tcBorders>
            <w:shd w:fill="EDEDEE" w:val="clear"/>
            <w:tcMar>
              <w:bottom w:w="40" w:type="dxa"/>
            </w:tcMar>
            <w:vAlign w:val="center"/>
          </w:tcPr>
          <w:p>
            <w:pPr>
              <w:pStyle w:val="TableContents"/>
              <w:bidi w:val="0"/>
              <w:spacing w:before="0" w:after="283"/>
              <w:jc w:val="left"/>
              <w:rPr/>
            </w:pPr>
            <w:r>
              <w:rPr/>
              <w:t> </w:t>
            </w:r>
          </w:p>
        </w:tc>
        <w:tc>
          <w:tcPr>
            <w:tcW w:w="1100" w:type="dxa"/>
            <w:tcBorders>
              <w:bottom w:val="single" w:sz="2" w:space="0" w:color="000000"/>
            </w:tcBorders>
            <w:shd w:fill="EDEDEE" w:val="clear"/>
            <w:tcMar>
              <w:bottom w:w="40" w:type="dxa"/>
            </w:tcMar>
            <w:vAlign w:val="center"/>
          </w:tcPr>
          <w:p>
            <w:pPr>
              <w:pStyle w:val="TableContents"/>
              <w:bidi w:val="0"/>
              <w:spacing w:before="0" w:after="283"/>
              <w:jc w:val="right"/>
              <w:rPr/>
            </w:pPr>
            <w:r>
              <w:rPr/>
              <w:t>–</w:t>
            </w:r>
          </w:p>
        </w:tc>
        <w:tc>
          <w:tcPr>
            <w:tcW w:w="300" w:type="dxa"/>
            <w:tcBorders>
              <w:bottom w:val="single" w:sz="2" w:space="0" w:color="000000"/>
            </w:tcBorders>
            <w:shd w:fill="EDEDEE" w:val="clear"/>
            <w:tcMar>
              <w:bottom w:w="40" w:type="dxa"/>
            </w:tcMar>
            <w:vAlign w:val="center"/>
          </w:tcPr>
          <w:p>
            <w:pPr>
              <w:pStyle w:val="TableContents"/>
              <w:bidi w:val="0"/>
              <w:spacing w:before="0" w:after="283"/>
              <w:jc w:val="left"/>
              <w:rPr/>
            </w:pPr>
            <w:r>
              <w:rPr/>
              <w:t> </w:t>
            </w:r>
          </w:p>
        </w:tc>
        <w:tc>
          <w:tcPr>
            <w:tcW w:w="1040" w:type="dxa"/>
            <w:tcBorders>
              <w:bottom w:val="single" w:sz="2" w:space="0" w:color="000000"/>
            </w:tcBorders>
            <w:shd w:fill="EDEDEE" w:val="clear"/>
            <w:tcMar>
              <w:bottom w:w="40" w:type="dxa"/>
            </w:tcMar>
            <w:vAlign w:val="center"/>
          </w:tcPr>
          <w:p>
            <w:pPr>
              <w:pStyle w:val="TableContents"/>
              <w:bidi w:val="0"/>
              <w:spacing w:before="0" w:after="283"/>
              <w:jc w:val="right"/>
              <w:rPr/>
            </w:pPr>
            <w:r>
              <w:rPr/>
              <w:t>–</w:t>
            </w:r>
          </w:p>
        </w:tc>
        <w:tc>
          <w:tcPr>
            <w:tcW w:w="300" w:type="dxa"/>
            <w:tcBorders>
              <w:bottom w:val="single" w:sz="2" w:space="0" w:color="000000"/>
            </w:tcBorders>
            <w:shd w:fill="EDEDEE" w:val="clear"/>
            <w:tcMar>
              <w:bottom w:w="40" w:type="dxa"/>
            </w:tcMar>
            <w:vAlign w:val="center"/>
          </w:tcPr>
          <w:p>
            <w:pPr>
              <w:pStyle w:val="TableContents"/>
              <w:bidi w:val="0"/>
              <w:spacing w:before="0" w:after="283"/>
              <w:jc w:val="left"/>
              <w:rPr/>
            </w:pPr>
            <w:r>
              <w:rPr/>
              <w:t> </w:t>
            </w:r>
          </w:p>
        </w:tc>
        <w:tc>
          <w:tcPr>
            <w:tcW w:w="1235" w:type="dxa"/>
            <w:tcBorders>
              <w:bottom w:val="single" w:sz="2" w:space="0" w:color="000000"/>
            </w:tcBorders>
            <w:shd w:fill="EDEDEE" w:val="clear"/>
            <w:tcMar>
              <w:bottom w:w="40" w:type="dxa"/>
            </w:tcMar>
            <w:vAlign w:val="center"/>
          </w:tcPr>
          <w:p>
            <w:pPr>
              <w:pStyle w:val="TableContents"/>
              <w:bidi w:val="0"/>
              <w:spacing w:before="0" w:after="283"/>
              <w:jc w:val="right"/>
              <w:rPr/>
            </w:pPr>
            <w:r>
              <w:rPr/>
              <w:t>–</w:t>
            </w:r>
          </w:p>
        </w:tc>
      </w:tr>
      <w:tr>
        <w:trPr/>
        <w:tc>
          <w:tcPr>
            <w:tcW w:w="875" w:type="dxa"/>
            <w:tcBorders>
              <w:bottom w:val="single" w:sz="2" w:space="0" w:color="000000"/>
            </w:tcBorders>
            <w:tcMar>
              <w:bottom w:w="40" w:type="dxa"/>
            </w:tcMar>
            <w:vAlign w:val="center"/>
          </w:tcPr>
          <w:p>
            <w:pPr>
              <w:pStyle w:val="TableContents"/>
              <w:bidi w:val="0"/>
              <w:spacing w:before="0" w:after="283"/>
              <w:jc w:val="left"/>
              <w:rPr/>
            </w:pPr>
            <w:r>
              <w:rPr/>
              <w:t>2/4/2020</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1265" w:type="dxa"/>
            <w:tcBorders>
              <w:bottom w:val="single" w:sz="2" w:space="0" w:color="000000"/>
            </w:tcBorders>
            <w:tcMar>
              <w:bottom w:w="40" w:type="dxa"/>
            </w:tcMar>
            <w:vAlign w:val="center"/>
          </w:tcPr>
          <w:p>
            <w:pPr>
              <w:pStyle w:val="TableContents"/>
              <w:bidi w:val="0"/>
              <w:spacing w:before="0" w:after="283"/>
              <w:jc w:val="right"/>
              <w:rPr/>
            </w:pPr>
            <w:r>
              <w:rPr/>
              <w:t>37,945</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1595" w:type="dxa"/>
            <w:tcBorders>
              <w:bottom w:val="single" w:sz="2" w:space="0" w:color="000000"/>
            </w:tcBorders>
            <w:tcMar>
              <w:bottom w:w="40" w:type="dxa"/>
            </w:tcMar>
            <w:vAlign w:val="center"/>
          </w:tcPr>
          <w:p>
            <w:pPr>
              <w:pStyle w:val="TableContents"/>
              <w:bidi w:val="0"/>
              <w:spacing w:before="0" w:after="283"/>
              <w:jc w:val="right"/>
              <w:rPr/>
            </w:pPr>
            <w:r>
              <w:rPr/>
              <w:t>–</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875" w:type="dxa"/>
            <w:tcBorders>
              <w:bottom w:val="single" w:sz="2" w:space="0" w:color="000000"/>
            </w:tcBorders>
            <w:tcMar>
              <w:bottom w:w="40" w:type="dxa"/>
            </w:tcMar>
            <w:vAlign w:val="center"/>
          </w:tcPr>
          <w:p>
            <w:pPr>
              <w:pStyle w:val="TableContents"/>
              <w:bidi w:val="0"/>
              <w:spacing w:before="0" w:after="283"/>
              <w:jc w:val="right"/>
              <w:rPr/>
            </w:pPr>
            <w:r>
              <w:rPr/>
              <w:t>$90.73</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1115" w:type="dxa"/>
            <w:tcBorders>
              <w:bottom w:val="single" w:sz="2" w:space="0" w:color="000000"/>
            </w:tcBorders>
            <w:tcMar>
              <w:bottom w:w="40" w:type="dxa"/>
            </w:tcMar>
            <w:vAlign w:val="center"/>
          </w:tcPr>
          <w:p>
            <w:pPr>
              <w:pStyle w:val="TableContents"/>
              <w:bidi w:val="0"/>
              <w:spacing w:before="0" w:after="283"/>
              <w:jc w:val="right"/>
              <w:rPr/>
            </w:pPr>
            <w:r>
              <w:rPr/>
              <w:t>2/3/2030</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875" w:type="dxa"/>
            <w:tcBorders>
              <w:bottom w:val="single" w:sz="2" w:space="0" w:color="000000"/>
            </w:tcBorders>
            <w:shd w:fill="EDEDEE" w:val="clear"/>
            <w:tcMar>
              <w:bottom w:w="40" w:type="dxa"/>
            </w:tcMar>
            <w:vAlign w:val="center"/>
          </w:tcPr>
          <w:p>
            <w:pPr>
              <w:pStyle w:val="TableContents"/>
              <w:bidi w:val="0"/>
              <w:spacing w:before="0" w:after="283"/>
              <w:jc w:val="right"/>
              <w:rPr/>
            </w:pPr>
            <w:r>
              <w:rPr/>
              <w:t>–</w:t>
            </w:r>
          </w:p>
        </w:tc>
        <w:tc>
          <w:tcPr>
            <w:tcW w:w="300" w:type="dxa"/>
            <w:tcBorders>
              <w:bottom w:val="single" w:sz="2" w:space="0" w:color="000000"/>
            </w:tcBorders>
            <w:shd w:fill="EDEDEE" w:val="clear"/>
            <w:tcMar>
              <w:bottom w:w="40" w:type="dxa"/>
            </w:tcMar>
            <w:vAlign w:val="center"/>
          </w:tcPr>
          <w:p>
            <w:pPr>
              <w:pStyle w:val="TableContents"/>
              <w:bidi w:val="0"/>
              <w:spacing w:before="0" w:after="283"/>
              <w:jc w:val="left"/>
              <w:rPr/>
            </w:pPr>
            <w:r>
              <w:rPr/>
              <w:t> </w:t>
            </w:r>
          </w:p>
        </w:tc>
        <w:tc>
          <w:tcPr>
            <w:tcW w:w="1100" w:type="dxa"/>
            <w:tcBorders>
              <w:bottom w:val="single" w:sz="2" w:space="0" w:color="000000"/>
            </w:tcBorders>
            <w:shd w:fill="EDEDEE" w:val="clear"/>
            <w:tcMar>
              <w:bottom w:w="40" w:type="dxa"/>
            </w:tcMar>
            <w:vAlign w:val="center"/>
          </w:tcPr>
          <w:p>
            <w:pPr>
              <w:pStyle w:val="TableContents"/>
              <w:bidi w:val="0"/>
              <w:spacing w:before="0" w:after="283"/>
              <w:jc w:val="right"/>
              <w:rPr/>
            </w:pPr>
            <w:r>
              <w:rPr/>
              <w:t>–</w:t>
            </w:r>
          </w:p>
        </w:tc>
        <w:tc>
          <w:tcPr>
            <w:tcW w:w="300" w:type="dxa"/>
            <w:tcBorders>
              <w:bottom w:val="single" w:sz="2" w:space="0" w:color="000000"/>
            </w:tcBorders>
            <w:shd w:fill="EDEDEE" w:val="clear"/>
            <w:tcMar>
              <w:bottom w:w="40" w:type="dxa"/>
            </w:tcMar>
            <w:vAlign w:val="center"/>
          </w:tcPr>
          <w:p>
            <w:pPr>
              <w:pStyle w:val="TableContents"/>
              <w:bidi w:val="0"/>
              <w:spacing w:before="0" w:after="283"/>
              <w:jc w:val="left"/>
              <w:rPr/>
            </w:pPr>
            <w:r>
              <w:rPr/>
              <w:t> </w:t>
            </w:r>
          </w:p>
        </w:tc>
        <w:tc>
          <w:tcPr>
            <w:tcW w:w="1040" w:type="dxa"/>
            <w:tcBorders>
              <w:bottom w:val="single" w:sz="2" w:space="0" w:color="000000"/>
            </w:tcBorders>
            <w:shd w:fill="EDEDEE" w:val="clear"/>
            <w:tcMar>
              <w:bottom w:w="40" w:type="dxa"/>
            </w:tcMar>
            <w:vAlign w:val="center"/>
          </w:tcPr>
          <w:p>
            <w:pPr>
              <w:pStyle w:val="TableContents"/>
              <w:bidi w:val="0"/>
              <w:spacing w:before="0" w:after="283"/>
              <w:jc w:val="right"/>
              <w:rPr/>
            </w:pPr>
            <w:r>
              <w:rPr/>
              <w:t>–</w:t>
            </w:r>
          </w:p>
        </w:tc>
        <w:tc>
          <w:tcPr>
            <w:tcW w:w="300" w:type="dxa"/>
            <w:tcBorders>
              <w:bottom w:val="single" w:sz="2" w:space="0" w:color="000000"/>
            </w:tcBorders>
            <w:shd w:fill="EDEDEE" w:val="clear"/>
            <w:tcMar>
              <w:bottom w:w="40" w:type="dxa"/>
            </w:tcMar>
            <w:vAlign w:val="center"/>
          </w:tcPr>
          <w:p>
            <w:pPr>
              <w:pStyle w:val="TableContents"/>
              <w:bidi w:val="0"/>
              <w:spacing w:before="0" w:after="283"/>
              <w:jc w:val="left"/>
              <w:rPr/>
            </w:pPr>
            <w:r>
              <w:rPr/>
              <w:t> </w:t>
            </w:r>
          </w:p>
        </w:tc>
        <w:tc>
          <w:tcPr>
            <w:tcW w:w="1235" w:type="dxa"/>
            <w:tcBorders>
              <w:bottom w:val="single" w:sz="2" w:space="0" w:color="000000"/>
            </w:tcBorders>
            <w:shd w:fill="EDEDEE" w:val="clear"/>
            <w:tcMar>
              <w:bottom w:w="40" w:type="dxa"/>
            </w:tcMar>
            <w:vAlign w:val="center"/>
          </w:tcPr>
          <w:p>
            <w:pPr>
              <w:pStyle w:val="TableContents"/>
              <w:bidi w:val="0"/>
              <w:spacing w:before="0" w:after="283"/>
              <w:jc w:val="right"/>
              <w:rPr/>
            </w:pPr>
            <w:r>
              <w:rPr/>
              <w:t>–</w:t>
            </w:r>
          </w:p>
        </w:tc>
      </w:tr>
      <w:tr>
        <w:trPr/>
        <w:tc>
          <w:tcPr>
            <w:tcW w:w="875" w:type="dxa"/>
            <w:tcBorders>
              <w:bottom w:val="single" w:sz="2" w:space="0" w:color="000000"/>
            </w:tcBorders>
            <w:tcMar>
              <w:bottom w:w="40" w:type="dxa"/>
            </w:tcMar>
            <w:vAlign w:val="center"/>
          </w:tcPr>
          <w:p>
            <w:pPr>
              <w:pStyle w:val="TableContents"/>
              <w:bidi w:val="0"/>
              <w:spacing w:before="0" w:after="283"/>
              <w:jc w:val="left"/>
              <w:rPr/>
            </w:pPr>
            <w:r>
              <w:rPr/>
              <w:t>1/28/2020</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1265" w:type="dxa"/>
            <w:tcBorders>
              <w:bottom w:val="single" w:sz="2" w:space="0" w:color="000000"/>
            </w:tcBorders>
            <w:tcMar>
              <w:bottom w:w="40" w:type="dxa"/>
            </w:tcMar>
            <w:vAlign w:val="center"/>
          </w:tcPr>
          <w:p>
            <w:pPr>
              <w:pStyle w:val="TableContents"/>
              <w:bidi w:val="0"/>
              <w:spacing w:before="0" w:after="283"/>
              <w:jc w:val="right"/>
              <w:rPr/>
            </w:pPr>
            <w:r>
              <w:rPr/>
              <w:t>–</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1595" w:type="dxa"/>
            <w:tcBorders>
              <w:bottom w:val="single" w:sz="2" w:space="0" w:color="000000"/>
            </w:tcBorders>
            <w:tcMar>
              <w:bottom w:w="40" w:type="dxa"/>
            </w:tcMar>
            <w:vAlign w:val="center"/>
          </w:tcPr>
          <w:p>
            <w:pPr>
              <w:pStyle w:val="TableContents"/>
              <w:bidi w:val="0"/>
              <w:spacing w:before="0" w:after="283"/>
              <w:jc w:val="right"/>
              <w:rPr/>
            </w:pPr>
            <w:r>
              <w:rPr/>
              <w:t>–</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875" w:type="dxa"/>
            <w:tcBorders>
              <w:bottom w:val="single" w:sz="2" w:space="0" w:color="000000"/>
            </w:tcBorders>
            <w:tcMar>
              <w:bottom w:w="40" w:type="dxa"/>
            </w:tcMar>
            <w:vAlign w:val="center"/>
          </w:tcPr>
          <w:p>
            <w:pPr>
              <w:pStyle w:val="TableContents"/>
              <w:bidi w:val="0"/>
              <w:spacing w:before="0" w:after="283"/>
              <w:jc w:val="right"/>
              <w:rPr/>
            </w:pPr>
            <w:r>
              <w:rPr/>
              <w:t>–</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1115" w:type="dxa"/>
            <w:tcBorders>
              <w:bottom w:val="single" w:sz="2" w:space="0" w:color="000000"/>
            </w:tcBorders>
            <w:tcMar>
              <w:bottom w:w="40" w:type="dxa"/>
            </w:tcMar>
            <w:vAlign w:val="center"/>
          </w:tcPr>
          <w:p>
            <w:pPr>
              <w:pStyle w:val="TableContents"/>
              <w:bidi w:val="0"/>
              <w:spacing w:before="0" w:after="283"/>
              <w:jc w:val="right"/>
              <w:rPr/>
            </w:pPr>
            <w:r>
              <w:rPr/>
              <w:t>–</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875" w:type="dxa"/>
            <w:tcBorders>
              <w:bottom w:val="single" w:sz="2" w:space="0" w:color="000000"/>
            </w:tcBorders>
            <w:shd w:fill="EDEDEE" w:val="clear"/>
            <w:tcMar>
              <w:bottom w:w="40" w:type="dxa"/>
            </w:tcMar>
            <w:vAlign w:val="center"/>
          </w:tcPr>
          <w:p>
            <w:pPr>
              <w:pStyle w:val="TableContents"/>
              <w:bidi w:val="0"/>
              <w:spacing w:before="0" w:after="283"/>
              <w:jc w:val="right"/>
              <w:rPr/>
            </w:pPr>
            <w:r>
              <w:rPr/>
              <w:t>12,684</w:t>
            </w:r>
            <w:r>
              <w:rPr>
                <w:position w:val="8"/>
                <w:sz w:val="19"/>
              </w:rPr>
              <w:t>(6)</w:t>
            </w:r>
          </w:p>
        </w:tc>
        <w:tc>
          <w:tcPr>
            <w:tcW w:w="300" w:type="dxa"/>
            <w:tcBorders>
              <w:bottom w:val="single" w:sz="2" w:space="0" w:color="000000"/>
            </w:tcBorders>
            <w:shd w:fill="EDEDEE" w:val="clear"/>
            <w:tcMar>
              <w:bottom w:w="40" w:type="dxa"/>
            </w:tcMar>
            <w:vAlign w:val="center"/>
          </w:tcPr>
          <w:p>
            <w:pPr>
              <w:pStyle w:val="TableContents"/>
              <w:bidi w:val="0"/>
              <w:spacing w:before="0" w:after="283"/>
              <w:jc w:val="left"/>
              <w:rPr/>
            </w:pPr>
            <w:r>
              <w:rPr/>
              <w:t> </w:t>
            </w:r>
          </w:p>
        </w:tc>
        <w:tc>
          <w:tcPr>
            <w:tcW w:w="1100" w:type="dxa"/>
            <w:tcBorders>
              <w:bottom w:val="single" w:sz="2" w:space="0" w:color="000000"/>
            </w:tcBorders>
            <w:shd w:fill="EDEDEE" w:val="clear"/>
            <w:tcMar>
              <w:bottom w:w="40" w:type="dxa"/>
            </w:tcMar>
            <w:vAlign w:val="center"/>
          </w:tcPr>
          <w:p>
            <w:pPr>
              <w:pStyle w:val="TableContents"/>
              <w:bidi w:val="0"/>
              <w:spacing w:before="0" w:after="283"/>
              <w:jc w:val="right"/>
              <w:rPr/>
            </w:pPr>
            <w:r>
              <w:rPr/>
              <w:t>$2,326,246</w:t>
            </w:r>
          </w:p>
        </w:tc>
        <w:tc>
          <w:tcPr>
            <w:tcW w:w="300" w:type="dxa"/>
            <w:tcBorders>
              <w:bottom w:val="single" w:sz="2" w:space="0" w:color="000000"/>
            </w:tcBorders>
            <w:shd w:fill="EDEDEE" w:val="clear"/>
            <w:tcMar>
              <w:bottom w:w="40" w:type="dxa"/>
            </w:tcMar>
            <w:vAlign w:val="center"/>
          </w:tcPr>
          <w:p>
            <w:pPr>
              <w:pStyle w:val="TableContents"/>
              <w:bidi w:val="0"/>
              <w:spacing w:before="0" w:after="283"/>
              <w:jc w:val="left"/>
              <w:rPr/>
            </w:pPr>
            <w:r>
              <w:rPr/>
              <w:t> </w:t>
            </w:r>
          </w:p>
        </w:tc>
        <w:tc>
          <w:tcPr>
            <w:tcW w:w="1040" w:type="dxa"/>
            <w:tcBorders>
              <w:bottom w:val="single" w:sz="2" w:space="0" w:color="000000"/>
            </w:tcBorders>
            <w:shd w:fill="EDEDEE" w:val="clear"/>
            <w:tcMar>
              <w:bottom w:w="40" w:type="dxa"/>
            </w:tcMar>
            <w:vAlign w:val="center"/>
          </w:tcPr>
          <w:p>
            <w:pPr>
              <w:pStyle w:val="TableContents"/>
              <w:bidi w:val="0"/>
              <w:spacing w:before="0" w:after="283"/>
              <w:jc w:val="right"/>
              <w:rPr/>
            </w:pPr>
            <w:r>
              <w:rPr/>
              <w:t>–</w:t>
            </w:r>
          </w:p>
        </w:tc>
        <w:tc>
          <w:tcPr>
            <w:tcW w:w="300" w:type="dxa"/>
            <w:tcBorders>
              <w:bottom w:val="single" w:sz="2" w:space="0" w:color="000000"/>
            </w:tcBorders>
            <w:shd w:fill="EDEDEE" w:val="clear"/>
            <w:tcMar>
              <w:bottom w:w="40" w:type="dxa"/>
            </w:tcMar>
            <w:vAlign w:val="center"/>
          </w:tcPr>
          <w:p>
            <w:pPr>
              <w:pStyle w:val="TableContents"/>
              <w:bidi w:val="0"/>
              <w:spacing w:before="0" w:after="283"/>
              <w:jc w:val="left"/>
              <w:rPr/>
            </w:pPr>
            <w:r>
              <w:rPr/>
              <w:t> </w:t>
            </w:r>
          </w:p>
        </w:tc>
        <w:tc>
          <w:tcPr>
            <w:tcW w:w="1235" w:type="dxa"/>
            <w:tcBorders>
              <w:bottom w:val="single" w:sz="2" w:space="0" w:color="000000"/>
            </w:tcBorders>
            <w:shd w:fill="EDEDEE" w:val="clear"/>
            <w:tcMar>
              <w:bottom w:w="40" w:type="dxa"/>
            </w:tcMar>
            <w:vAlign w:val="center"/>
          </w:tcPr>
          <w:p>
            <w:pPr>
              <w:pStyle w:val="TableContents"/>
              <w:bidi w:val="0"/>
              <w:spacing w:before="0" w:after="283"/>
              <w:jc w:val="right"/>
              <w:rPr/>
            </w:pPr>
            <w:r>
              <w:rPr/>
              <w:t>–</w:t>
            </w:r>
          </w:p>
        </w:tc>
      </w:tr>
      <w:tr>
        <w:trPr/>
        <w:tc>
          <w:tcPr>
            <w:tcW w:w="875" w:type="dxa"/>
            <w:tcBorders>
              <w:bottom w:val="single" w:sz="12" w:space="0" w:color="636466"/>
            </w:tcBorders>
            <w:tcMar>
              <w:bottom w:w="40" w:type="dxa"/>
            </w:tcMar>
            <w:vAlign w:val="center"/>
          </w:tcPr>
          <w:p>
            <w:pPr>
              <w:pStyle w:val="TableContents"/>
              <w:bidi w:val="0"/>
              <w:spacing w:before="0" w:after="283"/>
              <w:jc w:val="left"/>
              <w:rPr/>
            </w:pPr>
            <w:r>
              <w:rPr/>
              <w:t>2/5/2019</w:t>
            </w:r>
          </w:p>
        </w:tc>
        <w:tc>
          <w:tcPr>
            <w:tcW w:w="300" w:type="dxa"/>
            <w:tcBorders>
              <w:bottom w:val="single" w:sz="12" w:space="0" w:color="636466"/>
            </w:tcBorders>
            <w:tcMar>
              <w:bottom w:w="40" w:type="dxa"/>
            </w:tcMar>
            <w:vAlign w:val="center"/>
          </w:tcPr>
          <w:p>
            <w:pPr>
              <w:pStyle w:val="TableContents"/>
              <w:bidi w:val="0"/>
              <w:spacing w:before="0" w:after="283"/>
              <w:jc w:val="left"/>
              <w:rPr/>
            </w:pPr>
            <w:r>
              <w:rPr/>
              <w:t> </w:t>
            </w:r>
          </w:p>
        </w:tc>
        <w:tc>
          <w:tcPr>
            <w:tcW w:w="1265" w:type="dxa"/>
            <w:tcBorders>
              <w:bottom w:val="single" w:sz="12" w:space="0" w:color="636466"/>
            </w:tcBorders>
            <w:tcMar>
              <w:bottom w:w="40" w:type="dxa"/>
            </w:tcMar>
            <w:vAlign w:val="center"/>
          </w:tcPr>
          <w:p>
            <w:pPr>
              <w:pStyle w:val="TableContents"/>
              <w:bidi w:val="0"/>
              <w:spacing w:before="0" w:after="283"/>
              <w:jc w:val="right"/>
              <w:rPr/>
            </w:pPr>
            <w:r>
              <w:rPr/>
              <w:t>23,552</w:t>
            </w:r>
          </w:p>
        </w:tc>
        <w:tc>
          <w:tcPr>
            <w:tcW w:w="300" w:type="dxa"/>
            <w:tcBorders>
              <w:bottom w:val="single" w:sz="12" w:space="0" w:color="636466"/>
            </w:tcBorders>
            <w:tcMar>
              <w:bottom w:w="40" w:type="dxa"/>
            </w:tcMar>
            <w:vAlign w:val="center"/>
          </w:tcPr>
          <w:p>
            <w:pPr>
              <w:pStyle w:val="TableContents"/>
              <w:bidi w:val="0"/>
              <w:spacing w:before="0" w:after="283"/>
              <w:jc w:val="left"/>
              <w:rPr/>
            </w:pPr>
            <w:r>
              <w:rPr/>
              <w:t> </w:t>
            </w:r>
          </w:p>
        </w:tc>
        <w:tc>
          <w:tcPr>
            <w:tcW w:w="1595" w:type="dxa"/>
            <w:tcBorders>
              <w:bottom w:val="single" w:sz="12" w:space="0" w:color="636466"/>
            </w:tcBorders>
            <w:tcMar>
              <w:bottom w:w="40" w:type="dxa"/>
            </w:tcMar>
            <w:vAlign w:val="center"/>
          </w:tcPr>
          <w:p>
            <w:pPr>
              <w:pStyle w:val="TableContents"/>
              <w:bidi w:val="0"/>
              <w:spacing w:before="0" w:after="283"/>
              <w:jc w:val="right"/>
              <w:rPr/>
            </w:pPr>
            <w:r>
              <w:rPr/>
              <w:t>–</w:t>
            </w:r>
          </w:p>
        </w:tc>
        <w:tc>
          <w:tcPr>
            <w:tcW w:w="300" w:type="dxa"/>
            <w:tcBorders>
              <w:bottom w:val="single" w:sz="12" w:space="0" w:color="636466"/>
            </w:tcBorders>
            <w:tcMar>
              <w:bottom w:w="40" w:type="dxa"/>
            </w:tcMar>
            <w:vAlign w:val="center"/>
          </w:tcPr>
          <w:p>
            <w:pPr>
              <w:pStyle w:val="TableContents"/>
              <w:bidi w:val="0"/>
              <w:spacing w:before="0" w:after="283"/>
              <w:jc w:val="left"/>
              <w:rPr/>
            </w:pPr>
            <w:r>
              <w:rPr/>
              <w:t> </w:t>
            </w:r>
          </w:p>
        </w:tc>
        <w:tc>
          <w:tcPr>
            <w:tcW w:w="875" w:type="dxa"/>
            <w:tcBorders>
              <w:bottom w:val="single" w:sz="12" w:space="0" w:color="636466"/>
            </w:tcBorders>
            <w:tcMar>
              <w:bottom w:w="40" w:type="dxa"/>
            </w:tcMar>
            <w:vAlign w:val="center"/>
          </w:tcPr>
          <w:p>
            <w:pPr>
              <w:pStyle w:val="TableContents"/>
              <w:bidi w:val="0"/>
              <w:spacing w:before="0" w:after="283"/>
              <w:jc w:val="right"/>
              <w:rPr/>
            </w:pPr>
            <w:r>
              <w:rPr/>
              <w:t>$71.62</w:t>
            </w:r>
          </w:p>
        </w:tc>
        <w:tc>
          <w:tcPr>
            <w:tcW w:w="300" w:type="dxa"/>
            <w:tcBorders>
              <w:bottom w:val="single" w:sz="12" w:space="0" w:color="636466"/>
            </w:tcBorders>
            <w:tcMar>
              <w:bottom w:w="40" w:type="dxa"/>
            </w:tcMar>
            <w:vAlign w:val="center"/>
          </w:tcPr>
          <w:p>
            <w:pPr>
              <w:pStyle w:val="TableContents"/>
              <w:bidi w:val="0"/>
              <w:spacing w:before="0" w:after="283"/>
              <w:jc w:val="left"/>
              <w:rPr/>
            </w:pPr>
            <w:r>
              <w:rPr/>
              <w:t> </w:t>
            </w:r>
          </w:p>
        </w:tc>
        <w:tc>
          <w:tcPr>
            <w:tcW w:w="1115" w:type="dxa"/>
            <w:tcBorders>
              <w:bottom w:val="single" w:sz="12" w:space="0" w:color="636466"/>
            </w:tcBorders>
            <w:tcMar>
              <w:bottom w:w="40" w:type="dxa"/>
            </w:tcMar>
            <w:vAlign w:val="center"/>
          </w:tcPr>
          <w:p>
            <w:pPr>
              <w:pStyle w:val="TableContents"/>
              <w:bidi w:val="0"/>
              <w:spacing w:before="0" w:after="283"/>
              <w:jc w:val="right"/>
              <w:rPr/>
            </w:pPr>
            <w:r>
              <w:rPr/>
              <w:t>2/4/2029</w:t>
            </w:r>
          </w:p>
        </w:tc>
        <w:tc>
          <w:tcPr>
            <w:tcW w:w="300" w:type="dxa"/>
            <w:tcBorders>
              <w:bottom w:val="single" w:sz="12" w:space="0" w:color="636466"/>
            </w:tcBorders>
            <w:tcMar>
              <w:bottom w:w="40" w:type="dxa"/>
            </w:tcMar>
            <w:vAlign w:val="center"/>
          </w:tcPr>
          <w:p>
            <w:pPr>
              <w:pStyle w:val="TableContents"/>
              <w:bidi w:val="0"/>
              <w:spacing w:before="0" w:after="283"/>
              <w:jc w:val="left"/>
              <w:rPr/>
            </w:pPr>
            <w:r>
              <w:rPr/>
              <w:t> </w:t>
            </w:r>
          </w:p>
        </w:tc>
        <w:tc>
          <w:tcPr>
            <w:tcW w:w="875" w:type="dxa"/>
            <w:tcBorders>
              <w:bottom w:val="single" w:sz="12" w:space="0" w:color="636466"/>
            </w:tcBorders>
            <w:shd w:fill="EDEDEE" w:val="clear"/>
            <w:tcMar>
              <w:bottom w:w="40" w:type="dxa"/>
            </w:tcMar>
            <w:vAlign w:val="center"/>
          </w:tcPr>
          <w:p>
            <w:pPr>
              <w:pStyle w:val="TableContents"/>
              <w:bidi w:val="0"/>
              <w:spacing w:before="0" w:after="283"/>
              <w:jc w:val="right"/>
              <w:rPr/>
            </w:pPr>
            <w:r>
              <w:rPr/>
              <w:t>–</w:t>
            </w:r>
          </w:p>
        </w:tc>
        <w:tc>
          <w:tcPr>
            <w:tcW w:w="300" w:type="dxa"/>
            <w:tcBorders>
              <w:bottom w:val="single" w:sz="12" w:space="0" w:color="636466"/>
            </w:tcBorders>
            <w:shd w:fill="EDEDEE" w:val="clear"/>
            <w:tcMar>
              <w:bottom w:w="40" w:type="dxa"/>
            </w:tcMar>
            <w:vAlign w:val="center"/>
          </w:tcPr>
          <w:p>
            <w:pPr>
              <w:pStyle w:val="TableContents"/>
              <w:bidi w:val="0"/>
              <w:spacing w:before="0" w:after="283"/>
              <w:jc w:val="left"/>
              <w:rPr/>
            </w:pPr>
            <w:r>
              <w:rPr/>
              <w:t> </w:t>
            </w:r>
          </w:p>
        </w:tc>
        <w:tc>
          <w:tcPr>
            <w:tcW w:w="1100" w:type="dxa"/>
            <w:tcBorders>
              <w:bottom w:val="single" w:sz="12" w:space="0" w:color="636466"/>
            </w:tcBorders>
            <w:shd w:fill="EDEDEE" w:val="clear"/>
            <w:tcMar>
              <w:bottom w:w="40" w:type="dxa"/>
            </w:tcMar>
            <w:vAlign w:val="center"/>
          </w:tcPr>
          <w:p>
            <w:pPr>
              <w:pStyle w:val="TableContents"/>
              <w:bidi w:val="0"/>
              <w:spacing w:before="0" w:after="283"/>
              <w:jc w:val="right"/>
              <w:rPr/>
            </w:pPr>
            <w:r>
              <w:rPr/>
              <w:t>–</w:t>
            </w:r>
          </w:p>
        </w:tc>
        <w:tc>
          <w:tcPr>
            <w:tcW w:w="300" w:type="dxa"/>
            <w:tcBorders>
              <w:bottom w:val="single" w:sz="12" w:space="0" w:color="636466"/>
            </w:tcBorders>
            <w:shd w:fill="EDEDEE" w:val="clear"/>
            <w:tcMar>
              <w:bottom w:w="40" w:type="dxa"/>
            </w:tcMar>
            <w:vAlign w:val="center"/>
          </w:tcPr>
          <w:p>
            <w:pPr>
              <w:pStyle w:val="TableContents"/>
              <w:bidi w:val="0"/>
              <w:spacing w:before="0" w:after="283"/>
              <w:jc w:val="left"/>
              <w:rPr/>
            </w:pPr>
            <w:r>
              <w:rPr/>
              <w:t> </w:t>
            </w:r>
          </w:p>
        </w:tc>
        <w:tc>
          <w:tcPr>
            <w:tcW w:w="1040" w:type="dxa"/>
            <w:tcBorders>
              <w:bottom w:val="single" w:sz="12" w:space="0" w:color="636466"/>
            </w:tcBorders>
            <w:shd w:fill="EDEDEE" w:val="clear"/>
            <w:tcMar>
              <w:bottom w:w="40" w:type="dxa"/>
            </w:tcMar>
            <w:vAlign w:val="center"/>
          </w:tcPr>
          <w:p>
            <w:pPr>
              <w:pStyle w:val="TableContents"/>
              <w:bidi w:val="0"/>
              <w:spacing w:before="0" w:after="283"/>
              <w:jc w:val="right"/>
              <w:rPr/>
            </w:pPr>
            <w:r>
              <w:rPr/>
              <w:t>–</w:t>
            </w:r>
          </w:p>
        </w:tc>
        <w:tc>
          <w:tcPr>
            <w:tcW w:w="300" w:type="dxa"/>
            <w:tcBorders>
              <w:bottom w:val="single" w:sz="12" w:space="0" w:color="636466"/>
            </w:tcBorders>
            <w:shd w:fill="EDEDEE" w:val="clear"/>
            <w:tcMar>
              <w:bottom w:w="40" w:type="dxa"/>
            </w:tcMar>
            <w:vAlign w:val="center"/>
          </w:tcPr>
          <w:p>
            <w:pPr>
              <w:pStyle w:val="TableContents"/>
              <w:bidi w:val="0"/>
              <w:spacing w:before="0" w:after="283"/>
              <w:jc w:val="left"/>
              <w:rPr/>
            </w:pPr>
            <w:r>
              <w:rPr/>
              <w:t> </w:t>
            </w:r>
          </w:p>
        </w:tc>
        <w:tc>
          <w:tcPr>
            <w:tcW w:w="1235" w:type="dxa"/>
            <w:tcBorders>
              <w:bottom w:val="single" w:sz="12" w:space="0" w:color="636466"/>
            </w:tcBorders>
            <w:shd w:fill="EDEDEE" w:val="clear"/>
            <w:tcMar>
              <w:bottom w:w="40" w:type="dxa"/>
            </w:tcMar>
            <w:vAlign w:val="center"/>
          </w:tcPr>
          <w:p>
            <w:pPr>
              <w:pStyle w:val="TableContents"/>
              <w:bidi w:val="0"/>
              <w:spacing w:before="0" w:after="283"/>
              <w:jc w:val="righ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Arial;Helvetica;Sans-Serif" w:hAnsi="Arial;Helvetica;Sans-Serif"/>
          <w:b w:val="false"/>
          <w:i w:val="false"/>
          <w:caps w:val="false"/>
          <w:smallCaps w:val="false"/>
          <w:sz w:val="15"/>
        </w:rPr>
      </w:pPr>
      <w:r>
        <w:rPr>
          <w:rFonts w:ascii="Arial;Helvetica;Sans-Serif" w:hAnsi="Arial;Helvetica;Sans-Serif"/>
          <w:b/>
          <w:i w:val="false"/>
          <w:caps w:val="false"/>
          <w:smallCaps w:val="false"/>
          <w:sz w:val="15"/>
        </w:rPr>
        <w:t xml:space="preserve">RTX </w:t>
      </w:r>
      <w:r>
        <w:rPr>
          <w:rFonts w:ascii="Arial;Helvetica;Sans-Serif" w:hAnsi="Arial;Helvetica;Sans-Serif"/>
          <w:b w:val="false"/>
          <w:i w:val="false"/>
          <w:caps w:val="false"/>
          <w:smallCaps w:val="false"/>
          <w:sz w:val="15"/>
        </w:rPr>
        <w:t>2026 PROXY STATEMENT    </w:t>
      </w:r>
      <w:r>
        <w:rPr>
          <w:rFonts w:ascii="Arial;Helvetica;Sans-Serif" w:hAnsi="Arial;Helvetica;Sans-Serif"/>
          <w:b/>
          <w:i w:val="false"/>
          <w:caps w:val="false"/>
          <w:smallCaps w:val="false"/>
          <w:sz w:val="15"/>
        </w:rPr>
        <w:t>67</w:t>
      </w:r>
    </w:p>
    <w:p>
      <w:pPr>
        <w:pStyle w:val="HorizontalLine"/>
        <w:pBdr>
          <w:bottom w:val="double" w:sz="2" w:space="0" w:color="808080"/>
        </w:pBdr>
        <w:bidi w:val="0"/>
        <w:spacing w:before="0" w:after="283"/>
        <w:jc w:val="left"/>
        <w:rPr/>
      </w:pPr>
      <w:r>
        <w:rPr/>
      </w:r>
    </w:p>
    <w:p>
      <w:pPr>
        <w:pStyle w:val="TextBody"/>
        <w:bidi w:val="0"/>
        <w:spacing w:before="200" w:after="200"/>
        <w:jc w:val="left"/>
        <w:rPr/>
      </w:pPr>
      <w:hyperlink w:anchor="toc">
        <w:r>
          <w:rPr>
            <w:rStyle w:val="InternetLink"/>
            <w:rFonts w:ascii="Arial;Helvetica;Sans-Serif" w:hAnsi="Arial;Helvetica;Sans-Serif"/>
            <w:b/>
            <w:i w:val="false"/>
            <w:caps w:val="false"/>
            <w:smallCaps w:val="false"/>
            <w:sz w:val="16"/>
          </w:rPr>
          <w:t>Table of Contents</w:t>
        </w:r>
      </w:hyperlink>
    </w:p>
    <w:p>
      <w:pPr>
        <w:pStyle w:val="TextBody"/>
        <w:bidi w:val="0"/>
        <w:spacing w:before="0" w:after="0"/>
        <w:ind w:left="0" w:right="0" w:hanging="0"/>
        <w:jc w:val="left"/>
        <w:rPr>
          <w:rFonts w:ascii="Arial;Helvetica;Sans-Serif" w:hAnsi="Arial;Helvetica;Sans-Serif"/>
          <w:b/>
          <w:i w:val="false"/>
          <w:caps w:val="false"/>
          <w:smallCaps w:val="false"/>
          <w:color w:val="C12E33"/>
          <w:sz w:val="15"/>
        </w:rPr>
      </w:pPr>
      <w:r>
        <w:rPr>
          <w:rFonts w:ascii="Arial;Helvetica;Sans-Serif" w:hAnsi="Arial;Helvetica;Sans-Serif"/>
          <w:b/>
          <w:i w:val="false"/>
          <w:caps w:val="false"/>
          <w:smallCaps w:val="false"/>
          <w:color w:val="C12E33"/>
          <w:sz w:val="15"/>
        </w:rPr>
        <w:t>COMPENSATION TABLES</w:t>
      </w:r>
    </w:p>
    <w:p>
      <w:pPr>
        <w:pStyle w:val="TextBody"/>
        <w:bidi w:val="0"/>
        <w:spacing w:before="0" w:after="0"/>
        <w:ind w:left="0" w:right="0" w:hanging="0"/>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OUTSTANDING EQUITY AWARDS AT FISCAL YEAR-END</w:t>
      </w:r>
    </w:p>
    <w:p>
      <w:pPr>
        <w:pStyle w:val="TextBody"/>
        <w:bidi w:val="0"/>
        <w:spacing w:before="0" w:after="0"/>
        <w:ind w:left="0" w:right="0" w:hanging="0"/>
        <w:jc w:val="left"/>
        <w:rPr>
          <w:caps w:val="false"/>
          <w:smallCaps w:val="false"/>
        </w:rPr>
      </w:pPr>
      <w:r>
        <w:rPr>
          <w:caps w:val="false"/>
          <w:smallCaps w:val="false"/>
        </w:rPr>
        <w:t> </w:t>
      </w:r>
    </w:p>
    <w:tbl>
      <w:tblPr>
        <w:tblW w:w="12090" w:type="dxa"/>
        <w:jc w:val="left"/>
        <w:tblInd w:w="0" w:type="dxa"/>
        <w:tblLayout w:type="fixed"/>
        <w:tblCellMar>
          <w:top w:w="0" w:type="dxa"/>
          <w:left w:w="0" w:type="dxa"/>
          <w:bottom w:w="0" w:type="dxa"/>
          <w:right w:w="0" w:type="dxa"/>
        </w:tblCellMar>
      </w:tblPr>
      <w:tblGrid>
        <w:gridCol w:w="710"/>
        <w:gridCol w:w="300"/>
        <w:gridCol w:w="1265"/>
        <w:gridCol w:w="300"/>
        <w:gridCol w:w="1595"/>
        <w:gridCol w:w="300"/>
        <w:gridCol w:w="875"/>
        <w:gridCol w:w="300"/>
        <w:gridCol w:w="1115"/>
        <w:gridCol w:w="300"/>
        <w:gridCol w:w="875"/>
        <w:gridCol w:w="300"/>
        <w:gridCol w:w="1100"/>
        <w:gridCol w:w="300"/>
        <w:gridCol w:w="1040"/>
        <w:gridCol w:w="300"/>
        <w:gridCol w:w="1115"/>
      </w:tblGrid>
      <w:tr>
        <w:trPr/>
        <w:tc>
          <w:tcPr>
            <w:tcW w:w="710" w:type="dxa"/>
            <w:tcBorders/>
            <w:vAlign w:val="center"/>
          </w:tcPr>
          <w:p>
            <w:pPr>
              <w:pStyle w:val="TableContents"/>
              <w:bidi w:val="0"/>
              <w:spacing w:before="0" w:after="283"/>
              <w:jc w:val="left"/>
              <w:rPr>
                <w:color w:val="636466"/>
              </w:rPr>
            </w:pPr>
            <w:r>
              <w:rPr>
                <w:color w:val="636466"/>
              </w:rPr>
              <w:t> </w:t>
            </w:r>
          </w:p>
        </w:tc>
        <w:tc>
          <w:tcPr>
            <w:tcW w:w="300" w:type="dxa"/>
            <w:tcBorders/>
            <w:vAlign w:val="center"/>
          </w:tcPr>
          <w:p>
            <w:pPr>
              <w:pStyle w:val="TableContents"/>
              <w:bidi w:val="0"/>
              <w:spacing w:before="0" w:after="283"/>
              <w:jc w:val="left"/>
              <w:rPr>
                <w:color w:val="636466"/>
              </w:rPr>
            </w:pPr>
            <w:r>
              <w:rPr>
                <w:color w:val="636466"/>
              </w:rPr>
              <w:t> </w:t>
            </w:r>
          </w:p>
        </w:tc>
        <w:tc>
          <w:tcPr>
            <w:tcW w:w="5750" w:type="dxa"/>
            <w:gridSpan w:val="7"/>
            <w:tcBorders>
              <w:bottom w:val="single" w:sz="12" w:space="0" w:color="C12E33"/>
            </w:tcBorders>
            <w:tcMar>
              <w:bottom w:w="40" w:type="dxa"/>
            </w:tcMar>
            <w:vAlign w:val="center"/>
          </w:tcPr>
          <w:p>
            <w:pPr>
              <w:pStyle w:val="TableContents"/>
              <w:bidi w:val="0"/>
              <w:spacing w:before="0" w:after="283"/>
              <w:jc w:val="center"/>
              <w:rPr>
                <w:b/>
                <w:color w:val="636466"/>
              </w:rPr>
            </w:pPr>
            <w:r>
              <w:rPr>
                <w:b/>
                <w:color w:val="636466"/>
              </w:rPr>
              <w:t>Option Awards</w:t>
            </w:r>
          </w:p>
        </w:tc>
        <w:tc>
          <w:tcPr>
            <w:tcW w:w="300" w:type="dxa"/>
            <w:tcBorders/>
            <w:vAlign w:val="center"/>
          </w:tcPr>
          <w:p>
            <w:pPr>
              <w:pStyle w:val="TableContents"/>
              <w:bidi w:val="0"/>
              <w:spacing w:before="0" w:after="283"/>
              <w:jc w:val="left"/>
              <w:rPr>
                <w:color w:val="636466"/>
              </w:rPr>
            </w:pPr>
            <w:r>
              <w:rPr>
                <w:color w:val="636466"/>
              </w:rPr>
              <w:t> </w:t>
            </w:r>
          </w:p>
        </w:tc>
        <w:tc>
          <w:tcPr>
            <w:tcW w:w="5030" w:type="dxa"/>
            <w:gridSpan w:val="7"/>
            <w:tcBorders>
              <w:bottom w:val="single" w:sz="12" w:space="0" w:color="C12E33"/>
            </w:tcBorders>
            <w:tcMar>
              <w:bottom w:w="40" w:type="dxa"/>
            </w:tcMar>
            <w:vAlign w:val="center"/>
          </w:tcPr>
          <w:p>
            <w:pPr>
              <w:pStyle w:val="TableContents"/>
              <w:bidi w:val="0"/>
              <w:spacing w:before="0" w:after="283"/>
              <w:jc w:val="center"/>
              <w:rPr>
                <w:b/>
                <w:color w:val="636466"/>
              </w:rPr>
            </w:pPr>
            <w:r>
              <w:rPr>
                <w:b/>
                <w:color w:val="636466"/>
              </w:rPr>
              <w:t>Stock Awards</w:t>
            </w:r>
          </w:p>
        </w:tc>
      </w:tr>
      <w:tr>
        <w:trPr/>
        <w:tc>
          <w:tcPr>
            <w:tcW w:w="710" w:type="dxa"/>
            <w:tcBorders>
              <w:bottom w:val="single" w:sz="12" w:space="0" w:color="636466"/>
            </w:tcBorders>
            <w:tcMar>
              <w:bottom w:w="40" w:type="dxa"/>
            </w:tcMar>
            <w:vAlign w:val="center"/>
          </w:tcPr>
          <w:p>
            <w:pPr>
              <w:pStyle w:val="TableContents"/>
              <w:bidi w:val="0"/>
              <w:spacing w:before="0" w:after="283"/>
              <w:jc w:val="left"/>
              <w:rPr>
                <w:b/>
                <w:color w:val="636466"/>
              </w:rPr>
            </w:pPr>
            <w:r>
              <w:rPr>
                <w:b/>
                <w:color w:val="636466"/>
              </w:rPr>
              <w:t>Grant Date</w:t>
            </w:r>
          </w:p>
        </w:tc>
        <w:tc>
          <w:tcPr>
            <w:tcW w:w="300" w:type="dxa"/>
            <w:tcBorders>
              <w:bottom w:val="single" w:sz="12" w:space="0" w:color="636466"/>
            </w:tcBorders>
            <w:tcMar>
              <w:bottom w:w="40" w:type="dxa"/>
            </w:tcMar>
            <w:vAlign w:val="center"/>
          </w:tcPr>
          <w:p>
            <w:pPr>
              <w:pStyle w:val="TableContents"/>
              <w:bidi w:val="0"/>
              <w:spacing w:before="0" w:after="283"/>
              <w:jc w:val="left"/>
              <w:rPr>
                <w:color w:val="636466"/>
              </w:rPr>
            </w:pPr>
            <w:r>
              <w:rPr>
                <w:color w:val="636466"/>
              </w:rPr>
              <w:t>     </w:t>
            </w:r>
          </w:p>
        </w:tc>
        <w:tc>
          <w:tcPr>
            <w:tcW w:w="1265" w:type="dxa"/>
            <w:tcBorders>
              <w:bottom w:val="single" w:sz="12" w:space="0" w:color="636466"/>
            </w:tcBorders>
            <w:tcMar>
              <w:bottom w:w="40" w:type="dxa"/>
            </w:tcMar>
            <w:vAlign w:val="center"/>
          </w:tcPr>
          <w:p>
            <w:pPr>
              <w:pStyle w:val="TableContents"/>
              <w:bidi w:val="0"/>
              <w:spacing w:before="0" w:after="283"/>
              <w:jc w:val="right"/>
              <w:rPr>
                <w:b/>
                <w:color w:val="636466"/>
              </w:rPr>
            </w:pPr>
            <w:r>
              <w:rPr>
                <w:b/>
                <w:color w:val="636466"/>
              </w:rPr>
              <w:t>Number of</w:t>
              <w:br/>
              <w:t>Securities</w:t>
              <w:br/>
              <w:t>Underlying</w:t>
              <w:br/>
              <w:t>Unexercised</w:t>
              <w:br/>
              <w:t>Options (#)</w:t>
              <w:br/>
              <w:t>(Exercisable)</w:t>
            </w:r>
          </w:p>
        </w:tc>
        <w:tc>
          <w:tcPr>
            <w:tcW w:w="300" w:type="dxa"/>
            <w:tcBorders>
              <w:bottom w:val="single" w:sz="12" w:space="0" w:color="636466"/>
            </w:tcBorders>
            <w:tcMar>
              <w:bottom w:w="40" w:type="dxa"/>
            </w:tcMar>
            <w:vAlign w:val="center"/>
          </w:tcPr>
          <w:p>
            <w:pPr>
              <w:pStyle w:val="TableContents"/>
              <w:bidi w:val="0"/>
              <w:spacing w:before="0" w:after="283"/>
              <w:jc w:val="left"/>
              <w:rPr>
                <w:color w:val="636466"/>
              </w:rPr>
            </w:pPr>
            <w:r>
              <w:rPr>
                <w:color w:val="636466"/>
              </w:rPr>
              <w:t>     </w:t>
            </w:r>
          </w:p>
        </w:tc>
        <w:tc>
          <w:tcPr>
            <w:tcW w:w="1595" w:type="dxa"/>
            <w:tcBorders>
              <w:bottom w:val="single" w:sz="12" w:space="0" w:color="636466"/>
            </w:tcBorders>
            <w:tcMar>
              <w:bottom w:w="40" w:type="dxa"/>
            </w:tcMar>
            <w:vAlign w:val="center"/>
          </w:tcPr>
          <w:p>
            <w:pPr>
              <w:pStyle w:val="TableContents"/>
              <w:bidi w:val="0"/>
              <w:spacing w:before="0" w:after="283"/>
              <w:jc w:val="right"/>
              <w:rPr>
                <w:b/>
                <w:color w:val="636466"/>
              </w:rPr>
            </w:pPr>
            <w:r>
              <w:rPr>
                <w:b/>
                <w:color w:val="636466"/>
              </w:rPr>
              <w:t>Number of</w:t>
              <w:br/>
              <w:t>Securities</w:t>
              <w:br/>
              <w:t>Underlying</w:t>
              <w:br/>
              <w:t>Unexercised</w:t>
              <w:br/>
              <w:t>Options (#)</w:t>
              <w:br/>
              <w:t>(Unexercisable)</w:t>
            </w:r>
            <w:r>
              <w:rPr>
                <w:b/>
                <w:color w:val="636466"/>
                <w:position w:val="8"/>
                <w:sz w:val="19"/>
              </w:rPr>
              <w:t>(1)</w:t>
            </w:r>
          </w:p>
        </w:tc>
        <w:tc>
          <w:tcPr>
            <w:tcW w:w="300" w:type="dxa"/>
            <w:tcBorders>
              <w:bottom w:val="single" w:sz="12" w:space="0" w:color="636466"/>
            </w:tcBorders>
            <w:tcMar>
              <w:bottom w:w="40" w:type="dxa"/>
            </w:tcMar>
            <w:vAlign w:val="center"/>
          </w:tcPr>
          <w:p>
            <w:pPr>
              <w:pStyle w:val="TableContents"/>
              <w:bidi w:val="0"/>
              <w:spacing w:before="0" w:after="283"/>
              <w:jc w:val="left"/>
              <w:rPr>
                <w:color w:val="636466"/>
              </w:rPr>
            </w:pPr>
            <w:r>
              <w:rPr>
                <w:color w:val="636466"/>
              </w:rPr>
              <w:t>     </w:t>
            </w:r>
          </w:p>
        </w:tc>
        <w:tc>
          <w:tcPr>
            <w:tcW w:w="875" w:type="dxa"/>
            <w:tcBorders>
              <w:bottom w:val="single" w:sz="12" w:space="0" w:color="636466"/>
            </w:tcBorders>
            <w:tcMar>
              <w:bottom w:w="40" w:type="dxa"/>
            </w:tcMar>
            <w:vAlign w:val="center"/>
          </w:tcPr>
          <w:p>
            <w:pPr>
              <w:pStyle w:val="TableContents"/>
              <w:bidi w:val="0"/>
              <w:spacing w:before="0" w:after="283"/>
              <w:jc w:val="right"/>
              <w:rPr>
                <w:b/>
                <w:color w:val="636466"/>
              </w:rPr>
            </w:pPr>
            <w:r>
              <w:rPr>
                <w:b/>
                <w:color w:val="636466"/>
              </w:rPr>
              <w:t>Option</w:t>
              <w:br/>
              <w:t>Exercise</w:t>
              <w:br/>
              <w:t>Price ($)</w:t>
            </w:r>
            <w:r>
              <w:rPr>
                <w:b/>
                <w:color w:val="636466"/>
                <w:position w:val="8"/>
                <w:sz w:val="19"/>
              </w:rPr>
              <w:t>(2)</w:t>
            </w:r>
          </w:p>
        </w:tc>
        <w:tc>
          <w:tcPr>
            <w:tcW w:w="300" w:type="dxa"/>
            <w:tcBorders>
              <w:bottom w:val="single" w:sz="12" w:space="0" w:color="636466"/>
            </w:tcBorders>
            <w:tcMar>
              <w:bottom w:w="40" w:type="dxa"/>
            </w:tcMar>
            <w:vAlign w:val="center"/>
          </w:tcPr>
          <w:p>
            <w:pPr>
              <w:pStyle w:val="TableContents"/>
              <w:bidi w:val="0"/>
              <w:spacing w:before="0" w:after="283"/>
              <w:jc w:val="left"/>
              <w:rPr>
                <w:color w:val="636466"/>
              </w:rPr>
            </w:pPr>
            <w:r>
              <w:rPr>
                <w:color w:val="636466"/>
              </w:rPr>
              <w:t>     </w:t>
            </w:r>
          </w:p>
        </w:tc>
        <w:tc>
          <w:tcPr>
            <w:tcW w:w="1115" w:type="dxa"/>
            <w:tcBorders>
              <w:bottom w:val="single" w:sz="12" w:space="0" w:color="636466"/>
            </w:tcBorders>
            <w:tcMar>
              <w:bottom w:w="40" w:type="dxa"/>
            </w:tcMar>
            <w:vAlign w:val="center"/>
          </w:tcPr>
          <w:p>
            <w:pPr>
              <w:pStyle w:val="TableContents"/>
              <w:bidi w:val="0"/>
              <w:spacing w:before="0" w:after="283"/>
              <w:jc w:val="right"/>
              <w:rPr>
                <w:b/>
                <w:color w:val="636466"/>
              </w:rPr>
            </w:pPr>
            <w:r>
              <w:rPr>
                <w:b/>
                <w:color w:val="636466"/>
              </w:rPr>
              <w:t>Option</w:t>
              <w:br/>
              <w:t>Expiration</w:t>
              <w:br/>
              <w:t>Date</w:t>
            </w:r>
          </w:p>
        </w:tc>
        <w:tc>
          <w:tcPr>
            <w:tcW w:w="300" w:type="dxa"/>
            <w:tcBorders>
              <w:bottom w:val="single" w:sz="12" w:space="0" w:color="636466"/>
            </w:tcBorders>
            <w:tcMar>
              <w:bottom w:w="40" w:type="dxa"/>
            </w:tcMar>
            <w:vAlign w:val="center"/>
          </w:tcPr>
          <w:p>
            <w:pPr>
              <w:pStyle w:val="TableContents"/>
              <w:bidi w:val="0"/>
              <w:spacing w:before="0" w:after="283"/>
              <w:jc w:val="left"/>
              <w:rPr>
                <w:color w:val="636466"/>
              </w:rPr>
            </w:pPr>
            <w:r>
              <w:rPr>
                <w:color w:val="636466"/>
              </w:rPr>
              <w:t>     </w:t>
            </w:r>
          </w:p>
        </w:tc>
        <w:tc>
          <w:tcPr>
            <w:tcW w:w="875" w:type="dxa"/>
            <w:tcBorders>
              <w:bottom w:val="single" w:sz="12" w:space="0" w:color="636466"/>
            </w:tcBorders>
            <w:shd w:fill="EDEDEE" w:val="clear"/>
            <w:tcMar>
              <w:bottom w:w="40" w:type="dxa"/>
            </w:tcMar>
            <w:vAlign w:val="center"/>
          </w:tcPr>
          <w:p>
            <w:pPr>
              <w:pStyle w:val="TableContents"/>
              <w:bidi w:val="0"/>
              <w:spacing w:before="0" w:after="283"/>
              <w:jc w:val="right"/>
              <w:rPr>
                <w:b/>
                <w:color w:val="636466"/>
              </w:rPr>
            </w:pPr>
            <w:r>
              <w:rPr>
                <w:b/>
                <w:color w:val="636466"/>
              </w:rPr>
              <w:t>Number of</w:t>
              <w:br/>
              <w:t>Shares or</w:t>
              <w:br/>
              <w:t>Units of Stock</w:t>
              <w:br/>
              <w:t>That Have Not</w:t>
              <w:br/>
              <w:t>Vested (#)</w:t>
            </w:r>
          </w:p>
        </w:tc>
        <w:tc>
          <w:tcPr>
            <w:tcW w:w="300" w:type="dxa"/>
            <w:tcBorders>
              <w:bottom w:val="single" w:sz="12" w:space="0" w:color="636466"/>
            </w:tcBorders>
            <w:shd w:fill="EDEDEE" w:val="clear"/>
            <w:tcMar>
              <w:bottom w:w="40" w:type="dxa"/>
            </w:tcMar>
            <w:vAlign w:val="center"/>
          </w:tcPr>
          <w:p>
            <w:pPr>
              <w:pStyle w:val="TableContents"/>
              <w:bidi w:val="0"/>
              <w:spacing w:before="0" w:after="283"/>
              <w:jc w:val="left"/>
              <w:rPr>
                <w:color w:val="636466"/>
              </w:rPr>
            </w:pPr>
            <w:r>
              <w:rPr>
                <w:color w:val="636466"/>
              </w:rPr>
              <w:t>     </w:t>
            </w:r>
          </w:p>
        </w:tc>
        <w:tc>
          <w:tcPr>
            <w:tcW w:w="1100" w:type="dxa"/>
            <w:tcBorders>
              <w:bottom w:val="single" w:sz="12" w:space="0" w:color="636466"/>
            </w:tcBorders>
            <w:shd w:fill="EDEDEE" w:val="clear"/>
            <w:tcMar>
              <w:bottom w:w="40" w:type="dxa"/>
            </w:tcMar>
            <w:vAlign w:val="center"/>
          </w:tcPr>
          <w:p>
            <w:pPr>
              <w:pStyle w:val="TableContents"/>
              <w:bidi w:val="0"/>
              <w:spacing w:before="0" w:after="283"/>
              <w:jc w:val="right"/>
              <w:rPr>
                <w:b/>
                <w:color w:val="636466"/>
              </w:rPr>
            </w:pPr>
            <w:r>
              <w:rPr>
                <w:b/>
                <w:color w:val="636466"/>
              </w:rPr>
              <w:t>Market Value of</w:t>
              <w:br/>
              <w:t>Shares or Units</w:t>
              <w:br/>
              <w:t>of Stock That</w:t>
              <w:br/>
              <w:t>Have Not</w:t>
              <w:br/>
              <w:t>Vested ($)</w:t>
            </w:r>
            <w:r>
              <w:rPr>
                <w:b/>
                <w:color w:val="636466"/>
                <w:position w:val="8"/>
                <w:sz w:val="19"/>
              </w:rPr>
              <w:t>(3)</w:t>
            </w:r>
          </w:p>
        </w:tc>
        <w:tc>
          <w:tcPr>
            <w:tcW w:w="300" w:type="dxa"/>
            <w:tcBorders>
              <w:bottom w:val="single" w:sz="12" w:space="0" w:color="636466"/>
            </w:tcBorders>
            <w:shd w:fill="EDEDEE" w:val="clear"/>
            <w:tcMar>
              <w:bottom w:w="40" w:type="dxa"/>
            </w:tcMar>
            <w:vAlign w:val="center"/>
          </w:tcPr>
          <w:p>
            <w:pPr>
              <w:pStyle w:val="TableContents"/>
              <w:bidi w:val="0"/>
              <w:spacing w:before="0" w:after="283"/>
              <w:jc w:val="left"/>
              <w:rPr>
                <w:color w:val="636466"/>
              </w:rPr>
            </w:pPr>
            <w:r>
              <w:rPr>
                <w:color w:val="636466"/>
              </w:rPr>
              <w:t>     </w:t>
            </w:r>
          </w:p>
        </w:tc>
        <w:tc>
          <w:tcPr>
            <w:tcW w:w="1040" w:type="dxa"/>
            <w:tcBorders>
              <w:bottom w:val="single" w:sz="12" w:space="0" w:color="636466"/>
            </w:tcBorders>
            <w:shd w:fill="EDEDEE" w:val="clear"/>
            <w:tcMar>
              <w:bottom w:w="40" w:type="dxa"/>
            </w:tcMar>
            <w:vAlign w:val="center"/>
          </w:tcPr>
          <w:p>
            <w:pPr>
              <w:pStyle w:val="TableContents"/>
              <w:bidi w:val="0"/>
              <w:spacing w:before="0" w:after="283"/>
              <w:jc w:val="right"/>
              <w:rPr>
                <w:b/>
                <w:color w:val="636466"/>
              </w:rPr>
            </w:pPr>
            <w:r>
              <w:rPr>
                <w:b/>
                <w:color w:val="636466"/>
              </w:rPr>
              <w:t>Equity Incentive</w:t>
              <w:br/>
              <w:t>Plan Awards:</w:t>
              <w:br/>
              <w:t>Number of</w:t>
              <w:br/>
              <w:t>Unearned</w:t>
              <w:br/>
              <w:t>Shares, Units or</w:t>
              <w:br/>
              <w:t>Other Rights</w:t>
              <w:br/>
              <w:t>That Have Not</w:t>
              <w:br/>
              <w:t>Vested (#)</w:t>
            </w:r>
            <w:r>
              <w:rPr>
                <w:b/>
                <w:color w:val="636466"/>
                <w:position w:val="8"/>
                <w:sz w:val="19"/>
              </w:rPr>
              <w:t>(4)</w:t>
            </w:r>
          </w:p>
        </w:tc>
        <w:tc>
          <w:tcPr>
            <w:tcW w:w="300" w:type="dxa"/>
            <w:tcBorders>
              <w:bottom w:val="single" w:sz="12" w:space="0" w:color="636466"/>
            </w:tcBorders>
            <w:shd w:fill="EDEDEE" w:val="clear"/>
            <w:tcMar>
              <w:bottom w:w="40" w:type="dxa"/>
            </w:tcMar>
            <w:vAlign w:val="center"/>
          </w:tcPr>
          <w:p>
            <w:pPr>
              <w:pStyle w:val="TableContents"/>
              <w:bidi w:val="0"/>
              <w:spacing w:before="0" w:after="283"/>
              <w:jc w:val="left"/>
              <w:rPr>
                <w:color w:val="636466"/>
              </w:rPr>
            </w:pPr>
            <w:r>
              <w:rPr>
                <w:color w:val="636466"/>
              </w:rPr>
              <w:t>     </w:t>
            </w:r>
          </w:p>
        </w:tc>
        <w:tc>
          <w:tcPr>
            <w:tcW w:w="1115" w:type="dxa"/>
            <w:tcBorders>
              <w:bottom w:val="single" w:sz="12" w:space="0" w:color="636466"/>
            </w:tcBorders>
            <w:shd w:fill="EDEDEE" w:val="clear"/>
            <w:tcMar>
              <w:bottom w:w="40" w:type="dxa"/>
            </w:tcMar>
            <w:vAlign w:val="center"/>
          </w:tcPr>
          <w:p>
            <w:pPr>
              <w:pStyle w:val="TableContents"/>
              <w:bidi w:val="0"/>
              <w:spacing w:before="0" w:after="283"/>
              <w:jc w:val="right"/>
              <w:rPr>
                <w:b/>
                <w:color w:val="636466"/>
              </w:rPr>
            </w:pPr>
            <w:r>
              <w:rPr>
                <w:b/>
                <w:color w:val="636466"/>
              </w:rPr>
              <w:t>Equity Incentive</w:t>
              <w:br/>
              <w:t>Plan Awards:</w:t>
              <w:br/>
              <w:t>Market or</w:t>
              <w:br/>
              <w:t>Payout Value of</w:t>
              <w:br/>
              <w:t>Unearned</w:t>
              <w:br/>
              <w:t>Shares, Units or</w:t>
              <w:br/>
              <w:t>Other Rights</w:t>
              <w:br/>
              <w:t>That Have Not</w:t>
              <w:br/>
              <w:t>Vested ($)</w:t>
            </w:r>
            <w:r>
              <w:rPr>
                <w:b/>
                <w:color w:val="636466"/>
                <w:position w:val="8"/>
                <w:sz w:val="19"/>
              </w:rPr>
              <w:t>(5)</w:t>
            </w:r>
          </w:p>
        </w:tc>
      </w:tr>
      <w:tr>
        <w:trPr/>
        <w:tc>
          <w:tcPr>
            <w:tcW w:w="710" w:type="dxa"/>
            <w:tcBorders>
              <w:bottom w:val="single" w:sz="12" w:space="0" w:color="C12E33"/>
            </w:tcBorders>
            <w:tcMar>
              <w:bottom w:w="40" w:type="dxa"/>
            </w:tcMar>
            <w:vAlign w:val="center"/>
          </w:tcPr>
          <w:p>
            <w:pPr>
              <w:pStyle w:val="TableContents"/>
              <w:bidi w:val="0"/>
              <w:spacing w:before="0" w:after="283"/>
              <w:jc w:val="left"/>
              <w:rPr>
                <w:b/>
              </w:rPr>
            </w:pPr>
            <w:r>
              <w:rPr>
                <w:b/>
              </w:rPr>
              <w:t>S. Eddy</w:t>
            </w:r>
          </w:p>
        </w:tc>
        <w:tc>
          <w:tcPr>
            <w:tcW w:w="300" w:type="dxa"/>
            <w:tcBorders>
              <w:bottom w:val="single" w:sz="12" w:space="0" w:color="C12E33"/>
            </w:tcBorders>
            <w:tcMar>
              <w:bottom w:w="40" w:type="dxa"/>
            </w:tcMar>
            <w:vAlign w:val="center"/>
          </w:tcPr>
          <w:p>
            <w:pPr>
              <w:pStyle w:val="TableContents"/>
              <w:bidi w:val="0"/>
              <w:spacing w:before="0" w:after="283"/>
              <w:jc w:val="left"/>
              <w:rPr/>
            </w:pPr>
            <w:r>
              <w:rPr/>
              <w:t> </w:t>
            </w:r>
          </w:p>
        </w:tc>
        <w:tc>
          <w:tcPr>
            <w:tcW w:w="1265" w:type="dxa"/>
            <w:tcBorders>
              <w:bottom w:val="single" w:sz="12" w:space="0" w:color="C12E33"/>
            </w:tcBorders>
            <w:tcMar>
              <w:bottom w:w="40" w:type="dxa"/>
            </w:tcMar>
            <w:vAlign w:val="center"/>
          </w:tcPr>
          <w:p>
            <w:pPr>
              <w:pStyle w:val="TableContents"/>
              <w:bidi w:val="0"/>
              <w:spacing w:before="0" w:after="283"/>
              <w:jc w:val="left"/>
              <w:rPr/>
            </w:pPr>
            <w:r>
              <w:rPr/>
              <w:t> </w:t>
            </w:r>
          </w:p>
        </w:tc>
        <w:tc>
          <w:tcPr>
            <w:tcW w:w="300" w:type="dxa"/>
            <w:tcBorders>
              <w:bottom w:val="single" w:sz="12" w:space="0" w:color="C12E33"/>
            </w:tcBorders>
            <w:tcMar>
              <w:bottom w:w="40" w:type="dxa"/>
            </w:tcMar>
            <w:vAlign w:val="center"/>
          </w:tcPr>
          <w:p>
            <w:pPr>
              <w:pStyle w:val="TableContents"/>
              <w:bidi w:val="0"/>
              <w:spacing w:before="0" w:after="283"/>
              <w:jc w:val="left"/>
              <w:rPr/>
            </w:pPr>
            <w:r>
              <w:rPr/>
              <w:t> </w:t>
            </w:r>
          </w:p>
        </w:tc>
        <w:tc>
          <w:tcPr>
            <w:tcW w:w="1595" w:type="dxa"/>
            <w:tcBorders>
              <w:bottom w:val="single" w:sz="12" w:space="0" w:color="C12E33"/>
            </w:tcBorders>
            <w:tcMar>
              <w:bottom w:w="40" w:type="dxa"/>
            </w:tcMar>
            <w:vAlign w:val="center"/>
          </w:tcPr>
          <w:p>
            <w:pPr>
              <w:pStyle w:val="TableContents"/>
              <w:bidi w:val="0"/>
              <w:spacing w:before="0" w:after="283"/>
              <w:jc w:val="left"/>
              <w:rPr/>
            </w:pPr>
            <w:r>
              <w:rPr/>
              <w:t> </w:t>
            </w:r>
          </w:p>
        </w:tc>
        <w:tc>
          <w:tcPr>
            <w:tcW w:w="300" w:type="dxa"/>
            <w:tcBorders>
              <w:bottom w:val="single" w:sz="12" w:space="0" w:color="C12E33"/>
            </w:tcBorders>
            <w:tcMar>
              <w:bottom w:w="40" w:type="dxa"/>
            </w:tcMar>
            <w:vAlign w:val="center"/>
          </w:tcPr>
          <w:p>
            <w:pPr>
              <w:pStyle w:val="TableContents"/>
              <w:bidi w:val="0"/>
              <w:spacing w:before="0" w:after="283"/>
              <w:jc w:val="left"/>
              <w:rPr/>
            </w:pPr>
            <w:r>
              <w:rPr/>
              <w:t> </w:t>
            </w:r>
          </w:p>
        </w:tc>
        <w:tc>
          <w:tcPr>
            <w:tcW w:w="875" w:type="dxa"/>
            <w:tcBorders>
              <w:bottom w:val="single" w:sz="12" w:space="0" w:color="C12E33"/>
            </w:tcBorders>
            <w:tcMar>
              <w:bottom w:w="40" w:type="dxa"/>
            </w:tcMar>
            <w:vAlign w:val="center"/>
          </w:tcPr>
          <w:p>
            <w:pPr>
              <w:pStyle w:val="TableContents"/>
              <w:bidi w:val="0"/>
              <w:spacing w:before="0" w:after="283"/>
              <w:jc w:val="left"/>
              <w:rPr/>
            </w:pPr>
            <w:r>
              <w:rPr/>
              <w:t> </w:t>
            </w:r>
          </w:p>
        </w:tc>
        <w:tc>
          <w:tcPr>
            <w:tcW w:w="300" w:type="dxa"/>
            <w:tcBorders>
              <w:bottom w:val="single" w:sz="12" w:space="0" w:color="C12E33"/>
            </w:tcBorders>
            <w:tcMar>
              <w:bottom w:w="40" w:type="dxa"/>
            </w:tcMar>
            <w:vAlign w:val="center"/>
          </w:tcPr>
          <w:p>
            <w:pPr>
              <w:pStyle w:val="TableContents"/>
              <w:bidi w:val="0"/>
              <w:spacing w:before="0" w:after="283"/>
              <w:jc w:val="left"/>
              <w:rPr/>
            </w:pPr>
            <w:r>
              <w:rPr/>
              <w:t> </w:t>
            </w:r>
          </w:p>
        </w:tc>
        <w:tc>
          <w:tcPr>
            <w:tcW w:w="1115" w:type="dxa"/>
            <w:tcBorders>
              <w:bottom w:val="single" w:sz="12" w:space="0" w:color="C12E33"/>
            </w:tcBorders>
            <w:tcMar>
              <w:bottom w:w="40" w:type="dxa"/>
            </w:tcMar>
            <w:vAlign w:val="center"/>
          </w:tcPr>
          <w:p>
            <w:pPr>
              <w:pStyle w:val="TableContents"/>
              <w:bidi w:val="0"/>
              <w:spacing w:before="0" w:after="283"/>
              <w:jc w:val="left"/>
              <w:rPr/>
            </w:pPr>
            <w:r>
              <w:rPr/>
              <w:t> </w:t>
            </w:r>
          </w:p>
        </w:tc>
        <w:tc>
          <w:tcPr>
            <w:tcW w:w="300" w:type="dxa"/>
            <w:tcBorders>
              <w:bottom w:val="single" w:sz="12" w:space="0" w:color="C12E33"/>
            </w:tcBorders>
            <w:tcMar>
              <w:bottom w:w="40" w:type="dxa"/>
            </w:tcMar>
            <w:vAlign w:val="center"/>
          </w:tcPr>
          <w:p>
            <w:pPr>
              <w:pStyle w:val="TableContents"/>
              <w:bidi w:val="0"/>
              <w:spacing w:before="0" w:after="283"/>
              <w:jc w:val="left"/>
              <w:rPr/>
            </w:pPr>
            <w:r>
              <w:rPr/>
              <w:t> </w:t>
            </w:r>
          </w:p>
        </w:tc>
        <w:tc>
          <w:tcPr>
            <w:tcW w:w="875" w:type="dxa"/>
            <w:tcBorders>
              <w:bottom w:val="single" w:sz="12" w:space="0" w:color="C12E33"/>
            </w:tcBorders>
            <w:shd w:fill="EDEDEE" w:val="clear"/>
            <w:tcMar>
              <w:bottom w:w="40" w:type="dxa"/>
            </w:tcMar>
            <w:vAlign w:val="center"/>
          </w:tcPr>
          <w:p>
            <w:pPr>
              <w:pStyle w:val="TableContents"/>
              <w:bidi w:val="0"/>
              <w:spacing w:before="0" w:after="283"/>
              <w:jc w:val="left"/>
              <w:rPr/>
            </w:pPr>
            <w:r>
              <w:rPr/>
              <w:t> </w:t>
            </w:r>
          </w:p>
        </w:tc>
        <w:tc>
          <w:tcPr>
            <w:tcW w:w="300" w:type="dxa"/>
            <w:tcBorders>
              <w:bottom w:val="single" w:sz="12" w:space="0" w:color="C12E33"/>
            </w:tcBorders>
            <w:shd w:fill="EDEDEE" w:val="clear"/>
            <w:tcMar>
              <w:bottom w:w="40" w:type="dxa"/>
            </w:tcMar>
            <w:vAlign w:val="center"/>
          </w:tcPr>
          <w:p>
            <w:pPr>
              <w:pStyle w:val="TableContents"/>
              <w:bidi w:val="0"/>
              <w:spacing w:before="0" w:after="283"/>
              <w:jc w:val="left"/>
              <w:rPr/>
            </w:pPr>
            <w:r>
              <w:rPr/>
              <w:t> </w:t>
            </w:r>
          </w:p>
        </w:tc>
        <w:tc>
          <w:tcPr>
            <w:tcW w:w="1100" w:type="dxa"/>
            <w:tcBorders>
              <w:bottom w:val="single" w:sz="12" w:space="0" w:color="C12E33"/>
            </w:tcBorders>
            <w:shd w:fill="EDEDEE" w:val="clear"/>
            <w:tcMar>
              <w:bottom w:w="40" w:type="dxa"/>
            </w:tcMar>
            <w:vAlign w:val="center"/>
          </w:tcPr>
          <w:p>
            <w:pPr>
              <w:pStyle w:val="TableContents"/>
              <w:bidi w:val="0"/>
              <w:spacing w:before="0" w:after="283"/>
              <w:jc w:val="left"/>
              <w:rPr/>
            </w:pPr>
            <w:r>
              <w:rPr/>
              <w:t> </w:t>
            </w:r>
          </w:p>
        </w:tc>
        <w:tc>
          <w:tcPr>
            <w:tcW w:w="300" w:type="dxa"/>
            <w:tcBorders>
              <w:bottom w:val="single" w:sz="12" w:space="0" w:color="C12E33"/>
            </w:tcBorders>
            <w:shd w:fill="EDEDEE" w:val="clear"/>
            <w:tcMar>
              <w:bottom w:w="40" w:type="dxa"/>
            </w:tcMar>
            <w:vAlign w:val="center"/>
          </w:tcPr>
          <w:p>
            <w:pPr>
              <w:pStyle w:val="TableContents"/>
              <w:bidi w:val="0"/>
              <w:spacing w:before="0" w:after="283"/>
              <w:jc w:val="left"/>
              <w:rPr/>
            </w:pPr>
            <w:r>
              <w:rPr/>
              <w:t> </w:t>
            </w:r>
          </w:p>
        </w:tc>
        <w:tc>
          <w:tcPr>
            <w:tcW w:w="1040" w:type="dxa"/>
            <w:tcBorders>
              <w:bottom w:val="single" w:sz="12" w:space="0" w:color="C12E33"/>
            </w:tcBorders>
            <w:shd w:fill="EDEDEE" w:val="clear"/>
            <w:tcMar>
              <w:bottom w:w="40" w:type="dxa"/>
            </w:tcMar>
            <w:vAlign w:val="center"/>
          </w:tcPr>
          <w:p>
            <w:pPr>
              <w:pStyle w:val="TableContents"/>
              <w:bidi w:val="0"/>
              <w:spacing w:before="0" w:after="283"/>
              <w:jc w:val="left"/>
              <w:rPr/>
            </w:pPr>
            <w:r>
              <w:rPr/>
              <w:t> </w:t>
            </w:r>
          </w:p>
        </w:tc>
        <w:tc>
          <w:tcPr>
            <w:tcW w:w="300" w:type="dxa"/>
            <w:tcBorders>
              <w:bottom w:val="single" w:sz="12" w:space="0" w:color="C12E33"/>
            </w:tcBorders>
            <w:shd w:fill="EDEDEE" w:val="clear"/>
            <w:tcMar>
              <w:bottom w:w="40" w:type="dxa"/>
            </w:tcMar>
            <w:vAlign w:val="center"/>
          </w:tcPr>
          <w:p>
            <w:pPr>
              <w:pStyle w:val="TableContents"/>
              <w:bidi w:val="0"/>
              <w:spacing w:before="0" w:after="283"/>
              <w:jc w:val="left"/>
              <w:rPr/>
            </w:pPr>
            <w:r>
              <w:rPr/>
              <w:t> </w:t>
            </w:r>
          </w:p>
        </w:tc>
        <w:tc>
          <w:tcPr>
            <w:tcW w:w="1115" w:type="dxa"/>
            <w:tcBorders>
              <w:bottom w:val="single" w:sz="12" w:space="0" w:color="C12E33"/>
            </w:tcBorders>
            <w:shd w:fill="EDEDEE" w:val="clear"/>
            <w:tcMar>
              <w:bottom w:w="40" w:type="dxa"/>
            </w:tcMar>
            <w:vAlign w:val="center"/>
          </w:tcPr>
          <w:p>
            <w:pPr>
              <w:pStyle w:val="TableContents"/>
              <w:bidi w:val="0"/>
              <w:spacing w:before="0" w:after="283"/>
              <w:jc w:val="left"/>
              <w:rPr/>
            </w:pPr>
            <w:r>
              <w:rPr/>
              <w:t> </w:t>
            </w:r>
          </w:p>
        </w:tc>
      </w:tr>
      <w:tr>
        <w:trPr/>
        <w:tc>
          <w:tcPr>
            <w:tcW w:w="710" w:type="dxa"/>
            <w:tcBorders>
              <w:bottom w:val="single" w:sz="2" w:space="0" w:color="000000"/>
            </w:tcBorders>
            <w:tcMar>
              <w:bottom w:w="40" w:type="dxa"/>
            </w:tcMar>
            <w:vAlign w:val="center"/>
          </w:tcPr>
          <w:p>
            <w:pPr>
              <w:pStyle w:val="TableContents"/>
              <w:bidi w:val="0"/>
              <w:spacing w:before="0" w:after="283"/>
              <w:jc w:val="left"/>
              <w:rPr/>
            </w:pPr>
            <w:r>
              <w:rPr/>
              <w:t>2/6/2025</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1265" w:type="dxa"/>
            <w:tcBorders>
              <w:bottom w:val="single" w:sz="2" w:space="0" w:color="000000"/>
            </w:tcBorders>
            <w:tcMar>
              <w:bottom w:w="40" w:type="dxa"/>
            </w:tcMar>
            <w:vAlign w:val="center"/>
          </w:tcPr>
          <w:p>
            <w:pPr>
              <w:pStyle w:val="TableContents"/>
              <w:bidi w:val="0"/>
              <w:spacing w:before="0" w:after="283"/>
              <w:jc w:val="right"/>
              <w:rPr/>
            </w:pPr>
            <w:r>
              <w:rPr/>
              <w:t>–</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1595" w:type="dxa"/>
            <w:tcBorders>
              <w:bottom w:val="single" w:sz="2" w:space="0" w:color="000000"/>
            </w:tcBorders>
            <w:tcMar>
              <w:bottom w:w="40" w:type="dxa"/>
            </w:tcMar>
            <w:vAlign w:val="center"/>
          </w:tcPr>
          <w:p>
            <w:pPr>
              <w:pStyle w:val="TableContents"/>
              <w:bidi w:val="0"/>
              <w:spacing w:before="0" w:after="283"/>
              <w:jc w:val="right"/>
              <w:rPr/>
            </w:pPr>
            <w:r>
              <w:rPr/>
              <w:t>43,300</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875" w:type="dxa"/>
            <w:tcBorders>
              <w:bottom w:val="single" w:sz="2" w:space="0" w:color="000000"/>
            </w:tcBorders>
            <w:tcMar>
              <w:bottom w:w="40" w:type="dxa"/>
            </w:tcMar>
            <w:vAlign w:val="center"/>
          </w:tcPr>
          <w:p>
            <w:pPr>
              <w:pStyle w:val="TableContents"/>
              <w:bidi w:val="0"/>
              <w:spacing w:before="0" w:after="283"/>
              <w:jc w:val="right"/>
              <w:rPr/>
            </w:pPr>
            <w:r>
              <w:rPr/>
              <w:t>$128.78</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1115" w:type="dxa"/>
            <w:tcBorders>
              <w:bottom w:val="single" w:sz="2" w:space="0" w:color="000000"/>
            </w:tcBorders>
            <w:tcMar>
              <w:bottom w:w="40" w:type="dxa"/>
            </w:tcMar>
            <w:vAlign w:val="center"/>
          </w:tcPr>
          <w:p>
            <w:pPr>
              <w:pStyle w:val="TableContents"/>
              <w:bidi w:val="0"/>
              <w:spacing w:before="0" w:after="283"/>
              <w:jc w:val="right"/>
              <w:rPr/>
            </w:pPr>
            <w:r>
              <w:rPr/>
              <w:t>2/5/2035</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875" w:type="dxa"/>
            <w:tcBorders>
              <w:bottom w:val="single" w:sz="2" w:space="0" w:color="000000"/>
            </w:tcBorders>
            <w:shd w:fill="EDEDEE" w:val="clear"/>
            <w:tcMar>
              <w:bottom w:w="40" w:type="dxa"/>
            </w:tcMar>
            <w:vAlign w:val="center"/>
          </w:tcPr>
          <w:p>
            <w:pPr>
              <w:pStyle w:val="TableContents"/>
              <w:bidi w:val="0"/>
              <w:spacing w:before="0" w:after="283"/>
              <w:jc w:val="right"/>
              <w:rPr/>
            </w:pPr>
            <w:r>
              <w:rPr/>
              <w:t>–</w:t>
            </w:r>
          </w:p>
        </w:tc>
        <w:tc>
          <w:tcPr>
            <w:tcW w:w="300" w:type="dxa"/>
            <w:tcBorders>
              <w:bottom w:val="single" w:sz="2" w:space="0" w:color="000000"/>
            </w:tcBorders>
            <w:shd w:fill="EDEDEE" w:val="clear"/>
            <w:tcMar>
              <w:bottom w:w="40" w:type="dxa"/>
            </w:tcMar>
            <w:vAlign w:val="center"/>
          </w:tcPr>
          <w:p>
            <w:pPr>
              <w:pStyle w:val="TableContents"/>
              <w:bidi w:val="0"/>
              <w:spacing w:before="0" w:after="283"/>
              <w:jc w:val="left"/>
              <w:rPr/>
            </w:pPr>
            <w:r>
              <w:rPr/>
              <w:t> </w:t>
            </w:r>
          </w:p>
        </w:tc>
        <w:tc>
          <w:tcPr>
            <w:tcW w:w="1100" w:type="dxa"/>
            <w:tcBorders>
              <w:bottom w:val="single" w:sz="2" w:space="0" w:color="000000"/>
            </w:tcBorders>
            <w:shd w:fill="EDEDEE" w:val="clear"/>
            <w:tcMar>
              <w:bottom w:w="40" w:type="dxa"/>
            </w:tcMar>
            <w:vAlign w:val="center"/>
          </w:tcPr>
          <w:p>
            <w:pPr>
              <w:pStyle w:val="TableContents"/>
              <w:bidi w:val="0"/>
              <w:spacing w:before="0" w:after="283"/>
              <w:jc w:val="right"/>
              <w:rPr/>
            </w:pPr>
            <w:r>
              <w:rPr/>
              <w:t>–</w:t>
            </w:r>
          </w:p>
        </w:tc>
        <w:tc>
          <w:tcPr>
            <w:tcW w:w="300" w:type="dxa"/>
            <w:tcBorders>
              <w:bottom w:val="single" w:sz="2" w:space="0" w:color="000000"/>
            </w:tcBorders>
            <w:shd w:fill="EDEDEE" w:val="clear"/>
            <w:tcMar>
              <w:bottom w:w="40" w:type="dxa"/>
            </w:tcMar>
            <w:vAlign w:val="center"/>
          </w:tcPr>
          <w:p>
            <w:pPr>
              <w:pStyle w:val="TableContents"/>
              <w:bidi w:val="0"/>
              <w:spacing w:before="0" w:after="283"/>
              <w:jc w:val="left"/>
              <w:rPr/>
            </w:pPr>
            <w:r>
              <w:rPr/>
              <w:t> </w:t>
            </w:r>
          </w:p>
        </w:tc>
        <w:tc>
          <w:tcPr>
            <w:tcW w:w="1040" w:type="dxa"/>
            <w:tcBorders>
              <w:bottom w:val="single" w:sz="2" w:space="0" w:color="000000"/>
            </w:tcBorders>
            <w:shd w:fill="EDEDEE" w:val="clear"/>
            <w:tcMar>
              <w:bottom w:w="40" w:type="dxa"/>
            </w:tcMar>
            <w:vAlign w:val="center"/>
          </w:tcPr>
          <w:p>
            <w:pPr>
              <w:pStyle w:val="TableContents"/>
              <w:bidi w:val="0"/>
              <w:spacing w:before="0" w:after="283"/>
              <w:jc w:val="right"/>
              <w:rPr/>
            </w:pPr>
            <w:r>
              <w:rPr/>
              <w:t>37,280</w:t>
            </w:r>
          </w:p>
        </w:tc>
        <w:tc>
          <w:tcPr>
            <w:tcW w:w="300" w:type="dxa"/>
            <w:tcBorders>
              <w:bottom w:val="single" w:sz="2" w:space="0" w:color="000000"/>
            </w:tcBorders>
            <w:shd w:fill="EDEDEE" w:val="clear"/>
            <w:tcMar>
              <w:bottom w:w="40" w:type="dxa"/>
            </w:tcMar>
            <w:vAlign w:val="center"/>
          </w:tcPr>
          <w:p>
            <w:pPr>
              <w:pStyle w:val="TableContents"/>
              <w:bidi w:val="0"/>
              <w:spacing w:before="0" w:after="283"/>
              <w:jc w:val="left"/>
              <w:rPr/>
            </w:pPr>
            <w:r>
              <w:rPr/>
              <w:t> </w:t>
            </w:r>
          </w:p>
        </w:tc>
        <w:tc>
          <w:tcPr>
            <w:tcW w:w="1115" w:type="dxa"/>
            <w:tcBorders>
              <w:bottom w:val="single" w:sz="2" w:space="0" w:color="000000"/>
            </w:tcBorders>
            <w:shd w:fill="EDEDEE" w:val="clear"/>
            <w:tcMar>
              <w:bottom w:w="40" w:type="dxa"/>
            </w:tcMar>
            <w:vAlign w:val="center"/>
          </w:tcPr>
          <w:p>
            <w:pPr>
              <w:pStyle w:val="TableContents"/>
              <w:bidi w:val="0"/>
              <w:spacing w:before="0" w:after="283"/>
              <w:jc w:val="right"/>
              <w:rPr/>
            </w:pPr>
            <w:r>
              <w:rPr/>
              <w:t>$6,837,152</w:t>
            </w:r>
          </w:p>
        </w:tc>
      </w:tr>
      <w:tr>
        <w:trPr/>
        <w:tc>
          <w:tcPr>
            <w:tcW w:w="710" w:type="dxa"/>
            <w:tcBorders>
              <w:bottom w:val="single" w:sz="2" w:space="0" w:color="000000"/>
            </w:tcBorders>
            <w:tcMar>
              <w:bottom w:w="40" w:type="dxa"/>
            </w:tcMar>
            <w:vAlign w:val="center"/>
          </w:tcPr>
          <w:p>
            <w:pPr>
              <w:pStyle w:val="TableContents"/>
              <w:bidi w:val="0"/>
              <w:spacing w:before="0" w:after="283"/>
              <w:jc w:val="left"/>
              <w:rPr/>
            </w:pPr>
            <w:r>
              <w:rPr/>
              <w:t>2/8/2024</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1265" w:type="dxa"/>
            <w:tcBorders>
              <w:bottom w:val="single" w:sz="2" w:space="0" w:color="000000"/>
            </w:tcBorders>
            <w:tcMar>
              <w:bottom w:w="40" w:type="dxa"/>
            </w:tcMar>
            <w:vAlign w:val="center"/>
          </w:tcPr>
          <w:p>
            <w:pPr>
              <w:pStyle w:val="TableContents"/>
              <w:bidi w:val="0"/>
              <w:spacing w:before="0" w:after="283"/>
              <w:jc w:val="right"/>
              <w:rPr/>
            </w:pPr>
            <w:r>
              <w:rPr/>
              <w:t>–</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1595" w:type="dxa"/>
            <w:tcBorders>
              <w:bottom w:val="single" w:sz="2" w:space="0" w:color="000000"/>
            </w:tcBorders>
            <w:tcMar>
              <w:bottom w:w="40" w:type="dxa"/>
            </w:tcMar>
            <w:vAlign w:val="center"/>
          </w:tcPr>
          <w:p>
            <w:pPr>
              <w:pStyle w:val="TableContents"/>
              <w:bidi w:val="0"/>
              <w:spacing w:before="0" w:after="283"/>
              <w:jc w:val="right"/>
              <w:rPr/>
            </w:pPr>
            <w:r>
              <w:rPr/>
              <w:t>64,100</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875" w:type="dxa"/>
            <w:tcBorders>
              <w:bottom w:val="single" w:sz="2" w:space="0" w:color="000000"/>
            </w:tcBorders>
            <w:tcMar>
              <w:bottom w:w="40" w:type="dxa"/>
            </w:tcMar>
            <w:vAlign w:val="center"/>
          </w:tcPr>
          <w:p>
            <w:pPr>
              <w:pStyle w:val="TableContents"/>
              <w:bidi w:val="0"/>
              <w:spacing w:before="0" w:after="283"/>
              <w:jc w:val="right"/>
              <w:rPr/>
            </w:pPr>
            <w:r>
              <w:rPr/>
              <w:t>$91.04</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1115" w:type="dxa"/>
            <w:tcBorders>
              <w:bottom w:val="single" w:sz="2" w:space="0" w:color="000000"/>
            </w:tcBorders>
            <w:tcMar>
              <w:bottom w:w="40" w:type="dxa"/>
            </w:tcMar>
            <w:vAlign w:val="center"/>
          </w:tcPr>
          <w:p>
            <w:pPr>
              <w:pStyle w:val="TableContents"/>
              <w:bidi w:val="0"/>
              <w:spacing w:before="0" w:after="283"/>
              <w:jc w:val="right"/>
              <w:rPr/>
            </w:pPr>
            <w:r>
              <w:rPr/>
              <w:t>2/7/2034</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875" w:type="dxa"/>
            <w:tcBorders>
              <w:bottom w:val="single" w:sz="2" w:space="0" w:color="000000"/>
            </w:tcBorders>
            <w:shd w:fill="EDEDEE" w:val="clear"/>
            <w:tcMar>
              <w:bottom w:w="40" w:type="dxa"/>
            </w:tcMar>
            <w:vAlign w:val="center"/>
          </w:tcPr>
          <w:p>
            <w:pPr>
              <w:pStyle w:val="TableContents"/>
              <w:bidi w:val="0"/>
              <w:spacing w:before="0" w:after="283"/>
              <w:jc w:val="right"/>
              <w:rPr/>
            </w:pPr>
            <w:r>
              <w:rPr/>
              <w:t>–</w:t>
            </w:r>
          </w:p>
        </w:tc>
        <w:tc>
          <w:tcPr>
            <w:tcW w:w="300" w:type="dxa"/>
            <w:tcBorders>
              <w:bottom w:val="single" w:sz="2" w:space="0" w:color="000000"/>
            </w:tcBorders>
            <w:shd w:fill="EDEDEE" w:val="clear"/>
            <w:tcMar>
              <w:bottom w:w="40" w:type="dxa"/>
            </w:tcMar>
            <w:vAlign w:val="center"/>
          </w:tcPr>
          <w:p>
            <w:pPr>
              <w:pStyle w:val="TableContents"/>
              <w:bidi w:val="0"/>
              <w:spacing w:before="0" w:after="283"/>
              <w:jc w:val="left"/>
              <w:rPr/>
            </w:pPr>
            <w:r>
              <w:rPr/>
              <w:t> </w:t>
            </w:r>
          </w:p>
        </w:tc>
        <w:tc>
          <w:tcPr>
            <w:tcW w:w="1100" w:type="dxa"/>
            <w:tcBorders>
              <w:bottom w:val="single" w:sz="2" w:space="0" w:color="000000"/>
            </w:tcBorders>
            <w:shd w:fill="EDEDEE" w:val="clear"/>
            <w:tcMar>
              <w:bottom w:w="40" w:type="dxa"/>
            </w:tcMar>
            <w:vAlign w:val="center"/>
          </w:tcPr>
          <w:p>
            <w:pPr>
              <w:pStyle w:val="TableContents"/>
              <w:bidi w:val="0"/>
              <w:spacing w:before="0" w:after="283"/>
              <w:jc w:val="right"/>
              <w:rPr/>
            </w:pPr>
            <w:r>
              <w:rPr/>
              <w:t>–</w:t>
            </w:r>
          </w:p>
        </w:tc>
        <w:tc>
          <w:tcPr>
            <w:tcW w:w="300" w:type="dxa"/>
            <w:tcBorders>
              <w:bottom w:val="single" w:sz="2" w:space="0" w:color="000000"/>
            </w:tcBorders>
            <w:shd w:fill="EDEDEE" w:val="clear"/>
            <w:tcMar>
              <w:bottom w:w="40" w:type="dxa"/>
            </w:tcMar>
            <w:vAlign w:val="center"/>
          </w:tcPr>
          <w:p>
            <w:pPr>
              <w:pStyle w:val="TableContents"/>
              <w:bidi w:val="0"/>
              <w:spacing w:before="0" w:after="283"/>
              <w:jc w:val="left"/>
              <w:rPr/>
            </w:pPr>
            <w:r>
              <w:rPr/>
              <w:t> </w:t>
            </w:r>
          </w:p>
        </w:tc>
        <w:tc>
          <w:tcPr>
            <w:tcW w:w="1040" w:type="dxa"/>
            <w:tcBorders>
              <w:bottom w:val="single" w:sz="2" w:space="0" w:color="000000"/>
            </w:tcBorders>
            <w:shd w:fill="EDEDEE" w:val="clear"/>
            <w:tcMar>
              <w:bottom w:w="40" w:type="dxa"/>
            </w:tcMar>
            <w:vAlign w:val="center"/>
          </w:tcPr>
          <w:p>
            <w:pPr>
              <w:pStyle w:val="TableContents"/>
              <w:bidi w:val="0"/>
              <w:spacing w:before="0" w:after="283"/>
              <w:jc w:val="right"/>
              <w:rPr/>
            </w:pPr>
            <w:r>
              <w:rPr/>
              <w:t>46,140</w:t>
            </w:r>
          </w:p>
        </w:tc>
        <w:tc>
          <w:tcPr>
            <w:tcW w:w="300" w:type="dxa"/>
            <w:tcBorders>
              <w:bottom w:val="single" w:sz="2" w:space="0" w:color="000000"/>
            </w:tcBorders>
            <w:shd w:fill="EDEDEE" w:val="clear"/>
            <w:tcMar>
              <w:bottom w:w="40" w:type="dxa"/>
            </w:tcMar>
            <w:vAlign w:val="center"/>
          </w:tcPr>
          <w:p>
            <w:pPr>
              <w:pStyle w:val="TableContents"/>
              <w:bidi w:val="0"/>
              <w:spacing w:before="0" w:after="283"/>
              <w:jc w:val="left"/>
              <w:rPr/>
            </w:pPr>
            <w:r>
              <w:rPr/>
              <w:t> </w:t>
            </w:r>
          </w:p>
        </w:tc>
        <w:tc>
          <w:tcPr>
            <w:tcW w:w="1115" w:type="dxa"/>
            <w:tcBorders>
              <w:bottom w:val="single" w:sz="2" w:space="0" w:color="000000"/>
            </w:tcBorders>
            <w:shd w:fill="EDEDEE" w:val="clear"/>
            <w:tcMar>
              <w:bottom w:w="40" w:type="dxa"/>
            </w:tcMar>
            <w:vAlign w:val="center"/>
          </w:tcPr>
          <w:p>
            <w:pPr>
              <w:pStyle w:val="TableContents"/>
              <w:bidi w:val="0"/>
              <w:spacing w:before="0" w:after="283"/>
              <w:jc w:val="right"/>
              <w:rPr/>
            </w:pPr>
            <w:r>
              <w:rPr/>
              <w:t>$8,462,076</w:t>
            </w:r>
          </w:p>
        </w:tc>
      </w:tr>
      <w:tr>
        <w:trPr/>
        <w:tc>
          <w:tcPr>
            <w:tcW w:w="710" w:type="dxa"/>
            <w:tcBorders>
              <w:bottom w:val="single" w:sz="2" w:space="0" w:color="000000"/>
            </w:tcBorders>
            <w:tcMar>
              <w:bottom w:w="40" w:type="dxa"/>
            </w:tcMar>
            <w:vAlign w:val="center"/>
          </w:tcPr>
          <w:p>
            <w:pPr>
              <w:pStyle w:val="TableContents"/>
              <w:bidi w:val="0"/>
              <w:spacing w:before="0" w:after="283"/>
              <w:jc w:val="left"/>
              <w:rPr/>
            </w:pPr>
            <w:r>
              <w:rPr/>
              <w:t>2/8/2023</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1265" w:type="dxa"/>
            <w:tcBorders>
              <w:bottom w:val="single" w:sz="2" w:space="0" w:color="000000"/>
            </w:tcBorders>
            <w:tcMar>
              <w:bottom w:w="40" w:type="dxa"/>
            </w:tcMar>
            <w:vAlign w:val="center"/>
          </w:tcPr>
          <w:p>
            <w:pPr>
              <w:pStyle w:val="TableContents"/>
              <w:bidi w:val="0"/>
              <w:spacing w:before="0" w:after="283"/>
              <w:jc w:val="right"/>
              <w:rPr/>
            </w:pPr>
            <w:r>
              <w:rPr/>
              <w:t>–</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1595" w:type="dxa"/>
            <w:tcBorders>
              <w:bottom w:val="single" w:sz="2" w:space="0" w:color="000000"/>
            </w:tcBorders>
            <w:tcMar>
              <w:bottom w:w="40" w:type="dxa"/>
            </w:tcMar>
            <w:vAlign w:val="center"/>
          </w:tcPr>
          <w:p>
            <w:pPr>
              <w:pStyle w:val="TableContents"/>
              <w:bidi w:val="0"/>
              <w:spacing w:before="0" w:after="283"/>
              <w:jc w:val="right"/>
              <w:rPr/>
            </w:pPr>
            <w:r>
              <w:rPr/>
              <w:t>56,700</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875" w:type="dxa"/>
            <w:tcBorders>
              <w:bottom w:val="single" w:sz="2" w:space="0" w:color="000000"/>
            </w:tcBorders>
            <w:tcMar>
              <w:bottom w:w="40" w:type="dxa"/>
            </w:tcMar>
            <w:vAlign w:val="center"/>
          </w:tcPr>
          <w:p>
            <w:pPr>
              <w:pStyle w:val="TableContents"/>
              <w:bidi w:val="0"/>
              <w:spacing w:before="0" w:after="283"/>
              <w:jc w:val="right"/>
              <w:rPr/>
            </w:pPr>
            <w:r>
              <w:rPr/>
              <w:t>$97.65</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1115" w:type="dxa"/>
            <w:tcBorders>
              <w:bottom w:val="single" w:sz="2" w:space="0" w:color="000000"/>
            </w:tcBorders>
            <w:tcMar>
              <w:bottom w:w="40" w:type="dxa"/>
            </w:tcMar>
            <w:vAlign w:val="center"/>
          </w:tcPr>
          <w:p>
            <w:pPr>
              <w:pStyle w:val="TableContents"/>
              <w:bidi w:val="0"/>
              <w:spacing w:before="0" w:after="283"/>
              <w:jc w:val="right"/>
              <w:rPr/>
            </w:pPr>
            <w:r>
              <w:rPr/>
              <w:t>2/7/2033</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875" w:type="dxa"/>
            <w:tcBorders>
              <w:bottom w:val="single" w:sz="2" w:space="0" w:color="000000"/>
            </w:tcBorders>
            <w:shd w:fill="EDEDEE" w:val="clear"/>
            <w:tcMar>
              <w:bottom w:w="40" w:type="dxa"/>
            </w:tcMar>
            <w:vAlign w:val="center"/>
          </w:tcPr>
          <w:p>
            <w:pPr>
              <w:pStyle w:val="TableContents"/>
              <w:bidi w:val="0"/>
              <w:spacing w:before="0" w:after="283"/>
              <w:jc w:val="right"/>
              <w:rPr/>
            </w:pPr>
            <w:r>
              <w:rPr/>
              <w:t>–</w:t>
            </w:r>
          </w:p>
        </w:tc>
        <w:tc>
          <w:tcPr>
            <w:tcW w:w="300" w:type="dxa"/>
            <w:tcBorders>
              <w:bottom w:val="single" w:sz="2" w:space="0" w:color="000000"/>
            </w:tcBorders>
            <w:shd w:fill="EDEDEE" w:val="clear"/>
            <w:tcMar>
              <w:bottom w:w="40" w:type="dxa"/>
            </w:tcMar>
            <w:vAlign w:val="center"/>
          </w:tcPr>
          <w:p>
            <w:pPr>
              <w:pStyle w:val="TableContents"/>
              <w:bidi w:val="0"/>
              <w:spacing w:before="0" w:after="283"/>
              <w:jc w:val="left"/>
              <w:rPr/>
            </w:pPr>
            <w:r>
              <w:rPr/>
              <w:t> </w:t>
            </w:r>
          </w:p>
        </w:tc>
        <w:tc>
          <w:tcPr>
            <w:tcW w:w="1100" w:type="dxa"/>
            <w:tcBorders>
              <w:bottom w:val="single" w:sz="2" w:space="0" w:color="000000"/>
            </w:tcBorders>
            <w:shd w:fill="EDEDEE" w:val="clear"/>
            <w:tcMar>
              <w:bottom w:w="40" w:type="dxa"/>
            </w:tcMar>
            <w:vAlign w:val="center"/>
          </w:tcPr>
          <w:p>
            <w:pPr>
              <w:pStyle w:val="TableContents"/>
              <w:bidi w:val="0"/>
              <w:spacing w:before="0" w:after="283"/>
              <w:jc w:val="right"/>
              <w:rPr/>
            </w:pPr>
            <w:r>
              <w:rPr/>
              <w:t>–</w:t>
            </w:r>
          </w:p>
        </w:tc>
        <w:tc>
          <w:tcPr>
            <w:tcW w:w="300" w:type="dxa"/>
            <w:tcBorders>
              <w:bottom w:val="single" w:sz="2" w:space="0" w:color="000000"/>
            </w:tcBorders>
            <w:shd w:fill="EDEDEE" w:val="clear"/>
            <w:tcMar>
              <w:bottom w:w="40" w:type="dxa"/>
            </w:tcMar>
            <w:vAlign w:val="center"/>
          </w:tcPr>
          <w:p>
            <w:pPr>
              <w:pStyle w:val="TableContents"/>
              <w:bidi w:val="0"/>
              <w:spacing w:before="0" w:after="283"/>
              <w:jc w:val="left"/>
              <w:rPr/>
            </w:pPr>
            <w:r>
              <w:rPr/>
              <w:t> </w:t>
            </w:r>
          </w:p>
        </w:tc>
        <w:tc>
          <w:tcPr>
            <w:tcW w:w="1040" w:type="dxa"/>
            <w:tcBorders>
              <w:bottom w:val="single" w:sz="2" w:space="0" w:color="000000"/>
            </w:tcBorders>
            <w:shd w:fill="EDEDEE" w:val="clear"/>
            <w:tcMar>
              <w:bottom w:w="40" w:type="dxa"/>
            </w:tcMar>
            <w:vAlign w:val="center"/>
          </w:tcPr>
          <w:p>
            <w:pPr>
              <w:pStyle w:val="TableContents"/>
              <w:bidi w:val="0"/>
              <w:spacing w:before="0" w:after="283"/>
              <w:jc w:val="right"/>
              <w:rPr/>
            </w:pPr>
            <w:r>
              <w:rPr/>
              <w:t>31,405</w:t>
            </w:r>
          </w:p>
        </w:tc>
        <w:tc>
          <w:tcPr>
            <w:tcW w:w="300" w:type="dxa"/>
            <w:tcBorders>
              <w:bottom w:val="single" w:sz="2" w:space="0" w:color="000000"/>
            </w:tcBorders>
            <w:shd w:fill="EDEDEE" w:val="clear"/>
            <w:tcMar>
              <w:bottom w:w="40" w:type="dxa"/>
            </w:tcMar>
            <w:vAlign w:val="center"/>
          </w:tcPr>
          <w:p>
            <w:pPr>
              <w:pStyle w:val="TableContents"/>
              <w:bidi w:val="0"/>
              <w:spacing w:before="0" w:after="283"/>
              <w:jc w:val="left"/>
              <w:rPr/>
            </w:pPr>
            <w:r>
              <w:rPr/>
              <w:t> </w:t>
            </w:r>
          </w:p>
        </w:tc>
        <w:tc>
          <w:tcPr>
            <w:tcW w:w="1115" w:type="dxa"/>
            <w:tcBorders>
              <w:bottom w:val="single" w:sz="2" w:space="0" w:color="000000"/>
            </w:tcBorders>
            <w:shd w:fill="EDEDEE" w:val="clear"/>
            <w:tcMar>
              <w:bottom w:w="40" w:type="dxa"/>
            </w:tcMar>
            <w:vAlign w:val="center"/>
          </w:tcPr>
          <w:p>
            <w:pPr>
              <w:pStyle w:val="TableContents"/>
              <w:bidi w:val="0"/>
              <w:spacing w:before="0" w:after="283"/>
              <w:jc w:val="right"/>
              <w:rPr/>
            </w:pPr>
            <w:r>
              <w:rPr/>
              <w:t>$5,759,604</w:t>
            </w:r>
          </w:p>
        </w:tc>
      </w:tr>
      <w:tr>
        <w:trPr/>
        <w:tc>
          <w:tcPr>
            <w:tcW w:w="710" w:type="dxa"/>
            <w:tcBorders>
              <w:bottom w:val="single" w:sz="2" w:space="0" w:color="000000"/>
            </w:tcBorders>
            <w:tcMar>
              <w:bottom w:w="40" w:type="dxa"/>
            </w:tcMar>
            <w:vAlign w:val="center"/>
          </w:tcPr>
          <w:p>
            <w:pPr>
              <w:pStyle w:val="TableContents"/>
              <w:bidi w:val="0"/>
              <w:spacing w:before="0" w:after="283"/>
              <w:jc w:val="left"/>
              <w:rPr/>
            </w:pPr>
            <w:r>
              <w:rPr/>
              <w:t>2/15/2022</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1265" w:type="dxa"/>
            <w:tcBorders>
              <w:bottom w:val="single" w:sz="2" w:space="0" w:color="000000"/>
            </w:tcBorders>
            <w:tcMar>
              <w:bottom w:w="40" w:type="dxa"/>
            </w:tcMar>
            <w:vAlign w:val="center"/>
          </w:tcPr>
          <w:p>
            <w:pPr>
              <w:pStyle w:val="TableContents"/>
              <w:bidi w:val="0"/>
              <w:spacing w:before="0" w:after="283"/>
              <w:jc w:val="right"/>
              <w:rPr/>
            </w:pPr>
            <w:r>
              <w:rPr/>
              <w:t>58,000</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1595" w:type="dxa"/>
            <w:tcBorders>
              <w:bottom w:val="single" w:sz="2" w:space="0" w:color="000000"/>
            </w:tcBorders>
            <w:tcMar>
              <w:bottom w:w="40" w:type="dxa"/>
            </w:tcMar>
            <w:vAlign w:val="center"/>
          </w:tcPr>
          <w:p>
            <w:pPr>
              <w:pStyle w:val="TableContents"/>
              <w:bidi w:val="0"/>
              <w:spacing w:before="0" w:after="283"/>
              <w:jc w:val="right"/>
              <w:rPr/>
            </w:pPr>
            <w:r>
              <w:rPr/>
              <w:t>–</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875" w:type="dxa"/>
            <w:tcBorders>
              <w:bottom w:val="single" w:sz="2" w:space="0" w:color="000000"/>
            </w:tcBorders>
            <w:tcMar>
              <w:bottom w:w="40" w:type="dxa"/>
            </w:tcMar>
            <w:vAlign w:val="center"/>
          </w:tcPr>
          <w:p>
            <w:pPr>
              <w:pStyle w:val="TableContents"/>
              <w:bidi w:val="0"/>
              <w:spacing w:before="0" w:after="283"/>
              <w:jc w:val="right"/>
              <w:rPr/>
            </w:pPr>
            <w:r>
              <w:rPr/>
              <w:t>$94.04</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1115" w:type="dxa"/>
            <w:tcBorders>
              <w:bottom w:val="single" w:sz="2" w:space="0" w:color="000000"/>
            </w:tcBorders>
            <w:tcMar>
              <w:bottom w:w="40" w:type="dxa"/>
            </w:tcMar>
            <w:vAlign w:val="center"/>
          </w:tcPr>
          <w:p>
            <w:pPr>
              <w:pStyle w:val="TableContents"/>
              <w:bidi w:val="0"/>
              <w:spacing w:before="0" w:after="283"/>
              <w:jc w:val="right"/>
              <w:rPr/>
            </w:pPr>
            <w:r>
              <w:rPr/>
              <w:t>2/14/2032</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875" w:type="dxa"/>
            <w:tcBorders>
              <w:bottom w:val="single" w:sz="2" w:space="0" w:color="000000"/>
            </w:tcBorders>
            <w:shd w:fill="EDEDEE" w:val="clear"/>
            <w:tcMar>
              <w:bottom w:w="40" w:type="dxa"/>
            </w:tcMar>
            <w:vAlign w:val="center"/>
          </w:tcPr>
          <w:p>
            <w:pPr>
              <w:pStyle w:val="TableContents"/>
              <w:bidi w:val="0"/>
              <w:spacing w:before="0" w:after="283"/>
              <w:jc w:val="right"/>
              <w:rPr/>
            </w:pPr>
            <w:r>
              <w:rPr/>
              <w:t>–</w:t>
            </w:r>
          </w:p>
        </w:tc>
        <w:tc>
          <w:tcPr>
            <w:tcW w:w="300" w:type="dxa"/>
            <w:tcBorders>
              <w:bottom w:val="single" w:sz="2" w:space="0" w:color="000000"/>
            </w:tcBorders>
            <w:shd w:fill="EDEDEE" w:val="clear"/>
            <w:tcMar>
              <w:bottom w:w="40" w:type="dxa"/>
            </w:tcMar>
            <w:vAlign w:val="center"/>
          </w:tcPr>
          <w:p>
            <w:pPr>
              <w:pStyle w:val="TableContents"/>
              <w:bidi w:val="0"/>
              <w:spacing w:before="0" w:after="283"/>
              <w:jc w:val="left"/>
              <w:rPr/>
            </w:pPr>
            <w:r>
              <w:rPr/>
              <w:t> </w:t>
            </w:r>
          </w:p>
        </w:tc>
        <w:tc>
          <w:tcPr>
            <w:tcW w:w="1100" w:type="dxa"/>
            <w:tcBorders>
              <w:bottom w:val="single" w:sz="2" w:space="0" w:color="000000"/>
            </w:tcBorders>
            <w:shd w:fill="EDEDEE" w:val="clear"/>
            <w:tcMar>
              <w:bottom w:w="40" w:type="dxa"/>
            </w:tcMar>
            <w:vAlign w:val="center"/>
          </w:tcPr>
          <w:p>
            <w:pPr>
              <w:pStyle w:val="TableContents"/>
              <w:bidi w:val="0"/>
              <w:spacing w:before="0" w:after="283"/>
              <w:jc w:val="right"/>
              <w:rPr/>
            </w:pPr>
            <w:r>
              <w:rPr/>
              <w:t>–</w:t>
            </w:r>
          </w:p>
        </w:tc>
        <w:tc>
          <w:tcPr>
            <w:tcW w:w="300" w:type="dxa"/>
            <w:tcBorders>
              <w:bottom w:val="single" w:sz="2" w:space="0" w:color="000000"/>
            </w:tcBorders>
            <w:shd w:fill="EDEDEE" w:val="clear"/>
            <w:tcMar>
              <w:bottom w:w="40" w:type="dxa"/>
            </w:tcMar>
            <w:vAlign w:val="center"/>
          </w:tcPr>
          <w:p>
            <w:pPr>
              <w:pStyle w:val="TableContents"/>
              <w:bidi w:val="0"/>
              <w:spacing w:before="0" w:after="283"/>
              <w:jc w:val="left"/>
              <w:rPr/>
            </w:pPr>
            <w:r>
              <w:rPr/>
              <w:t> </w:t>
            </w:r>
          </w:p>
        </w:tc>
        <w:tc>
          <w:tcPr>
            <w:tcW w:w="1040" w:type="dxa"/>
            <w:tcBorders>
              <w:bottom w:val="single" w:sz="2" w:space="0" w:color="000000"/>
            </w:tcBorders>
            <w:shd w:fill="EDEDEE" w:val="clear"/>
            <w:tcMar>
              <w:bottom w:w="40" w:type="dxa"/>
            </w:tcMar>
            <w:vAlign w:val="center"/>
          </w:tcPr>
          <w:p>
            <w:pPr>
              <w:pStyle w:val="TableContents"/>
              <w:bidi w:val="0"/>
              <w:spacing w:before="0" w:after="283"/>
              <w:jc w:val="right"/>
              <w:rPr/>
            </w:pPr>
            <w:r>
              <w:rPr/>
              <w:t>–</w:t>
            </w:r>
          </w:p>
        </w:tc>
        <w:tc>
          <w:tcPr>
            <w:tcW w:w="300" w:type="dxa"/>
            <w:tcBorders>
              <w:bottom w:val="single" w:sz="2" w:space="0" w:color="000000"/>
            </w:tcBorders>
            <w:shd w:fill="EDEDEE" w:val="clear"/>
            <w:tcMar>
              <w:bottom w:w="40" w:type="dxa"/>
            </w:tcMar>
            <w:vAlign w:val="center"/>
          </w:tcPr>
          <w:p>
            <w:pPr>
              <w:pStyle w:val="TableContents"/>
              <w:bidi w:val="0"/>
              <w:spacing w:before="0" w:after="283"/>
              <w:jc w:val="left"/>
              <w:rPr/>
            </w:pPr>
            <w:r>
              <w:rPr/>
              <w:t> </w:t>
            </w:r>
          </w:p>
        </w:tc>
        <w:tc>
          <w:tcPr>
            <w:tcW w:w="1115" w:type="dxa"/>
            <w:tcBorders>
              <w:bottom w:val="single" w:sz="2" w:space="0" w:color="000000"/>
            </w:tcBorders>
            <w:shd w:fill="EDEDEE" w:val="clear"/>
            <w:tcMar>
              <w:bottom w:w="40" w:type="dxa"/>
            </w:tcMar>
            <w:vAlign w:val="center"/>
          </w:tcPr>
          <w:p>
            <w:pPr>
              <w:pStyle w:val="TableContents"/>
              <w:bidi w:val="0"/>
              <w:spacing w:before="0" w:after="283"/>
              <w:jc w:val="right"/>
              <w:rPr/>
            </w:pPr>
            <w:r>
              <w:rPr/>
              <w:t>–</w:t>
            </w:r>
          </w:p>
        </w:tc>
      </w:tr>
      <w:tr>
        <w:trPr/>
        <w:tc>
          <w:tcPr>
            <w:tcW w:w="710" w:type="dxa"/>
            <w:tcBorders>
              <w:bottom w:val="single" w:sz="2" w:space="0" w:color="000000"/>
            </w:tcBorders>
            <w:tcMar>
              <w:bottom w:w="40" w:type="dxa"/>
            </w:tcMar>
            <w:vAlign w:val="center"/>
          </w:tcPr>
          <w:p>
            <w:pPr>
              <w:pStyle w:val="TableContents"/>
              <w:bidi w:val="0"/>
              <w:spacing w:before="0" w:after="283"/>
              <w:jc w:val="left"/>
              <w:rPr/>
            </w:pPr>
            <w:r>
              <w:rPr/>
              <w:t>2/8/2021</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1265" w:type="dxa"/>
            <w:tcBorders>
              <w:bottom w:val="single" w:sz="2" w:space="0" w:color="000000"/>
            </w:tcBorders>
            <w:tcMar>
              <w:bottom w:w="40" w:type="dxa"/>
            </w:tcMar>
            <w:vAlign w:val="center"/>
          </w:tcPr>
          <w:p>
            <w:pPr>
              <w:pStyle w:val="TableContents"/>
              <w:bidi w:val="0"/>
              <w:spacing w:before="0" w:after="283"/>
              <w:jc w:val="right"/>
              <w:rPr/>
            </w:pPr>
            <w:r>
              <w:rPr/>
              <w:t>16,600</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1595" w:type="dxa"/>
            <w:tcBorders>
              <w:bottom w:val="single" w:sz="2" w:space="0" w:color="000000"/>
            </w:tcBorders>
            <w:tcMar>
              <w:bottom w:w="40" w:type="dxa"/>
            </w:tcMar>
            <w:vAlign w:val="center"/>
          </w:tcPr>
          <w:p>
            <w:pPr>
              <w:pStyle w:val="TableContents"/>
              <w:bidi w:val="0"/>
              <w:spacing w:before="0" w:after="283"/>
              <w:jc w:val="right"/>
              <w:rPr/>
            </w:pPr>
            <w:r>
              <w:rPr/>
              <w:t>–</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875" w:type="dxa"/>
            <w:tcBorders>
              <w:bottom w:val="single" w:sz="2" w:space="0" w:color="000000"/>
            </w:tcBorders>
            <w:tcMar>
              <w:bottom w:w="40" w:type="dxa"/>
            </w:tcMar>
            <w:vAlign w:val="center"/>
          </w:tcPr>
          <w:p>
            <w:pPr>
              <w:pStyle w:val="TableContents"/>
              <w:bidi w:val="0"/>
              <w:spacing w:before="0" w:after="283"/>
              <w:jc w:val="right"/>
              <w:rPr/>
            </w:pPr>
            <w:r>
              <w:rPr/>
              <w:t>$72.49</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1115" w:type="dxa"/>
            <w:tcBorders>
              <w:bottom w:val="single" w:sz="2" w:space="0" w:color="000000"/>
            </w:tcBorders>
            <w:tcMar>
              <w:bottom w:w="40" w:type="dxa"/>
            </w:tcMar>
            <w:vAlign w:val="center"/>
          </w:tcPr>
          <w:p>
            <w:pPr>
              <w:pStyle w:val="TableContents"/>
              <w:bidi w:val="0"/>
              <w:spacing w:before="0" w:after="283"/>
              <w:jc w:val="right"/>
              <w:rPr/>
            </w:pPr>
            <w:r>
              <w:rPr/>
              <w:t>2/7/2031</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875" w:type="dxa"/>
            <w:tcBorders>
              <w:bottom w:val="single" w:sz="2" w:space="0" w:color="000000"/>
            </w:tcBorders>
            <w:shd w:fill="EDEDEE" w:val="clear"/>
            <w:tcMar>
              <w:bottom w:w="40" w:type="dxa"/>
            </w:tcMar>
            <w:vAlign w:val="center"/>
          </w:tcPr>
          <w:p>
            <w:pPr>
              <w:pStyle w:val="TableContents"/>
              <w:bidi w:val="0"/>
              <w:spacing w:before="0" w:after="283"/>
              <w:jc w:val="right"/>
              <w:rPr/>
            </w:pPr>
            <w:r>
              <w:rPr/>
              <w:t>–</w:t>
            </w:r>
          </w:p>
        </w:tc>
        <w:tc>
          <w:tcPr>
            <w:tcW w:w="300" w:type="dxa"/>
            <w:tcBorders>
              <w:bottom w:val="single" w:sz="2" w:space="0" w:color="000000"/>
            </w:tcBorders>
            <w:shd w:fill="EDEDEE" w:val="clear"/>
            <w:tcMar>
              <w:bottom w:w="40" w:type="dxa"/>
            </w:tcMar>
            <w:vAlign w:val="center"/>
          </w:tcPr>
          <w:p>
            <w:pPr>
              <w:pStyle w:val="TableContents"/>
              <w:bidi w:val="0"/>
              <w:spacing w:before="0" w:after="283"/>
              <w:jc w:val="left"/>
              <w:rPr/>
            </w:pPr>
            <w:r>
              <w:rPr/>
              <w:t> </w:t>
            </w:r>
          </w:p>
        </w:tc>
        <w:tc>
          <w:tcPr>
            <w:tcW w:w="1100" w:type="dxa"/>
            <w:tcBorders>
              <w:bottom w:val="single" w:sz="2" w:space="0" w:color="000000"/>
            </w:tcBorders>
            <w:shd w:fill="EDEDEE" w:val="clear"/>
            <w:tcMar>
              <w:bottom w:w="40" w:type="dxa"/>
            </w:tcMar>
            <w:vAlign w:val="center"/>
          </w:tcPr>
          <w:p>
            <w:pPr>
              <w:pStyle w:val="TableContents"/>
              <w:bidi w:val="0"/>
              <w:spacing w:before="0" w:after="283"/>
              <w:jc w:val="right"/>
              <w:rPr/>
            </w:pPr>
            <w:r>
              <w:rPr/>
              <w:t>–</w:t>
            </w:r>
          </w:p>
        </w:tc>
        <w:tc>
          <w:tcPr>
            <w:tcW w:w="300" w:type="dxa"/>
            <w:tcBorders>
              <w:bottom w:val="single" w:sz="2" w:space="0" w:color="000000"/>
            </w:tcBorders>
            <w:shd w:fill="EDEDEE" w:val="clear"/>
            <w:tcMar>
              <w:bottom w:w="40" w:type="dxa"/>
            </w:tcMar>
            <w:vAlign w:val="center"/>
          </w:tcPr>
          <w:p>
            <w:pPr>
              <w:pStyle w:val="TableContents"/>
              <w:bidi w:val="0"/>
              <w:spacing w:before="0" w:after="283"/>
              <w:jc w:val="left"/>
              <w:rPr/>
            </w:pPr>
            <w:r>
              <w:rPr/>
              <w:t> </w:t>
            </w:r>
          </w:p>
        </w:tc>
        <w:tc>
          <w:tcPr>
            <w:tcW w:w="1040" w:type="dxa"/>
            <w:tcBorders>
              <w:bottom w:val="single" w:sz="2" w:space="0" w:color="000000"/>
            </w:tcBorders>
            <w:shd w:fill="EDEDEE" w:val="clear"/>
            <w:tcMar>
              <w:bottom w:w="40" w:type="dxa"/>
            </w:tcMar>
            <w:vAlign w:val="center"/>
          </w:tcPr>
          <w:p>
            <w:pPr>
              <w:pStyle w:val="TableContents"/>
              <w:bidi w:val="0"/>
              <w:spacing w:before="0" w:after="283"/>
              <w:jc w:val="right"/>
              <w:rPr/>
            </w:pPr>
            <w:r>
              <w:rPr/>
              <w:t>–</w:t>
            </w:r>
          </w:p>
        </w:tc>
        <w:tc>
          <w:tcPr>
            <w:tcW w:w="300" w:type="dxa"/>
            <w:tcBorders>
              <w:bottom w:val="single" w:sz="2" w:space="0" w:color="000000"/>
            </w:tcBorders>
            <w:shd w:fill="EDEDEE" w:val="clear"/>
            <w:tcMar>
              <w:bottom w:w="40" w:type="dxa"/>
            </w:tcMar>
            <w:vAlign w:val="center"/>
          </w:tcPr>
          <w:p>
            <w:pPr>
              <w:pStyle w:val="TableContents"/>
              <w:bidi w:val="0"/>
              <w:spacing w:before="0" w:after="283"/>
              <w:jc w:val="left"/>
              <w:rPr/>
            </w:pPr>
            <w:r>
              <w:rPr/>
              <w:t> </w:t>
            </w:r>
          </w:p>
        </w:tc>
        <w:tc>
          <w:tcPr>
            <w:tcW w:w="1115" w:type="dxa"/>
            <w:tcBorders>
              <w:bottom w:val="single" w:sz="2" w:space="0" w:color="000000"/>
            </w:tcBorders>
            <w:shd w:fill="EDEDEE" w:val="clear"/>
            <w:tcMar>
              <w:bottom w:w="40" w:type="dxa"/>
            </w:tcMar>
            <w:vAlign w:val="center"/>
          </w:tcPr>
          <w:p>
            <w:pPr>
              <w:pStyle w:val="TableContents"/>
              <w:bidi w:val="0"/>
              <w:spacing w:before="0" w:after="283"/>
              <w:jc w:val="right"/>
              <w:rPr/>
            </w:pPr>
            <w:r>
              <w:rPr/>
              <w:t>–</w:t>
            </w:r>
          </w:p>
        </w:tc>
      </w:tr>
      <w:tr>
        <w:trPr/>
        <w:tc>
          <w:tcPr>
            <w:tcW w:w="710" w:type="dxa"/>
            <w:tcBorders>
              <w:bottom w:val="single" w:sz="2" w:space="0" w:color="000000"/>
            </w:tcBorders>
            <w:tcMar>
              <w:bottom w:w="40" w:type="dxa"/>
            </w:tcMar>
            <w:vAlign w:val="center"/>
          </w:tcPr>
          <w:p>
            <w:pPr>
              <w:pStyle w:val="TableContents"/>
              <w:bidi w:val="0"/>
              <w:spacing w:before="0" w:after="283"/>
              <w:jc w:val="left"/>
              <w:rPr/>
            </w:pPr>
            <w:r>
              <w:rPr/>
              <w:t>2/4/2020</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1265" w:type="dxa"/>
            <w:tcBorders>
              <w:bottom w:val="single" w:sz="2" w:space="0" w:color="000000"/>
            </w:tcBorders>
            <w:tcMar>
              <w:bottom w:w="40" w:type="dxa"/>
            </w:tcMar>
            <w:vAlign w:val="center"/>
          </w:tcPr>
          <w:p>
            <w:pPr>
              <w:pStyle w:val="TableContents"/>
              <w:bidi w:val="0"/>
              <w:spacing w:before="0" w:after="283"/>
              <w:jc w:val="right"/>
              <w:rPr/>
            </w:pPr>
            <w:r>
              <w:rPr/>
              <w:t>40,475</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1595" w:type="dxa"/>
            <w:tcBorders>
              <w:bottom w:val="single" w:sz="2" w:space="0" w:color="000000"/>
            </w:tcBorders>
            <w:tcMar>
              <w:bottom w:w="40" w:type="dxa"/>
            </w:tcMar>
            <w:vAlign w:val="center"/>
          </w:tcPr>
          <w:p>
            <w:pPr>
              <w:pStyle w:val="TableContents"/>
              <w:bidi w:val="0"/>
              <w:spacing w:before="0" w:after="283"/>
              <w:jc w:val="right"/>
              <w:rPr/>
            </w:pPr>
            <w:r>
              <w:rPr/>
              <w:t>–</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875" w:type="dxa"/>
            <w:tcBorders>
              <w:bottom w:val="single" w:sz="2" w:space="0" w:color="000000"/>
            </w:tcBorders>
            <w:tcMar>
              <w:bottom w:w="40" w:type="dxa"/>
            </w:tcMar>
            <w:vAlign w:val="center"/>
          </w:tcPr>
          <w:p>
            <w:pPr>
              <w:pStyle w:val="TableContents"/>
              <w:bidi w:val="0"/>
              <w:spacing w:before="0" w:after="283"/>
              <w:jc w:val="right"/>
              <w:rPr/>
            </w:pPr>
            <w:r>
              <w:rPr/>
              <w:t>$90.73</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1115" w:type="dxa"/>
            <w:tcBorders>
              <w:bottom w:val="single" w:sz="2" w:space="0" w:color="000000"/>
            </w:tcBorders>
            <w:tcMar>
              <w:bottom w:w="40" w:type="dxa"/>
            </w:tcMar>
            <w:vAlign w:val="center"/>
          </w:tcPr>
          <w:p>
            <w:pPr>
              <w:pStyle w:val="TableContents"/>
              <w:bidi w:val="0"/>
              <w:spacing w:before="0" w:after="283"/>
              <w:jc w:val="right"/>
              <w:rPr/>
            </w:pPr>
            <w:r>
              <w:rPr/>
              <w:t>2/3/2030</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875" w:type="dxa"/>
            <w:tcBorders>
              <w:bottom w:val="single" w:sz="2" w:space="0" w:color="000000"/>
            </w:tcBorders>
            <w:shd w:fill="EDEDEE" w:val="clear"/>
            <w:tcMar>
              <w:bottom w:w="40" w:type="dxa"/>
            </w:tcMar>
            <w:vAlign w:val="center"/>
          </w:tcPr>
          <w:p>
            <w:pPr>
              <w:pStyle w:val="TableContents"/>
              <w:bidi w:val="0"/>
              <w:spacing w:before="0" w:after="283"/>
              <w:jc w:val="right"/>
              <w:rPr/>
            </w:pPr>
            <w:r>
              <w:rPr/>
              <w:t>–</w:t>
            </w:r>
          </w:p>
        </w:tc>
        <w:tc>
          <w:tcPr>
            <w:tcW w:w="300" w:type="dxa"/>
            <w:tcBorders>
              <w:bottom w:val="single" w:sz="2" w:space="0" w:color="000000"/>
            </w:tcBorders>
            <w:shd w:fill="EDEDEE" w:val="clear"/>
            <w:tcMar>
              <w:bottom w:w="40" w:type="dxa"/>
            </w:tcMar>
            <w:vAlign w:val="center"/>
          </w:tcPr>
          <w:p>
            <w:pPr>
              <w:pStyle w:val="TableContents"/>
              <w:bidi w:val="0"/>
              <w:spacing w:before="0" w:after="283"/>
              <w:jc w:val="left"/>
              <w:rPr/>
            </w:pPr>
            <w:r>
              <w:rPr/>
              <w:t> </w:t>
            </w:r>
          </w:p>
        </w:tc>
        <w:tc>
          <w:tcPr>
            <w:tcW w:w="1100" w:type="dxa"/>
            <w:tcBorders>
              <w:bottom w:val="single" w:sz="2" w:space="0" w:color="000000"/>
            </w:tcBorders>
            <w:shd w:fill="EDEDEE" w:val="clear"/>
            <w:tcMar>
              <w:bottom w:w="40" w:type="dxa"/>
            </w:tcMar>
            <w:vAlign w:val="center"/>
          </w:tcPr>
          <w:p>
            <w:pPr>
              <w:pStyle w:val="TableContents"/>
              <w:bidi w:val="0"/>
              <w:spacing w:before="0" w:after="283"/>
              <w:jc w:val="right"/>
              <w:rPr/>
            </w:pPr>
            <w:r>
              <w:rPr/>
              <w:t>–</w:t>
            </w:r>
          </w:p>
        </w:tc>
        <w:tc>
          <w:tcPr>
            <w:tcW w:w="300" w:type="dxa"/>
            <w:tcBorders>
              <w:bottom w:val="single" w:sz="2" w:space="0" w:color="000000"/>
            </w:tcBorders>
            <w:shd w:fill="EDEDEE" w:val="clear"/>
            <w:tcMar>
              <w:bottom w:w="40" w:type="dxa"/>
            </w:tcMar>
            <w:vAlign w:val="center"/>
          </w:tcPr>
          <w:p>
            <w:pPr>
              <w:pStyle w:val="TableContents"/>
              <w:bidi w:val="0"/>
              <w:spacing w:before="0" w:after="283"/>
              <w:jc w:val="left"/>
              <w:rPr/>
            </w:pPr>
            <w:r>
              <w:rPr/>
              <w:t> </w:t>
            </w:r>
          </w:p>
        </w:tc>
        <w:tc>
          <w:tcPr>
            <w:tcW w:w="1040" w:type="dxa"/>
            <w:tcBorders>
              <w:bottom w:val="single" w:sz="2" w:space="0" w:color="000000"/>
            </w:tcBorders>
            <w:shd w:fill="EDEDEE" w:val="clear"/>
            <w:tcMar>
              <w:bottom w:w="40" w:type="dxa"/>
            </w:tcMar>
            <w:vAlign w:val="center"/>
          </w:tcPr>
          <w:p>
            <w:pPr>
              <w:pStyle w:val="TableContents"/>
              <w:bidi w:val="0"/>
              <w:spacing w:before="0" w:after="283"/>
              <w:jc w:val="right"/>
              <w:rPr/>
            </w:pPr>
            <w:r>
              <w:rPr/>
              <w:t>–</w:t>
            </w:r>
          </w:p>
        </w:tc>
        <w:tc>
          <w:tcPr>
            <w:tcW w:w="300" w:type="dxa"/>
            <w:tcBorders>
              <w:bottom w:val="single" w:sz="2" w:space="0" w:color="000000"/>
            </w:tcBorders>
            <w:shd w:fill="EDEDEE" w:val="clear"/>
            <w:tcMar>
              <w:bottom w:w="40" w:type="dxa"/>
            </w:tcMar>
            <w:vAlign w:val="center"/>
          </w:tcPr>
          <w:p>
            <w:pPr>
              <w:pStyle w:val="TableContents"/>
              <w:bidi w:val="0"/>
              <w:spacing w:before="0" w:after="283"/>
              <w:jc w:val="left"/>
              <w:rPr/>
            </w:pPr>
            <w:r>
              <w:rPr/>
              <w:t> </w:t>
            </w:r>
          </w:p>
        </w:tc>
        <w:tc>
          <w:tcPr>
            <w:tcW w:w="1115" w:type="dxa"/>
            <w:tcBorders>
              <w:bottom w:val="single" w:sz="2" w:space="0" w:color="000000"/>
            </w:tcBorders>
            <w:shd w:fill="EDEDEE" w:val="clear"/>
            <w:tcMar>
              <w:bottom w:w="40" w:type="dxa"/>
            </w:tcMar>
            <w:vAlign w:val="center"/>
          </w:tcPr>
          <w:p>
            <w:pPr>
              <w:pStyle w:val="TableContents"/>
              <w:bidi w:val="0"/>
              <w:spacing w:before="0" w:after="283"/>
              <w:jc w:val="right"/>
              <w:rPr/>
            </w:pPr>
            <w:r>
              <w:rPr/>
              <w:t>–</w:t>
            </w:r>
          </w:p>
        </w:tc>
      </w:tr>
      <w:tr>
        <w:trPr/>
        <w:tc>
          <w:tcPr>
            <w:tcW w:w="710" w:type="dxa"/>
            <w:tcBorders>
              <w:bottom w:val="single" w:sz="2" w:space="0" w:color="000000"/>
            </w:tcBorders>
            <w:tcMar>
              <w:bottom w:w="40" w:type="dxa"/>
            </w:tcMar>
            <w:vAlign w:val="center"/>
          </w:tcPr>
          <w:p>
            <w:pPr>
              <w:pStyle w:val="TableContents"/>
              <w:bidi w:val="0"/>
              <w:spacing w:before="0" w:after="283"/>
              <w:jc w:val="left"/>
              <w:rPr/>
            </w:pPr>
            <w:r>
              <w:rPr/>
              <w:t>2/5/2019</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1265" w:type="dxa"/>
            <w:tcBorders>
              <w:bottom w:val="single" w:sz="2" w:space="0" w:color="000000"/>
            </w:tcBorders>
            <w:tcMar>
              <w:bottom w:w="40" w:type="dxa"/>
            </w:tcMar>
            <w:vAlign w:val="center"/>
          </w:tcPr>
          <w:p>
            <w:pPr>
              <w:pStyle w:val="TableContents"/>
              <w:bidi w:val="0"/>
              <w:spacing w:before="0" w:after="283"/>
              <w:jc w:val="right"/>
              <w:rPr/>
            </w:pPr>
            <w:r>
              <w:rPr/>
              <w:t>38,000</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1595" w:type="dxa"/>
            <w:tcBorders>
              <w:bottom w:val="single" w:sz="2" w:space="0" w:color="000000"/>
            </w:tcBorders>
            <w:tcMar>
              <w:bottom w:w="40" w:type="dxa"/>
            </w:tcMar>
            <w:vAlign w:val="center"/>
          </w:tcPr>
          <w:p>
            <w:pPr>
              <w:pStyle w:val="TableContents"/>
              <w:bidi w:val="0"/>
              <w:spacing w:before="0" w:after="283"/>
              <w:jc w:val="right"/>
              <w:rPr/>
            </w:pPr>
            <w:r>
              <w:rPr/>
              <w:t>–</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875" w:type="dxa"/>
            <w:tcBorders>
              <w:bottom w:val="single" w:sz="2" w:space="0" w:color="000000"/>
            </w:tcBorders>
            <w:tcMar>
              <w:bottom w:w="40" w:type="dxa"/>
            </w:tcMar>
            <w:vAlign w:val="center"/>
          </w:tcPr>
          <w:p>
            <w:pPr>
              <w:pStyle w:val="TableContents"/>
              <w:bidi w:val="0"/>
              <w:spacing w:before="0" w:after="283"/>
              <w:jc w:val="right"/>
              <w:rPr/>
            </w:pPr>
            <w:r>
              <w:rPr/>
              <w:t>$71.62</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1115" w:type="dxa"/>
            <w:tcBorders>
              <w:bottom w:val="single" w:sz="2" w:space="0" w:color="000000"/>
            </w:tcBorders>
            <w:tcMar>
              <w:bottom w:w="40" w:type="dxa"/>
            </w:tcMar>
            <w:vAlign w:val="center"/>
          </w:tcPr>
          <w:p>
            <w:pPr>
              <w:pStyle w:val="TableContents"/>
              <w:bidi w:val="0"/>
              <w:spacing w:before="0" w:after="283"/>
              <w:jc w:val="right"/>
              <w:rPr/>
            </w:pPr>
            <w:r>
              <w:rPr/>
              <w:t>2/4/2029</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875" w:type="dxa"/>
            <w:tcBorders>
              <w:bottom w:val="single" w:sz="2" w:space="0" w:color="000000"/>
            </w:tcBorders>
            <w:shd w:fill="EDEDEE" w:val="clear"/>
            <w:tcMar>
              <w:bottom w:w="40" w:type="dxa"/>
            </w:tcMar>
            <w:vAlign w:val="center"/>
          </w:tcPr>
          <w:p>
            <w:pPr>
              <w:pStyle w:val="TableContents"/>
              <w:bidi w:val="0"/>
              <w:spacing w:before="0" w:after="283"/>
              <w:jc w:val="right"/>
              <w:rPr/>
            </w:pPr>
            <w:r>
              <w:rPr/>
              <w:t>–</w:t>
            </w:r>
          </w:p>
        </w:tc>
        <w:tc>
          <w:tcPr>
            <w:tcW w:w="300" w:type="dxa"/>
            <w:tcBorders>
              <w:bottom w:val="single" w:sz="2" w:space="0" w:color="000000"/>
            </w:tcBorders>
            <w:shd w:fill="EDEDEE" w:val="clear"/>
            <w:tcMar>
              <w:bottom w:w="40" w:type="dxa"/>
            </w:tcMar>
            <w:vAlign w:val="center"/>
          </w:tcPr>
          <w:p>
            <w:pPr>
              <w:pStyle w:val="TableContents"/>
              <w:bidi w:val="0"/>
              <w:spacing w:before="0" w:after="283"/>
              <w:jc w:val="left"/>
              <w:rPr/>
            </w:pPr>
            <w:r>
              <w:rPr/>
              <w:t> </w:t>
            </w:r>
          </w:p>
        </w:tc>
        <w:tc>
          <w:tcPr>
            <w:tcW w:w="1100" w:type="dxa"/>
            <w:tcBorders>
              <w:bottom w:val="single" w:sz="2" w:space="0" w:color="000000"/>
            </w:tcBorders>
            <w:shd w:fill="EDEDEE" w:val="clear"/>
            <w:tcMar>
              <w:bottom w:w="40" w:type="dxa"/>
            </w:tcMar>
            <w:vAlign w:val="center"/>
          </w:tcPr>
          <w:p>
            <w:pPr>
              <w:pStyle w:val="TableContents"/>
              <w:bidi w:val="0"/>
              <w:spacing w:before="0" w:after="283"/>
              <w:jc w:val="right"/>
              <w:rPr/>
            </w:pPr>
            <w:r>
              <w:rPr/>
              <w:t>–</w:t>
            </w:r>
          </w:p>
        </w:tc>
        <w:tc>
          <w:tcPr>
            <w:tcW w:w="300" w:type="dxa"/>
            <w:tcBorders>
              <w:bottom w:val="single" w:sz="2" w:space="0" w:color="000000"/>
            </w:tcBorders>
            <w:shd w:fill="EDEDEE" w:val="clear"/>
            <w:tcMar>
              <w:bottom w:w="40" w:type="dxa"/>
            </w:tcMar>
            <w:vAlign w:val="center"/>
          </w:tcPr>
          <w:p>
            <w:pPr>
              <w:pStyle w:val="TableContents"/>
              <w:bidi w:val="0"/>
              <w:spacing w:before="0" w:after="283"/>
              <w:jc w:val="left"/>
              <w:rPr/>
            </w:pPr>
            <w:r>
              <w:rPr/>
              <w:t> </w:t>
            </w:r>
          </w:p>
        </w:tc>
        <w:tc>
          <w:tcPr>
            <w:tcW w:w="1040" w:type="dxa"/>
            <w:tcBorders>
              <w:bottom w:val="single" w:sz="2" w:space="0" w:color="000000"/>
            </w:tcBorders>
            <w:shd w:fill="EDEDEE" w:val="clear"/>
            <w:tcMar>
              <w:bottom w:w="40" w:type="dxa"/>
            </w:tcMar>
            <w:vAlign w:val="center"/>
          </w:tcPr>
          <w:p>
            <w:pPr>
              <w:pStyle w:val="TableContents"/>
              <w:bidi w:val="0"/>
              <w:spacing w:before="0" w:after="283"/>
              <w:jc w:val="right"/>
              <w:rPr/>
            </w:pPr>
            <w:r>
              <w:rPr/>
              <w:t>–</w:t>
            </w:r>
          </w:p>
        </w:tc>
        <w:tc>
          <w:tcPr>
            <w:tcW w:w="300" w:type="dxa"/>
            <w:tcBorders>
              <w:bottom w:val="single" w:sz="2" w:space="0" w:color="000000"/>
            </w:tcBorders>
            <w:shd w:fill="EDEDEE" w:val="clear"/>
            <w:tcMar>
              <w:bottom w:w="40" w:type="dxa"/>
            </w:tcMar>
            <w:vAlign w:val="center"/>
          </w:tcPr>
          <w:p>
            <w:pPr>
              <w:pStyle w:val="TableContents"/>
              <w:bidi w:val="0"/>
              <w:spacing w:before="0" w:after="283"/>
              <w:jc w:val="left"/>
              <w:rPr/>
            </w:pPr>
            <w:r>
              <w:rPr/>
              <w:t> </w:t>
            </w:r>
          </w:p>
        </w:tc>
        <w:tc>
          <w:tcPr>
            <w:tcW w:w="1115" w:type="dxa"/>
            <w:tcBorders>
              <w:bottom w:val="single" w:sz="2" w:space="0" w:color="000000"/>
            </w:tcBorders>
            <w:shd w:fill="EDEDEE" w:val="clear"/>
            <w:tcMar>
              <w:bottom w:w="40" w:type="dxa"/>
            </w:tcMar>
            <w:vAlign w:val="center"/>
          </w:tcPr>
          <w:p>
            <w:pPr>
              <w:pStyle w:val="TableContents"/>
              <w:bidi w:val="0"/>
              <w:spacing w:before="0" w:after="283"/>
              <w:jc w:val="right"/>
              <w:rPr/>
            </w:pPr>
            <w:r>
              <w:rPr/>
              <w:t>–</w:t>
            </w:r>
          </w:p>
        </w:tc>
      </w:tr>
      <w:tr>
        <w:trPr/>
        <w:tc>
          <w:tcPr>
            <w:tcW w:w="710" w:type="dxa"/>
            <w:tcBorders>
              <w:bottom w:val="single" w:sz="12" w:space="0" w:color="636466"/>
            </w:tcBorders>
            <w:tcMar>
              <w:bottom w:w="40" w:type="dxa"/>
            </w:tcMar>
            <w:vAlign w:val="center"/>
          </w:tcPr>
          <w:p>
            <w:pPr>
              <w:pStyle w:val="TableContents"/>
              <w:bidi w:val="0"/>
              <w:spacing w:before="0" w:after="283"/>
              <w:jc w:val="left"/>
              <w:rPr/>
            </w:pPr>
            <w:r>
              <w:rPr/>
              <w:t>11/1/2016</w:t>
            </w:r>
          </w:p>
        </w:tc>
        <w:tc>
          <w:tcPr>
            <w:tcW w:w="300" w:type="dxa"/>
            <w:tcBorders>
              <w:bottom w:val="single" w:sz="12" w:space="0" w:color="636466"/>
            </w:tcBorders>
            <w:tcMar>
              <w:bottom w:w="40" w:type="dxa"/>
            </w:tcMar>
            <w:vAlign w:val="center"/>
          </w:tcPr>
          <w:p>
            <w:pPr>
              <w:pStyle w:val="TableContents"/>
              <w:bidi w:val="0"/>
              <w:spacing w:before="0" w:after="283"/>
              <w:jc w:val="left"/>
              <w:rPr/>
            </w:pPr>
            <w:r>
              <w:rPr/>
              <w:t> </w:t>
            </w:r>
          </w:p>
        </w:tc>
        <w:tc>
          <w:tcPr>
            <w:tcW w:w="1265" w:type="dxa"/>
            <w:tcBorders>
              <w:bottom w:val="single" w:sz="12" w:space="0" w:color="636466"/>
            </w:tcBorders>
            <w:tcMar>
              <w:bottom w:w="40" w:type="dxa"/>
            </w:tcMar>
            <w:vAlign w:val="center"/>
          </w:tcPr>
          <w:p>
            <w:pPr>
              <w:pStyle w:val="TableContents"/>
              <w:bidi w:val="0"/>
              <w:spacing w:before="0" w:after="283"/>
              <w:jc w:val="right"/>
              <w:rPr/>
            </w:pPr>
            <w:r>
              <w:rPr/>
              <w:t>–</w:t>
            </w:r>
          </w:p>
        </w:tc>
        <w:tc>
          <w:tcPr>
            <w:tcW w:w="300" w:type="dxa"/>
            <w:tcBorders>
              <w:bottom w:val="single" w:sz="12" w:space="0" w:color="636466"/>
            </w:tcBorders>
            <w:tcMar>
              <w:bottom w:w="40" w:type="dxa"/>
            </w:tcMar>
            <w:vAlign w:val="center"/>
          </w:tcPr>
          <w:p>
            <w:pPr>
              <w:pStyle w:val="TableContents"/>
              <w:bidi w:val="0"/>
              <w:spacing w:before="0" w:after="283"/>
              <w:jc w:val="left"/>
              <w:rPr/>
            </w:pPr>
            <w:r>
              <w:rPr/>
              <w:t> </w:t>
            </w:r>
          </w:p>
        </w:tc>
        <w:tc>
          <w:tcPr>
            <w:tcW w:w="1595" w:type="dxa"/>
            <w:tcBorders>
              <w:bottom w:val="single" w:sz="12" w:space="0" w:color="636466"/>
            </w:tcBorders>
            <w:tcMar>
              <w:bottom w:w="40" w:type="dxa"/>
            </w:tcMar>
            <w:vAlign w:val="center"/>
          </w:tcPr>
          <w:p>
            <w:pPr>
              <w:pStyle w:val="TableContents"/>
              <w:bidi w:val="0"/>
              <w:spacing w:before="0" w:after="283"/>
              <w:jc w:val="right"/>
              <w:rPr/>
            </w:pPr>
            <w:r>
              <w:rPr/>
              <w:t>–</w:t>
            </w:r>
          </w:p>
        </w:tc>
        <w:tc>
          <w:tcPr>
            <w:tcW w:w="300" w:type="dxa"/>
            <w:tcBorders>
              <w:bottom w:val="single" w:sz="12" w:space="0" w:color="636466"/>
            </w:tcBorders>
            <w:tcMar>
              <w:bottom w:w="40" w:type="dxa"/>
            </w:tcMar>
            <w:vAlign w:val="center"/>
          </w:tcPr>
          <w:p>
            <w:pPr>
              <w:pStyle w:val="TableContents"/>
              <w:bidi w:val="0"/>
              <w:spacing w:before="0" w:after="283"/>
              <w:jc w:val="left"/>
              <w:rPr/>
            </w:pPr>
            <w:r>
              <w:rPr/>
              <w:t> </w:t>
            </w:r>
          </w:p>
        </w:tc>
        <w:tc>
          <w:tcPr>
            <w:tcW w:w="875" w:type="dxa"/>
            <w:tcBorders>
              <w:bottom w:val="single" w:sz="12" w:space="0" w:color="636466"/>
            </w:tcBorders>
            <w:tcMar>
              <w:bottom w:w="40" w:type="dxa"/>
            </w:tcMar>
            <w:vAlign w:val="center"/>
          </w:tcPr>
          <w:p>
            <w:pPr>
              <w:pStyle w:val="TableContents"/>
              <w:bidi w:val="0"/>
              <w:spacing w:before="0" w:after="283"/>
              <w:jc w:val="right"/>
              <w:rPr/>
            </w:pPr>
            <w:r>
              <w:rPr/>
              <w:t>–</w:t>
            </w:r>
          </w:p>
        </w:tc>
        <w:tc>
          <w:tcPr>
            <w:tcW w:w="300" w:type="dxa"/>
            <w:tcBorders>
              <w:bottom w:val="single" w:sz="12" w:space="0" w:color="636466"/>
            </w:tcBorders>
            <w:tcMar>
              <w:bottom w:w="40" w:type="dxa"/>
            </w:tcMar>
            <w:vAlign w:val="center"/>
          </w:tcPr>
          <w:p>
            <w:pPr>
              <w:pStyle w:val="TableContents"/>
              <w:bidi w:val="0"/>
              <w:spacing w:before="0" w:after="283"/>
              <w:jc w:val="left"/>
              <w:rPr/>
            </w:pPr>
            <w:r>
              <w:rPr/>
              <w:t> </w:t>
            </w:r>
          </w:p>
        </w:tc>
        <w:tc>
          <w:tcPr>
            <w:tcW w:w="1115" w:type="dxa"/>
            <w:tcBorders>
              <w:bottom w:val="single" w:sz="12" w:space="0" w:color="636466"/>
            </w:tcBorders>
            <w:tcMar>
              <w:bottom w:w="40" w:type="dxa"/>
            </w:tcMar>
            <w:vAlign w:val="center"/>
          </w:tcPr>
          <w:p>
            <w:pPr>
              <w:pStyle w:val="TableContents"/>
              <w:bidi w:val="0"/>
              <w:spacing w:before="0" w:after="283"/>
              <w:jc w:val="right"/>
              <w:rPr/>
            </w:pPr>
            <w:r>
              <w:rPr/>
              <w:t>–</w:t>
            </w:r>
          </w:p>
        </w:tc>
        <w:tc>
          <w:tcPr>
            <w:tcW w:w="300" w:type="dxa"/>
            <w:tcBorders>
              <w:bottom w:val="single" w:sz="12" w:space="0" w:color="636466"/>
            </w:tcBorders>
            <w:tcMar>
              <w:bottom w:w="40" w:type="dxa"/>
            </w:tcMar>
            <w:vAlign w:val="center"/>
          </w:tcPr>
          <w:p>
            <w:pPr>
              <w:pStyle w:val="TableContents"/>
              <w:bidi w:val="0"/>
              <w:spacing w:before="0" w:after="283"/>
              <w:jc w:val="left"/>
              <w:rPr/>
            </w:pPr>
            <w:r>
              <w:rPr/>
              <w:t> </w:t>
            </w:r>
          </w:p>
        </w:tc>
        <w:tc>
          <w:tcPr>
            <w:tcW w:w="875" w:type="dxa"/>
            <w:tcBorders>
              <w:bottom w:val="single" w:sz="12" w:space="0" w:color="636466"/>
            </w:tcBorders>
            <w:shd w:fill="EDEDEE" w:val="clear"/>
            <w:tcMar>
              <w:bottom w:w="40" w:type="dxa"/>
            </w:tcMar>
            <w:vAlign w:val="center"/>
          </w:tcPr>
          <w:p>
            <w:pPr>
              <w:pStyle w:val="TableContents"/>
              <w:bidi w:val="0"/>
              <w:spacing w:before="0" w:after="283"/>
              <w:jc w:val="right"/>
              <w:rPr/>
            </w:pPr>
            <w:r>
              <w:rPr/>
              <w:t>30,753</w:t>
            </w:r>
            <w:r>
              <w:rPr>
                <w:position w:val="8"/>
                <w:sz w:val="19"/>
              </w:rPr>
              <w:t>(6)</w:t>
            </w:r>
          </w:p>
        </w:tc>
        <w:tc>
          <w:tcPr>
            <w:tcW w:w="300" w:type="dxa"/>
            <w:tcBorders>
              <w:bottom w:val="single" w:sz="12" w:space="0" w:color="636466"/>
            </w:tcBorders>
            <w:shd w:fill="EDEDEE" w:val="clear"/>
            <w:tcMar>
              <w:bottom w:w="40" w:type="dxa"/>
            </w:tcMar>
            <w:vAlign w:val="center"/>
          </w:tcPr>
          <w:p>
            <w:pPr>
              <w:pStyle w:val="TableContents"/>
              <w:bidi w:val="0"/>
              <w:spacing w:before="0" w:after="283"/>
              <w:jc w:val="left"/>
              <w:rPr/>
            </w:pPr>
            <w:r>
              <w:rPr/>
              <w:t> </w:t>
            </w:r>
          </w:p>
        </w:tc>
        <w:tc>
          <w:tcPr>
            <w:tcW w:w="1100" w:type="dxa"/>
            <w:tcBorders>
              <w:bottom w:val="single" w:sz="12" w:space="0" w:color="636466"/>
            </w:tcBorders>
            <w:shd w:fill="EDEDEE" w:val="clear"/>
            <w:tcMar>
              <w:bottom w:w="40" w:type="dxa"/>
            </w:tcMar>
            <w:vAlign w:val="center"/>
          </w:tcPr>
          <w:p>
            <w:pPr>
              <w:pStyle w:val="TableContents"/>
              <w:bidi w:val="0"/>
              <w:spacing w:before="0" w:after="283"/>
              <w:jc w:val="right"/>
              <w:rPr/>
            </w:pPr>
            <w:r>
              <w:rPr/>
              <w:t>$5,640,100</w:t>
            </w:r>
          </w:p>
        </w:tc>
        <w:tc>
          <w:tcPr>
            <w:tcW w:w="300" w:type="dxa"/>
            <w:tcBorders>
              <w:bottom w:val="single" w:sz="12" w:space="0" w:color="636466"/>
            </w:tcBorders>
            <w:shd w:fill="EDEDEE" w:val="clear"/>
            <w:tcMar>
              <w:bottom w:w="40" w:type="dxa"/>
            </w:tcMar>
            <w:vAlign w:val="center"/>
          </w:tcPr>
          <w:p>
            <w:pPr>
              <w:pStyle w:val="TableContents"/>
              <w:bidi w:val="0"/>
              <w:spacing w:before="0" w:after="283"/>
              <w:jc w:val="left"/>
              <w:rPr/>
            </w:pPr>
            <w:r>
              <w:rPr/>
              <w:t> </w:t>
            </w:r>
          </w:p>
        </w:tc>
        <w:tc>
          <w:tcPr>
            <w:tcW w:w="1040" w:type="dxa"/>
            <w:tcBorders>
              <w:bottom w:val="single" w:sz="12" w:space="0" w:color="636466"/>
            </w:tcBorders>
            <w:shd w:fill="EDEDEE" w:val="clear"/>
            <w:tcMar>
              <w:bottom w:w="40" w:type="dxa"/>
            </w:tcMar>
            <w:vAlign w:val="center"/>
          </w:tcPr>
          <w:p>
            <w:pPr>
              <w:pStyle w:val="TableContents"/>
              <w:bidi w:val="0"/>
              <w:spacing w:before="0" w:after="283"/>
              <w:jc w:val="right"/>
              <w:rPr/>
            </w:pPr>
            <w:r>
              <w:rPr/>
              <w:t>–</w:t>
            </w:r>
          </w:p>
        </w:tc>
        <w:tc>
          <w:tcPr>
            <w:tcW w:w="300" w:type="dxa"/>
            <w:tcBorders>
              <w:bottom w:val="single" w:sz="12" w:space="0" w:color="636466"/>
            </w:tcBorders>
            <w:shd w:fill="EDEDEE" w:val="clear"/>
            <w:tcMar>
              <w:bottom w:w="40" w:type="dxa"/>
            </w:tcMar>
            <w:vAlign w:val="center"/>
          </w:tcPr>
          <w:p>
            <w:pPr>
              <w:pStyle w:val="TableContents"/>
              <w:bidi w:val="0"/>
              <w:spacing w:before="0" w:after="283"/>
              <w:jc w:val="left"/>
              <w:rPr/>
            </w:pPr>
            <w:r>
              <w:rPr/>
              <w:t> </w:t>
            </w:r>
          </w:p>
        </w:tc>
        <w:tc>
          <w:tcPr>
            <w:tcW w:w="1115" w:type="dxa"/>
            <w:tcBorders>
              <w:bottom w:val="single" w:sz="12" w:space="0" w:color="636466"/>
            </w:tcBorders>
            <w:shd w:fill="EDEDEE" w:val="clear"/>
            <w:tcMar>
              <w:bottom w:w="40" w:type="dxa"/>
            </w:tcMar>
            <w:vAlign w:val="center"/>
          </w:tcPr>
          <w:p>
            <w:pPr>
              <w:pStyle w:val="TableContents"/>
              <w:bidi w:val="0"/>
              <w:spacing w:before="0" w:after="283"/>
              <w:jc w:val="right"/>
              <w:rPr/>
            </w:pPr>
            <w:r>
              <w:rPr/>
              <w:t>–</w:t>
            </w:r>
          </w:p>
        </w:tc>
      </w:tr>
      <w:tr>
        <w:trPr/>
        <w:tc>
          <w:tcPr>
            <w:tcW w:w="710" w:type="dxa"/>
            <w:tcBorders>
              <w:bottom w:val="single" w:sz="12" w:space="0" w:color="C12E33"/>
            </w:tcBorders>
            <w:tcMar>
              <w:bottom w:w="40" w:type="dxa"/>
            </w:tcMar>
            <w:vAlign w:val="center"/>
          </w:tcPr>
          <w:p>
            <w:pPr>
              <w:pStyle w:val="TableContents"/>
              <w:bidi w:val="0"/>
              <w:spacing w:before="0" w:after="283"/>
              <w:jc w:val="left"/>
              <w:rPr>
                <w:b/>
              </w:rPr>
            </w:pPr>
            <w:r>
              <w:rPr>
                <w:b/>
              </w:rPr>
              <w:t>T. Brunk</w:t>
            </w:r>
          </w:p>
        </w:tc>
        <w:tc>
          <w:tcPr>
            <w:tcW w:w="300" w:type="dxa"/>
            <w:tcBorders>
              <w:bottom w:val="single" w:sz="12" w:space="0" w:color="C12E33"/>
            </w:tcBorders>
            <w:tcMar>
              <w:bottom w:w="40" w:type="dxa"/>
            </w:tcMar>
            <w:vAlign w:val="center"/>
          </w:tcPr>
          <w:p>
            <w:pPr>
              <w:pStyle w:val="TableContents"/>
              <w:bidi w:val="0"/>
              <w:spacing w:before="0" w:after="283"/>
              <w:jc w:val="left"/>
              <w:rPr/>
            </w:pPr>
            <w:r>
              <w:rPr/>
              <w:t> </w:t>
            </w:r>
          </w:p>
        </w:tc>
        <w:tc>
          <w:tcPr>
            <w:tcW w:w="1265" w:type="dxa"/>
            <w:tcBorders>
              <w:bottom w:val="single" w:sz="12" w:space="0" w:color="C12E33"/>
            </w:tcBorders>
            <w:tcMar>
              <w:bottom w:w="40" w:type="dxa"/>
            </w:tcMar>
            <w:vAlign w:val="center"/>
          </w:tcPr>
          <w:p>
            <w:pPr>
              <w:pStyle w:val="TableContents"/>
              <w:bidi w:val="0"/>
              <w:spacing w:before="0" w:after="283"/>
              <w:jc w:val="left"/>
              <w:rPr/>
            </w:pPr>
            <w:r>
              <w:rPr/>
              <w:t> </w:t>
            </w:r>
          </w:p>
        </w:tc>
        <w:tc>
          <w:tcPr>
            <w:tcW w:w="300" w:type="dxa"/>
            <w:tcBorders>
              <w:bottom w:val="single" w:sz="12" w:space="0" w:color="C12E33"/>
            </w:tcBorders>
            <w:tcMar>
              <w:bottom w:w="40" w:type="dxa"/>
            </w:tcMar>
            <w:vAlign w:val="center"/>
          </w:tcPr>
          <w:p>
            <w:pPr>
              <w:pStyle w:val="TableContents"/>
              <w:bidi w:val="0"/>
              <w:spacing w:before="0" w:after="283"/>
              <w:jc w:val="left"/>
              <w:rPr/>
            </w:pPr>
            <w:r>
              <w:rPr/>
              <w:t> </w:t>
            </w:r>
          </w:p>
        </w:tc>
        <w:tc>
          <w:tcPr>
            <w:tcW w:w="1595" w:type="dxa"/>
            <w:tcBorders>
              <w:bottom w:val="single" w:sz="12" w:space="0" w:color="C12E33"/>
            </w:tcBorders>
            <w:tcMar>
              <w:bottom w:w="40" w:type="dxa"/>
            </w:tcMar>
            <w:vAlign w:val="center"/>
          </w:tcPr>
          <w:p>
            <w:pPr>
              <w:pStyle w:val="TableContents"/>
              <w:bidi w:val="0"/>
              <w:spacing w:before="0" w:after="283"/>
              <w:jc w:val="left"/>
              <w:rPr/>
            </w:pPr>
            <w:r>
              <w:rPr/>
              <w:t> </w:t>
            </w:r>
          </w:p>
        </w:tc>
        <w:tc>
          <w:tcPr>
            <w:tcW w:w="300" w:type="dxa"/>
            <w:tcBorders>
              <w:bottom w:val="single" w:sz="12" w:space="0" w:color="C12E33"/>
            </w:tcBorders>
            <w:tcMar>
              <w:bottom w:w="40" w:type="dxa"/>
            </w:tcMar>
            <w:vAlign w:val="center"/>
          </w:tcPr>
          <w:p>
            <w:pPr>
              <w:pStyle w:val="TableContents"/>
              <w:bidi w:val="0"/>
              <w:spacing w:before="0" w:after="283"/>
              <w:jc w:val="left"/>
              <w:rPr/>
            </w:pPr>
            <w:r>
              <w:rPr/>
              <w:t> </w:t>
            </w:r>
          </w:p>
        </w:tc>
        <w:tc>
          <w:tcPr>
            <w:tcW w:w="875" w:type="dxa"/>
            <w:tcBorders>
              <w:bottom w:val="single" w:sz="12" w:space="0" w:color="C12E33"/>
            </w:tcBorders>
            <w:tcMar>
              <w:bottom w:w="40" w:type="dxa"/>
            </w:tcMar>
            <w:vAlign w:val="center"/>
          </w:tcPr>
          <w:p>
            <w:pPr>
              <w:pStyle w:val="TableContents"/>
              <w:bidi w:val="0"/>
              <w:spacing w:before="0" w:after="283"/>
              <w:jc w:val="left"/>
              <w:rPr/>
            </w:pPr>
            <w:r>
              <w:rPr/>
              <w:t> </w:t>
            </w:r>
          </w:p>
        </w:tc>
        <w:tc>
          <w:tcPr>
            <w:tcW w:w="300" w:type="dxa"/>
            <w:tcBorders>
              <w:bottom w:val="single" w:sz="12" w:space="0" w:color="C12E33"/>
            </w:tcBorders>
            <w:tcMar>
              <w:bottom w:w="40" w:type="dxa"/>
            </w:tcMar>
            <w:vAlign w:val="center"/>
          </w:tcPr>
          <w:p>
            <w:pPr>
              <w:pStyle w:val="TableContents"/>
              <w:bidi w:val="0"/>
              <w:spacing w:before="0" w:after="283"/>
              <w:jc w:val="left"/>
              <w:rPr/>
            </w:pPr>
            <w:r>
              <w:rPr/>
              <w:t> </w:t>
            </w:r>
          </w:p>
        </w:tc>
        <w:tc>
          <w:tcPr>
            <w:tcW w:w="1115" w:type="dxa"/>
            <w:tcBorders>
              <w:bottom w:val="single" w:sz="12" w:space="0" w:color="C12E33"/>
            </w:tcBorders>
            <w:tcMar>
              <w:bottom w:w="40" w:type="dxa"/>
            </w:tcMar>
            <w:vAlign w:val="center"/>
          </w:tcPr>
          <w:p>
            <w:pPr>
              <w:pStyle w:val="TableContents"/>
              <w:bidi w:val="0"/>
              <w:spacing w:before="0" w:after="283"/>
              <w:jc w:val="left"/>
              <w:rPr/>
            </w:pPr>
            <w:r>
              <w:rPr/>
              <w:t> </w:t>
            </w:r>
          </w:p>
        </w:tc>
        <w:tc>
          <w:tcPr>
            <w:tcW w:w="300" w:type="dxa"/>
            <w:tcBorders>
              <w:bottom w:val="single" w:sz="12" w:space="0" w:color="C12E33"/>
            </w:tcBorders>
            <w:tcMar>
              <w:bottom w:w="40" w:type="dxa"/>
            </w:tcMar>
            <w:vAlign w:val="center"/>
          </w:tcPr>
          <w:p>
            <w:pPr>
              <w:pStyle w:val="TableContents"/>
              <w:bidi w:val="0"/>
              <w:spacing w:before="0" w:after="283"/>
              <w:jc w:val="left"/>
              <w:rPr/>
            </w:pPr>
            <w:r>
              <w:rPr/>
              <w:t> </w:t>
            </w:r>
          </w:p>
        </w:tc>
        <w:tc>
          <w:tcPr>
            <w:tcW w:w="875" w:type="dxa"/>
            <w:tcBorders>
              <w:bottom w:val="single" w:sz="12" w:space="0" w:color="C12E33"/>
            </w:tcBorders>
            <w:shd w:fill="EDEDEE" w:val="clear"/>
            <w:tcMar>
              <w:bottom w:w="40" w:type="dxa"/>
            </w:tcMar>
            <w:vAlign w:val="center"/>
          </w:tcPr>
          <w:p>
            <w:pPr>
              <w:pStyle w:val="TableContents"/>
              <w:bidi w:val="0"/>
              <w:spacing w:before="0" w:after="283"/>
              <w:jc w:val="left"/>
              <w:rPr/>
            </w:pPr>
            <w:r>
              <w:rPr/>
              <w:t> </w:t>
            </w:r>
          </w:p>
        </w:tc>
        <w:tc>
          <w:tcPr>
            <w:tcW w:w="300" w:type="dxa"/>
            <w:tcBorders>
              <w:bottom w:val="single" w:sz="12" w:space="0" w:color="C12E33"/>
            </w:tcBorders>
            <w:shd w:fill="EDEDEE" w:val="clear"/>
            <w:tcMar>
              <w:bottom w:w="40" w:type="dxa"/>
            </w:tcMar>
            <w:vAlign w:val="center"/>
          </w:tcPr>
          <w:p>
            <w:pPr>
              <w:pStyle w:val="TableContents"/>
              <w:bidi w:val="0"/>
              <w:spacing w:before="0" w:after="283"/>
              <w:jc w:val="left"/>
              <w:rPr/>
            </w:pPr>
            <w:r>
              <w:rPr/>
              <w:t> </w:t>
            </w:r>
          </w:p>
        </w:tc>
        <w:tc>
          <w:tcPr>
            <w:tcW w:w="1100" w:type="dxa"/>
            <w:tcBorders>
              <w:bottom w:val="single" w:sz="12" w:space="0" w:color="C12E33"/>
            </w:tcBorders>
            <w:shd w:fill="EDEDEE" w:val="clear"/>
            <w:tcMar>
              <w:bottom w:w="40" w:type="dxa"/>
            </w:tcMar>
            <w:vAlign w:val="center"/>
          </w:tcPr>
          <w:p>
            <w:pPr>
              <w:pStyle w:val="TableContents"/>
              <w:bidi w:val="0"/>
              <w:spacing w:before="0" w:after="283"/>
              <w:jc w:val="left"/>
              <w:rPr/>
            </w:pPr>
            <w:r>
              <w:rPr/>
              <w:t> </w:t>
            </w:r>
          </w:p>
        </w:tc>
        <w:tc>
          <w:tcPr>
            <w:tcW w:w="300" w:type="dxa"/>
            <w:tcBorders>
              <w:bottom w:val="single" w:sz="12" w:space="0" w:color="C12E33"/>
            </w:tcBorders>
            <w:shd w:fill="EDEDEE" w:val="clear"/>
            <w:tcMar>
              <w:bottom w:w="40" w:type="dxa"/>
            </w:tcMar>
            <w:vAlign w:val="center"/>
          </w:tcPr>
          <w:p>
            <w:pPr>
              <w:pStyle w:val="TableContents"/>
              <w:bidi w:val="0"/>
              <w:spacing w:before="0" w:after="283"/>
              <w:jc w:val="left"/>
              <w:rPr/>
            </w:pPr>
            <w:r>
              <w:rPr/>
              <w:t> </w:t>
            </w:r>
          </w:p>
        </w:tc>
        <w:tc>
          <w:tcPr>
            <w:tcW w:w="1040" w:type="dxa"/>
            <w:tcBorders>
              <w:bottom w:val="single" w:sz="12" w:space="0" w:color="C12E33"/>
            </w:tcBorders>
            <w:shd w:fill="EDEDEE" w:val="clear"/>
            <w:tcMar>
              <w:bottom w:w="40" w:type="dxa"/>
            </w:tcMar>
            <w:vAlign w:val="center"/>
          </w:tcPr>
          <w:p>
            <w:pPr>
              <w:pStyle w:val="TableContents"/>
              <w:bidi w:val="0"/>
              <w:spacing w:before="0" w:after="283"/>
              <w:jc w:val="left"/>
              <w:rPr/>
            </w:pPr>
            <w:r>
              <w:rPr/>
              <w:t> </w:t>
            </w:r>
          </w:p>
        </w:tc>
        <w:tc>
          <w:tcPr>
            <w:tcW w:w="300" w:type="dxa"/>
            <w:tcBorders>
              <w:bottom w:val="single" w:sz="12" w:space="0" w:color="C12E33"/>
            </w:tcBorders>
            <w:shd w:fill="EDEDEE" w:val="clear"/>
            <w:tcMar>
              <w:bottom w:w="40" w:type="dxa"/>
            </w:tcMar>
            <w:vAlign w:val="center"/>
          </w:tcPr>
          <w:p>
            <w:pPr>
              <w:pStyle w:val="TableContents"/>
              <w:bidi w:val="0"/>
              <w:spacing w:before="0" w:after="283"/>
              <w:jc w:val="left"/>
              <w:rPr/>
            </w:pPr>
            <w:r>
              <w:rPr/>
              <w:t> </w:t>
            </w:r>
          </w:p>
        </w:tc>
        <w:tc>
          <w:tcPr>
            <w:tcW w:w="1115" w:type="dxa"/>
            <w:tcBorders>
              <w:bottom w:val="single" w:sz="12" w:space="0" w:color="C12E33"/>
            </w:tcBorders>
            <w:shd w:fill="EDEDEE" w:val="clear"/>
            <w:tcMar>
              <w:bottom w:w="40" w:type="dxa"/>
            </w:tcMar>
            <w:vAlign w:val="center"/>
          </w:tcPr>
          <w:p>
            <w:pPr>
              <w:pStyle w:val="TableContents"/>
              <w:bidi w:val="0"/>
              <w:spacing w:before="0" w:after="283"/>
              <w:jc w:val="left"/>
              <w:rPr/>
            </w:pPr>
            <w:r>
              <w:rPr/>
              <w:t> </w:t>
            </w:r>
          </w:p>
        </w:tc>
      </w:tr>
      <w:tr>
        <w:trPr/>
        <w:tc>
          <w:tcPr>
            <w:tcW w:w="710" w:type="dxa"/>
            <w:tcBorders>
              <w:bottom w:val="single" w:sz="2" w:space="0" w:color="000000"/>
            </w:tcBorders>
            <w:tcMar>
              <w:bottom w:w="40" w:type="dxa"/>
            </w:tcMar>
            <w:vAlign w:val="center"/>
          </w:tcPr>
          <w:p>
            <w:pPr>
              <w:pStyle w:val="TableContents"/>
              <w:bidi w:val="0"/>
              <w:spacing w:before="0" w:after="283"/>
              <w:jc w:val="left"/>
              <w:rPr/>
            </w:pPr>
            <w:r>
              <w:rPr/>
              <w:t>2/6/2025</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1265" w:type="dxa"/>
            <w:tcBorders>
              <w:bottom w:val="single" w:sz="2" w:space="0" w:color="000000"/>
            </w:tcBorders>
            <w:tcMar>
              <w:bottom w:w="40" w:type="dxa"/>
            </w:tcMar>
            <w:vAlign w:val="center"/>
          </w:tcPr>
          <w:p>
            <w:pPr>
              <w:pStyle w:val="TableContents"/>
              <w:bidi w:val="0"/>
              <w:spacing w:before="0" w:after="283"/>
              <w:jc w:val="right"/>
              <w:rPr/>
            </w:pPr>
            <w:r>
              <w:rPr/>
              <w:t>–</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1595" w:type="dxa"/>
            <w:tcBorders>
              <w:bottom w:val="single" w:sz="2" w:space="0" w:color="000000"/>
            </w:tcBorders>
            <w:tcMar>
              <w:bottom w:w="40" w:type="dxa"/>
            </w:tcMar>
            <w:vAlign w:val="center"/>
          </w:tcPr>
          <w:p>
            <w:pPr>
              <w:pStyle w:val="TableContents"/>
              <w:bidi w:val="0"/>
              <w:spacing w:before="0" w:after="283"/>
              <w:jc w:val="right"/>
              <w:rPr/>
            </w:pPr>
            <w:r>
              <w:rPr/>
              <w:t>37,900</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875" w:type="dxa"/>
            <w:tcBorders>
              <w:bottom w:val="single" w:sz="2" w:space="0" w:color="000000"/>
            </w:tcBorders>
            <w:tcMar>
              <w:bottom w:w="40" w:type="dxa"/>
            </w:tcMar>
            <w:vAlign w:val="center"/>
          </w:tcPr>
          <w:p>
            <w:pPr>
              <w:pStyle w:val="TableContents"/>
              <w:bidi w:val="0"/>
              <w:spacing w:before="0" w:after="283"/>
              <w:jc w:val="right"/>
              <w:rPr/>
            </w:pPr>
            <w:r>
              <w:rPr/>
              <w:t>$128.78</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1115" w:type="dxa"/>
            <w:tcBorders>
              <w:bottom w:val="single" w:sz="2" w:space="0" w:color="000000"/>
            </w:tcBorders>
            <w:tcMar>
              <w:bottom w:w="40" w:type="dxa"/>
            </w:tcMar>
            <w:vAlign w:val="center"/>
          </w:tcPr>
          <w:p>
            <w:pPr>
              <w:pStyle w:val="TableContents"/>
              <w:bidi w:val="0"/>
              <w:spacing w:before="0" w:after="283"/>
              <w:jc w:val="right"/>
              <w:rPr/>
            </w:pPr>
            <w:r>
              <w:rPr/>
              <w:t>2/5/2035</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875" w:type="dxa"/>
            <w:tcBorders>
              <w:bottom w:val="single" w:sz="2" w:space="0" w:color="000000"/>
            </w:tcBorders>
            <w:shd w:fill="EDEDEE" w:val="clear"/>
            <w:tcMar>
              <w:bottom w:w="40" w:type="dxa"/>
            </w:tcMar>
            <w:vAlign w:val="center"/>
          </w:tcPr>
          <w:p>
            <w:pPr>
              <w:pStyle w:val="TableContents"/>
              <w:bidi w:val="0"/>
              <w:spacing w:before="0" w:after="283"/>
              <w:jc w:val="right"/>
              <w:rPr/>
            </w:pPr>
            <w:r>
              <w:rPr/>
              <w:t>–</w:t>
            </w:r>
          </w:p>
        </w:tc>
        <w:tc>
          <w:tcPr>
            <w:tcW w:w="300" w:type="dxa"/>
            <w:tcBorders>
              <w:bottom w:val="single" w:sz="2" w:space="0" w:color="000000"/>
            </w:tcBorders>
            <w:shd w:fill="EDEDEE" w:val="clear"/>
            <w:tcMar>
              <w:bottom w:w="40" w:type="dxa"/>
            </w:tcMar>
            <w:vAlign w:val="center"/>
          </w:tcPr>
          <w:p>
            <w:pPr>
              <w:pStyle w:val="TableContents"/>
              <w:bidi w:val="0"/>
              <w:spacing w:before="0" w:after="283"/>
              <w:jc w:val="left"/>
              <w:rPr/>
            </w:pPr>
            <w:r>
              <w:rPr/>
              <w:t> </w:t>
            </w:r>
          </w:p>
        </w:tc>
        <w:tc>
          <w:tcPr>
            <w:tcW w:w="1100" w:type="dxa"/>
            <w:tcBorders>
              <w:bottom w:val="single" w:sz="2" w:space="0" w:color="000000"/>
            </w:tcBorders>
            <w:shd w:fill="EDEDEE" w:val="clear"/>
            <w:tcMar>
              <w:bottom w:w="40" w:type="dxa"/>
            </w:tcMar>
            <w:vAlign w:val="center"/>
          </w:tcPr>
          <w:p>
            <w:pPr>
              <w:pStyle w:val="TableContents"/>
              <w:bidi w:val="0"/>
              <w:spacing w:before="0" w:after="283"/>
              <w:jc w:val="right"/>
              <w:rPr/>
            </w:pPr>
            <w:r>
              <w:rPr/>
              <w:t>–</w:t>
            </w:r>
          </w:p>
        </w:tc>
        <w:tc>
          <w:tcPr>
            <w:tcW w:w="300" w:type="dxa"/>
            <w:tcBorders>
              <w:bottom w:val="single" w:sz="2" w:space="0" w:color="000000"/>
            </w:tcBorders>
            <w:shd w:fill="EDEDEE" w:val="clear"/>
            <w:tcMar>
              <w:bottom w:w="40" w:type="dxa"/>
            </w:tcMar>
            <w:vAlign w:val="center"/>
          </w:tcPr>
          <w:p>
            <w:pPr>
              <w:pStyle w:val="TableContents"/>
              <w:bidi w:val="0"/>
              <w:spacing w:before="0" w:after="283"/>
              <w:jc w:val="left"/>
              <w:rPr/>
            </w:pPr>
            <w:r>
              <w:rPr/>
              <w:t> </w:t>
            </w:r>
          </w:p>
        </w:tc>
        <w:tc>
          <w:tcPr>
            <w:tcW w:w="1040" w:type="dxa"/>
            <w:tcBorders>
              <w:bottom w:val="single" w:sz="2" w:space="0" w:color="000000"/>
            </w:tcBorders>
            <w:shd w:fill="EDEDEE" w:val="clear"/>
            <w:tcMar>
              <w:bottom w:w="40" w:type="dxa"/>
            </w:tcMar>
            <w:vAlign w:val="center"/>
          </w:tcPr>
          <w:p>
            <w:pPr>
              <w:pStyle w:val="TableContents"/>
              <w:bidi w:val="0"/>
              <w:spacing w:before="0" w:after="283"/>
              <w:jc w:val="right"/>
              <w:rPr/>
            </w:pPr>
            <w:r>
              <w:rPr/>
              <w:t>32,620</w:t>
            </w:r>
          </w:p>
        </w:tc>
        <w:tc>
          <w:tcPr>
            <w:tcW w:w="300" w:type="dxa"/>
            <w:tcBorders>
              <w:bottom w:val="single" w:sz="2" w:space="0" w:color="000000"/>
            </w:tcBorders>
            <w:shd w:fill="EDEDEE" w:val="clear"/>
            <w:tcMar>
              <w:bottom w:w="40" w:type="dxa"/>
            </w:tcMar>
            <w:vAlign w:val="center"/>
          </w:tcPr>
          <w:p>
            <w:pPr>
              <w:pStyle w:val="TableContents"/>
              <w:bidi w:val="0"/>
              <w:spacing w:before="0" w:after="283"/>
              <w:jc w:val="left"/>
              <w:rPr/>
            </w:pPr>
            <w:r>
              <w:rPr/>
              <w:t> </w:t>
            </w:r>
          </w:p>
        </w:tc>
        <w:tc>
          <w:tcPr>
            <w:tcW w:w="1115" w:type="dxa"/>
            <w:tcBorders>
              <w:bottom w:val="single" w:sz="2" w:space="0" w:color="000000"/>
            </w:tcBorders>
            <w:shd w:fill="EDEDEE" w:val="clear"/>
            <w:tcMar>
              <w:bottom w:w="40" w:type="dxa"/>
            </w:tcMar>
            <w:vAlign w:val="center"/>
          </w:tcPr>
          <w:p>
            <w:pPr>
              <w:pStyle w:val="TableContents"/>
              <w:bidi w:val="0"/>
              <w:spacing w:before="0" w:after="283"/>
              <w:jc w:val="right"/>
              <w:rPr/>
            </w:pPr>
            <w:r>
              <w:rPr/>
              <w:t>$5,982,508</w:t>
            </w:r>
          </w:p>
        </w:tc>
      </w:tr>
      <w:tr>
        <w:trPr/>
        <w:tc>
          <w:tcPr>
            <w:tcW w:w="710" w:type="dxa"/>
            <w:tcBorders>
              <w:bottom w:val="single" w:sz="2" w:space="0" w:color="000000"/>
            </w:tcBorders>
            <w:tcMar>
              <w:bottom w:w="40" w:type="dxa"/>
            </w:tcMar>
            <w:vAlign w:val="center"/>
          </w:tcPr>
          <w:p>
            <w:pPr>
              <w:pStyle w:val="TableContents"/>
              <w:bidi w:val="0"/>
              <w:spacing w:before="0" w:after="283"/>
              <w:jc w:val="left"/>
              <w:rPr/>
            </w:pPr>
            <w:r>
              <w:rPr/>
              <w:t>12/18/2024</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1265" w:type="dxa"/>
            <w:tcBorders>
              <w:bottom w:val="single" w:sz="2" w:space="0" w:color="000000"/>
            </w:tcBorders>
            <w:tcMar>
              <w:bottom w:w="40" w:type="dxa"/>
            </w:tcMar>
            <w:vAlign w:val="center"/>
          </w:tcPr>
          <w:p>
            <w:pPr>
              <w:pStyle w:val="TableContents"/>
              <w:bidi w:val="0"/>
              <w:spacing w:before="0" w:after="283"/>
              <w:jc w:val="right"/>
              <w:rPr/>
            </w:pPr>
            <w:r>
              <w:rPr/>
              <w:t>–</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1595" w:type="dxa"/>
            <w:tcBorders>
              <w:bottom w:val="single" w:sz="2" w:space="0" w:color="000000"/>
            </w:tcBorders>
            <w:tcMar>
              <w:bottom w:w="40" w:type="dxa"/>
            </w:tcMar>
            <w:vAlign w:val="center"/>
          </w:tcPr>
          <w:p>
            <w:pPr>
              <w:pStyle w:val="TableContents"/>
              <w:bidi w:val="0"/>
              <w:spacing w:before="0" w:after="283"/>
              <w:jc w:val="right"/>
              <w:rPr/>
            </w:pPr>
            <w:r>
              <w:rPr/>
              <w:t>–</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875" w:type="dxa"/>
            <w:tcBorders>
              <w:bottom w:val="single" w:sz="2" w:space="0" w:color="000000"/>
            </w:tcBorders>
            <w:tcMar>
              <w:bottom w:w="40" w:type="dxa"/>
            </w:tcMar>
            <w:vAlign w:val="center"/>
          </w:tcPr>
          <w:p>
            <w:pPr>
              <w:pStyle w:val="TableContents"/>
              <w:bidi w:val="0"/>
              <w:spacing w:before="0" w:after="283"/>
              <w:jc w:val="right"/>
              <w:rPr/>
            </w:pPr>
            <w:r>
              <w:rPr/>
              <w:t>–</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1115" w:type="dxa"/>
            <w:tcBorders>
              <w:bottom w:val="single" w:sz="2" w:space="0" w:color="000000"/>
            </w:tcBorders>
            <w:tcMar>
              <w:bottom w:w="40" w:type="dxa"/>
            </w:tcMar>
            <w:vAlign w:val="center"/>
          </w:tcPr>
          <w:p>
            <w:pPr>
              <w:pStyle w:val="TableContents"/>
              <w:bidi w:val="0"/>
              <w:spacing w:before="0" w:after="283"/>
              <w:jc w:val="right"/>
              <w:rPr/>
            </w:pPr>
            <w:r>
              <w:rPr/>
              <w:t>–</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875" w:type="dxa"/>
            <w:tcBorders>
              <w:bottom w:val="single" w:sz="2" w:space="0" w:color="000000"/>
            </w:tcBorders>
            <w:shd w:fill="EDEDEE" w:val="clear"/>
            <w:tcMar>
              <w:bottom w:w="40" w:type="dxa"/>
            </w:tcMar>
            <w:vAlign w:val="center"/>
          </w:tcPr>
          <w:p>
            <w:pPr>
              <w:pStyle w:val="TableContents"/>
              <w:bidi w:val="0"/>
              <w:spacing w:before="0" w:after="283"/>
              <w:jc w:val="right"/>
              <w:rPr/>
            </w:pPr>
            <w:r>
              <w:rPr/>
              <w:t>17,790</w:t>
            </w:r>
            <w:r>
              <w:rPr>
                <w:position w:val="8"/>
                <w:sz w:val="19"/>
              </w:rPr>
              <w:t>(6)</w:t>
            </w:r>
          </w:p>
        </w:tc>
        <w:tc>
          <w:tcPr>
            <w:tcW w:w="300" w:type="dxa"/>
            <w:tcBorders>
              <w:bottom w:val="single" w:sz="2" w:space="0" w:color="000000"/>
            </w:tcBorders>
            <w:shd w:fill="EDEDEE" w:val="clear"/>
            <w:tcMar>
              <w:bottom w:w="40" w:type="dxa"/>
            </w:tcMar>
            <w:vAlign w:val="center"/>
          </w:tcPr>
          <w:p>
            <w:pPr>
              <w:pStyle w:val="TableContents"/>
              <w:bidi w:val="0"/>
              <w:spacing w:before="0" w:after="283"/>
              <w:jc w:val="left"/>
              <w:rPr/>
            </w:pPr>
            <w:r>
              <w:rPr/>
              <w:t> </w:t>
            </w:r>
          </w:p>
        </w:tc>
        <w:tc>
          <w:tcPr>
            <w:tcW w:w="1100" w:type="dxa"/>
            <w:tcBorders>
              <w:bottom w:val="single" w:sz="2" w:space="0" w:color="000000"/>
            </w:tcBorders>
            <w:shd w:fill="EDEDEE" w:val="clear"/>
            <w:tcMar>
              <w:bottom w:w="40" w:type="dxa"/>
            </w:tcMar>
            <w:vAlign w:val="center"/>
          </w:tcPr>
          <w:p>
            <w:pPr>
              <w:pStyle w:val="TableContents"/>
              <w:bidi w:val="0"/>
              <w:spacing w:before="0" w:after="283"/>
              <w:jc w:val="right"/>
              <w:rPr/>
            </w:pPr>
            <w:r>
              <w:rPr/>
              <w:t>$3,262,686</w:t>
            </w:r>
          </w:p>
        </w:tc>
        <w:tc>
          <w:tcPr>
            <w:tcW w:w="300" w:type="dxa"/>
            <w:tcBorders>
              <w:bottom w:val="single" w:sz="2" w:space="0" w:color="000000"/>
            </w:tcBorders>
            <w:shd w:fill="EDEDEE" w:val="clear"/>
            <w:tcMar>
              <w:bottom w:w="40" w:type="dxa"/>
            </w:tcMar>
            <w:vAlign w:val="center"/>
          </w:tcPr>
          <w:p>
            <w:pPr>
              <w:pStyle w:val="TableContents"/>
              <w:bidi w:val="0"/>
              <w:spacing w:before="0" w:after="283"/>
              <w:jc w:val="left"/>
              <w:rPr/>
            </w:pPr>
            <w:r>
              <w:rPr/>
              <w:t> </w:t>
            </w:r>
          </w:p>
        </w:tc>
        <w:tc>
          <w:tcPr>
            <w:tcW w:w="1040" w:type="dxa"/>
            <w:tcBorders>
              <w:bottom w:val="single" w:sz="2" w:space="0" w:color="000000"/>
            </w:tcBorders>
            <w:shd w:fill="EDEDEE" w:val="clear"/>
            <w:tcMar>
              <w:bottom w:w="40" w:type="dxa"/>
            </w:tcMar>
            <w:vAlign w:val="center"/>
          </w:tcPr>
          <w:p>
            <w:pPr>
              <w:pStyle w:val="TableContents"/>
              <w:bidi w:val="0"/>
              <w:spacing w:before="0" w:after="283"/>
              <w:jc w:val="right"/>
              <w:rPr/>
            </w:pPr>
            <w:r>
              <w:rPr/>
              <w:t>–</w:t>
            </w:r>
          </w:p>
        </w:tc>
        <w:tc>
          <w:tcPr>
            <w:tcW w:w="300" w:type="dxa"/>
            <w:tcBorders>
              <w:bottom w:val="single" w:sz="2" w:space="0" w:color="000000"/>
            </w:tcBorders>
            <w:shd w:fill="EDEDEE" w:val="clear"/>
            <w:tcMar>
              <w:bottom w:w="40" w:type="dxa"/>
            </w:tcMar>
            <w:vAlign w:val="center"/>
          </w:tcPr>
          <w:p>
            <w:pPr>
              <w:pStyle w:val="TableContents"/>
              <w:bidi w:val="0"/>
              <w:spacing w:before="0" w:after="283"/>
              <w:jc w:val="left"/>
              <w:rPr/>
            </w:pPr>
            <w:r>
              <w:rPr/>
              <w:t> </w:t>
            </w:r>
          </w:p>
        </w:tc>
        <w:tc>
          <w:tcPr>
            <w:tcW w:w="1115" w:type="dxa"/>
            <w:tcBorders>
              <w:bottom w:val="single" w:sz="2" w:space="0" w:color="000000"/>
            </w:tcBorders>
            <w:shd w:fill="EDEDEE" w:val="clear"/>
            <w:tcMar>
              <w:bottom w:w="40" w:type="dxa"/>
            </w:tcMar>
            <w:vAlign w:val="center"/>
          </w:tcPr>
          <w:p>
            <w:pPr>
              <w:pStyle w:val="TableContents"/>
              <w:bidi w:val="0"/>
              <w:spacing w:before="0" w:after="283"/>
              <w:jc w:val="right"/>
              <w:rPr/>
            </w:pPr>
            <w:r>
              <w:rPr/>
              <w:t>–</w:t>
            </w:r>
          </w:p>
        </w:tc>
      </w:tr>
      <w:tr>
        <w:trPr/>
        <w:tc>
          <w:tcPr>
            <w:tcW w:w="710" w:type="dxa"/>
            <w:tcBorders>
              <w:bottom w:val="single" w:sz="2" w:space="0" w:color="000000"/>
            </w:tcBorders>
            <w:tcMar>
              <w:bottom w:w="40" w:type="dxa"/>
            </w:tcMar>
            <w:vAlign w:val="center"/>
          </w:tcPr>
          <w:p>
            <w:pPr>
              <w:pStyle w:val="TableContents"/>
              <w:bidi w:val="0"/>
              <w:spacing w:before="0" w:after="283"/>
              <w:jc w:val="left"/>
              <w:rPr/>
            </w:pPr>
            <w:r>
              <w:rPr/>
              <w:t>3/1/2024</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1265" w:type="dxa"/>
            <w:tcBorders>
              <w:bottom w:val="single" w:sz="2" w:space="0" w:color="000000"/>
            </w:tcBorders>
            <w:tcMar>
              <w:bottom w:w="40" w:type="dxa"/>
            </w:tcMar>
            <w:vAlign w:val="center"/>
          </w:tcPr>
          <w:p>
            <w:pPr>
              <w:pStyle w:val="TableContents"/>
              <w:bidi w:val="0"/>
              <w:spacing w:before="0" w:after="283"/>
              <w:jc w:val="right"/>
              <w:rPr/>
            </w:pPr>
            <w:r>
              <w:rPr/>
              <w:t>–</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1595" w:type="dxa"/>
            <w:tcBorders>
              <w:bottom w:val="single" w:sz="2" w:space="0" w:color="000000"/>
            </w:tcBorders>
            <w:tcMar>
              <w:bottom w:w="40" w:type="dxa"/>
            </w:tcMar>
            <w:vAlign w:val="center"/>
          </w:tcPr>
          <w:p>
            <w:pPr>
              <w:pStyle w:val="TableContents"/>
              <w:bidi w:val="0"/>
              <w:spacing w:before="0" w:after="283"/>
              <w:jc w:val="right"/>
              <w:rPr/>
            </w:pPr>
            <w:r>
              <w:rPr/>
              <w:t>–</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875" w:type="dxa"/>
            <w:tcBorders>
              <w:bottom w:val="single" w:sz="2" w:space="0" w:color="000000"/>
            </w:tcBorders>
            <w:tcMar>
              <w:bottom w:w="40" w:type="dxa"/>
            </w:tcMar>
            <w:vAlign w:val="center"/>
          </w:tcPr>
          <w:p>
            <w:pPr>
              <w:pStyle w:val="TableContents"/>
              <w:bidi w:val="0"/>
              <w:spacing w:before="0" w:after="283"/>
              <w:jc w:val="right"/>
              <w:rPr/>
            </w:pPr>
            <w:r>
              <w:rPr/>
              <w:t>–</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1115" w:type="dxa"/>
            <w:tcBorders>
              <w:bottom w:val="single" w:sz="2" w:space="0" w:color="000000"/>
            </w:tcBorders>
            <w:tcMar>
              <w:bottom w:w="40" w:type="dxa"/>
            </w:tcMar>
            <w:vAlign w:val="center"/>
          </w:tcPr>
          <w:p>
            <w:pPr>
              <w:pStyle w:val="TableContents"/>
              <w:bidi w:val="0"/>
              <w:spacing w:before="0" w:after="283"/>
              <w:jc w:val="right"/>
              <w:rPr/>
            </w:pPr>
            <w:r>
              <w:rPr/>
              <w:t>–</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875" w:type="dxa"/>
            <w:tcBorders>
              <w:bottom w:val="single" w:sz="2" w:space="0" w:color="000000"/>
            </w:tcBorders>
            <w:shd w:fill="EDEDEE" w:val="clear"/>
            <w:tcMar>
              <w:bottom w:w="40" w:type="dxa"/>
            </w:tcMar>
            <w:vAlign w:val="center"/>
          </w:tcPr>
          <w:p>
            <w:pPr>
              <w:pStyle w:val="TableContents"/>
              <w:bidi w:val="0"/>
              <w:spacing w:before="0" w:after="283"/>
              <w:jc w:val="right"/>
              <w:rPr/>
            </w:pPr>
            <w:r>
              <w:rPr/>
              <w:t>11,527</w:t>
            </w:r>
            <w:r>
              <w:rPr>
                <w:position w:val="8"/>
                <w:sz w:val="19"/>
              </w:rPr>
              <w:t>(6)</w:t>
            </w:r>
          </w:p>
        </w:tc>
        <w:tc>
          <w:tcPr>
            <w:tcW w:w="300" w:type="dxa"/>
            <w:tcBorders>
              <w:bottom w:val="single" w:sz="2" w:space="0" w:color="000000"/>
            </w:tcBorders>
            <w:shd w:fill="EDEDEE" w:val="clear"/>
            <w:tcMar>
              <w:bottom w:w="40" w:type="dxa"/>
            </w:tcMar>
            <w:vAlign w:val="center"/>
          </w:tcPr>
          <w:p>
            <w:pPr>
              <w:pStyle w:val="TableContents"/>
              <w:bidi w:val="0"/>
              <w:spacing w:before="0" w:after="283"/>
              <w:jc w:val="left"/>
              <w:rPr/>
            </w:pPr>
            <w:r>
              <w:rPr/>
              <w:t> </w:t>
            </w:r>
          </w:p>
        </w:tc>
        <w:tc>
          <w:tcPr>
            <w:tcW w:w="1100" w:type="dxa"/>
            <w:tcBorders>
              <w:bottom w:val="single" w:sz="2" w:space="0" w:color="000000"/>
            </w:tcBorders>
            <w:shd w:fill="EDEDEE" w:val="clear"/>
            <w:tcMar>
              <w:bottom w:w="40" w:type="dxa"/>
            </w:tcMar>
            <w:vAlign w:val="center"/>
          </w:tcPr>
          <w:p>
            <w:pPr>
              <w:pStyle w:val="TableContents"/>
              <w:bidi w:val="0"/>
              <w:spacing w:before="0" w:after="283"/>
              <w:jc w:val="right"/>
              <w:rPr/>
            </w:pPr>
            <w:r>
              <w:rPr/>
              <w:t>$2,114,052</w:t>
            </w:r>
          </w:p>
        </w:tc>
        <w:tc>
          <w:tcPr>
            <w:tcW w:w="300" w:type="dxa"/>
            <w:tcBorders>
              <w:bottom w:val="single" w:sz="2" w:space="0" w:color="000000"/>
            </w:tcBorders>
            <w:shd w:fill="EDEDEE" w:val="clear"/>
            <w:tcMar>
              <w:bottom w:w="40" w:type="dxa"/>
            </w:tcMar>
            <w:vAlign w:val="center"/>
          </w:tcPr>
          <w:p>
            <w:pPr>
              <w:pStyle w:val="TableContents"/>
              <w:bidi w:val="0"/>
              <w:spacing w:before="0" w:after="283"/>
              <w:jc w:val="left"/>
              <w:rPr/>
            </w:pPr>
            <w:r>
              <w:rPr/>
              <w:t> </w:t>
            </w:r>
          </w:p>
        </w:tc>
        <w:tc>
          <w:tcPr>
            <w:tcW w:w="1040" w:type="dxa"/>
            <w:tcBorders>
              <w:bottom w:val="single" w:sz="2" w:space="0" w:color="000000"/>
            </w:tcBorders>
            <w:shd w:fill="EDEDEE" w:val="clear"/>
            <w:tcMar>
              <w:bottom w:w="40" w:type="dxa"/>
            </w:tcMar>
            <w:vAlign w:val="center"/>
          </w:tcPr>
          <w:p>
            <w:pPr>
              <w:pStyle w:val="TableContents"/>
              <w:bidi w:val="0"/>
              <w:spacing w:before="0" w:after="283"/>
              <w:jc w:val="right"/>
              <w:rPr/>
            </w:pPr>
            <w:r>
              <w:rPr/>
              <w:t>–</w:t>
            </w:r>
          </w:p>
        </w:tc>
        <w:tc>
          <w:tcPr>
            <w:tcW w:w="300" w:type="dxa"/>
            <w:tcBorders>
              <w:bottom w:val="single" w:sz="2" w:space="0" w:color="000000"/>
            </w:tcBorders>
            <w:shd w:fill="EDEDEE" w:val="clear"/>
            <w:tcMar>
              <w:bottom w:w="40" w:type="dxa"/>
            </w:tcMar>
            <w:vAlign w:val="center"/>
          </w:tcPr>
          <w:p>
            <w:pPr>
              <w:pStyle w:val="TableContents"/>
              <w:bidi w:val="0"/>
              <w:spacing w:before="0" w:after="283"/>
              <w:jc w:val="left"/>
              <w:rPr/>
            </w:pPr>
            <w:r>
              <w:rPr/>
              <w:t> </w:t>
            </w:r>
          </w:p>
        </w:tc>
        <w:tc>
          <w:tcPr>
            <w:tcW w:w="1115" w:type="dxa"/>
            <w:tcBorders>
              <w:bottom w:val="single" w:sz="2" w:space="0" w:color="000000"/>
            </w:tcBorders>
            <w:shd w:fill="EDEDEE" w:val="clear"/>
            <w:tcMar>
              <w:bottom w:w="40" w:type="dxa"/>
            </w:tcMar>
            <w:vAlign w:val="center"/>
          </w:tcPr>
          <w:p>
            <w:pPr>
              <w:pStyle w:val="TableContents"/>
              <w:bidi w:val="0"/>
              <w:spacing w:before="0" w:after="283"/>
              <w:jc w:val="right"/>
              <w:rPr/>
            </w:pPr>
            <w:r>
              <w:rPr/>
              <w:t>–</w:t>
            </w:r>
          </w:p>
        </w:tc>
      </w:tr>
      <w:tr>
        <w:trPr/>
        <w:tc>
          <w:tcPr>
            <w:tcW w:w="710" w:type="dxa"/>
            <w:tcBorders>
              <w:bottom w:val="single" w:sz="2" w:space="0" w:color="000000"/>
            </w:tcBorders>
            <w:tcMar>
              <w:bottom w:w="40" w:type="dxa"/>
            </w:tcMar>
            <w:vAlign w:val="center"/>
          </w:tcPr>
          <w:p>
            <w:pPr>
              <w:pStyle w:val="TableContents"/>
              <w:bidi w:val="0"/>
              <w:spacing w:before="0" w:after="283"/>
              <w:jc w:val="left"/>
              <w:rPr/>
            </w:pPr>
            <w:r>
              <w:rPr/>
              <w:t>2/8/2024</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1265" w:type="dxa"/>
            <w:tcBorders>
              <w:bottom w:val="single" w:sz="2" w:space="0" w:color="000000"/>
            </w:tcBorders>
            <w:tcMar>
              <w:bottom w:w="40" w:type="dxa"/>
            </w:tcMar>
            <w:vAlign w:val="center"/>
          </w:tcPr>
          <w:p>
            <w:pPr>
              <w:pStyle w:val="TableContents"/>
              <w:bidi w:val="0"/>
              <w:spacing w:before="0" w:after="283"/>
              <w:jc w:val="right"/>
              <w:rPr/>
            </w:pPr>
            <w:r>
              <w:rPr/>
              <w:t>–</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1595" w:type="dxa"/>
            <w:tcBorders>
              <w:bottom w:val="single" w:sz="2" w:space="0" w:color="000000"/>
            </w:tcBorders>
            <w:tcMar>
              <w:bottom w:w="40" w:type="dxa"/>
            </w:tcMar>
            <w:vAlign w:val="center"/>
          </w:tcPr>
          <w:p>
            <w:pPr>
              <w:pStyle w:val="TableContents"/>
              <w:bidi w:val="0"/>
              <w:spacing w:before="0" w:after="283"/>
              <w:jc w:val="right"/>
              <w:rPr/>
            </w:pPr>
            <w:r>
              <w:rPr/>
              <w:t>18,400</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875" w:type="dxa"/>
            <w:tcBorders>
              <w:bottom w:val="single" w:sz="2" w:space="0" w:color="000000"/>
            </w:tcBorders>
            <w:tcMar>
              <w:bottom w:w="40" w:type="dxa"/>
            </w:tcMar>
            <w:vAlign w:val="center"/>
          </w:tcPr>
          <w:p>
            <w:pPr>
              <w:pStyle w:val="TableContents"/>
              <w:bidi w:val="0"/>
              <w:spacing w:before="0" w:after="283"/>
              <w:jc w:val="right"/>
              <w:rPr/>
            </w:pPr>
            <w:r>
              <w:rPr/>
              <w:t>$91.04</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1115" w:type="dxa"/>
            <w:tcBorders>
              <w:bottom w:val="single" w:sz="2" w:space="0" w:color="000000"/>
            </w:tcBorders>
            <w:tcMar>
              <w:bottom w:w="40" w:type="dxa"/>
            </w:tcMar>
            <w:vAlign w:val="center"/>
          </w:tcPr>
          <w:p>
            <w:pPr>
              <w:pStyle w:val="TableContents"/>
              <w:bidi w:val="0"/>
              <w:spacing w:before="0" w:after="283"/>
              <w:jc w:val="right"/>
              <w:rPr/>
            </w:pPr>
            <w:r>
              <w:rPr/>
              <w:t>2/7/2034</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875" w:type="dxa"/>
            <w:tcBorders>
              <w:bottom w:val="single" w:sz="2" w:space="0" w:color="000000"/>
            </w:tcBorders>
            <w:shd w:fill="EDEDEE" w:val="clear"/>
            <w:tcMar>
              <w:bottom w:w="40" w:type="dxa"/>
            </w:tcMar>
            <w:vAlign w:val="center"/>
          </w:tcPr>
          <w:p>
            <w:pPr>
              <w:pStyle w:val="TableContents"/>
              <w:bidi w:val="0"/>
              <w:spacing w:before="0" w:after="283"/>
              <w:jc w:val="right"/>
              <w:rPr/>
            </w:pPr>
            <w:r>
              <w:rPr/>
              <w:t>2,199</w:t>
            </w:r>
            <w:r>
              <w:rPr>
                <w:position w:val="8"/>
                <w:sz w:val="19"/>
              </w:rPr>
              <w:t>(7)</w:t>
            </w:r>
          </w:p>
        </w:tc>
        <w:tc>
          <w:tcPr>
            <w:tcW w:w="300" w:type="dxa"/>
            <w:tcBorders>
              <w:bottom w:val="single" w:sz="2" w:space="0" w:color="000000"/>
            </w:tcBorders>
            <w:shd w:fill="EDEDEE" w:val="clear"/>
            <w:tcMar>
              <w:bottom w:w="40" w:type="dxa"/>
            </w:tcMar>
            <w:vAlign w:val="center"/>
          </w:tcPr>
          <w:p>
            <w:pPr>
              <w:pStyle w:val="TableContents"/>
              <w:bidi w:val="0"/>
              <w:spacing w:before="0" w:after="283"/>
              <w:jc w:val="left"/>
              <w:rPr/>
            </w:pPr>
            <w:r>
              <w:rPr/>
              <w:t> </w:t>
            </w:r>
          </w:p>
        </w:tc>
        <w:tc>
          <w:tcPr>
            <w:tcW w:w="1100" w:type="dxa"/>
            <w:tcBorders>
              <w:bottom w:val="single" w:sz="2" w:space="0" w:color="000000"/>
            </w:tcBorders>
            <w:shd w:fill="EDEDEE" w:val="clear"/>
            <w:tcMar>
              <w:bottom w:w="40" w:type="dxa"/>
            </w:tcMar>
            <w:vAlign w:val="center"/>
          </w:tcPr>
          <w:p>
            <w:pPr>
              <w:pStyle w:val="TableContents"/>
              <w:bidi w:val="0"/>
              <w:spacing w:before="0" w:after="283"/>
              <w:jc w:val="right"/>
              <w:rPr/>
            </w:pPr>
            <w:r>
              <w:rPr/>
              <w:t>$403,297</w:t>
            </w:r>
          </w:p>
        </w:tc>
        <w:tc>
          <w:tcPr>
            <w:tcW w:w="300" w:type="dxa"/>
            <w:tcBorders>
              <w:bottom w:val="single" w:sz="2" w:space="0" w:color="000000"/>
            </w:tcBorders>
            <w:shd w:fill="EDEDEE" w:val="clear"/>
            <w:tcMar>
              <w:bottom w:w="40" w:type="dxa"/>
            </w:tcMar>
            <w:vAlign w:val="center"/>
          </w:tcPr>
          <w:p>
            <w:pPr>
              <w:pStyle w:val="TableContents"/>
              <w:bidi w:val="0"/>
              <w:spacing w:before="0" w:after="283"/>
              <w:jc w:val="left"/>
              <w:rPr/>
            </w:pPr>
            <w:r>
              <w:rPr/>
              <w:t> </w:t>
            </w:r>
          </w:p>
        </w:tc>
        <w:tc>
          <w:tcPr>
            <w:tcW w:w="1040" w:type="dxa"/>
            <w:tcBorders>
              <w:bottom w:val="single" w:sz="2" w:space="0" w:color="000000"/>
            </w:tcBorders>
            <w:shd w:fill="EDEDEE" w:val="clear"/>
            <w:tcMar>
              <w:bottom w:w="40" w:type="dxa"/>
            </w:tcMar>
            <w:vAlign w:val="center"/>
          </w:tcPr>
          <w:p>
            <w:pPr>
              <w:pStyle w:val="TableContents"/>
              <w:bidi w:val="0"/>
              <w:spacing w:before="0" w:after="283"/>
              <w:jc w:val="right"/>
              <w:rPr/>
            </w:pPr>
            <w:r>
              <w:rPr/>
              <w:t>8,790</w:t>
            </w:r>
          </w:p>
        </w:tc>
        <w:tc>
          <w:tcPr>
            <w:tcW w:w="300" w:type="dxa"/>
            <w:tcBorders>
              <w:bottom w:val="single" w:sz="2" w:space="0" w:color="000000"/>
            </w:tcBorders>
            <w:shd w:fill="EDEDEE" w:val="clear"/>
            <w:tcMar>
              <w:bottom w:w="40" w:type="dxa"/>
            </w:tcMar>
            <w:vAlign w:val="center"/>
          </w:tcPr>
          <w:p>
            <w:pPr>
              <w:pStyle w:val="TableContents"/>
              <w:bidi w:val="0"/>
              <w:spacing w:before="0" w:after="283"/>
              <w:jc w:val="left"/>
              <w:rPr/>
            </w:pPr>
            <w:r>
              <w:rPr/>
              <w:t> </w:t>
            </w:r>
          </w:p>
        </w:tc>
        <w:tc>
          <w:tcPr>
            <w:tcW w:w="1115" w:type="dxa"/>
            <w:tcBorders>
              <w:bottom w:val="single" w:sz="2" w:space="0" w:color="000000"/>
            </w:tcBorders>
            <w:shd w:fill="EDEDEE" w:val="clear"/>
            <w:tcMar>
              <w:bottom w:w="40" w:type="dxa"/>
            </w:tcMar>
            <w:vAlign w:val="center"/>
          </w:tcPr>
          <w:p>
            <w:pPr>
              <w:pStyle w:val="TableContents"/>
              <w:bidi w:val="0"/>
              <w:spacing w:before="0" w:after="283"/>
              <w:jc w:val="right"/>
              <w:rPr/>
            </w:pPr>
            <w:r>
              <w:rPr/>
              <w:t>$1,612,086</w:t>
            </w:r>
          </w:p>
        </w:tc>
      </w:tr>
      <w:tr>
        <w:trPr/>
        <w:tc>
          <w:tcPr>
            <w:tcW w:w="710" w:type="dxa"/>
            <w:tcBorders>
              <w:bottom w:val="single" w:sz="12" w:space="0" w:color="636466"/>
            </w:tcBorders>
            <w:tcMar>
              <w:bottom w:w="40" w:type="dxa"/>
            </w:tcMar>
            <w:vAlign w:val="center"/>
          </w:tcPr>
          <w:p>
            <w:pPr>
              <w:pStyle w:val="TableContents"/>
              <w:bidi w:val="0"/>
              <w:spacing w:before="0" w:after="283"/>
              <w:jc w:val="left"/>
              <w:rPr/>
            </w:pPr>
            <w:r>
              <w:rPr/>
              <w:t>2/8/2023</w:t>
            </w:r>
          </w:p>
        </w:tc>
        <w:tc>
          <w:tcPr>
            <w:tcW w:w="300" w:type="dxa"/>
            <w:tcBorders>
              <w:bottom w:val="single" w:sz="12" w:space="0" w:color="636466"/>
            </w:tcBorders>
            <w:tcMar>
              <w:bottom w:w="40" w:type="dxa"/>
            </w:tcMar>
            <w:vAlign w:val="center"/>
          </w:tcPr>
          <w:p>
            <w:pPr>
              <w:pStyle w:val="TableContents"/>
              <w:bidi w:val="0"/>
              <w:spacing w:before="0" w:after="283"/>
              <w:jc w:val="left"/>
              <w:rPr/>
            </w:pPr>
            <w:r>
              <w:rPr/>
              <w:t> </w:t>
            </w:r>
          </w:p>
        </w:tc>
        <w:tc>
          <w:tcPr>
            <w:tcW w:w="1265" w:type="dxa"/>
            <w:tcBorders>
              <w:bottom w:val="single" w:sz="12" w:space="0" w:color="636466"/>
            </w:tcBorders>
            <w:tcMar>
              <w:bottom w:w="40" w:type="dxa"/>
            </w:tcMar>
            <w:vAlign w:val="center"/>
          </w:tcPr>
          <w:p>
            <w:pPr>
              <w:pStyle w:val="TableContents"/>
              <w:bidi w:val="0"/>
              <w:spacing w:before="0" w:after="283"/>
              <w:jc w:val="right"/>
              <w:rPr/>
            </w:pPr>
            <w:r>
              <w:rPr/>
              <w:t>–</w:t>
            </w:r>
          </w:p>
        </w:tc>
        <w:tc>
          <w:tcPr>
            <w:tcW w:w="300" w:type="dxa"/>
            <w:tcBorders>
              <w:bottom w:val="single" w:sz="12" w:space="0" w:color="636466"/>
            </w:tcBorders>
            <w:tcMar>
              <w:bottom w:w="40" w:type="dxa"/>
            </w:tcMar>
            <w:vAlign w:val="center"/>
          </w:tcPr>
          <w:p>
            <w:pPr>
              <w:pStyle w:val="TableContents"/>
              <w:bidi w:val="0"/>
              <w:spacing w:before="0" w:after="283"/>
              <w:jc w:val="left"/>
              <w:rPr/>
            </w:pPr>
            <w:r>
              <w:rPr/>
              <w:t> </w:t>
            </w:r>
          </w:p>
        </w:tc>
        <w:tc>
          <w:tcPr>
            <w:tcW w:w="1595" w:type="dxa"/>
            <w:tcBorders>
              <w:bottom w:val="single" w:sz="12" w:space="0" w:color="636466"/>
            </w:tcBorders>
            <w:tcMar>
              <w:bottom w:w="40" w:type="dxa"/>
            </w:tcMar>
            <w:vAlign w:val="center"/>
          </w:tcPr>
          <w:p>
            <w:pPr>
              <w:pStyle w:val="TableContents"/>
              <w:bidi w:val="0"/>
              <w:spacing w:before="0" w:after="283"/>
              <w:jc w:val="right"/>
              <w:rPr/>
            </w:pPr>
            <w:r>
              <w:rPr/>
              <w:t>12,600</w:t>
            </w:r>
          </w:p>
        </w:tc>
        <w:tc>
          <w:tcPr>
            <w:tcW w:w="300" w:type="dxa"/>
            <w:tcBorders>
              <w:bottom w:val="single" w:sz="12" w:space="0" w:color="636466"/>
            </w:tcBorders>
            <w:tcMar>
              <w:bottom w:w="40" w:type="dxa"/>
            </w:tcMar>
            <w:vAlign w:val="center"/>
          </w:tcPr>
          <w:p>
            <w:pPr>
              <w:pStyle w:val="TableContents"/>
              <w:bidi w:val="0"/>
              <w:spacing w:before="0" w:after="283"/>
              <w:jc w:val="left"/>
              <w:rPr/>
            </w:pPr>
            <w:r>
              <w:rPr/>
              <w:t> </w:t>
            </w:r>
          </w:p>
        </w:tc>
        <w:tc>
          <w:tcPr>
            <w:tcW w:w="875" w:type="dxa"/>
            <w:tcBorders>
              <w:bottom w:val="single" w:sz="12" w:space="0" w:color="636466"/>
            </w:tcBorders>
            <w:tcMar>
              <w:bottom w:w="40" w:type="dxa"/>
            </w:tcMar>
            <w:vAlign w:val="center"/>
          </w:tcPr>
          <w:p>
            <w:pPr>
              <w:pStyle w:val="TableContents"/>
              <w:bidi w:val="0"/>
              <w:spacing w:before="0" w:after="283"/>
              <w:jc w:val="right"/>
              <w:rPr/>
            </w:pPr>
            <w:r>
              <w:rPr/>
              <w:t>$97.65</w:t>
            </w:r>
          </w:p>
        </w:tc>
        <w:tc>
          <w:tcPr>
            <w:tcW w:w="300" w:type="dxa"/>
            <w:tcBorders>
              <w:bottom w:val="single" w:sz="12" w:space="0" w:color="636466"/>
            </w:tcBorders>
            <w:tcMar>
              <w:bottom w:w="40" w:type="dxa"/>
            </w:tcMar>
            <w:vAlign w:val="center"/>
          </w:tcPr>
          <w:p>
            <w:pPr>
              <w:pStyle w:val="TableContents"/>
              <w:bidi w:val="0"/>
              <w:spacing w:before="0" w:after="283"/>
              <w:jc w:val="left"/>
              <w:rPr/>
            </w:pPr>
            <w:r>
              <w:rPr/>
              <w:t> </w:t>
            </w:r>
          </w:p>
        </w:tc>
        <w:tc>
          <w:tcPr>
            <w:tcW w:w="1115" w:type="dxa"/>
            <w:tcBorders>
              <w:bottom w:val="single" w:sz="12" w:space="0" w:color="636466"/>
            </w:tcBorders>
            <w:tcMar>
              <w:bottom w:w="40" w:type="dxa"/>
            </w:tcMar>
            <w:vAlign w:val="center"/>
          </w:tcPr>
          <w:p>
            <w:pPr>
              <w:pStyle w:val="TableContents"/>
              <w:bidi w:val="0"/>
              <w:spacing w:before="0" w:after="283"/>
              <w:jc w:val="right"/>
              <w:rPr/>
            </w:pPr>
            <w:r>
              <w:rPr/>
              <w:t>2/7/2033</w:t>
            </w:r>
          </w:p>
        </w:tc>
        <w:tc>
          <w:tcPr>
            <w:tcW w:w="300" w:type="dxa"/>
            <w:tcBorders>
              <w:bottom w:val="single" w:sz="12" w:space="0" w:color="636466"/>
            </w:tcBorders>
            <w:tcMar>
              <w:bottom w:w="40" w:type="dxa"/>
            </w:tcMar>
            <w:vAlign w:val="center"/>
          </w:tcPr>
          <w:p>
            <w:pPr>
              <w:pStyle w:val="TableContents"/>
              <w:bidi w:val="0"/>
              <w:spacing w:before="0" w:after="283"/>
              <w:jc w:val="left"/>
              <w:rPr/>
            </w:pPr>
            <w:r>
              <w:rPr/>
              <w:t> </w:t>
            </w:r>
          </w:p>
        </w:tc>
        <w:tc>
          <w:tcPr>
            <w:tcW w:w="875" w:type="dxa"/>
            <w:tcBorders>
              <w:bottom w:val="single" w:sz="12" w:space="0" w:color="636466"/>
            </w:tcBorders>
            <w:shd w:fill="EDEDEE" w:val="clear"/>
            <w:tcMar>
              <w:bottom w:w="40" w:type="dxa"/>
            </w:tcMar>
            <w:vAlign w:val="center"/>
          </w:tcPr>
          <w:p>
            <w:pPr>
              <w:pStyle w:val="TableContents"/>
              <w:bidi w:val="0"/>
              <w:spacing w:before="0" w:after="283"/>
              <w:jc w:val="right"/>
              <w:rPr/>
            </w:pPr>
            <w:r>
              <w:rPr/>
              <w:t>2,442</w:t>
            </w:r>
            <w:r>
              <w:rPr>
                <w:position w:val="8"/>
                <w:sz w:val="19"/>
              </w:rPr>
              <w:t>(7)</w:t>
            </w:r>
          </w:p>
        </w:tc>
        <w:tc>
          <w:tcPr>
            <w:tcW w:w="300" w:type="dxa"/>
            <w:tcBorders>
              <w:bottom w:val="single" w:sz="12" w:space="0" w:color="636466"/>
            </w:tcBorders>
            <w:shd w:fill="EDEDEE" w:val="clear"/>
            <w:tcMar>
              <w:bottom w:w="40" w:type="dxa"/>
            </w:tcMar>
            <w:vAlign w:val="center"/>
          </w:tcPr>
          <w:p>
            <w:pPr>
              <w:pStyle w:val="TableContents"/>
              <w:bidi w:val="0"/>
              <w:spacing w:before="0" w:after="283"/>
              <w:jc w:val="left"/>
              <w:rPr/>
            </w:pPr>
            <w:r>
              <w:rPr/>
              <w:t> </w:t>
            </w:r>
          </w:p>
        </w:tc>
        <w:tc>
          <w:tcPr>
            <w:tcW w:w="1100" w:type="dxa"/>
            <w:tcBorders>
              <w:bottom w:val="single" w:sz="12" w:space="0" w:color="636466"/>
            </w:tcBorders>
            <w:shd w:fill="EDEDEE" w:val="clear"/>
            <w:tcMar>
              <w:bottom w:w="40" w:type="dxa"/>
            </w:tcMar>
            <w:vAlign w:val="center"/>
          </w:tcPr>
          <w:p>
            <w:pPr>
              <w:pStyle w:val="TableContents"/>
              <w:bidi w:val="0"/>
              <w:spacing w:before="0" w:after="283"/>
              <w:jc w:val="right"/>
              <w:rPr/>
            </w:pPr>
            <w:r>
              <w:rPr/>
              <w:t>$447,863</w:t>
            </w:r>
          </w:p>
        </w:tc>
        <w:tc>
          <w:tcPr>
            <w:tcW w:w="300" w:type="dxa"/>
            <w:tcBorders>
              <w:bottom w:val="single" w:sz="12" w:space="0" w:color="636466"/>
            </w:tcBorders>
            <w:shd w:fill="EDEDEE" w:val="clear"/>
            <w:tcMar>
              <w:bottom w:w="40" w:type="dxa"/>
            </w:tcMar>
            <w:vAlign w:val="center"/>
          </w:tcPr>
          <w:p>
            <w:pPr>
              <w:pStyle w:val="TableContents"/>
              <w:bidi w:val="0"/>
              <w:spacing w:before="0" w:after="283"/>
              <w:jc w:val="left"/>
              <w:rPr/>
            </w:pPr>
            <w:r>
              <w:rPr/>
              <w:t> </w:t>
            </w:r>
          </w:p>
        </w:tc>
        <w:tc>
          <w:tcPr>
            <w:tcW w:w="1040" w:type="dxa"/>
            <w:tcBorders>
              <w:bottom w:val="single" w:sz="12" w:space="0" w:color="636466"/>
            </w:tcBorders>
            <w:shd w:fill="EDEDEE" w:val="clear"/>
            <w:tcMar>
              <w:bottom w:w="40" w:type="dxa"/>
            </w:tcMar>
            <w:vAlign w:val="center"/>
          </w:tcPr>
          <w:p>
            <w:pPr>
              <w:pStyle w:val="TableContents"/>
              <w:bidi w:val="0"/>
              <w:spacing w:before="0" w:after="283"/>
              <w:jc w:val="right"/>
              <w:rPr/>
            </w:pPr>
            <w:r>
              <w:rPr/>
              <w:t>3,482</w:t>
            </w:r>
          </w:p>
        </w:tc>
        <w:tc>
          <w:tcPr>
            <w:tcW w:w="300" w:type="dxa"/>
            <w:tcBorders>
              <w:bottom w:val="single" w:sz="12" w:space="0" w:color="636466"/>
            </w:tcBorders>
            <w:shd w:fill="EDEDEE" w:val="clear"/>
            <w:tcMar>
              <w:bottom w:w="40" w:type="dxa"/>
            </w:tcMar>
            <w:vAlign w:val="center"/>
          </w:tcPr>
          <w:p>
            <w:pPr>
              <w:pStyle w:val="TableContents"/>
              <w:bidi w:val="0"/>
              <w:spacing w:before="0" w:after="283"/>
              <w:jc w:val="left"/>
              <w:rPr/>
            </w:pPr>
            <w:r>
              <w:rPr/>
              <w:t> </w:t>
            </w:r>
          </w:p>
        </w:tc>
        <w:tc>
          <w:tcPr>
            <w:tcW w:w="1115" w:type="dxa"/>
            <w:tcBorders>
              <w:bottom w:val="single" w:sz="12" w:space="0" w:color="636466"/>
            </w:tcBorders>
            <w:shd w:fill="EDEDEE" w:val="clear"/>
            <w:tcMar>
              <w:bottom w:w="40" w:type="dxa"/>
            </w:tcMar>
            <w:vAlign w:val="center"/>
          </w:tcPr>
          <w:p>
            <w:pPr>
              <w:pStyle w:val="TableContents"/>
              <w:bidi w:val="0"/>
              <w:spacing w:before="0" w:after="283"/>
              <w:jc w:val="right"/>
              <w:rPr/>
            </w:pPr>
            <w:r>
              <w:rPr/>
              <w:t>$638,617</w:t>
            </w:r>
          </w:p>
        </w:tc>
      </w:tr>
    </w:tbl>
    <w:tbl>
      <w:tblPr>
        <w:tblW w:w="10205" w:type="dxa"/>
        <w:jc w:val="left"/>
        <w:tblInd w:w="0" w:type="dxa"/>
        <w:tblLayout w:type="fixed"/>
        <w:tblCellMar>
          <w:top w:w="0" w:type="dxa"/>
          <w:left w:w="0" w:type="dxa"/>
          <w:bottom w:w="0" w:type="dxa"/>
          <w:right w:w="0" w:type="dxa"/>
        </w:tblCellMar>
      </w:tblPr>
      <w:tblGrid>
        <w:gridCol w:w="238"/>
        <w:gridCol w:w="9967"/>
      </w:tblGrid>
      <w:tr>
        <w:trPr/>
        <w:tc>
          <w:tcPr>
            <w:tcW w:w="238" w:type="dxa"/>
            <w:tcBorders/>
            <w:vAlign w:val="center"/>
          </w:tcPr>
          <w:p>
            <w:pPr>
              <w:pStyle w:val="TableContents"/>
              <w:bidi w:val="0"/>
              <w:spacing w:before="0" w:after="283"/>
              <w:jc w:val="left"/>
              <w:rPr/>
            </w:pPr>
            <w:r>
              <w:rPr/>
              <w:t>(1)</w:t>
            </w:r>
          </w:p>
        </w:tc>
        <w:tc>
          <w:tcPr>
            <w:tcW w:w="9967" w:type="dxa"/>
            <w:tcBorders/>
            <w:vAlign w:val="center"/>
          </w:tcPr>
          <w:p>
            <w:pPr>
              <w:pStyle w:val="TableContents"/>
              <w:bidi w:val="0"/>
              <w:spacing w:before="0" w:after="283"/>
              <w:jc w:val="left"/>
              <w:rPr/>
            </w:pPr>
            <w:r>
              <w:rPr/>
              <w:t>SARs scheduled to vest on the third anniversary of the grant date, subject to the executive’s continued employment with the Company, except in the case of death, disability, qualifying separation within two years of a change-in-control, retirement and certain involuntary terminations. SARs granted on February 8, 2023, vested on February 8, 2026.</w:t>
            </w:r>
          </w:p>
        </w:tc>
      </w:tr>
      <w:tr>
        <w:trPr/>
        <w:tc>
          <w:tcPr>
            <w:tcW w:w="238" w:type="dxa"/>
            <w:tcBorders/>
            <w:vAlign w:val="center"/>
          </w:tcPr>
          <w:p>
            <w:pPr>
              <w:pStyle w:val="TableContents"/>
              <w:bidi w:val="0"/>
              <w:spacing w:before="0" w:after="283"/>
              <w:jc w:val="left"/>
              <w:rPr/>
            </w:pPr>
            <w:r>
              <w:rPr/>
              <w:t>(2)</w:t>
            </w:r>
          </w:p>
        </w:tc>
        <w:tc>
          <w:tcPr>
            <w:tcW w:w="9967" w:type="dxa"/>
            <w:tcBorders/>
            <w:vAlign w:val="center"/>
          </w:tcPr>
          <w:p>
            <w:pPr>
              <w:pStyle w:val="TableContents"/>
              <w:bidi w:val="0"/>
              <w:spacing w:before="0" w:after="283"/>
              <w:jc w:val="left"/>
              <w:rPr/>
            </w:pPr>
            <w:r>
              <w:rPr/>
              <w:t>The exercise price of each SAR is equal to the NYSE closing price of RTX Common Stock on the grant date. However, for SARs granted prior to April 3, 2020, exercise prices shown were adjusted upon the spinoffs of Carrier and Otis, in accordance with plan rules and the Employee Matters Agreement, as amended.</w:t>
            </w:r>
          </w:p>
        </w:tc>
      </w:tr>
      <w:tr>
        <w:trPr/>
        <w:tc>
          <w:tcPr>
            <w:tcW w:w="238" w:type="dxa"/>
            <w:tcBorders/>
            <w:vAlign w:val="center"/>
          </w:tcPr>
          <w:p>
            <w:pPr>
              <w:pStyle w:val="TableContents"/>
              <w:bidi w:val="0"/>
              <w:spacing w:before="0" w:after="283"/>
              <w:jc w:val="left"/>
              <w:rPr/>
            </w:pPr>
            <w:r>
              <w:rPr/>
              <w:t>(3)</w:t>
            </w:r>
          </w:p>
        </w:tc>
        <w:tc>
          <w:tcPr>
            <w:tcW w:w="9967" w:type="dxa"/>
            <w:tcBorders/>
            <w:vAlign w:val="center"/>
          </w:tcPr>
          <w:p>
            <w:pPr>
              <w:pStyle w:val="TableContents"/>
              <w:bidi w:val="0"/>
              <w:spacing w:before="0" w:after="283"/>
              <w:jc w:val="left"/>
              <w:rPr/>
            </w:pPr>
            <w:r>
              <w:rPr/>
              <w:t>Calculated by multiplying the number of unvested RSUs by the NYSE closing price of RTX Common Stock on the last trading day of 2025.</w:t>
            </w:r>
          </w:p>
        </w:tc>
      </w:tr>
      <w:tr>
        <w:trPr/>
        <w:tc>
          <w:tcPr>
            <w:tcW w:w="238" w:type="dxa"/>
            <w:tcBorders/>
            <w:vAlign w:val="center"/>
          </w:tcPr>
          <w:p>
            <w:pPr>
              <w:pStyle w:val="TableContents"/>
              <w:bidi w:val="0"/>
              <w:spacing w:before="0" w:after="283"/>
              <w:jc w:val="left"/>
              <w:rPr/>
            </w:pPr>
            <w:r>
              <w:rPr/>
              <w:t>(4)</w:t>
            </w:r>
          </w:p>
        </w:tc>
        <w:tc>
          <w:tcPr>
            <w:tcW w:w="9967" w:type="dxa"/>
            <w:tcBorders/>
            <w:vAlign w:val="center"/>
          </w:tcPr>
          <w:p>
            <w:pPr>
              <w:pStyle w:val="TableContents"/>
              <w:bidi w:val="0"/>
              <w:spacing w:before="0" w:after="283"/>
              <w:jc w:val="left"/>
              <w:rPr/>
            </w:pPr>
            <w:r>
              <w:rPr/>
              <w:t>PSUs scheduled to vest following the three-year performance/time-based vesting period. Vesting is subject to Company performance relative to preestablished performance goals and the executive’s continued employment with the Company, except in the case of death, disability, qualifying separation within two years of a change-in-control, retirement and certain involuntary terminations. PSUs are settled following the HCC Committee’s certification of performance achievement levels. Pursuant to SEC rules, the number of shares shown with respect to PSU awards granted in 2024 and 2025 assumes maximum-level performance, based on vesting estimates as of December 31, 2025. For PSUs granted on February 8, 2023, a performance factor of 146% is shown, reflecting the number of shares that vested on February 8, 2026.</w:t>
            </w:r>
          </w:p>
        </w:tc>
      </w:tr>
      <w:tr>
        <w:trPr/>
        <w:tc>
          <w:tcPr>
            <w:tcW w:w="238" w:type="dxa"/>
            <w:tcBorders/>
            <w:vAlign w:val="center"/>
          </w:tcPr>
          <w:p>
            <w:pPr>
              <w:pStyle w:val="TableContents"/>
              <w:bidi w:val="0"/>
              <w:spacing w:before="0" w:after="283"/>
              <w:jc w:val="left"/>
              <w:rPr/>
            </w:pPr>
            <w:r>
              <w:rPr/>
              <w:t>(5)</w:t>
            </w:r>
          </w:p>
        </w:tc>
        <w:tc>
          <w:tcPr>
            <w:tcW w:w="9967" w:type="dxa"/>
            <w:tcBorders/>
            <w:vAlign w:val="center"/>
          </w:tcPr>
          <w:p>
            <w:pPr>
              <w:pStyle w:val="TableContents"/>
              <w:bidi w:val="0"/>
              <w:spacing w:before="0" w:after="283"/>
              <w:jc w:val="left"/>
              <w:rPr/>
            </w:pPr>
            <w:r>
              <w:rPr/>
              <w:t>Calculated by multiplying the number of unvested PSUs by the NYSE closing price of RTX Common Stock on the last trading day of 2025.</w:t>
            </w:r>
          </w:p>
        </w:tc>
      </w:tr>
      <w:tr>
        <w:trPr/>
        <w:tc>
          <w:tcPr>
            <w:tcW w:w="238" w:type="dxa"/>
            <w:tcBorders/>
            <w:vAlign w:val="center"/>
          </w:tcPr>
          <w:p>
            <w:pPr>
              <w:pStyle w:val="TableContents"/>
              <w:bidi w:val="0"/>
              <w:spacing w:before="0" w:after="283"/>
              <w:jc w:val="left"/>
              <w:rPr/>
            </w:pPr>
            <w:r>
              <w:rPr/>
              <w:t>(6)</w:t>
            </w:r>
          </w:p>
        </w:tc>
        <w:tc>
          <w:tcPr>
            <w:tcW w:w="9967" w:type="dxa"/>
            <w:tcBorders/>
            <w:vAlign w:val="center"/>
          </w:tcPr>
          <w:p>
            <w:pPr>
              <w:pStyle w:val="TableContents"/>
              <w:bidi w:val="0"/>
              <w:spacing w:before="0" w:after="283"/>
              <w:jc w:val="left"/>
              <w:rPr/>
            </w:pPr>
            <w:r>
              <w:rPr/>
              <w:t>ELG RSUs vest in the event of a qualifying separation (as defined under the ELG program and detailed on pages 59-60), death or disability. Each time the Company pays a dividend to shareowners, dividend equivalents are reinvested as additional RSUs. The reinvested RSUs vest on the same date as the underlying RSUs.</w:t>
            </w:r>
          </w:p>
        </w:tc>
      </w:tr>
      <w:tr>
        <w:trPr/>
        <w:tc>
          <w:tcPr>
            <w:tcW w:w="238" w:type="dxa"/>
            <w:tcBorders/>
            <w:vAlign w:val="center"/>
          </w:tcPr>
          <w:p>
            <w:pPr>
              <w:pStyle w:val="TableContents"/>
              <w:bidi w:val="0"/>
              <w:spacing w:before="0" w:after="283"/>
              <w:jc w:val="left"/>
              <w:rPr/>
            </w:pPr>
            <w:r>
              <w:rPr/>
              <w:t>(7)</w:t>
            </w:r>
          </w:p>
        </w:tc>
        <w:tc>
          <w:tcPr>
            <w:tcW w:w="9967" w:type="dxa"/>
            <w:tcBorders/>
            <w:vAlign w:val="center"/>
          </w:tcPr>
          <w:p>
            <w:pPr>
              <w:pStyle w:val="TableContents"/>
              <w:bidi w:val="0"/>
              <w:spacing w:before="0" w:after="283"/>
              <w:jc w:val="left"/>
              <w:rPr/>
            </w:pPr>
            <w:r>
              <w:rPr/>
              <w:t>RSUs scheduled to vest on the third anniversary of the grant date, subject to the executive’s continued employment with the Company, except in the case of death, disability, qualifying separation within two years of a change-in-control, retirement and certain involuntary terminations. Each time the Company pays a dividend to shareowners, dividend equivalents are reinvested as additional RSUs. The reinvested RSUs vest on the same date as the underlying RSUs. RSUs granted on February 8, 2023, vested on February 8,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15"/>
        </w:rPr>
      </w:pPr>
      <w:r>
        <w:rPr>
          <w:rFonts w:ascii="Arial;Helvetica;Sans-Serif" w:hAnsi="Arial;Helvetica;Sans-Serif"/>
          <w:b/>
          <w:i w:val="false"/>
          <w:caps w:val="false"/>
          <w:smallCaps w:val="false"/>
          <w:sz w:val="15"/>
        </w:rPr>
        <w:t xml:space="preserve">68    RTX </w:t>
      </w:r>
      <w:r>
        <w:rPr>
          <w:rFonts w:ascii="Arial;Helvetica;Sans-Serif" w:hAnsi="Arial;Helvetica;Sans-Serif"/>
          <w:b w:val="false"/>
          <w:i w:val="false"/>
          <w:caps w:val="false"/>
          <w:smallCaps w:val="false"/>
          <w:sz w:val="15"/>
        </w:rPr>
        <w:t>2026 PROXY STATEMENT</w:t>
      </w:r>
    </w:p>
    <w:p>
      <w:pPr>
        <w:pStyle w:val="HorizontalLine"/>
        <w:pBdr>
          <w:bottom w:val="double" w:sz="2" w:space="0" w:color="808080"/>
        </w:pBdr>
        <w:bidi w:val="0"/>
        <w:spacing w:before="0" w:after="283"/>
        <w:jc w:val="left"/>
        <w:rPr/>
      </w:pPr>
      <w:r>
        <w:rPr/>
      </w:r>
    </w:p>
    <w:p>
      <w:pPr>
        <w:pStyle w:val="TextBody"/>
        <w:bidi w:val="0"/>
        <w:spacing w:before="200" w:after="200"/>
        <w:jc w:val="left"/>
        <w:rPr/>
      </w:pPr>
      <w:hyperlink w:anchor="toc">
        <w:r>
          <w:rPr>
            <w:rStyle w:val="InternetLink"/>
            <w:rFonts w:ascii="Arial;Helvetica;Sans-Serif" w:hAnsi="Arial;Helvetica;Sans-Serif"/>
            <w:b/>
            <w:i w:val="false"/>
            <w:caps w:val="false"/>
            <w:smallCaps w:val="false"/>
            <w:sz w:val="16"/>
          </w:rPr>
          <w:t>Table of Contents</w:t>
        </w:r>
      </w:hyperlink>
    </w:p>
    <w:p>
      <w:pPr>
        <w:pStyle w:val="TextBody"/>
        <w:bidi w:val="0"/>
        <w:spacing w:before="0" w:after="0"/>
        <w:ind w:left="0" w:right="0" w:hanging="0"/>
        <w:jc w:val="right"/>
        <w:rPr>
          <w:rFonts w:ascii="Arial;Helvetica;Sans-Serif" w:hAnsi="Arial;Helvetica;Sans-Serif"/>
          <w:b/>
          <w:i w:val="false"/>
          <w:caps w:val="false"/>
          <w:smallCaps w:val="false"/>
          <w:color w:val="C12E33"/>
          <w:sz w:val="15"/>
        </w:rPr>
      </w:pPr>
      <w:r>
        <w:rPr>
          <w:rFonts w:ascii="Arial;Helvetica;Sans-Serif" w:hAnsi="Arial;Helvetica;Sans-Serif"/>
          <w:b/>
          <w:i w:val="false"/>
          <w:caps w:val="false"/>
          <w:smallCaps w:val="false"/>
          <w:color w:val="C12E33"/>
          <w:sz w:val="15"/>
        </w:rPr>
        <w:t>COMPENSATION TABLES</w:t>
      </w:r>
    </w:p>
    <w:p>
      <w:pPr>
        <w:pStyle w:val="TextBody"/>
        <w:bidi w:val="0"/>
        <w:spacing w:before="0" w:after="0"/>
        <w:ind w:left="0" w:right="0" w:hanging="0"/>
        <w:jc w:val="righ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OPTIONS EXERCISED AND STOCK VESTED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34"/>
        </w:rPr>
      </w:pPr>
      <w:r>
        <w:rPr>
          <w:rFonts w:ascii="Arial;Helvetica;Sans-Serif" w:hAnsi="Arial;Helvetica;Sans-Serif"/>
          <w:b/>
          <w:i w:val="false"/>
          <w:caps w:val="false"/>
          <w:smallCaps w:val="false"/>
          <w:sz w:val="34"/>
        </w:rPr>
        <w:t>Options Exercised and Stock Vested</w:t>
      </w:r>
    </w:p>
    <w:p>
      <w:pPr>
        <w:pStyle w:val="TextBody"/>
        <w:bidi w:val="0"/>
        <w:spacing w:before="0" w:after="0"/>
        <w:ind w:left="0" w:right="0" w:hanging="0"/>
        <w:jc w:val="left"/>
        <w:rPr>
          <w:caps w:val="false"/>
          <w:smallCaps w:val="false"/>
        </w:rPr>
      </w:pPr>
      <w:r>
        <w:rPr>
          <w:caps w:val="false"/>
          <w:smallCaps w:val="false"/>
        </w:rPr>
        <w:t> </w:t>
      </w:r>
    </w:p>
    <w:tbl>
      <w:tblPr>
        <w:tblW w:w="8215" w:type="dxa"/>
        <w:jc w:val="left"/>
        <w:tblInd w:w="0" w:type="dxa"/>
        <w:tblLayout w:type="fixed"/>
        <w:tblCellMar>
          <w:top w:w="0" w:type="dxa"/>
          <w:left w:w="0" w:type="dxa"/>
          <w:bottom w:w="0" w:type="dxa"/>
          <w:right w:w="0" w:type="dxa"/>
        </w:tblCellMar>
      </w:tblPr>
      <w:tblGrid>
        <w:gridCol w:w="1520"/>
        <w:gridCol w:w="300"/>
        <w:gridCol w:w="1655"/>
        <w:gridCol w:w="300"/>
        <w:gridCol w:w="1100"/>
        <w:gridCol w:w="300"/>
        <w:gridCol w:w="1625"/>
        <w:gridCol w:w="300"/>
        <w:gridCol w:w="1115"/>
      </w:tblGrid>
      <w:tr>
        <w:trPr/>
        <w:tc>
          <w:tcPr>
            <w:tcW w:w="1520"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283"/>
              <w:jc w:val="left"/>
              <w:rPr/>
            </w:pPr>
            <w:r>
              <w:rPr/>
              <w:t> </w:t>
            </w:r>
          </w:p>
        </w:tc>
        <w:tc>
          <w:tcPr>
            <w:tcW w:w="3055" w:type="dxa"/>
            <w:gridSpan w:val="3"/>
            <w:tcBorders>
              <w:bottom w:val="single" w:sz="12" w:space="0" w:color="C12E33"/>
            </w:tcBorders>
            <w:tcMar>
              <w:bottom w:w="40" w:type="dxa"/>
            </w:tcMar>
            <w:vAlign w:val="center"/>
          </w:tcPr>
          <w:p>
            <w:pPr>
              <w:pStyle w:val="TableContents"/>
              <w:bidi w:val="0"/>
              <w:spacing w:before="0" w:after="283"/>
              <w:jc w:val="center"/>
              <w:rPr>
                <w:b/>
                <w:sz w:val="15"/>
              </w:rPr>
            </w:pPr>
            <w:r>
              <w:rPr>
                <w:b/>
                <w:sz w:val="15"/>
              </w:rPr>
              <w:t>Option Awards</w:t>
            </w:r>
          </w:p>
        </w:tc>
        <w:tc>
          <w:tcPr>
            <w:tcW w:w="300" w:type="dxa"/>
            <w:tcBorders/>
            <w:vAlign w:val="center"/>
          </w:tcPr>
          <w:p>
            <w:pPr>
              <w:pStyle w:val="TableContents"/>
              <w:bidi w:val="0"/>
              <w:spacing w:before="0" w:after="283"/>
              <w:jc w:val="left"/>
              <w:rPr/>
            </w:pPr>
            <w:r>
              <w:rPr/>
              <w:t> </w:t>
            </w:r>
          </w:p>
        </w:tc>
        <w:tc>
          <w:tcPr>
            <w:tcW w:w="3040" w:type="dxa"/>
            <w:gridSpan w:val="3"/>
            <w:tcBorders>
              <w:bottom w:val="single" w:sz="12" w:space="0" w:color="C12E33"/>
            </w:tcBorders>
            <w:tcMar>
              <w:bottom w:w="40" w:type="dxa"/>
            </w:tcMar>
            <w:vAlign w:val="center"/>
          </w:tcPr>
          <w:p>
            <w:pPr>
              <w:pStyle w:val="TableContents"/>
              <w:bidi w:val="0"/>
              <w:spacing w:before="0" w:after="283"/>
              <w:jc w:val="center"/>
              <w:rPr>
                <w:b/>
                <w:sz w:val="15"/>
              </w:rPr>
            </w:pPr>
            <w:r>
              <w:rPr>
                <w:b/>
                <w:sz w:val="15"/>
              </w:rPr>
              <w:t>Stock Awards</w:t>
            </w:r>
          </w:p>
        </w:tc>
      </w:tr>
      <w:tr>
        <w:trPr/>
        <w:tc>
          <w:tcPr>
            <w:tcW w:w="1520" w:type="dxa"/>
            <w:tcBorders>
              <w:bottom w:val="single" w:sz="12" w:space="0" w:color="C12E33"/>
            </w:tcBorders>
            <w:tcMar>
              <w:bottom w:w="40" w:type="dxa"/>
            </w:tcMar>
            <w:vAlign w:val="center"/>
          </w:tcPr>
          <w:p>
            <w:pPr>
              <w:pStyle w:val="TableContents"/>
              <w:bidi w:val="0"/>
              <w:spacing w:before="0" w:after="283"/>
              <w:jc w:val="left"/>
              <w:rPr>
                <w:color w:val="636466"/>
                <w:sz w:val="15"/>
              </w:rPr>
            </w:pPr>
            <w:r>
              <w:rPr>
                <w:color w:val="636466"/>
                <w:sz w:val="15"/>
              </w:rPr>
              <w:t>Name</w:t>
            </w:r>
          </w:p>
        </w:tc>
        <w:tc>
          <w:tcPr>
            <w:tcW w:w="300" w:type="dxa"/>
            <w:tcBorders>
              <w:bottom w:val="single" w:sz="12" w:space="0" w:color="C12E33"/>
            </w:tcBorders>
            <w:tcMar>
              <w:bottom w:w="40" w:type="dxa"/>
            </w:tcMar>
            <w:vAlign w:val="center"/>
          </w:tcPr>
          <w:p>
            <w:pPr>
              <w:pStyle w:val="TableContents"/>
              <w:bidi w:val="0"/>
              <w:spacing w:before="0" w:after="283"/>
              <w:jc w:val="left"/>
              <w:rPr/>
            </w:pPr>
            <w:r>
              <w:rPr/>
              <w:t>     </w:t>
            </w:r>
          </w:p>
        </w:tc>
        <w:tc>
          <w:tcPr>
            <w:tcW w:w="1655" w:type="dxa"/>
            <w:tcBorders>
              <w:bottom w:val="single" w:sz="12" w:space="0" w:color="C12E33"/>
            </w:tcBorders>
            <w:tcMar>
              <w:bottom w:w="40" w:type="dxa"/>
            </w:tcMar>
            <w:vAlign w:val="center"/>
          </w:tcPr>
          <w:p>
            <w:pPr>
              <w:pStyle w:val="TableContents"/>
              <w:bidi w:val="0"/>
              <w:spacing w:before="0" w:after="283"/>
              <w:jc w:val="right"/>
              <w:rPr/>
            </w:pPr>
            <w:r>
              <w:rPr>
                <w:color w:val="636466"/>
                <w:sz w:val="15"/>
              </w:rPr>
              <w:t>Number of Shares</w:t>
            </w:r>
            <w:r>
              <w:rPr>
                <w:sz w:val="15"/>
              </w:rPr>
              <w:br/>
            </w:r>
            <w:r>
              <w:rPr>
                <w:color w:val="636466"/>
                <w:sz w:val="15"/>
              </w:rPr>
              <w:t>Acquired on Exercise (#)</w:t>
            </w:r>
            <w:r>
              <w:rPr>
                <w:color w:val="636466"/>
                <w:position w:val="5"/>
                <w:sz w:val="12"/>
                <w:sz w:val="15"/>
              </w:rPr>
              <w:t>(1)</w:t>
            </w:r>
          </w:p>
        </w:tc>
        <w:tc>
          <w:tcPr>
            <w:tcW w:w="300" w:type="dxa"/>
            <w:tcBorders>
              <w:bottom w:val="single" w:sz="12" w:space="0" w:color="C12E33"/>
            </w:tcBorders>
            <w:tcMar>
              <w:bottom w:w="40" w:type="dxa"/>
            </w:tcMar>
            <w:vAlign w:val="center"/>
          </w:tcPr>
          <w:p>
            <w:pPr>
              <w:pStyle w:val="TableContents"/>
              <w:bidi w:val="0"/>
              <w:spacing w:before="0" w:after="283"/>
              <w:jc w:val="left"/>
              <w:rPr/>
            </w:pPr>
            <w:r>
              <w:rPr/>
              <w:t>     </w:t>
            </w:r>
          </w:p>
        </w:tc>
        <w:tc>
          <w:tcPr>
            <w:tcW w:w="1100" w:type="dxa"/>
            <w:tcBorders>
              <w:bottom w:val="single" w:sz="12" w:space="0" w:color="C12E33"/>
            </w:tcBorders>
            <w:tcMar>
              <w:bottom w:w="40" w:type="dxa"/>
            </w:tcMar>
            <w:vAlign w:val="center"/>
          </w:tcPr>
          <w:p>
            <w:pPr>
              <w:pStyle w:val="TableContents"/>
              <w:bidi w:val="0"/>
              <w:spacing w:before="0" w:after="283"/>
              <w:jc w:val="right"/>
              <w:rPr/>
            </w:pPr>
            <w:r>
              <w:rPr>
                <w:color w:val="636466"/>
                <w:sz w:val="15"/>
              </w:rPr>
              <w:t>Value Realized</w:t>
            </w:r>
            <w:r>
              <w:rPr>
                <w:sz w:val="15"/>
              </w:rPr>
              <w:br/>
            </w:r>
            <w:r>
              <w:rPr>
                <w:color w:val="636466"/>
                <w:sz w:val="15"/>
              </w:rPr>
              <w:t>on Exercise ($)</w:t>
            </w:r>
            <w:r>
              <w:rPr>
                <w:color w:val="636466"/>
                <w:position w:val="5"/>
                <w:sz w:val="12"/>
                <w:sz w:val="15"/>
              </w:rPr>
              <w:t>(2)</w:t>
            </w:r>
          </w:p>
        </w:tc>
        <w:tc>
          <w:tcPr>
            <w:tcW w:w="300" w:type="dxa"/>
            <w:tcBorders>
              <w:bottom w:val="single" w:sz="12" w:space="0" w:color="C12E33"/>
            </w:tcBorders>
            <w:tcMar>
              <w:bottom w:w="40" w:type="dxa"/>
            </w:tcMar>
            <w:vAlign w:val="center"/>
          </w:tcPr>
          <w:p>
            <w:pPr>
              <w:pStyle w:val="TableContents"/>
              <w:bidi w:val="0"/>
              <w:spacing w:before="0" w:after="283"/>
              <w:jc w:val="left"/>
              <w:rPr/>
            </w:pPr>
            <w:r>
              <w:rPr/>
              <w:t>     </w:t>
            </w:r>
          </w:p>
        </w:tc>
        <w:tc>
          <w:tcPr>
            <w:tcW w:w="1625" w:type="dxa"/>
            <w:tcBorders>
              <w:bottom w:val="single" w:sz="12" w:space="0" w:color="C12E33"/>
            </w:tcBorders>
            <w:shd w:fill="EDEDEE" w:val="clear"/>
            <w:tcMar>
              <w:bottom w:w="40" w:type="dxa"/>
            </w:tcMar>
            <w:vAlign w:val="center"/>
          </w:tcPr>
          <w:p>
            <w:pPr>
              <w:pStyle w:val="TableContents"/>
              <w:bidi w:val="0"/>
              <w:spacing w:before="0" w:after="283"/>
              <w:jc w:val="right"/>
              <w:rPr/>
            </w:pPr>
            <w:r>
              <w:rPr>
                <w:color w:val="636466"/>
                <w:sz w:val="15"/>
              </w:rPr>
              <w:t>Number of Shares</w:t>
            </w:r>
            <w:r>
              <w:rPr>
                <w:sz w:val="15"/>
              </w:rPr>
              <w:br/>
            </w:r>
            <w:r>
              <w:rPr>
                <w:color w:val="636466"/>
                <w:sz w:val="15"/>
              </w:rPr>
              <w:t>Acquired on Vesting (#)</w:t>
            </w:r>
            <w:r>
              <w:rPr>
                <w:color w:val="636466"/>
                <w:position w:val="5"/>
                <w:sz w:val="12"/>
                <w:sz w:val="15"/>
              </w:rPr>
              <w:t>(3)</w:t>
            </w:r>
          </w:p>
        </w:tc>
        <w:tc>
          <w:tcPr>
            <w:tcW w:w="300" w:type="dxa"/>
            <w:tcBorders>
              <w:bottom w:val="single" w:sz="12" w:space="0" w:color="C12E33"/>
            </w:tcBorders>
            <w:shd w:fill="EDEDEE" w:val="clear"/>
            <w:tcMar>
              <w:bottom w:w="40" w:type="dxa"/>
            </w:tcMar>
            <w:vAlign w:val="center"/>
          </w:tcPr>
          <w:p>
            <w:pPr>
              <w:pStyle w:val="TableContents"/>
              <w:bidi w:val="0"/>
              <w:spacing w:before="0" w:after="283"/>
              <w:jc w:val="left"/>
              <w:rPr/>
            </w:pPr>
            <w:r>
              <w:rPr/>
              <w:t>     </w:t>
            </w:r>
          </w:p>
        </w:tc>
        <w:tc>
          <w:tcPr>
            <w:tcW w:w="1115" w:type="dxa"/>
            <w:tcBorders>
              <w:bottom w:val="single" w:sz="12" w:space="0" w:color="C12E33"/>
            </w:tcBorders>
            <w:shd w:fill="EDEDEE" w:val="clear"/>
            <w:tcMar>
              <w:bottom w:w="40" w:type="dxa"/>
            </w:tcMar>
            <w:vAlign w:val="center"/>
          </w:tcPr>
          <w:p>
            <w:pPr>
              <w:pStyle w:val="TableContents"/>
              <w:bidi w:val="0"/>
              <w:spacing w:before="0" w:after="283"/>
              <w:jc w:val="right"/>
              <w:rPr/>
            </w:pPr>
            <w:r>
              <w:rPr>
                <w:color w:val="636466"/>
                <w:sz w:val="15"/>
              </w:rPr>
              <w:t>Value Realized</w:t>
            </w:r>
            <w:r>
              <w:rPr>
                <w:sz w:val="15"/>
              </w:rPr>
              <w:br/>
            </w:r>
            <w:r>
              <w:rPr>
                <w:color w:val="636466"/>
                <w:sz w:val="15"/>
              </w:rPr>
              <w:t>on Vesting ($)</w:t>
            </w:r>
            <w:r>
              <w:rPr>
                <w:color w:val="636466"/>
                <w:position w:val="5"/>
                <w:sz w:val="12"/>
                <w:sz w:val="15"/>
              </w:rPr>
              <w:t>(4)</w:t>
            </w:r>
          </w:p>
        </w:tc>
      </w:tr>
      <w:tr>
        <w:trPr/>
        <w:tc>
          <w:tcPr>
            <w:tcW w:w="1520" w:type="dxa"/>
            <w:tcBorders>
              <w:bottom w:val="single" w:sz="2" w:space="0" w:color="000000"/>
            </w:tcBorders>
            <w:tcMar>
              <w:bottom w:w="40" w:type="dxa"/>
            </w:tcMar>
            <w:vAlign w:val="center"/>
          </w:tcPr>
          <w:p>
            <w:pPr>
              <w:pStyle w:val="TableContents"/>
              <w:bidi w:val="0"/>
              <w:spacing w:before="0" w:after="283"/>
              <w:jc w:val="left"/>
              <w:rPr>
                <w:b/>
              </w:rPr>
            </w:pPr>
            <w:r>
              <w:rPr>
                <w:b/>
              </w:rPr>
              <w:t>C. Calio</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1655" w:type="dxa"/>
            <w:tcBorders>
              <w:bottom w:val="single" w:sz="2" w:space="0" w:color="000000"/>
            </w:tcBorders>
            <w:tcMar>
              <w:bottom w:w="40" w:type="dxa"/>
            </w:tcMar>
            <w:vAlign w:val="center"/>
          </w:tcPr>
          <w:p>
            <w:pPr>
              <w:pStyle w:val="TableContents"/>
              <w:bidi w:val="0"/>
              <w:spacing w:before="0" w:after="283"/>
              <w:jc w:val="right"/>
              <w:rPr/>
            </w:pPr>
            <w:r>
              <w:rPr/>
              <w:t>8,938</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1100" w:type="dxa"/>
            <w:tcBorders>
              <w:bottom w:val="single" w:sz="2" w:space="0" w:color="000000"/>
            </w:tcBorders>
            <w:tcMar>
              <w:bottom w:w="40" w:type="dxa"/>
            </w:tcMar>
            <w:vAlign w:val="center"/>
          </w:tcPr>
          <w:p>
            <w:pPr>
              <w:pStyle w:val="TableContents"/>
              <w:bidi w:val="0"/>
              <w:spacing w:before="0" w:after="283"/>
              <w:jc w:val="right"/>
              <w:rPr/>
            </w:pPr>
            <w:r>
              <w:rPr/>
              <w:t xml:space="preserve">$858,639 </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1625" w:type="dxa"/>
            <w:tcBorders>
              <w:bottom w:val="single" w:sz="2" w:space="0" w:color="000000"/>
            </w:tcBorders>
            <w:shd w:fill="EDEDEE" w:val="clear"/>
            <w:tcMar>
              <w:bottom w:w="40" w:type="dxa"/>
            </w:tcMar>
            <w:vAlign w:val="center"/>
          </w:tcPr>
          <w:p>
            <w:pPr>
              <w:pStyle w:val="TableContents"/>
              <w:bidi w:val="0"/>
              <w:spacing w:before="0" w:after="283"/>
              <w:jc w:val="right"/>
              <w:rPr/>
            </w:pPr>
            <w:r>
              <w:rPr/>
              <w:t>49,132</w:t>
            </w:r>
          </w:p>
        </w:tc>
        <w:tc>
          <w:tcPr>
            <w:tcW w:w="300" w:type="dxa"/>
            <w:tcBorders>
              <w:bottom w:val="single" w:sz="2" w:space="0" w:color="000000"/>
            </w:tcBorders>
            <w:shd w:fill="EDEDEE" w:val="clear"/>
            <w:tcMar>
              <w:bottom w:w="40" w:type="dxa"/>
            </w:tcMar>
            <w:vAlign w:val="center"/>
          </w:tcPr>
          <w:p>
            <w:pPr>
              <w:pStyle w:val="TableContents"/>
              <w:bidi w:val="0"/>
              <w:spacing w:before="0" w:after="283"/>
              <w:jc w:val="left"/>
              <w:rPr/>
            </w:pPr>
            <w:r>
              <w:rPr/>
              <w:t> </w:t>
            </w:r>
          </w:p>
        </w:tc>
        <w:tc>
          <w:tcPr>
            <w:tcW w:w="1115" w:type="dxa"/>
            <w:tcBorders>
              <w:bottom w:val="single" w:sz="2" w:space="0" w:color="000000"/>
            </w:tcBorders>
            <w:shd w:fill="EDEDEE" w:val="clear"/>
            <w:tcMar>
              <w:bottom w:w="40" w:type="dxa"/>
            </w:tcMar>
            <w:vAlign w:val="center"/>
          </w:tcPr>
          <w:p>
            <w:pPr>
              <w:pStyle w:val="TableContents"/>
              <w:bidi w:val="0"/>
              <w:spacing w:before="0" w:after="283"/>
              <w:jc w:val="right"/>
              <w:rPr/>
            </w:pPr>
            <w:r>
              <w:rPr/>
              <w:t>$6,014,248</w:t>
            </w:r>
          </w:p>
        </w:tc>
      </w:tr>
      <w:tr>
        <w:trPr/>
        <w:tc>
          <w:tcPr>
            <w:tcW w:w="1520" w:type="dxa"/>
            <w:tcBorders>
              <w:bottom w:val="single" w:sz="2" w:space="0" w:color="000000"/>
            </w:tcBorders>
            <w:tcMar>
              <w:bottom w:w="40" w:type="dxa"/>
            </w:tcMar>
            <w:vAlign w:val="center"/>
          </w:tcPr>
          <w:p>
            <w:pPr>
              <w:pStyle w:val="TableContents"/>
              <w:bidi w:val="0"/>
              <w:spacing w:before="0" w:after="283"/>
              <w:jc w:val="left"/>
              <w:rPr>
                <w:b/>
              </w:rPr>
            </w:pPr>
            <w:r>
              <w:rPr>
                <w:b/>
              </w:rPr>
              <w:t>N. Mitchill, Jr.</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1655" w:type="dxa"/>
            <w:tcBorders>
              <w:bottom w:val="single" w:sz="2" w:space="0" w:color="000000"/>
            </w:tcBorders>
            <w:tcMar>
              <w:bottom w:w="40" w:type="dxa"/>
            </w:tcMar>
            <w:vAlign w:val="center"/>
          </w:tcPr>
          <w:p>
            <w:pPr>
              <w:pStyle w:val="TableContents"/>
              <w:bidi w:val="0"/>
              <w:spacing w:before="0" w:after="283"/>
              <w:jc w:val="right"/>
              <w:rPr/>
            </w:pPr>
            <w:r>
              <w:rPr/>
              <w:t>8,938</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1100" w:type="dxa"/>
            <w:tcBorders>
              <w:bottom w:val="single" w:sz="2" w:space="0" w:color="000000"/>
            </w:tcBorders>
            <w:tcMar>
              <w:bottom w:w="40" w:type="dxa"/>
            </w:tcMar>
            <w:vAlign w:val="center"/>
          </w:tcPr>
          <w:p>
            <w:pPr>
              <w:pStyle w:val="TableContents"/>
              <w:bidi w:val="0"/>
              <w:spacing w:before="0" w:after="283"/>
              <w:jc w:val="right"/>
              <w:rPr/>
            </w:pPr>
            <w:r>
              <w:rPr/>
              <w:t>$872,723</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1625" w:type="dxa"/>
            <w:tcBorders>
              <w:bottom w:val="single" w:sz="2" w:space="0" w:color="000000"/>
            </w:tcBorders>
            <w:shd w:fill="EDEDEE" w:val="clear"/>
            <w:tcMar>
              <w:bottom w:w="40" w:type="dxa"/>
            </w:tcMar>
            <w:vAlign w:val="center"/>
          </w:tcPr>
          <w:p>
            <w:pPr>
              <w:pStyle w:val="TableContents"/>
              <w:bidi w:val="0"/>
              <w:spacing w:before="0" w:after="283"/>
              <w:jc w:val="right"/>
              <w:rPr/>
            </w:pPr>
            <w:r>
              <w:rPr/>
              <w:t>28,078</w:t>
            </w:r>
          </w:p>
        </w:tc>
        <w:tc>
          <w:tcPr>
            <w:tcW w:w="300" w:type="dxa"/>
            <w:tcBorders>
              <w:bottom w:val="single" w:sz="2" w:space="0" w:color="000000"/>
            </w:tcBorders>
            <w:shd w:fill="EDEDEE" w:val="clear"/>
            <w:tcMar>
              <w:bottom w:w="40" w:type="dxa"/>
            </w:tcMar>
            <w:vAlign w:val="center"/>
          </w:tcPr>
          <w:p>
            <w:pPr>
              <w:pStyle w:val="TableContents"/>
              <w:bidi w:val="0"/>
              <w:spacing w:before="0" w:after="283"/>
              <w:jc w:val="left"/>
              <w:rPr/>
            </w:pPr>
            <w:r>
              <w:rPr/>
              <w:t> </w:t>
            </w:r>
          </w:p>
        </w:tc>
        <w:tc>
          <w:tcPr>
            <w:tcW w:w="1115" w:type="dxa"/>
            <w:tcBorders>
              <w:bottom w:val="single" w:sz="2" w:space="0" w:color="000000"/>
            </w:tcBorders>
            <w:shd w:fill="EDEDEE" w:val="clear"/>
            <w:tcMar>
              <w:bottom w:w="40" w:type="dxa"/>
            </w:tcMar>
            <w:vAlign w:val="center"/>
          </w:tcPr>
          <w:p>
            <w:pPr>
              <w:pStyle w:val="TableContents"/>
              <w:bidi w:val="0"/>
              <w:spacing w:before="0" w:after="283"/>
              <w:jc w:val="right"/>
              <w:rPr/>
            </w:pPr>
            <w:r>
              <w:rPr/>
              <w:t>$3,437,028</w:t>
            </w:r>
          </w:p>
        </w:tc>
      </w:tr>
      <w:tr>
        <w:trPr/>
        <w:tc>
          <w:tcPr>
            <w:tcW w:w="1520" w:type="dxa"/>
            <w:tcBorders>
              <w:bottom w:val="single" w:sz="2" w:space="0" w:color="000000"/>
            </w:tcBorders>
            <w:tcMar>
              <w:bottom w:w="40" w:type="dxa"/>
            </w:tcMar>
            <w:vAlign w:val="center"/>
          </w:tcPr>
          <w:p>
            <w:pPr>
              <w:pStyle w:val="TableContents"/>
              <w:bidi w:val="0"/>
              <w:spacing w:before="0" w:after="283"/>
              <w:jc w:val="left"/>
              <w:rPr>
                <w:b/>
              </w:rPr>
            </w:pPr>
            <w:r>
              <w:rPr>
                <w:b/>
              </w:rPr>
              <w:t>P. Jasper</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1655" w:type="dxa"/>
            <w:tcBorders>
              <w:bottom w:val="single" w:sz="2" w:space="0" w:color="000000"/>
            </w:tcBorders>
            <w:tcMar>
              <w:bottom w:w="40" w:type="dxa"/>
            </w:tcMar>
            <w:vAlign w:val="center"/>
          </w:tcPr>
          <w:p>
            <w:pPr>
              <w:pStyle w:val="TableContents"/>
              <w:bidi w:val="0"/>
              <w:spacing w:before="0" w:after="283"/>
              <w:jc w:val="right"/>
              <w:rPr/>
            </w:pPr>
            <w:r>
              <w:rPr/>
              <w:t>23,500</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1100" w:type="dxa"/>
            <w:tcBorders>
              <w:bottom w:val="single" w:sz="2" w:space="0" w:color="000000"/>
            </w:tcBorders>
            <w:tcMar>
              <w:bottom w:w="40" w:type="dxa"/>
            </w:tcMar>
            <w:vAlign w:val="center"/>
          </w:tcPr>
          <w:p>
            <w:pPr>
              <w:pStyle w:val="TableContents"/>
              <w:bidi w:val="0"/>
              <w:spacing w:before="0" w:after="283"/>
              <w:jc w:val="right"/>
              <w:rPr/>
            </w:pPr>
            <w:r>
              <w:rPr/>
              <w:t>$2,029,569</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1625" w:type="dxa"/>
            <w:tcBorders>
              <w:bottom w:val="single" w:sz="2" w:space="0" w:color="000000"/>
            </w:tcBorders>
            <w:shd w:fill="EDEDEE" w:val="clear"/>
            <w:tcMar>
              <w:bottom w:w="40" w:type="dxa"/>
            </w:tcMar>
            <w:vAlign w:val="center"/>
          </w:tcPr>
          <w:p>
            <w:pPr>
              <w:pStyle w:val="TableContents"/>
              <w:bidi w:val="0"/>
              <w:spacing w:before="0" w:after="283"/>
              <w:jc w:val="right"/>
              <w:rPr/>
            </w:pPr>
            <w:r>
              <w:rPr/>
              <w:t>9,281</w:t>
            </w:r>
          </w:p>
        </w:tc>
        <w:tc>
          <w:tcPr>
            <w:tcW w:w="300" w:type="dxa"/>
            <w:tcBorders>
              <w:bottom w:val="single" w:sz="2" w:space="0" w:color="000000"/>
            </w:tcBorders>
            <w:shd w:fill="EDEDEE" w:val="clear"/>
            <w:tcMar>
              <w:bottom w:w="40" w:type="dxa"/>
            </w:tcMar>
            <w:vAlign w:val="center"/>
          </w:tcPr>
          <w:p>
            <w:pPr>
              <w:pStyle w:val="TableContents"/>
              <w:bidi w:val="0"/>
              <w:spacing w:before="0" w:after="283"/>
              <w:jc w:val="left"/>
              <w:rPr/>
            </w:pPr>
            <w:r>
              <w:rPr/>
              <w:t> </w:t>
            </w:r>
          </w:p>
        </w:tc>
        <w:tc>
          <w:tcPr>
            <w:tcW w:w="1115" w:type="dxa"/>
            <w:tcBorders>
              <w:bottom w:val="single" w:sz="2" w:space="0" w:color="000000"/>
            </w:tcBorders>
            <w:shd w:fill="EDEDEE" w:val="clear"/>
            <w:tcMar>
              <w:bottom w:w="40" w:type="dxa"/>
            </w:tcMar>
            <w:vAlign w:val="center"/>
          </w:tcPr>
          <w:p>
            <w:pPr>
              <w:pStyle w:val="TableContents"/>
              <w:bidi w:val="0"/>
              <w:spacing w:before="0" w:after="283"/>
              <w:jc w:val="right"/>
              <w:rPr/>
            </w:pPr>
            <w:r>
              <w:rPr/>
              <w:t>$1,136,087</w:t>
            </w:r>
          </w:p>
        </w:tc>
      </w:tr>
      <w:tr>
        <w:trPr/>
        <w:tc>
          <w:tcPr>
            <w:tcW w:w="1520" w:type="dxa"/>
            <w:tcBorders>
              <w:bottom w:val="single" w:sz="2" w:space="0" w:color="000000"/>
            </w:tcBorders>
            <w:tcMar>
              <w:bottom w:w="40" w:type="dxa"/>
            </w:tcMar>
            <w:vAlign w:val="center"/>
          </w:tcPr>
          <w:p>
            <w:pPr>
              <w:pStyle w:val="TableContents"/>
              <w:bidi w:val="0"/>
              <w:spacing w:before="0" w:after="283"/>
              <w:jc w:val="left"/>
              <w:rPr>
                <w:b/>
              </w:rPr>
            </w:pPr>
            <w:r>
              <w:rPr>
                <w:b/>
              </w:rPr>
              <w:t>S. Eddy</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1655" w:type="dxa"/>
            <w:tcBorders>
              <w:bottom w:val="single" w:sz="2" w:space="0" w:color="000000"/>
            </w:tcBorders>
            <w:tcMar>
              <w:bottom w:w="40" w:type="dxa"/>
            </w:tcMar>
            <w:vAlign w:val="center"/>
          </w:tcPr>
          <w:p>
            <w:pPr>
              <w:pStyle w:val="TableContents"/>
              <w:bidi w:val="0"/>
              <w:spacing w:before="0" w:after="283"/>
              <w:jc w:val="right"/>
              <w:rPr/>
            </w:pPr>
            <w:r>
              <w:rPr/>
              <w:t>58,235</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1100" w:type="dxa"/>
            <w:tcBorders>
              <w:bottom w:val="single" w:sz="2" w:space="0" w:color="000000"/>
            </w:tcBorders>
            <w:tcMar>
              <w:bottom w:w="40" w:type="dxa"/>
            </w:tcMar>
            <w:vAlign w:val="center"/>
          </w:tcPr>
          <w:p>
            <w:pPr>
              <w:pStyle w:val="TableContents"/>
              <w:bidi w:val="0"/>
              <w:spacing w:before="0" w:after="283"/>
              <w:jc w:val="right"/>
              <w:rPr/>
            </w:pPr>
            <w:r>
              <w:rPr/>
              <w:t>$4,559,226</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p>
        </w:tc>
        <w:tc>
          <w:tcPr>
            <w:tcW w:w="1625" w:type="dxa"/>
            <w:tcBorders>
              <w:bottom w:val="single" w:sz="2" w:space="0" w:color="000000"/>
            </w:tcBorders>
            <w:shd w:fill="EDEDEE" w:val="clear"/>
            <w:tcMar>
              <w:bottom w:w="40" w:type="dxa"/>
            </w:tcMar>
            <w:vAlign w:val="center"/>
          </w:tcPr>
          <w:p>
            <w:pPr>
              <w:pStyle w:val="TableContents"/>
              <w:bidi w:val="0"/>
              <w:spacing w:before="0" w:after="283"/>
              <w:jc w:val="right"/>
              <w:rPr/>
            </w:pPr>
            <w:r>
              <w:rPr/>
              <w:t>21,060</w:t>
            </w:r>
          </w:p>
        </w:tc>
        <w:tc>
          <w:tcPr>
            <w:tcW w:w="300" w:type="dxa"/>
            <w:tcBorders>
              <w:bottom w:val="single" w:sz="2" w:space="0" w:color="000000"/>
            </w:tcBorders>
            <w:shd w:fill="EDEDEE" w:val="clear"/>
            <w:tcMar>
              <w:bottom w:w="40" w:type="dxa"/>
            </w:tcMar>
            <w:vAlign w:val="center"/>
          </w:tcPr>
          <w:p>
            <w:pPr>
              <w:pStyle w:val="TableContents"/>
              <w:bidi w:val="0"/>
              <w:spacing w:before="0" w:after="283"/>
              <w:jc w:val="left"/>
              <w:rPr/>
            </w:pPr>
            <w:r>
              <w:rPr/>
              <w:t> </w:t>
            </w:r>
          </w:p>
        </w:tc>
        <w:tc>
          <w:tcPr>
            <w:tcW w:w="1115" w:type="dxa"/>
            <w:tcBorders>
              <w:bottom w:val="single" w:sz="2" w:space="0" w:color="000000"/>
            </w:tcBorders>
            <w:shd w:fill="EDEDEE" w:val="clear"/>
            <w:tcMar>
              <w:bottom w:w="40" w:type="dxa"/>
            </w:tcMar>
            <w:vAlign w:val="center"/>
          </w:tcPr>
          <w:p>
            <w:pPr>
              <w:pStyle w:val="TableContents"/>
              <w:bidi w:val="0"/>
              <w:spacing w:before="0" w:after="283"/>
              <w:jc w:val="right"/>
              <w:rPr/>
            </w:pPr>
            <w:r>
              <w:rPr/>
              <w:t>$2,577,955</w:t>
            </w:r>
          </w:p>
        </w:tc>
      </w:tr>
      <w:tr>
        <w:trPr/>
        <w:tc>
          <w:tcPr>
            <w:tcW w:w="1520" w:type="dxa"/>
            <w:tcBorders>
              <w:bottom w:val="single" w:sz="12" w:space="0" w:color="636466"/>
            </w:tcBorders>
            <w:tcMar>
              <w:bottom w:w="40" w:type="dxa"/>
            </w:tcMar>
            <w:vAlign w:val="center"/>
          </w:tcPr>
          <w:p>
            <w:pPr>
              <w:pStyle w:val="TableContents"/>
              <w:bidi w:val="0"/>
              <w:spacing w:before="0" w:after="283"/>
              <w:jc w:val="left"/>
              <w:rPr>
                <w:b/>
              </w:rPr>
            </w:pPr>
            <w:r>
              <w:rPr>
                <w:b/>
              </w:rPr>
              <w:t>T. Brunk</w:t>
            </w:r>
          </w:p>
        </w:tc>
        <w:tc>
          <w:tcPr>
            <w:tcW w:w="300" w:type="dxa"/>
            <w:tcBorders>
              <w:bottom w:val="single" w:sz="12" w:space="0" w:color="636466"/>
            </w:tcBorders>
            <w:tcMar>
              <w:bottom w:w="40" w:type="dxa"/>
            </w:tcMar>
            <w:vAlign w:val="center"/>
          </w:tcPr>
          <w:p>
            <w:pPr>
              <w:pStyle w:val="TableContents"/>
              <w:bidi w:val="0"/>
              <w:spacing w:before="0" w:after="283"/>
              <w:jc w:val="left"/>
              <w:rPr/>
            </w:pPr>
            <w:r>
              <w:rPr/>
              <w:t> </w:t>
            </w:r>
          </w:p>
        </w:tc>
        <w:tc>
          <w:tcPr>
            <w:tcW w:w="1655" w:type="dxa"/>
            <w:tcBorders>
              <w:bottom w:val="single" w:sz="12" w:space="0" w:color="636466"/>
            </w:tcBorders>
            <w:tcMar>
              <w:bottom w:w="40" w:type="dxa"/>
            </w:tcMar>
            <w:vAlign w:val="center"/>
          </w:tcPr>
          <w:p>
            <w:pPr>
              <w:pStyle w:val="TableContents"/>
              <w:bidi w:val="0"/>
              <w:spacing w:before="0" w:after="283"/>
              <w:jc w:val="right"/>
              <w:rPr/>
            </w:pPr>
            <w:r>
              <w:rPr/>
              <w:t>18,773</w:t>
            </w:r>
          </w:p>
        </w:tc>
        <w:tc>
          <w:tcPr>
            <w:tcW w:w="300" w:type="dxa"/>
            <w:tcBorders>
              <w:bottom w:val="single" w:sz="12" w:space="0" w:color="636466"/>
            </w:tcBorders>
            <w:tcMar>
              <w:bottom w:w="40" w:type="dxa"/>
            </w:tcMar>
            <w:vAlign w:val="center"/>
          </w:tcPr>
          <w:p>
            <w:pPr>
              <w:pStyle w:val="TableContents"/>
              <w:bidi w:val="0"/>
              <w:spacing w:before="0" w:after="283"/>
              <w:jc w:val="left"/>
              <w:rPr/>
            </w:pPr>
            <w:r>
              <w:rPr/>
              <w:t> </w:t>
            </w:r>
          </w:p>
        </w:tc>
        <w:tc>
          <w:tcPr>
            <w:tcW w:w="1100" w:type="dxa"/>
            <w:tcBorders>
              <w:bottom w:val="single" w:sz="12" w:space="0" w:color="636466"/>
            </w:tcBorders>
            <w:tcMar>
              <w:bottom w:w="40" w:type="dxa"/>
            </w:tcMar>
            <w:vAlign w:val="center"/>
          </w:tcPr>
          <w:p>
            <w:pPr>
              <w:pStyle w:val="TableContents"/>
              <w:bidi w:val="0"/>
              <w:spacing w:before="0" w:after="283"/>
              <w:jc w:val="right"/>
              <w:rPr/>
            </w:pPr>
            <w:r>
              <w:rPr/>
              <w:t>$1,187,901</w:t>
            </w:r>
          </w:p>
        </w:tc>
        <w:tc>
          <w:tcPr>
            <w:tcW w:w="300" w:type="dxa"/>
            <w:tcBorders>
              <w:bottom w:val="single" w:sz="12" w:space="0" w:color="636466"/>
            </w:tcBorders>
            <w:tcMar>
              <w:bottom w:w="40" w:type="dxa"/>
            </w:tcMar>
            <w:vAlign w:val="center"/>
          </w:tcPr>
          <w:p>
            <w:pPr>
              <w:pStyle w:val="TableContents"/>
              <w:bidi w:val="0"/>
              <w:spacing w:before="0" w:after="283"/>
              <w:jc w:val="left"/>
              <w:rPr/>
            </w:pPr>
            <w:r>
              <w:rPr/>
              <w:t> </w:t>
            </w:r>
          </w:p>
        </w:tc>
        <w:tc>
          <w:tcPr>
            <w:tcW w:w="1625" w:type="dxa"/>
            <w:tcBorders>
              <w:bottom w:val="single" w:sz="12" w:space="0" w:color="636466"/>
            </w:tcBorders>
            <w:shd w:fill="EDEDEE" w:val="clear"/>
            <w:tcMar>
              <w:bottom w:w="40" w:type="dxa"/>
            </w:tcMar>
            <w:vAlign w:val="center"/>
          </w:tcPr>
          <w:p>
            <w:pPr>
              <w:pStyle w:val="TableContents"/>
              <w:bidi w:val="0"/>
              <w:spacing w:before="0" w:after="283"/>
              <w:jc w:val="right"/>
              <w:rPr/>
            </w:pPr>
            <w:r>
              <w:rPr/>
              <w:t>3,962</w:t>
            </w:r>
          </w:p>
        </w:tc>
        <w:tc>
          <w:tcPr>
            <w:tcW w:w="300" w:type="dxa"/>
            <w:tcBorders>
              <w:bottom w:val="single" w:sz="12" w:space="0" w:color="636466"/>
            </w:tcBorders>
            <w:shd w:fill="EDEDEE" w:val="clear"/>
            <w:tcMar>
              <w:bottom w:w="40" w:type="dxa"/>
            </w:tcMar>
            <w:vAlign w:val="center"/>
          </w:tcPr>
          <w:p>
            <w:pPr>
              <w:pStyle w:val="TableContents"/>
              <w:bidi w:val="0"/>
              <w:spacing w:before="0" w:after="283"/>
              <w:jc w:val="left"/>
              <w:rPr/>
            </w:pPr>
            <w:r>
              <w:rPr/>
              <w:t> </w:t>
            </w:r>
          </w:p>
        </w:tc>
        <w:tc>
          <w:tcPr>
            <w:tcW w:w="1115" w:type="dxa"/>
            <w:tcBorders>
              <w:bottom w:val="single" w:sz="12" w:space="0" w:color="636466"/>
            </w:tcBorders>
            <w:shd w:fill="EDEDEE" w:val="clear"/>
            <w:tcMar>
              <w:bottom w:w="40" w:type="dxa"/>
            </w:tcMar>
            <w:vAlign w:val="center"/>
          </w:tcPr>
          <w:p>
            <w:pPr>
              <w:pStyle w:val="TableContents"/>
              <w:bidi w:val="0"/>
              <w:spacing w:before="0" w:after="283"/>
              <w:jc w:val="right"/>
              <w:rPr/>
            </w:pPr>
            <w:r>
              <w:rPr/>
              <w:t>$489,064</w:t>
            </w:r>
          </w:p>
        </w:tc>
      </w:tr>
    </w:tbl>
    <w:tbl>
      <w:tblPr>
        <w:tblW w:w="10205" w:type="dxa"/>
        <w:jc w:val="left"/>
        <w:tblInd w:w="0" w:type="dxa"/>
        <w:tblLayout w:type="fixed"/>
        <w:tblCellMar>
          <w:top w:w="0" w:type="dxa"/>
          <w:left w:w="0" w:type="dxa"/>
          <w:bottom w:w="0" w:type="dxa"/>
          <w:right w:w="0" w:type="dxa"/>
        </w:tblCellMar>
      </w:tblPr>
      <w:tblGrid>
        <w:gridCol w:w="260"/>
        <w:gridCol w:w="9945"/>
      </w:tblGrid>
      <w:tr>
        <w:trPr/>
        <w:tc>
          <w:tcPr>
            <w:tcW w:w="260" w:type="dxa"/>
            <w:tcBorders/>
            <w:vAlign w:val="center"/>
          </w:tcPr>
          <w:p>
            <w:pPr>
              <w:pStyle w:val="TableContents"/>
              <w:bidi w:val="0"/>
              <w:spacing w:before="0" w:after="283"/>
              <w:jc w:val="left"/>
              <w:rPr/>
            </w:pPr>
            <w:r>
              <w:rPr/>
              <w:t>(1)</w:t>
            </w:r>
          </w:p>
        </w:tc>
        <w:tc>
          <w:tcPr>
            <w:tcW w:w="9945" w:type="dxa"/>
            <w:tcBorders/>
            <w:vAlign w:val="center"/>
          </w:tcPr>
          <w:p>
            <w:pPr>
              <w:pStyle w:val="TableContents"/>
              <w:bidi w:val="0"/>
              <w:spacing w:before="0" w:after="283"/>
              <w:jc w:val="left"/>
              <w:rPr/>
            </w:pPr>
            <w:r>
              <w:rPr/>
              <w:t>RTX SARs exercised during 2025. </w:t>
            </w:r>
          </w:p>
        </w:tc>
      </w:tr>
      <w:tr>
        <w:trPr/>
        <w:tc>
          <w:tcPr>
            <w:tcW w:w="260" w:type="dxa"/>
            <w:tcBorders/>
            <w:vAlign w:val="center"/>
          </w:tcPr>
          <w:p>
            <w:pPr>
              <w:pStyle w:val="TableContents"/>
              <w:bidi w:val="0"/>
              <w:spacing w:before="0" w:after="283"/>
              <w:jc w:val="left"/>
              <w:rPr/>
            </w:pPr>
            <w:r>
              <w:rPr/>
              <w:t>(2)</w:t>
            </w:r>
          </w:p>
        </w:tc>
        <w:tc>
          <w:tcPr>
            <w:tcW w:w="9945" w:type="dxa"/>
            <w:tcBorders/>
            <w:vAlign w:val="center"/>
          </w:tcPr>
          <w:p>
            <w:pPr>
              <w:pStyle w:val="TableContents"/>
              <w:bidi w:val="0"/>
              <w:spacing w:before="0" w:after="283"/>
              <w:jc w:val="left"/>
              <w:rPr/>
            </w:pPr>
            <w:r>
              <w:rPr/>
              <w:t>Calculated by multiplying the number of RTX SARs exercised by the difference between the market price of RTX Common Stock on the exercise date and the exercise price of the award. </w:t>
            </w:r>
          </w:p>
        </w:tc>
      </w:tr>
      <w:tr>
        <w:trPr/>
        <w:tc>
          <w:tcPr>
            <w:tcW w:w="260" w:type="dxa"/>
            <w:tcBorders/>
            <w:vAlign w:val="center"/>
          </w:tcPr>
          <w:p>
            <w:pPr>
              <w:pStyle w:val="TableContents"/>
              <w:bidi w:val="0"/>
              <w:spacing w:before="0" w:after="283"/>
              <w:jc w:val="left"/>
              <w:rPr/>
            </w:pPr>
            <w:r>
              <w:rPr/>
              <w:t>(3)</w:t>
            </w:r>
          </w:p>
        </w:tc>
        <w:tc>
          <w:tcPr>
            <w:tcW w:w="9945" w:type="dxa"/>
            <w:tcBorders/>
            <w:vAlign w:val="center"/>
          </w:tcPr>
          <w:p>
            <w:pPr>
              <w:pStyle w:val="TableContents"/>
              <w:bidi w:val="0"/>
              <w:spacing w:before="0" w:after="283"/>
              <w:jc w:val="left"/>
              <w:rPr/>
            </w:pPr>
            <w:r>
              <w:rPr/>
              <w:t>PSUs and RSUs that vested in 2025, including shares withheld to cover U.S. Social Security and Medicare taxes due during the year as a result of the executive attaining retirement-eligible status under the terms of RTX RSU awards.</w:t>
            </w:r>
          </w:p>
        </w:tc>
      </w:tr>
      <w:tr>
        <w:trPr/>
        <w:tc>
          <w:tcPr>
            <w:tcW w:w="260" w:type="dxa"/>
            <w:tcBorders/>
            <w:vAlign w:val="center"/>
          </w:tcPr>
          <w:p>
            <w:pPr>
              <w:pStyle w:val="TableContents"/>
              <w:bidi w:val="0"/>
              <w:spacing w:before="0" w:after="283"/>
              <w:jc w:val="left"/>
              <w:rPr/>
            </w:pPr>
            <w:r>
              <w:rPr/>
              <w:t>(4)</w:t>
            </w:r>
          </w:p>
        </w:tc>
        <w:tc>
          <w:tcPr>
            <w:tcW w:w="9945" w:type="dxa"/>
            <w:tcBorders/>
            <w:vAlign w:val="center"/>
          </w:tcPr>
          <w:p>
            <w:pPr>
              <w:pStyle w:val="TableContents"/>
              <w:bidi w:val="0"/>
              <w:spacing w:before="0" w:after="283"/>
              <w:jc w:val="left"/>
              <w:rPr/>
            </w:pPr>
            <w:r>
              <w:rPr/>
              <w:t>Calculated by multiplying the number of vested PSUs and RSUs by the market price of RTX Common Stock on the vest date. Mr. Brunk deferred $301,006 of his 2022 PSUs into the RTX PSU Deferral Plan (see pages 71-72).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34"/>
        </w:rPr>
      </w:pPr>
      <w:r>
        <w:rPr>
          <w:rFonts w:ascii="Arial;Helvetica;Sans-Serif" w:hAnsi="Arial;Helvetica;Sans-Serif"/>
          <w:b/>
          <w:i w:val="false"/>
          <w:caps w:val="false"/>
          <w:smallCaps w:val="false"/>
          <w:sz w:val="34"/>
        </w:rPr>
        <w:t>Pension Benefits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 xml:space="preserve">Overview of Plans. </w:t>
      </w:r>
      <w:r>
        <w:rPr>
          <w:rFonts w:ascii="Arial;Helvetica;Sans-Serif" w:hAnsi="Arial;Helvetica;Sans-Serif"/>
          <w:b w:val="false"/>
          <w:i w:val="false"/>
          <w:caps w:val="false"/>
          <w:smallCaps w:val="false"/>
          <w:sz w:val="20"/>
        </w:rPr>
        <w:t>Like many other RTX employees, some of our NEOs were previously employed by companies that we acquired over the years. Benefit accruals earned under the Company’s pension plans depend upon the employee’s legacy company, the date the employee was hired and the pension formula in use at the time of the accrual.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For our current NEOs, the following Company pension plans apply: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 xml:space="preserve">RTX Consolidated Pension Plan: </w:t>
      </w:r>
      <w:r>
        <w:rPr>
          <w:rFonts w:ascii="Arial;Helvetica;Sans-Serif" w:hAnsi="Arial;Helvetica;Sans-Serif"/>
          <w:b w:val="false"/>
          <w:i w:val="false"/>
          <w:caps w:val="false"/>
          <w:smallCaps w:val="false"/>
          <w:sz w:val="20"/>
        </w:rPr>
        <w:t>A tax-qualified, defined benefit plan that is an accumulation of all qualified pension plans of our legacy companies.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pPr>
            <w:r>
              <w:rPr/>
              <w:t>For legacy UTC participants, such as Messrs. Calio and Eddy, annual compensation and annual retirement benefits up to IRC limits are recognized through December 31, 2019, the date the relevant plan was frozen.</w:t>
            </w:r>
          </w:p>
        </w:tc>
      </w:tr>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pPr>
            <w:r>
              <w:rPr/>
              <w:t>For legacy Rockwell Collins participants, such as Messrs. Jasper and Brunk, annual compensation and annual retirement benefits up to IRC limits are recognized through September 30, 2006, the date the relevant plan was frozen.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 xml:space="preserve">UTC Pension Preservation Plan (“UTC PPP”): </w:t>
      </w:r>
      <w:r>
        <w:rPr>
          <w:rFonts w:ascii="Arial;Helvetica;Sans-Serif" w:hAnsi="Arial;Helvetica;Sans-Serif"/>
          <w:b w:val="false"/>
          <w:i w:val="false"/>
          <w:caps w:val="false"/>
          <w:smallCaps w:val="false"/>
          <w:sz w:val="20"/>
        </w:rPr>
        <w:t>An unfunded, nonqualified defined benefit plan that mirrors the benefit formulas, retirement eligibility provisions and vesting requirements that applied to legacy UTC and Rockwell Collins participants, respectively, under the RTX Consolidated Pension Plan, but provides benefits that could not be accrued under the qualified plan due to IRC limits. The Rockwell Collins Non-Qualified Pension Plan was merged into the UTC PPP in 2018.  Benefit formulas under the UTC PPP were frozen at the same time as their equivalent qualified pension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Pension Formula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Legacy UTC: Legacy UTC employees hired prior to July 1, 2002, were eligible for a final average earnings (“FAE”) formula through December 31, 2014. After that, they transitioned to a Cash Balance formula (which was already in use for those hired on or after July 1, 2002, and before January 1, 2010). The legacy UTC pension plans were frozen on December 31, 2019. There was no pension benefit for those hired in 2010 or later.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Messrs. Calio and Eddy accrued benefits under the Cash Balance formula only. Mr. Mitchill was hired after January 1, 2010, and was never eligible to participate in the legacy UTC pension plans. The legacy UTC FAE formula and Cash Balance formula are described in detail in our prior proxy statements.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Legacy Rockwell Collins: For legacy Rockwell Collins employees, including Messrs. Jasper and Brunk, benefits were accrued under an FAE formula under the frozen Rockwell Collins qualified and nonqualified pension plans.</w:t>
      </w:r>
    </w:p>
    <w:p>
      <w:pPr>
        <w:pStyle w:val="TextBody"/>
        <w:bidi w:val="0"/>
        <w:jc w:val="left"/>
        <w:rPr>
          <w:caps w:val="false"/>
          <w:smallCaps w:val="false"/>
        </w:rPr>
      </w:pPr>
      <w:r>
        <w:rPr>
          <w:caps w:val="false"/>
          <w:smallCaps w:val="false"/>
        </w:rPr>
        <w:t> </w:t>
      </w:r>
    </w:p>
    <w:p>
      <w:pPr>
        <w:pStyle w:val="TextBody"/>
        <w:bidi w:val="0"/>
        <w:jc w:val="right"/>
        <w:rPr>
          <w:rFonts w:ascii="Arial;Helvetica;Sans-Serif" w:hAnsi="Arial;Helvetica;Sans-Serif"/>
          <w:b w:val="false"/>
          <w:i w:val="false"/>
          <w:caps w:val="false"/>
          <w:smallCaps w:val="false"/>
          <w:sz w:val="15"/>
        </w:rPr>
      </w:pPr>
      <w:r>
        <w:rPr>
          <w:rFonts w:ascii="Arial;Helvetica;Sans-Serif" w:hAnsi="Arial;Helvetica;Sans-Serif"/>
          <w:b/>
          <w:i w:val="false"/>
          <w:caps w:val="false"/>
          <w:smallCaps w:val="false"/>
          <w:sz w:val="15"/>
        </w:rPr>
        <w:t xml:space="preserve">RTX </w:t>
      </w:r>
      <w:r>
        <w:rPr>
          <w:rFonts w:ascii="Arial;Helvetica;Sans-Serif" w:hAnsi="Arial;Helvetica;Sans-Serif"/>
          <w:b w:val="false"/>
          <w:i w:val="false"/>
          <w:caps w:val="false"/>
          <w:smallCaps w:val="false"/>
          <w:sz w:val="15"/>
        </w:rPr>
        <w:t>2026 PROXY STATEMENT    </w:t>
      </w:r>
      <w:r>
        <w:rPr>
          <w:rFonts w:ascii="Arial;Helvetica;Sans-Serif" w:hAnsi="Arial;Helvetica;Sans-Serif"/>
          <w:b/>
          <w:i w:val="false"/>
          <w:caps w:val="false"/>
          <w:smallCaps w:val="false"/>
          <w:sz w:val="15"/>
        </w:rPr>
        <w:t>69</w:t>
      </w:r>
    </w:p>
    <w:p>
      <w:pPr>
        <w:pStyle w:val="HorizontalLine"/>
        <w:pBdr>
          <w:bottom w:val="double" w:sz="2" w:space="0" w:color="808080"/>
        </w:pBdr>
        <w:bidi w:val="0"/>
        <w:spacing w:before="0" w:after="283"/>
        <w:jc w:val="left"/>
        <w:rPr/>
      </w:pPr>
      <w:r>
        <w:rPr/>
      </w:r>
    </w:p>
    <w:p>
      <w:pPr>
        <w:pStyle w:val="TextBody"/>
        <w:bidi w:val="0"/>
        <w:spacing w:before="200" w:after="200"/>
        <w:jc w:val="left"/>
        <w:rPr/>
      </w:pPr>
      <w:hyperlink w:anchor="toc">
        <w:r>
          <w:rPr>
            <w:rStyle w:val="InternetLink"/>
            <w:rFonts w:ascii="Arial;Helvetica;Sans-Serif" w:hAnsi="Arial;Helvetica;Sans-Serif"/>
            <w:b/>
            <w:i w:val="false"/>
            <w:caps w:val="false"/>
            <w:smallCaps w:val="false"/>
            <w:sz w:val="16"/>
          </w:rPr>
          <w:t>Table of Contents</w:t>
        </w:r>
      </w:hyperlink>
    </w:p>
    <w:p>
      <w:pPr>
        <w:pStyle w:val="TextBody"/>
        <w:bidi w:val="0"/>
        <w:spacing w:before="0" w:after="0"/>
        <w:ind w:left="0" w:right="0" w:hanging="0"/>
        <w:jc w:val="left"/>
        <w:rPr>
          <w:rFonts w:ascii="Arial;Helvetica;Sans-Serif" w:hAnsi="Arial;Helvetica;Sans-Serif"/>
          <w:b/>
          <w:i w:val="false"/>
          <w:caps w:val="false"/>
          <w:smallCaps w:val="false"/>
          <w:color w:val="C12E33"/>
          <w:sz w:val="15"/>
        </w:rPr>
      </w:pPr>
      <w:r>
        <w:rPr>
          <w:rFonts w:ascii="Arial;Helvetica;Sans-Serif" w:hAnsi="Arial;Helvetica;Sans-Serif"/>
          <w:b/>
          <w:i w:val="false"/>
          <w:caps w:val="false"/>
          <w:smallCaps w:val="false"/>
          <w:color w:val="C12E33"/>
          <w:sz w:val="15"/>
        </w:rPr>
        <w:t>COMPENSATION TABLES</w:t>
      </w:r>
    </w:p>
    <w:p>
      <w:pPr>
        <w:pStyle w:val="TextBody"/>
        <w:bidi w:val="0"/>
        <w:spacing w:before="0" w:after="0"/>
        <w:ind w:left="0" w:right="0" w:hanging="0"/>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PENSION BENEFITS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 xml:space="preserve">Distribution Options. </w:t>
      </w:r>
      <w:r>
        <w:rPr>
          <w:rFonts w:ascii="Arial;Helvetica;Sans-Serif" w:hAnsi="Arial;Helvetica;Sans-Serif"/>
          <w:b w:val="false"/>
          <w:i w:val="false"/>
          <w:caps w:val="false"/>
          <w:smallCaps w:val="false"/>
          <w:sz w:val="20"/>
        </w:rPr>
        <w:t>Under the RTX Consolidated Pension Plan, legacy UTC participants can take distributions as either a lump sum or as annuity payments, while annuity payments are the only option for legacy Rockwell Collins participants. Under the UTC PPP, in addition to lump-sum and annuity payments, legacy UTC participants may elect annual installments over periods between two and ten years. For legacy Rockwell Collins participants of the UTC PPP, a lump-sum option is available on the post-2004 portion of the benefit, in addition to monthly annuity options. The form of payment for nonqualified plans was generally required to be elected in advance of earning benefits under the plans.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 xml:space="preserve">Retirement. </w:t>
      </w:r>
      <w:r>
        <w:rPr>
          <w:rFonts w:ascii="Arial;Helvetica;Sans-Serif" w:hAnsi="Arial;Helvetica;Sans-Serif"/>
          <w:b w:val="false"/>
          <w:i w:val="false"/>
          <w:caps w:val="false"/>
          <w:smallCaps w:val="false"/>
          <w:sz w:val="20"/>
        </w:rPr>
        <w:t>For both legacy UTC and Rockwell Collins participants, the normal retirement age is 65, with early retirement benefits available under the FAE formula beginning at age 55. FAE benefits are reduced for early retirement prior to age 62. The value of the legacy UTC Cash Balance account is not impacted by an employee’s age at retirement. As of December 31, 2025, Messrs. Jasper and Brunk were eligible for early retirement under the FAE formula of their respective plans.</w:t>
      </w:r>
    </w:p>
    <w:p>
      <w:pPr>
        <w:pStyle w:val="TextBody"/>
        <w:bidi w:val="0"/>
        <w:spacing w:before="0" w:after="0"/>
        <w:ind w:left="0" w:right="0" w:hanging="0"/>
        <w:jc w:val="left"/>
        <w:rPr>
          <w:caps w:val="false"/>
          <w:smallCaps w:val="false"/>
        </w:rPr>
      </w:pPr>
      <w:r>
        <w:rPr>
          <w:caps w:val="false"/>
          <w:smallCaps w:val="false"/>
        </w:rPr>
        <w:t> </w:t>
      </w:r>
    </w:p>
    <w:tbl>
      <w:tblPr>
        <w:tblW w:w="9670" w:type="dxa"/>
        <w:jc w:val="left"/>
        <w:tblInd w:w="0" w:type="dxa"/>
        <w:tblLayout w:type="fixed"/>
        <w:tblCellMar>
          <w:top w:w="0" w:type="dxa"/>
          <w:left w:w="0" w:type="dxa"/>
          <w:bottom w:w="40" w:type="dxa"/>
          <w:right w:w="0" w:type="dxa"/>
        </w:tblCellMar>
      </w:tblPr>
      <w:tblGrid>
        <w:gridCol w:w="1745"/>
        <w:gridCol w:w="300"/>
        <w:gridCol w:w="3110"/>
        <w:gridCol w:w="300"/>
        <w:gridCol w:w="1385"/>
        <w:gridCol w:w="300"/>
        <w:gridCol w:w="1010"/>
        <w:gridCol w:w="300"/>
        <w:gridCol w:w="1220"/>
      </w:tblGrid>
      <w:tr>
        <w:trPr/>
        <w:tc>
          <w:tcPr>
            <w:tcW w:w="1745" w:type="dxa"/>
            <w:tcBorders>
              <w:bottom w:val="single" w:sz="12" w:space="0" w:color="C12E33"/>
            </w:tcBorders>
            <w:vAlign w:val="center"/>
          </w:tcPr>
          <w:p>
            <w:pPr>
              <w:pStyle w:val="TableContents"/>
              <w:bidi w:val="0"/>
              <w:spacing w:before="0" w:after="283"/>
              <w:jc w:val="left"/>
              <w:rPr>
                <w:color w:val="636466"/>
                <w:sz w:val="15"/>
              </w:rPr>
            </w:pPr>
            <w:r>
              <w:rPr>
                <w:color w:val="636466"/>
                <w:sz w:val="15"/>
              </w:rPr>
              <w:t>Name</w:t>
            </w:r>
          </w:p>
        </w:tc>
        <w:tc>
          <w:tcPr>
            <w:tcW w:w="300" w:type="dxa"/>
            <w:tcBorders>
              <w:bottom w:val="single" w:sz="12" w:space="0" w:color="C12E33"/>
            </w:tcBorders>
            <w:vAlign w:val="center"/>
          </w:tcPr>
          <w:p>
            <w:pPr>
              <w:pStyle w:val="TableContents"/>
              <w:bidi w:val="0"/>
              <w:spacing w:before="0" w:after="283"/>
              <w:jc w:val="left"/>
              <w:rPr/>
            </w:pPr>
            <w:r>
              <w:rPr/>
              <w:t>     </w:t>
            </w:r>
          </w:p>
        </w:tc>
        <w:tc>
          <w:tcPr>
            <w:tcW w:w="3110" w:type="dxa"/>
            <w:tcBorders>
              <w:bottom w:val="single" w:sz="12" w:space="0" w:color="C12E33"/>
            </w:tcBorders>
            <w:vAlign w:val="center"/>
          </w:tcPr>
          <w:p>
            <w:pPr>
              <w:pStyle w:val="TableContents"/>
              <w:bidi w:val="0"/>
              <w:spacing w:before="0" w:after="283"/>
              <w:jc w:val="left"/>
              <w:rPr>
                <w:color w:val="636466"/>
                <w:sz w:val="15"/>
              </w:rPr>
            </w:pPr>
            <w:r>
              <w:rPr>
                <w:color w:val="636466"/>
                <w:sz w:val="15"/>
              </w:rPr>
              <w:t>Plan Name</w:t>
            </w:r>
          </w:p>
        </w:tc>
        <w:tc>
          <w:tcPr>
            <w:tcW w:w="300" w:type="dxa"/>
            <w:tcBorders>
              <w:bottom w:val="single" w:sz="12" w:space="0" w:color="C12E33"/>
            </w:tcBorders>
            <w:vAlign w:val="center"/>
          </w:tcPr>
          <w:p>
            <w:pPr>
              <w:pStyle w:val="TableContents"/>
              <w:bidi w:val="0"/>
              <w:spacing w:before="0" w:after="283"/>
              <w:jc w:val="left"/>
              <w:rPr/>
            </w:pPr>
            <w:r>
              <w:rPr/>
              <w:t>     </w:t>
            </w:r>
          </w:p>
        </w:tc>
        <w:tc>
          <w:tcPr>
            <w:tcW w:w="1385" w:type="dxa"/>
            <w:tcBorders>
              <w:bottom w:val="single" w:sz="12" w:space="0" w:color="C12E33"/>
            </w:tcBorders>
            <w:vAlign w:val="center"/>
          </w:tcPr>
          <w:p>
            <w:pPr>
              <w:pStyle w:val="TableContents"/>
              <w:bidi w:val="0"/>
              <w:spacing w:before="0" w:after="283"/>
              <w:jc w:val="right"/>
              <w:rPr/>
            </w:pPr>
            <w:r>
              <w:rPr>
                <w:color w:val="636466"/>
                <w:sz w:val="15"/>
              </w:rPr>
              <w:t>Number of Years</w:t>
            </w:r>
            <w:r>
              <w:rPr>
                <w:sz w:val="15"/>
              </w:rPr>
              <w:br/>
            </w:r>
            <w:r>
              <w:rPr>
                <w:color w:val="636466"/>
                <w:sz w:val="15"/>
              </w:rPr>
              <w:t>of Credited Service (#)</w:t>
            </w:r>
          </w:p>
        </w:tc>
        <w:tc>
          <w:tcPr>
            <w:tcW w:w="300" w:type="dxa"/>
            <w:tcBorders>
              <w:bottom w:val="single" w:sz="12" w:space="0" w:color="C12E33"/>
            </w:tcBorders>
            <w:vAlign w:val="center"/>
          </w:tcPr>
          <w:p>
            <w:pPr>
              <w:pStyle w:val="TableContents"/>
              <w:bidi w:val="0"/>
              <w:spacing w:before="0" w:after="283"/>
              <w:jc w:val="left"/>
              <w:rPr/>
            </w:pPr>
            <w:r>
              <w:rPr/>
              <w:t>     </w:t>
            </w:r>
          </w:p>
        </w:tc>
        <w:tc>
          <w:tcPr>
            <w:tcW w:w="1010" w:type="dxa"/>
            <w:tcBorders>
              <w:bottom w:val="single" w:sz="12" w:space="0" w:color="C12E33"/>
            </w:tcBorders>
            <w:vAlign w:val="center"/>
          </w:tcPr>
          <w:p>
            <w:pPr>
              <w:pStyle w:val="TableContents"/>
              <w:bidi w:val="0"/>
              <w:spacing w:before="0" w:after="283"/>
              <w:jc w:val="right"/>
              <w:rPr/>
            </w:pPr>
            <w:r>
              <w:rPr>
                <w:color w:val="636466"/>
                <w:sz w:val="15"/>
              </w:rPr>
              <w:t>Present Value of</w:t>
            </w:r>
            <w:r>
              <w:rPr>
                <w:sz w:val="15"/>
              </w:rPr>
              <w:br/>
            </w:r>
            <w:r>
              <w:rPr>
                <w:color w:val="636466"/>
                <w:sz w:val="15"/>
              </w:rPr>
              <w:t>Accumulated</w:t>
            </w:r>
            <w:r>
              <w:rPr>
                <w:sz w:val="15"/>
              </w:rPr>
              <w:br/>
            </w:r>
            <w:r>
              <w:rPr>
                <w:color w:val="636466"/>
                <w:sz w:val="15"/>
              </w:rPr>
              <w:t>Benefit ($)</w:t>
            </w:r>
            <w:r>
              <w:rPr>
                <w:color w:val="636466"/>
                <w:position w:val="5"/>
                <w:sz w:val="12"/>
                <w:sz w:val="15"/>
              </w:rPr>
              <w:t>(1)</w:t>
            </w:r>
          </w:p>
        </w:tc>
        <w:tc>
          <w:tcPr>
            <w:tcW w:w="300" w:type="dxa"/>
            <w:tcBorders>
              <w:bottom w:val="single" w:sz="12" w:space="0" w:color="C12E33"/>
            </w:tcBorders>
            <w:vAlign w:val="center"/>
          </w:tcPr>
          <w:p>
            <w:pPr>
              <w:pStyle w:val="TableContents"/>
              <w:bidi w:val="0"/>
              <w:spacing w:before="0" w:after="283"/>
              <w:jc w:val="left"/>
              <w:rPr/>
            </w:pPr>
            <w:r>
              <w:rPr/>
              <w:t>     </w:t>
            </w:r>
          </w:p>
        </w:tc>
        <w:tc>
          <w:tcPr>
            <w:tcW w:w="1220" w:type="dxa"/>
            <w:tcBorders>
              <w:bottom w:val="single" w:sz="12" w:space="0" w:color="C12E33"/>
            </w:tcBorders>
            <w:vAlign w:val="center"/>
          </w:tcPr>
          <w:p>
            <w:pPr>
              <w:pStyle w:val="TableContents"/>
              <w:bidi w:val="0"/>
              <w:spacing w:before="0" w:after="283"/>
              <w:jc w:val="right"/>
              <w:rPr/>
            </w:pPr>
            <w:r>
              <w:rPr>
                <w:color w:val="636466"/>
                <w:sz w:val="15"/>
              </w:rPr>
              <w:t>Payments During</w:t>
            </w:r>
            <w:r>
              <w:rPr>
                <w:sz w:val="15"/>
              </w:rPr>
              <w:br/>
            </w:r>
            <w:r>
              <w:rPr>
                <w:color w:val="636466"/>
                <w:sz w:val="15"/>
              </w:rPr>
              <w:t>Last Fiscal Year ($)</w:t>
            </w:r>
          </w:p>
        </w:tc>
      </w:tr>
      <w:tr>
        <w:trPr/>
        <w:tc>
          <w:tcPr>
            <w:tcW w:w="1745" w:type="dxa"/>
            <w:vMerge w:val="restart"/>
            <w:tcBorders>
              <w:bottom w:val="single" w:sz="12" w:space="0" w:color="636466"/>
            </w:tcBorders>
            <w:vAlign w:val="center"/>
          </w:tcPr>
          <w:p>
            <w:pPr>
              <w:pStyle w:val="TableContents"/>
              <w:bidi w:val="0"/>
              <w:spacing w:before="0" w:after="283"/>
              <w:jc w:val="left"/>
              <w:rPr>
                <w:b/>
              </w:rPr>
            </w:pPr>
            <w:r>
              <w:rPr>
                <w:b/>
              </w:rPr>
              <w:t>C. Calio</w:t>
            </w:r>
            <w:r>
              <w:rPr>
                <w:b/>
                <w:position w:val="8"/>
                <w:sz w:val="19"/>
              </w:rPr>
              <w:t>(2)</w:t>
            </w:r>
          </w:p>
        </w:tc>
        <w:tc>
          <w:tcPr>
            <w:tcW w:w="300" w:type="dxa"/>
            <w:tcBorders/>
            <w:tcMar>
              <w:bottom w:w="0" w:type="dxa"/>
            </w:tcMar>
            <w:vAlign w:val="center"/>
          </w:tcPr>
          <w:p>
            <w:pPr>
              <w:pStyle w:val="TableContents"/>
              <w:bidi w:val="0"/>
              <w:spacing w:before="0" w:after="283"/>
              <w:jc w:val="left"/>
              <w:rPr/>
            </w:pPr>
            <w:r>
              <w:rPr/>
              <w:t> </w:t>
            </w:r>
          </w:p>
        </w:tc>
        <w:tc>
          <w:tcPr>
            <w:tcW w:w="3110" w:type="dxa"/>
            <w:tcBorders>
              <w:bottom w:val="single" w:sz="2" w:space="0" w:color="000000"/>
            </w:tcBorders>
            <w:vAlign w:val="center"/>
          </w:tcPr>
          <w:p>
            <w:pPr>
              <w:pStyle w:val="TableContents"/>
              <w:bidi w:val="0"/>
              <w:spacing w:before="0" w:after="283"/>
              <w:jc w:val="left"/>
              <w:rPr/>
            </w:pPr>
            <w:r>
              <w:rPr/>
              <w:t>RTX Consolidated Pension Plan</w:t>
            </w:r>
          </w:p>
        </w:tc>
        <w:tc>
          <w:tcPr>
            <w:tcW w:w="300" w:type="dxa"/>
            <w:tcBorders>
              <w:bottom w:val="single" w:sz="2" w:space="0" w:color="000000"/>
            </w:tcBorders>
            <w:vAlign w:val="center"/>
          </w:tcPr>
          <w:p>
            <w:pPr>
              <w:pStyle w:val="TableContents"/>
              <w:bidi w:val="0"/>
              <w:spacing w:before="0" w:after="283"/>
              <w:jc w:val="left"/>
              <w:rPr/>
            </w:pPr>
            <w:r>
              <w:rPr/>
              <w:t> </w:t>
            </w:r>
          </w:p>
        </w:tc>
        <w:tc>
          <w:tcPr>
            <w:tcW w:w="1385" w:type="dxa"/>
            <w:tcBorders>
              <w:bottom w:val="single" w:sz="2" w:space="0" w:color="000000"/>
            </w:tcBorders>
            <w:vAlign w:val="center"/>
          </w:tcPr>
          <w:p>
            <w:pPr>
              <w:pStyle w:val="TableContents"/>
              <w:bidi w:val="0"/>
              <w:spacing w:before="0" w:after="283"/>
              <w:jc w:val="right"/>
              <w:rPr/>
            </w:pPr>
            <w:r>
              <w:rPr/>
              <w:t>15</w:t>
            </w:r>
          </w:p>
        </w:tc>
        <w:tc>
          <w:tcPr>
            <w:tcW w:w="300" w:type="dxa"/>
            <w:tcBorders>
              <w:bottom w:val="single" w:sz="2" w:space="0" w:color="000000"/>
            </w:tcBorders>
            <w:vAlign w:val="center"/>
          </w:tcPr>
          <w:p>
            <w:pPr>
              <w:pStyle w:val="TableContents"/>
              <w:bidi w:val="0"/>
              <w:spacing w:before="0" w:after="283"/>
              <w:jc w:val="left"/>
              <w:rPr/>
            </w:pPr>
            <w:r>
              <w:rPr/>
              <w:t> </w:t>
            </w:r>
          </w:p>
        </w:tc>
        <w:tc>
          <w:tcPr>
            <w:tcW w:w="1010" w:type="dxa"/>
            <w:tcBorders>
              <w:bottom w:val="single" w:sz="2" w:space="0" w:color="000000"/>
            </w:tcBorders>
            <w:vAlign w:val="center"/>
          </w:tcPr>
          <w:p>
            <w:pPr>
              <w:pStyle w:val="TableContents"/>
              <w:bidi w:val="0"/>
              <w:spacing w:before="0" w:after="283"/>
              <w:jc w:val="right"/>
              <w:rPr/>
            </w:pPr>
            <w:r>
              <w:rPr/>
              <w:t>$296,948</w:t>
            </w:r>
          </w:p>
        </w:tc>
        <w:tc>
          <w:tcPr>
            <w:tcW w:w="300" w:type="dxa"/>
            <w:tcBorders>
              <w:bottom w:val="single" w:sz="2" w:space="0" w:color="000000"/>
            </w:tcBorders>
            <w:vAlign w:val="center"/>
          </w:tcPr>
          <w:p>
            <w:pPr>
              <w:pStyle w:val="TableContents"/>
              <w:bidi w:val="0"/>
              <w:spacing w:before="0" w:after="283"/>
              <w:jc w:val="right"/>
              <w:rPr/>
            </w:pPr>
            <w:r>
              <w:rPr/>
              <w:t> </w:t>
            </w:r>
          </w:p>
        </w:tc>
        <w:tc>
          <w:tcPr>
            <w:tcW w:w="1220" w:type="dxa"/>
            <w:tcBorders>
              <w:bottom w:val="single" w:sz="2" w:space="0" w:color="000000"/>
            </w:tcBorders>
            <w:vAlign w:val="center"/>
          </w:tcPr>
          <w:p>
            <w:pPr>
              <w:pStyle w:val="TableContents"/>
              <w:bidi w:val="0"/>
              <w:spacing w:before="0" w:after="283"/>
              <w:jc w:val="right"/>
              <w:rPr/>
            </w:pPr>
            <w:r>
              <w:rPr/>
              <w:t>–</w:t>
            </w:r>
          </w:p>
        </w:tc>
      </w:tr>
      <w:tr>
        <w:trPr/>
        <w:tc>
          <w:tcPr>
            <w:tcW w:w="1745" w:type="dxa"/>
            <w:vMerge w:val="continue"/>
            <w:tcBorders>
              <w:bottom w:val="single" w:sz="12" w:space="0" w:color="636466"/>
            </w:tcBorders>
            <w:vAlign w:val="center"/>
          </w:tcPr>
          <w:p>
            <w:pPr>
              <w:pStyle w:val="Normal"/>
              <w:bidi w:val="0"/>
              <w:jc w:val="left"/>
              <w:rPr/>
            </w:pPr>
            <w:r>
              <w:rPr/>
            </w:r>
          </w:p>
        </w:tc>
        <w:tc>
          <w:tcPr>
            <w:tcW w:w="300" w:type="dxa"/>
            <w:tcBorders/>
            <w:tcMar>
              <w:bottom w:w="0" w:type="dxa"/>
            </w:tcMar>
            <w:vAlign w:val="center"/>
          </w:tcPr>
          <w:p>
            <w:pPr>
              <w:pStyle w:val="TableContents"/>
              <w:bidi w:val="0"/>
              <w:spacing w:before="0" w:after="283"/>
              <w:jc w:val="left"/>
              <w:rPr/>
            </w:pPr>
            <w:r>
              <w:rPr/>
              <w:t> </w:t>
            </w:r>
          </w:p>
        </w:tc>
        <w:tc>
          <w:tcPr>
            <w:tcW w:w="3110" w:type="dxa"/>
            <w:tcBorders>
              <w:bottom w:val="single" w:sz="2" w:space="0" w:color="000000"/>
            </w:tcBorders>
            <w:vAlign w:val="center"/>
          </w:tcPr>
          <w:p>
            <w:pPr>
              <w:pStyle w:val="TableContents"/>
              <w:bidi w:val="0"/>
              <w:spacing w:before="0" w:after="283"/>
              <w:jc w:val="left"/>
              <w:rPr/>
            </w:pPr>
            <w:r>
              <w:rPr/>
              <w:t>UTC Pension Preservation Plan</w:t>
            </w:r>
          </w:p>
        </w:tc>
        <w:tc>
          <w:tcPr>
            <w:tcW w:w="300" w:type="dxa"/>
            <w:tcBorders>
              <w:bottom w:val="single" w:sz="2" w:space="0" w:color="000000"/>
            </w:tcBorders>
            <w:vAlign w:val="center"/>
          </w:tcPr>
          <w:p>
            <w:pPr>
              <w:pStyle w:val="TableContents"/>
              <w:bidi w:val="0"/>
              <w:spacing w:before="0" w:after="283"/>
              <w:jc w:val="left"/>
              <w:rPr/>
            </w:pPr>
            <w:r>
              <w:rPr/>
              <w:t> </w:t>
            </w:r>
          </w:p>
        </w:tc>
        <w:tc>
          <w:tcPr>
            <w:tcW w:w="1385" w:type="dxa"/>
            <w:tcBorders>
              <w:bottom w:val="single" w:sz="2" w:space="0" w:color="000000"/>
            </w:tcBorders>
            <w:vAlign w:val="center"/>
          </w:tcPr>
          <w:p>
            <w:pPr>
              <w:pStyle w:val="TableContents"/>
              <w:bidi w:val="0"/>
              <w:spacing w:before="0" w:after="283"/>
              <w:jc w:val="right"/>
              <w:rPr/>
            </w:pPr>
            <w:r>
              <w:rPr/>
              <w:t>15</w:t>
            </w:r>
          </w:p>
        </w:tc>
        <w:tc>
          <w:tcPr>
            <w:tcW w:w="300" w:type="dxa"/>
            <w:tcBorders>
              <w:bottom w:val="single" w:sz="2" w:space="0" w:color="000000"/>
            </w:tcBorders>
            <w:vAlign w:val="center"/>
          </w:tcPr>
          <w:p>
            <w:pPr>
              <w:pStyle w:val="TableContents"/>
              <w:bidi w:val="0"/>
              <w:spacing w:before="0" w:after="283"/>
              <w:jc w:val="left"/>
              <w:rPr/>
            </w:pPr>
            <w:r>
              <w:rPr/>
              <w:t> </w:t>
            </w:r>
          </w:p>
        </w:tc>
        <w:tc>
          <w:tcPr>
            <w:tcW w:w="1010" w:type="dxa"/>
            <w:tcBorders>
              <w:bottom w:val="single" w:sz="2" w:space="0" w:color="000000"/>
            </w:tcBorders>
            <w:vAlign w:val="center"/>
          </w:tcPr>
          <w:p>
            <w:pPr>
              <w:pStyle w:val="TableContents"/>
              <w:bidi w:val="0"/>
              <w:spacing w:before="0" w:after="283"/>
              <w:jc w:val="right"/>
              <w:rPr/>
            </w:pPr>
            <w:r>
              <w:rPr/>
              <w:t>$253,104</w:t>
            </w:r>
          </w:p>
        </w:tc>
        <w:tc>
          <w:tcPr>
            <w:tcW w:w="300" w:type="dxa"/>
            <w:tcBorders>
              <w:bottom w:val="single" w:sz="2" w:space="0" w:color="000000"/>
            </w:tcBorders>
            <w:vAlign w:val="center"/>
          </w:tcPr>
          <w:p>
            <w:pPr>
              <w:pStyle w:val="TableContents"/>
              <w:bidi w:val="0"/>
              <w:spacing w:before="0" w:after="283"/>
              <w:jc w:val="right"/>
              <w:rPr/>
            </w:pPr>
            <w:r>
              <w:rPr/>
              <w:t> </w:t>
            </w:r>
          </w:p>
        </w:tc>
        <w:tc>
          <w:tcPr>
            <w:tcW w:w="1220" w:type="dxa"/>
            <w:tcBorders>
              <w:bottom w:val="single" w:sz="2" w:space="0" w:color="000000"/>
            </w:tcBorders>
            <w:vAlign w:val="center"/>
          </w:tcPr>
          <w:p>
            <w:pPr>
              <w:pStyle w:val="TableContents"/>
              <w:bidi w:val="0"/>
              <w:spacing w:before="0" w:after="283"/>
              <w:jc w:val="right"/>
              <w:rPr/>
            </w:pPr>
            <w:r>
              <w:rPr/>
              <w:t>–</w:t>
            </w:r>
          </w:p>
        </w:tc>
      </w:tr>
      <w:tr>
        <w:trPr/>
        <w:tc>
          <w:tcPr>
            <w:tcW w:w="1745" w:type="dxa"/>
            <w:vMerge w:val="continue"/>
            <w:tcBorders>
              <w:bottom w:val="single" w:sz="12" w:space="0" w:color="636466"/>
            </w:tcBorders>
            <w:vAlign w:val="center"/>
          </w:tcPr>
          <w:p>
            <w:pPr>
              <w:pStyle w:val="Normal"/>
              <w:bidi w:val="0"/>
              <w:jc w:val="left"/>
              <w:rPr/>
            </w:pPr>
            <w:r>
              <w:rPr/>
            </w:r>
          </w:p>
        </w:tc>
        <w:tc>
          <w:tcPr>
            <w:tcW w:w="300" w:type="dxa"/>
            <w:tcBorders>
              <w:bottom w:val="single" w:sz="12" w:space="0" w:color="636466"/>
            </w:tcBorders>
            <w:vAlign w:val="center"/>
          </w:tcPr>
          <w:p>
            <w:pPr>
              <w:pStyle w:val="TableContents"/>
              <w:bidi w:val="0"/>
              <w:spacing w:before="0" w:after="283"/>
              <w:jc w:val="left"/>
              <w:rPr/>
            </w:pPr>
            <w:r>
              <w:rPr/>
              <w:t> </w:t>
            </w:r>
          </w:p>
        </w:tc>
        <w:tc>
          <w:tcPr>
            <w:tcW w:w="3110" w:type="dxa"/>
            <w:tcBorders>
              <w:bottom w:val="single" w:sz="12" w:space="0" w:color="636466"/>
            </w:tcBorders>
            <w:shd w:fill="EDEDEE" w:val="clear"/>
            <w:vAlign w:val="center"/>
          </w:tcPr>
          <w:p>
            <w:pPr>
              <w:pStyle w:val="TableContents"/>
              <w:bidi w:val="0"/>
              <w:spacing w:before="0" w:after="283"/>
              <w:jc w:val="left"/>
              <w:rPr>
                <w:b/>
              </w:rPr>
            </w:pPr>
            <w:r>
              <w:rPr>
                <w:b/>
              </w:rPr>
              <w:t>Total</w:t>
            </w:r>
          </w:p>
        </w:tc>
        <w:tc>
          <w:tcPr>
            <w:tcW w:w="300" w:type="dxa"/>
            <w:tcBorders>
              <w:bottom w:val="single" w:sz="12" w:space="0" w:color="636466"/>
            </w:tcBorders>
            <w:shd w:fill="EDEDEE" w:val="clear"/>
            <w:vAlign w:val="center"/>
          </w:tcPr>
          <w:p>
            <w:pPr>
              <w:pStyle w:val="TableContents"/>
              <w:bidi w:val="0"/>
              <w:spacing w:before="0" w:after="283"/>
              <w:jc w:val="left"/>
              <w:rPr/>
            </w:pPr>
            <w:r>
              <w:rPr/>
              <w:t> </w:t>
            </w:r>
          </w:p>
        </w:tc>
        <w:tc>
          <w:tcPr>
            <w:tcW w:w="1385" w:type="dxa"/>
            <w:tcBorders>
              <w:bottom w:val="single" w:sz="12" w:space="0" w:color="636466"/>
            </w:tcBorders>
            <w:shd w:fill="EDEDEE" w:val="clear"/>
            <w:vAlign w:val="center"/>
          </w:tcPr>
          <w:p>
            <w:pPr>
              <w:pStyle w:val="TableContents"/>
              <w:bidi w:val="0"/>
              <w:spacing w:before="0" w:after="283"/>
              <w:jc w:val="right"/>
              <w:rPr/>
            </w:pPr>
            <w:r>
              <w:rPr/>
              <w:t>–</w:t>
            </w:r>
          </w:p>
        </w:tc>
        <w:tc>
          <w:tcPr>
            <w:tcW w:w="300" w:type="dxa"/>
            <w:tcBorders>
              <w:bottom w:val="single" w:sz="12" w:space="0" w:color="636466"/>
            </w:tcBorders>
            <w:shd w:fill="EDEDEE" w:val="clear"/>
            <w:vAlign w:val="center"/>
          </w:tcPr>
          <w:p>
            <w:pPr>
              <w:pStyle w:val="TableContents"/>
              <w:bidi w:val="0"/>
              <w:spacing w:before="0" w:after="283"/>
              <w:jc w:val="left"/>
              <w:rPr/>
            </w:pPr>
            <w:r>
              <w:rPr/>
              <w:t> </w:t>
            </w:r>
          </w:p>
        </w:tc>
        <w:tc>
          <w:tcPr>
            <w:tcW w:w="1010" w:type="dxa"/>
            <w:tcBorders>
              <w:bottom w:val="single" w:sz="12" w:space="0" w:color="636466"/>
            </w:tcBorders>
            <w:shd w:fill="EDEDEE" w:val="clear"/>
            <w:vAlign w:val="center"/>
          </w:tcPr>
          <w:p>
            <w:pPr>
              <w:pStyle w:val="TableContents"/>
              <w:bidi w:val="0"/>
              <w:spacing w:before="0" w:after="283"/>
              <w:jc w:val="right"/>
              <w:rPr>
                <w:b/>
              </w:rPr>
            </w:pPr>
            <w:r>
              <w:rPr>
                <w:b/>
              </w:rPr>
              <w:t>$550,052</w:t>
            </w:r>
          </w:p>
        </w:tc>
        <w:tc>
          <w:tcPr>
            <w:tcW w:w="300" w:type="dxa"/>
            <w:tcBorders>
              <w:bottom w:val="single" w:sz="12" w:space="0" w:color="636466"/>
            </w:tcBorders>
            <w:shd w:fill="EDEDEE" w:val="clear"/>
            <w:vAlign w:val="center"/>
          </w:tcPr>
          <w:p>
            <w:pPr>
              <w:pStyle w:val="TableContents"/>
              <w:bidi w:val="0"/>
              <w:spacing w:before="0" w:after="283"/>
              <w:jc w:val="right"/>
              <w:rPr/>
            </w:pPr>
            <w:r>
              <w:rPr/>
              <w:t> </w:t>
            </w:r>
          </w:p>
        </w:tc>
        <w:tc>
          <w:tcPr>
            <w:tcW w:w="1220" w:type="dxa"/>
            <w:tcBorders>
              <w:bottom w:val="single" w:sz="12" w:space="0" w:color="636466"/>
            </w:tcBorders>
            <w:shd w:fill="EDEDEE" w:val="clear"/>
            <w:vAlign w:val="center"/>
          </w:tcPr>
          <w:p>
            <w:pPr>
              <w:pStyle w:val="TableContents"/>
              <w:bidi w:val="0"/>
              <w:spacing w:before="0" w:after="283"/>
              <w:jc w:val="right"/>
              <w:rPr/>
            </w:pPr>
            <w:r>
              <w:rPr/>
              <w:t>–</w:t>
            </w:r>
          </w:p>
        </w:tc>
      </w:tr>
      <w:tr>
        <w:trPr/>
        <w:tc>
          <w:tcPr>
            <w:tcW w:w="1745" w:type="dxa"/>
            <w:vMerge w:val="restart"/>
            <w:tcBorders>
              <w:bottom w:val="single" w:sz="12" w:space="0" w:color="636466"/>
            </w:tcBorders>
            <w:vAlign w:val="center"/>
          </w:tcPr>
          <w:p>
            <w:pPr>
              <w:pStyle w:val="TableContents"/>
              <w:bidi w:val="0"/>
              <w:spacing w:before="0" w:after="283"/>
              <w:jc w:val="left"/>
              <w:rPr>
                <w:b/>
              </w:rPr>
            </w:pPr>
            <w:r>
              <w:rPr>
                <w:b/>
              </w:rPr>
              <w:t>N. Mitchill, Jr.</w:t>
            </w:r>
            <w:r>
              <w:rPr>
                <w:b/>
                <w:position w:val="8"/>
                <w:sz w:val="19"/>
              </w:rPr>
              <w:t>(3)</w:t>
            </w:r>
          </w:p>
        </w:tc>
        <w:tc>
          <w:tcPr>
            <w:tcW w:w="300" w:type="dxa"/>
            <w:tcBorders/>
            <w:tcMar>
              <w:bottom w:w="0" w:type="dxa"/>
            </w:tcMar>
            <w:vAlign w:val="center"/>
          </w:tcPr>
          <w:p>
            <w:pPr>
              <w:pStyle w:val="TableContents"/>
              <w:bidi w:val="0"/>
              <w:spacing w:before="0" w:after="283"/>
              <w:jc w:val="left"/>
              <w:rPr/>
            </w:pPr>
            <w:r>
              <w:rPr/>
              <w:t> </w:t>
            </w:r>
          </w:p>
        </w:tc>
        <w:tc>
          <w:tcPr>
            <w:tcW w:w="3110" w:type="dxa"/>
            <w:tcBorders>
              <w:bottom w:val="single" w:sz="2" w:space="0" w:color="000000"/>
            </w:tcBorders>
            <w:vAlign w:val="center"/>
          </w:tcPr>
          <w:p>
            <w:pPr>
              <w:pStyle w:val="TableContents"/>
              <w:bidi w:val="0"/>
              <w:spacing w:before="0" w:after="283"/>
              <w:jc w:val="left"/>
              <w:rPr/>
            </w:pPr>
            <w:r>
              <w:rPr/>
              <w:t>RTX Consolidated Pension Plan</w:t>
            </w:r>
          </w:p>
        </w:tc>
        <w:tc>
          <w:tcPr>
            <w:tcW w:w="300" w:type="dxa"/>
            <w:tcBorders>
              <w:bottom w:val="single" w:sz="2" w:space="0" w:color="000000"/>
            </w:tcBorders>
            <w:vAlign w:val="center"/>
          </w:tcPr>
          <w:p>
            <w:pPr>
              <w:pStyle w:val="TableContents"/>
              <w:bidi w:val="0"/>
              <w:spacing w:before="0" w:after="283"/>
              <w:jc w:val="left"/>
              <w:rPr/>
            </w:pPr>
            <w:r>
              <w:rPr/>
              <w:t> </w:t>
            </w:r>
          </w:p>
        </w:tc>
        <w:tc>
          <w:tcPr>
            <w:tcW w:w="1385" w:type="dxa"/>
            <w:tcBorders>
              <w:bottom w:val="single" w:sz="2" w:space="0" w:color="000000"/>
            </w:tcBorders>
            <w:vAlign w:val="center"/>
          </w:tcPr>
          <w:p>
            <w:pPr>
              <w:pStyle w:val="TableContents"/>
              <w:bidi w:val="0"/>
              <w:spacing w:before="0" w:after="283"/>
              <w:jc w:val="right"/>
              <w:rPr/>
            </w:pPr>
            <w:r>
              <w:rPr/>
              <w:t>–</w:t>
            </w:r>
          </w:p>
        </w:tc>
        <w:tc>
          <w:tcPr>
            <w:tcW w:w="300" w:type="dxa"/>
            <w:tcBorders>
              <w:bottom w:val="single" w:sz="2" w:space="0" w:color="000000"/>
            </w:tcBorders>
            <w:vAlign w:val="center"/>
          </w:tcPr>
          <w:p>
            <w:pPr>
              <w:pStyle w:val="TableContents"/>
              <w:bidi w:val="0"/>
              <w:spacing w:before="0" w:after="283"/>
              <w:jc w:val="left"/>
              <w:rPr/>
            </w:pPr>
            <w:r>
              <w:rPr/>
              <w:t> </w:t>
            </w:r>
          </w:p>
        </w:tc>
        <w:tc>
          <w:tcPr>
            <w:tcW w:w="1010" w:type="dxa"/>
            <w:tcBorders>
              <w:bottom w:val="single" w:sz="2" w:space="0" w:color="000000"/>
            </w:tcBorders>
            <w:vAlign w:val="center"/>
          </w:tcPr>
          <w:p>
            <w:pPr>
              <w:pStyle w:val="TableContents"/>
              <w:bidi w:val="0"/>
              <w:spacing w:before="0" w:after="283"/>
              <w:jc w:val="right"/>
              <w:rPr/>
            </w:pPr>
            <w:r>
              <w:rPr/>
              <w:t>–</w:t>
            </w:r>
          </w:p>
        </w:tc>
        <w:tc>
          <w:tcPr>
            <w:tcW w:w="300" w:type="dxa"/>
            <w:tcBorders>
              <w:bottom w:val="single" w:sz="2" w:space="0" w:color="000000"/>
            </w:tcBorders>
            <w:vAlign w:val="center"/>
          </w:tcPr>
          <w:p>
            <w:pPr>
              <w:pStyle w:val="TableContents"/>
              <w:bidi w:val="0"/>
              <w:spacing w:before="0" w:after="283"/>
              <w:jc w:val="right"/>
              <w:rPr/>
            </w:pPr>
            <w:r>
              <w:rPr/>
              <w:t> </w:t>
            </w:r>
          </w:p>
        </w:tc>
        <w:tc>
          <w:tcPr>
            <w:tcW w:w="1220" w:type="dxa"/>
            <w:tcBorders>
              <w:bottom w:val="single" w:sz="2" w:space="0" w:color="000000"/>
            </w:tcBorders>
            <w:vAlign w:val="center"/>
          </w:tcPr>
          <w:p>
            <w:pPr>
              <w:pStyle w:val="TableContents"/>
              <w:bidi w:val="0"/>
              <w:spacing w:before="0" w:after="283"/>
              <w:jc w:val="right"/>
              <w:rPr/>
            </w:pPr>
            <w:r>
              <w:rPr/>
              <w:t>–</w:t>
            </w:r>
          </w:p>
        </w:tc>
      </w:tr>
      <w:tr>
        <w:trPr/>
        <w:tc>
          <w:tcPr>
            <w:tcW w:w="1745" w:type="dxa"/>
            <w:vMerge w:val="continue"/>
            <w:tcBorders>
              <w:bottom w:val="single" w:sz="12" w:space="0" w:color="636466"/>
            </w:tcBorders>
            <w:vAlign w:val="center"/>
          </w:tcPr>
          <w:p>
            <w:pPr>
              <w:pStyle w:val="Normal"/>
              <w:bidi w:val="0"/>
              <w:jc w:val="left"/>
              <w:rPr/>
            </w:pPr>
            <w:r>
              <w:rPr/>
            </w:r>
          </w:p>
        </w:tc>
        <w:tc>
          <w:tcPr>
            <w:tcW w:w="300" w:type="dxa"/>
            <w:tcBorders/>
            <w:tcMar>
              <w:bottom w:w="0" w:type="dxa"/>
            </w:tcMar>
            <w:vAlign w:val="center"/>
          </w:tcPr>
          <w:p>
            <w:pPr>
              <w:pStyle w:val="TableContents"/>
              <w:bidi w:val="0"/>
              <w:spacing w:before="0" w:after="283"/>
              <w:ind w:left="0" w:right="0" w:firstLine="40"/>
              <w:jc w:val="left"/>
              <w:rPr/>
            </w:pPr>
            <w:r>
              <w:rPr/>
              <w:t> </w:t>
            </w:r>
          </w:p>
        </w:tc>
        <w:tc>
          <w:tcPr>
            <w:tcW w:w="3110" w:type="dxa"/>
            <w:tcBorders>
              <w:bottom w:val="single" w:sz="2" w:space="0" w:color="000000"/>
            </w:tcBorders>
            <w:vAlign w:val="center"/>
          </w:tcPr>
          <w:p>
            <w:pPr>
              <w:pStyle w:val="TableContents"/>
              <w:bidi w:val="0"/>
              <w:spacing w:before="0" w:after="283"/>
              <w:jc w:val="left"/>
              <w:rPr/>
            </w:pPr>
            <w:r>
              <w:rPr/>
              <w:t>UTC Pension Preservation Plan</w:t>
            </w:r>
          </w:p>
        </w:tc>
        <w:tc>
          <w:tcPr>
            <w:tcW w:w="300" w:type="dxa"/>
            <w:tcBorders>
              <w:bottom w:val="single" w:sz="2" w:space="0" w:color="000000"/>
            </w:tcBorders>
            <w:vAlign w:val="center"/>
          </w:tcPr>
          <w:p>
            <w:pPr>
              <w:pStyle w:val="TableContents"/>
              <w:bidi w:val="0"/>
              <w:spacing w:before="0" w:after="283"/>
              <w:jc w:val="left"/>
              <w:rPr/>
            </w:pPr>
            <w:r>
              <w:rPr/>
              <w:t> </w:t>
            </w:r>
          </w:p>
        </w:tc>
        <w:tc>
          <w:tcPr>
            <w:tcW w:w="1385" w:type="dxa"/>
            <w:tcBorders>
              <w:bottom w:val="single" w:sz="2" w:space="0" w:color="000000"/>
            </w:tcBorders>
            <w:vAlign w:val="center"/>
          </w:tcPr>
          <w:p>
            <w:pPr>
              <w:pStyle w:val="TableContents"/>
              <w:bidi w:val="0"/>
              <w:spacing w:before="0" w:after="283"/>
              <w:jc w:val="right"/>
              <w:rPr/>
            </w:pPr>
            <w:r>
              <w:rPr/>
              <w:t>–</w:t>
            </w:r>
          </w:p>
        </w:tc>
        <w:tc>
          <w:tcPr>
            <w:tcW w:w="300" w:type="dxa"/>
            <w:tcBorders>
              <w:bottom w:val="single" w:sz="2" w:space="0" w:color="000000"/>
            </w:tcBorders>
            <w:vAlign w:val="center"/>
          </w:tcPr>
          <w:p>
            <w:pPr>
              <w:pStyle w:val="TableContents"/>
              <w:bidi w:val="0"/>
              <w:spacing w:before="0" w:after="283"/>
              <w:jc w:val="left"/>
              <w:rPr/>
            </w:pPr>
            <w:r>
              <w:rPr/>
              <w:t> </w:t>
            </w:r>
          </w:p>
        </w:tc>
        <w:tc>
          <w:tcPr>
            <w:tcW w:w="1010" w:type="dxa"/>
            <w:tcBorders>
              <w:bottom w:val="single" w:sz="2" w:space="0" w:color="000000"/>
            </w:tcBorders>
            <w:vAlign w:val="center"/>
          </w:tcPr>
          <w:p>
            <w:pPr>
              <w:pStyle w:val="TableContents"/>
              <w:bidi w:val="0"/>
              <w:spacing w:before="0" w:after="283"/>
              <w:jc w:val="right"/>
              <w:rPr/>
            </w:pPr>
            <w:r>
              <w:rPr/>
              <w:t>–</w:t>
            </w:r>
          </w:p>
        </w:tc>
        <w:tc>
          <w:tcPr>
            <w:tcW w:w="300" w:type="dxa"/>
            <w:tcBorders>
              <w:bottom w:val="single" w:sz="2" w:space="0" w:color="000000"/>
            </w:tcBorders>
            <w:vAlign w:val="center"/>
          </w:tcPr>
          <w:p>
            <w:pPr>
              <w:pStyle w:val="TableContents"/>
              <w:bidi w:val="0"/>
              <w:spacing w:before="0" w:after="283"/>
              <w:jc w:val="right"/>
              <w:rPr/>
            </w:pPr>
            <w:r>
              <w:rPr/>
              <w:t> </w:t>
            </w:r>
          </w:p>
        </w:tc>
        <w:tc>
          <w:tcPr>
            <w:tcW w:w="1220" w:type="dxa"/>
            <w:tcBorders>
              <w:bottom w:val="single" w:sz="2" w:space="0" w:color="000000"/>
            </w:tcBorders>
            <w:vAlign w:val="center"/>
          </w:tcPr>
          <w:p>
            <w:pPr>
              <w:pStyle w:val="TableContents"/>
              <w:bidi w:val="0"/>
              <w:spacing w:before="0" w:after="283"/>
              <w:jc w:val="right"/>
              <w:rPr/>
            </w:pPr>
            <w:r>
              <w:rPr/>
              <w:t>–</w:t>
            </w:r>
          </w:p>
        </w:tc>
      </w:tr>
      <w:tr>
        <w:trPr/>
        <w:tc>
          <w:tcPr>
            <w:tcW w:w="1745" w:type="dxa"/>
            <w:vMerge w:val="continue"/>
            <w:tcBorders>
              <w:bottom w:val="single" w:sz="12" w:space="0" w:color="636466"/>
            </w:tcBorders>
            <w:vAlign w:val="center"/>
          </w:tcPr>
          <w:p>
            <w:pPr>
              <w:pStyle w:val="Normal"/>
              <w:bidi w:val="0"/>
              <w:jc w:val="left"/>
              <w:rPr/>
            </w:pPr>
            <w:r>
              <w:rPr/>
            </w:r>
          </w:p>
        </w:tc>
        <w:tc>
          <w:tcPr>
            <w:tcW w:w="300" w:type="dxa"/>
            <w:tcBorders>
              <w:bottom w:val="single" w:sz="12" w:space="0" w:color="636466"/>
            </w:tcBorders>
            <w:vAlign w:val="center"/>
          </w:tcPr>
          <w:p>
            <w:pPr>
              <w:pStyle w:val="TableContents"/>
              <w:bidi w:val="0"/>
              <w:spacing w:before="0" w:after="283"/>
              <w:jc w:val="left"/>
              <w:rPr/>
            </w:pPr>
            <w:r>
              <w:rPr/>
              <w:t> </w:t>
            </w:r>
          </w:p>
        </w:tc>
        <w:tc>
          <w:tcPr>
            <w:tcW w:w="3110" w:type="dxa"/>
            <w:tcBorders>
              <w:bottom w:val="single" w:sz="12" w:space="0" w:color="636466"/>
            </w:tcBorders>
            <w:shd w:fill="EDEDEE" w:val="clear"/>
            <w:vAlign w:val="center"/>
          </w:tcPr>
          <w:p>
            <w:pPr>
              <w:pStyle w:val="TableContents"/>
              <w:bidi w:val="0"/>
              <w:spacing w:before="0" w:after="283"/>
              <w:jc w:val="left"/>
              <w:rPr>
                <w:b/>
              </w:rPr>
            </w:pPr>
            <w:r>
              <w:rPr>
                <w:b/>
              </w:rPr>
              <w:t>Total</w:t>
            </w:r>
          </w:p>
        </w:tc>
        <w:tc>
          <w:tcPr>
            <w:tcW w:w="300" w:type="dxa"/>
            <w:tcBorders>
              <w:bottom w:val="single" w:sz="12" w:space="0" w:color="636466"/>
            </w:tcBorders>
            <w:shd w:fill="EDEDEE" w:val="clear"/>
            <w:vAlign w:val="center"/>
          </w:tcPr>
          <w:p>
            <w:pPr>
              <w:pStyle w:val="TableContents"/>
              <w:bidi w:val="0"/>
              <w:spacing w:before="0" w:after="283"/>
              <w:jc w:val="left"/>
              <w:rPr/>
            </w:pPr>
            <w:r>
              <w:rPr/>
              <w:t> </w:t>
            </w:r>
          </w:p>
        </w:tc>
        <w:tc>
          <w:tcPr>
            <w:tcW w:w="1385" w:type="dxa"/>
            <w:tcBorders>
              <w:bottom w:val="single" w:sz="12" w:space="0" w:color="636466"/>
            </w:tcBorders>
            <w:shd w:fill="EDEDEE" w:val="clear"/>
            <w:vAlign w:val="center"/>
          </w:tcPr>
          <w:p>
            <w:pPr>
              <w:pStyle w:val="TableContents"/>
              <w:bidi w:val="0"/>
              <w:spacing w:before="0" w:after="283"/>
              <w:jc w:val="right"/>
              <w:rPr/>
            </w:pPr>
            <w:r>
              <w:rPr/>
              <w:t>–</w:t>
            </w:r>
          </w:p>
        </w:tc>
        <w:tc>
          <w:tcPr>
            <w:tcW w:w="300" w:type="dxa"/>
            <w:tcBorders>
              <w:bottom w:val="single" w:sz="12" w:space="0" w:color="636466"/>
            </w:tcBorders>
            <w:shd w:fill="EDEDEE" w:val="clear"/>
            <w:vAlign w:val="center"/>
          </w:tcPr>
          <w:p>
            <w:pPr>
              <w:pStyle w:val="TableContents"/>
              <w:bidi w:val="0"/>
              <w:spacing w:before="0" w:after="283"/>
              <w:jc w:val="left"/>
              <w:rPr/>
            </w:pPr>
            <w:r>
              <w:rPr/>
              <w:t> </w:t>
            </w:r>
          </w:p>
        </w:tc>
        <w:tc>
          <w:tcPr>
            <w:tcW w:w="1010" w:type="dxa"/>
            <w:tcBorders>
              <w:bottom w:val="single" w:sz="12" w:space="0" w:color="636466"/>
            </w:tcBorders>
            <w:shd w:fill="EDEDEE" w:val="clear"/>
            <w:vAlign w:val="center"/>
          </w:tcPr>
          <w:p>
            <w:pPr>
              <w:pStyle w:val="TableContents"/>
              <w:bidi w:val="0"/>
              <w:spacing w:before="0" w:after="283"/>
              <w:jc w:val="right"/>
              <w:rPr/>
            </w:pPr>
            <w:r>
              <w:rPr/>
              <w:t>–</w:t>
            </w:r>
          </w:p>
        </w:tc>
        <w:tc>
          <w:tcPr>
            <w:tcW w:w="300" w:type="dxa"/>
            <w:tcBorders>
              <w:bottom w:val="single" w:sz="12" w:space="0" w:color="636466"/>
            </w:tcBorders>
            <w:shd w:fill="EDEDEE" w:val="clear"/>
            <w:vAlign w:val="center"/>
          </w:tcPr>
          <w:p>
            <w:pPr>
              <w:pStyle w:val="TableContents"/>
              <w:bidi w:val="0"/>
              <w:spacing w:before="0" w:after="283"/>
              <w:jc w:val="right"/>
              <w:rPr/>
            </w:pPr>
            <w:r>
              <w:rPr/>
              <w:t> </w:t>
            </w:r>
          </w:p>
        </w:tc>
        <w:tc>
          <w:tcPr>
            <w:tcW w:w="1220" w:type="dxa"/>
            <w:tcBorders>
              <w:bottom w:val="single" w:sz="12" w:space="0" w:color="636466"/>
            </w:tcBorders>
            <w:shd w:fill="EDEDEE" w:val="clear"/>
            <w:vAlign w:val="center"/>
          </w:tcPr>
          <w:p>
            <w:pPr>
              <w:pStyle w:val="TableContents"/>
              <w:bidi w:val="0"/>
              <w:spacing w:before="0" w:after="283"/>
              <w:jc w:val="right"/>
              <w:rPr/>
            </w:pPr>
            <w:r>
              <w:rPr/>
              <w:t>–</w:t>
            </w:r>
          </w:p>
        </w:tc>
      </w:tr>
      <w:tr>
        <w:trPr/>
        <w:tc>
          <w:tcPr>
            <w:tcW w:w="1745" w:type="dxa"/>
            <w:vMerge w:val="restart"/>
            <w:tcBorders>
              <w:bottom w:val="single" w:sz="12" w:space="0" w:color="636466"/>
            </w:tcBorders>
            <w:vAlign w:val="center"/>
          </w:tcPr>
          <w:p>
            <w:pPr>
              <w:pStyle w:val="TableContents"/>
              <w:bidi w:val="0"/>
              <w:spacing w:before="0" w:after="283"/>
              <w:jc w:val="left"/>
              <w:rPr>
                <w:b/>
              </w:rPr>
            </w:pPr>
            <w:r>
              <w:rPr>
                <w:b/>
              </w:rPr>
              <w:t>P. Jasper</w:t>
            </w:r>
            <w:r>
              <w:rPr>
                <w:b/>
                <w:position w:val="8"/>
                <w:sz w:val="19"/>
              </w:rPr>
              <w:t>(4)</w:t>
            </w:r>
          </w:p>
        </w:tc>
        <w:tc>
          <w:tcPr>
            <w:tcW w:w="300" w:type="dxa"/>
            <w:tcBorders/>
            <w:tcMar>
              <w:bottom w:w="0" w:type="dxa"/>
            </w:tcMar>
            <w:vAlign w:val="center"/>
          </w:tcPr>
          <w:p>
            <w:pPr>
              <w:pStyle w:val="TableContents"/>
              <w:bidi w:val="0"/>
              <w:spacing w:before="0" w:after="283"/>
              <w:jc w:val="left"/>
              <w:rPr/>
            </w:pPr>
            <w:r>
              <w:rPr/>
              <w:t> </w:t>
            </w:r>
          </w:p>
        </w:tc>
        <w:tc>
          <w:tcPr>
            <w:tcW w:w="3110" w:type="dxa"/>
            <w:tcBorders>
              <w:bottom w:val="single" w:sz="2" w:space="0" w:color="000000"/>
            </w:tcBorders>
            <w:vAlign w:val="center"/>
          </w:tcPr>
          <w:p>
            <w:pPr>
              <w:pStyle w:val="TableContents"/>
              <w:bidi w:val="0"/>
              <w:spacing w:before="0" w:after="283"/>
              <w:jc w:val="left"/>
              <w:rPr/>
            </w:pPr>
            <w:r>
              <w:rPr/>
              <w:t>RTX Consolidated Pension Plan</w:t>
            </w:r>
          </w:p>
        </w:tc>
        <w:tc>
          <w:tcPr>
            <w:tcW w:w="300" w:type="dxa"/>
            <w:tcBorders>
              <w:bottom w:val="single" w:sz="2" w:space="0" w:color="000000"/>
            </w:tcBorders>
            <w:vAlign w:val="center"/>
          </w:tcPr>
          <w:p>
            <w:pPr>
              <w:pStyle w:val="TableContents"/>
              <w:bidi w:val="0"/>
              <w:spacing w:before="0" w:after="283"/>
              <w:jc w:val="left"/>
              <w:rPr/>
            </w:pPr>
            <w:r>
              <w:rPr/>
              <w:t> </w:t>
            </w:r>
          </w:p>
        </w:tc>
        <w:tc>
          <w:tcPr>
            <w:tcW w:w="1385" w:type="dxa"/>
            <w:tcBorders>
              <w:bottom w:val="single" w:sz="2" w:space="0" w:color="000000"/>
            </w:tcBorders>
            <w:vAlign w:val="center"/>
          </w:tcPr>
          <w:p>
            <w:pPr>
              <w:pStyle w:val="TableContents"/>
              <w:bidi w:val="0"/>
              <w:spacing w:before="0" w:after="283"/>
              <w:jc w:val="right"/>
              <w:rPr/>
            </w:pPr>
            <w:r>
              <w:rPr/>
              <w:t>15</w:t>
            </w:r>
          </w:p>
        </w:tc>
        <w:tc>
          <w:tcPr>
            <w:tcW w:w="300" w:type="dxa"/>
            <w:tcBorders>
              <w:bottom w:val="single" w:sz="2" w:space="0" w:color="000000"/>
            </w:tcBorders>
            <w:vAlign w:val="center"/>
          </w:tcPr>
          <w:p>
            <w:pPr>
              <w:pStyle w:val="TableContents"/>
              <w:bidi w:val="0"/>
              <w:spacing w:before="0" w:after="283"/>
              <w:jc w:val="left"/>
              <w:rPr/>
            </w:pPr>
            <w:r>
              <w:rPr/>
              <w:t> </w:t>
            </w:r>
          </w:p>
        </w:tc>
        <w:tc>
          <w:tcPr>
            <w:tcW w:w="1010" w:type="dxa"/>
            <w:tcBorders>
              <w:bottom w:val="single" w:sz="2" w:space="0" w:color="000000"/>
            </w:tcBorders>
            <w:vAlign w:val="center"/>
          </w:tcPr>
          <w:p>
            <w:pPr>
              <w:pStyle w:val="TableContents"/>
              <w:bidi w:val="0"/>
              <w:spacing w:before="0" w:after="283"/>
              <w:jc w:val="right"/>
              <w:rPr/>
            </w:pPr>
            <w:r>
              <w:rPr/>
              <w:t>$358,293</w:t>
            </w:r>
          </w:p>
        </w:tc>
        <w:tc>
          <w:tcPr>
            <w:tcW w:w="300" w:type="dxa"/>
            <w:tcBorders>
              <w:bottom w:val="single" w:sz="2" w:space="0" w:color="000000"/>
            </w:tcBorders>
            <w:vAlign w:val="center"/>
          </w:tcPr>
          <w:p>
            <w:pPr>
              <w:pStyle w:val="TableContents"/>
              <w:bidi w:val="0"/>
              <w:spacing w:before="0" w:after="283"/>
              <w:jc w:val="right"/>
              <w:rPr/>
            </w:pPr>
            <w:r>
              <w:rPr/>
              <w:t> </w:t>
            </w:r>
          </w:p>
        </w:tc>
        <w:tc>
          <w:tcPr>
            <w:tcW w:w="1220" w:type="dxa"/>
            <w:tcBorders>
              <w:bottom w:val="single" w:sz="2" w:space="0" w:color="000000"/>
            </w:tcBorders>
            <w:vAlign w:val="center"/>
          </w:tcPr>
          <w:p>
            <w:pPr>
              <w:pStyle w:val="TableContents"/>
              <w:bidi w:val="0"/>
              <w:spacing w:before="0" w:after="283"/>
              <w:jc w:val="right"/>
              <w:rPr/>
            </w:pPr>
            <w:r>
              <w:rPr/>
              <w:t>–</w:t>
            </w:r>
          </w:p>
        </w:tc>
      </w:tr>
      <w:tr>
        <w:trPr/>
        <w:tc>
          <w:tcPr>
            <w:tcW w:w="1745" w:type="dxa"/>
            <w:vMerge w:val="continue"/>
            <w:tcBorders>
              <w:bottom w:val="single" w:sz="12" w:space="0" w:color="636466"/>
            </w:tcBorders>
            <w:vAlign w:val="center"/>
          </w:tcPr>
          <w:p>
            <w:pPr>
              <w:pStyle w:val="Normal"/>
              <w:bidi w:val="0"/>
              <w:jc w:val="left"/>
              <w:rPr/>
            </w:pPr>
            <w:r>
              <w:rPr/>
            </w:r>
          </w:p>
        </w:tc>
        <w:tc>
          <w:tcPr>
            <w:tcW w:w="300" w:type="dxa"/>
            <w:tcBorders/>
            <w:tcMar>
              <w:bottom w:w="0" w:type="dxa"/>
            </w:tcMar>
            <w:vAlign w:val="center"/>
          </w:tcPr>
          <w:p>
            <w:pPr>
              <w:pStyle w:val="TableContents"/>
              <w:bidi w:val="0"/>
              <w:spacing w:before="0" w:after="283"/>
              <w:ind w:left="0" w:right="0" w:firstLine="40"/>
              <w:jc w:val="left"/>
              <w:rPr/>
            </w:pPr>
            <w:r>
              <w:rPr/>
              <w:t> </w:t>
            </w:r>
          </w:p>
        </w:tc>
        <w:tc>
          <w:tcPr>
            <w:tcW w:w="3110" w:type="dxa"/>
            <w:tcBorders>
              <w:bottom w:val="single" w:sz="2" w:space="0" w:color="000000"/>
            </w:tcBorders>
            <w:vAlign w:val="center"/>
          </w:tcPr>
          <w:p>
            <w:pPr>
              <w:pStyle w:val="TableContents"/>
              <w:bidi w:val="0"/>
              <w:spacing w:before="0" w:after="283"/>
              <w:jc w:val="left"/>
              <w:rPr/>
            </w:pPr>
            <w:r>
              <w:rPr/>
              <w:t>UTC Pension Preservation Plan</w:t>
            </w:r>
          </w:p>
        </w:tc>
        <w:tc>
          <w:tcPr>
            <w:tcW w:w="300" w:type="dxa"/>
            <w:tcBorders>
              <w:bottom w:val="single" w:sz="2" w:space="0" w:color="000000"/>
            </w:tcBorders>
            <w:vAlign w:val="center"/>
          </w:tcPr>
          <w:p>
            <w:pPr>
              <w:pStyle w:val="TableContents"/>
              <w:bidi w:val="0"/>
              <w:spacing w:before="0" w:after="283"/>
              <w:jc w:val="left"/>
              <w:rPr/>
            </w:pPr>
            <w:r>
              <w:rPr/>
              <w:t> </w:t>
            </w:r>
          </w:p>
        </w:tc>
        <w:tc>
          <w:tcPr>
            <w:tcW w:w="1385" w:type="dxa"/>
            <w:tcBorders>
              <w:bottom w:val="single" w:sz="2" w:space="0" w:color="000000"/>
            </w:tcBorders>
            <w:vAlign w:val="center"/>
          </w:tcPr>
          <w:p>
            <w:pPr>
              <w:pStyle w:val="TableContents"/>
              <w:bidi w:val="0"/>
              <w:spacing w:before="0" w:after="283"/>
              <w:jc w:val="right"/>
              <w:rPr/>
            </w:pPr>
            <w:r>
              <w:rPr/>
              <w:t>15</w:t>
            </w:r>
          </w:p>
        </w:tc>
        <w:tc>
          <w:tcPr>
            <w:tcW w:w="300" w:type="dxa"/>
            <w:tcBorders>
              <w:bottom w:val="single" w:sz="2" w:space="0" w:color="000000"/>
            </w:tcBorders>
            <w:vAlign w:val="center"/>
          </w:tcPr>
          <w:p>
            <w:pPr>
              <w:pStyle w:val="TableContents"/>
              <w:bidi w:val="0"/>
              <w:spacing w:before="0" w:after="283"/>
              <w:jc w:val="left"/>
              <w:rPr/>
            </w:pPr>
            <w:r>
              <w:rPr/>
              <w:t> </w:t>
            </w:r>
          </w:p>
        </w:tc>
        <w:tc>
          <w:tcPr>
            <w:tcW w:w="1010" w:type="dxa"/>
            <w:tcBorders>
              <w:bottom w:val="single" w:sz="2" w:space="0" w:color="000000"/>
            </w:tcBorders>
            <w:vAlign w:val="center"/>
          </w:tcPr>
          <w:p>
            <w:pPr>
              <w:pStyle w:val="TableContents"/>
              <w:bidi w:val="0"/>
              <w:spacing w:before="0" w:after="283"/>
              <w:jc w:val="right"/>
              <w:rPr/>
            </w:pPr>
            <w:r>
              <w:rPr/>
              <w:t>$11,641</w:t>
            </w:r>
          </w:p>
        </w:tc>
        <w:tc>
          <w:tcPr>
            <w:tcW w:w="300" w:type="dxa"/>
            <w:tcBorders>
              <w:bottom w:val="single" w:sz="2" w:space="0" w:color="000000"/>
            </w:tcBorders>
            <w:vAlign w:val="center"/>
          </w:tcPr>
          <w:p>
            <w:pPr>
              <w:pStyle w:val="TableContents"/>
              <w:bidi w:val="0"/>
              <w:spacing w:before="0" w:after="283"/>
              <w:jc w:val="right"/>
              <w:rPr/>
            </w:pPr>
            <w:r>
              <w:rPr/>
              <w:t> </w:t>
            </w:r>
          </w:p>
        </w:tc>
        <w:tc>
          <w:tcPr>
            <w:tcW w:w="1220" w:type="dxa"/>
            <w:tcBorders>
              <w:bottom w:val="single" w:sz="2" w:space="0" w:color="000000"/>
            </w:tcBorders>
            <w:vAlign w:val="center"/>
          </w:tcPr>
          <w:p>
            <w:pPr>
              <w:pStyle w:val="TableContents"/>
              <w:bidi w:val="0"/>
              <w:spacing w:before="0" w:after="283"/>
              <w:jc w:val="right"/>
              <w:rPr/>
            </w:pPr>
            <w:r>
              <w:rPr/>
              <w:t>–</w:t>
            </w:r>
          </w:p>
        </w:tc>
      </w:tr>
      <w:tr>
        <w:trPr/>
        <w:tc>
          <w:tcPr>
            <w:tcW w:w="1745" w:type="dxa"/>
            <w:vMerge w:val="continue"/>
            <w:tcBorders>
              <w:bottom w:val="single" w:sz="12" w:space="0" w:color="636466"/>
            </w:tcBorders>
            <w:vAlign w:val="center"/>
          </w:tcPr>
          <w:p>
            <w:pPr>
              <w:pStyle w:val="Normal"/>
              <w:bidi w:val="0"/>
              <w:jc w:val="left"/>
              <w:rPr/>
            </w:pPr>
            <w:r>
              <w:rPr/>
            </w:r>
          </w:p>
        </w:tc>
        <w:tc>
          <w:tcPr>
            <w:tcW w:w="300" w:type="dxa"/>
            <w:tcBorders>
              <w:bottom w:val="single" w:sz="12" w:space="0" w:color="636466"/>
            </w:tcBorders>
            <w:vAlign w:val="center"/>
          </w:tcPr>
          <w:p>
            <w:pPr>
              <w:pStyle w:val="TableContents"/>
              <w:bidi w:val="0"/>
              <w:spacing w:before="0" w:after="283"/>
              <w:jc w:val="left"/>
              <w:rPr/>
            </w:pPr>
            <w:r>
              <w:rPr/>
              <w:t> </w:t>
            </w:r>
          </w:p>
        </w:tc>
        <w:tc>
          <w:tcPr>
            <w:tcW w:w="3110" w:type="dxa"/>
            <w:tcBorders>
              <w:bottom w:val="single" w:sz="12" w:space="0" w:color="636466"/>
            </w:tcBorders>
            <w:shd w:fill="EDEDEE" w:val="clear"/>
            <w:vAlign w:val="center"/>
          </w:tcPr>
          <w:p>
            <w:pPr>
              <w:pStyle w:val="TableContents"/>
              <w:bidi w:val="0"/>
              <w:spacing w:before="0" w:after="283"/>
              <w:jc w:val="left"/>
              <w:rPr>
                <w:b/>
              </w:rPr>
            </w:pPr>
            <w:r>
              <w:rPr>
                <w:b/>
              </w:rPr>
              <w:t>Total</w:t>
            </w:r>
          </w:p>
        </w:tc>
        <w:tc>
          <w:tcPr>
            <w:tcW w:w="300" w:type="dxa"/>
            <w:tcBorders>
              <w:bottom w:val="single" w:sz="12" w:space="0" w:color="636466"/>
            </w:tcBorders>
            <w:shd w:fill="EDEDEE" w:val="clear"/>
            <w:vAlign w:val="center"/>
          </w:tcPr>
          <w:p>
            <w:pPr>
              <w:pStyle w:val="TableContents"/>
              <w:bidi w:val="0"/>
              <w:spacing w:before="0" w:after="283"/>
              <w:jc w:val="left"/>
              <w:rPr/>
            </w:pPr>
            <w:r>
              <w:rPr/>
              <w:t> </w:t>
            </w:r>
          </w:p>
        </w:tc>
        <w:tc>
          <w:tcPr>
            <w:tcW w:w="1385" w:type="dxa"/>
            <w:tcBorders>
              <w:bottom w:val="single" w:sz="12" w:space="0" w:color="636466"/>
            </w:tcBorders>
            <w:shd w:fill="EDEDEE" w:val="clear"/>
            <w:vAlign w:val="center"/>
          </w:tcPr>
          <w:p>
            <w:pPr>
              <w:pStyle w:val="TableContents"/>
              <w:bidi w:val="0"/>
              <w:spacing w:before="0" w:after="283"/>
              <w:jc w:val="right"/>
              <w:rPr/>
            </w:pPr>
            <w:r>
              <w:rPr/>
              <w:t>–</w:t>
            </w:r>
          </w:p>
        </w:tc>
        <w:tc>
          <w:tcPr>
            <w:tcW w:w="300" w:type="dxa"/>
            <w:tcBorders>
              <w:bottom w:val="single" w:sz="12" w:space="0" w:color="636466"/>
            </w:tcBorders>
            <w:shd w:fill="EDEDEE" w:val="clear"/>
            <w:vAlign w:val="center"/>
          </w:tcPr>
          <w:p>
            <w:pPr>
              <w:pStyle w:val="TableContents"/>
              <w:bidi w:val="0"/>
              <w:spacing w:before="0" w:after="283"/>
              <w:jc w:val="left"/>
              <w:rPr/>
            </w:pPr>
            <w:r>
              <w:rPr/>
              <w:t> </w:t>
            </w:r>
          </w:p>
        </w:tc>
        <w:tc>
          <w:tcPr>
            <w:tcW w:w="1010" w:type="dxa"/>
            <w:tcBorders>
              <w:bottom w:val="single" w:sz="12" w:space="0" w:color="636466"/>
            </w:tcBorders>
            <w:shd w:fill="EDEDEE" w:val="clear"/>
            <w:vAlign w:val="center"/>
          </w:tcPr>
          <w:p>
            <w:pPr>
              <w:pStyle w:val="TableContents"/>
              <w:bidi w:val="0"/>
              <w:spacing w:before="0" w:after="283"/>
              <w:jc w:val="right"/>
              <w:rPr>
                <w:b/>
              </w:rPr>
            </w:pPr>
            <w:r>
              <w:rPr>
                <w:b/>
              </w:rPr>
              <w:t>$369,934</w:t>
            </w:r>
          </w:p>
        </w:tc>
        <w:tc>
          <w:tcPr>
            <w:tcW w:w="300" w:type="dxa"/>
            <w:tcBorders>
              <w:bottom w:val="single" w:sz="12" w:space="0" w:color="636466"/>
            </w:tcBorders>
            <w:shd w:fill="EDEDEE" w:val="clear"/>
            <w:vAlign w:val="center"/>
          </w:tcPr>
          <w:p>
            <w:pPr>
              <w:pStyle w:val="TableContents"/>
              <w:bidi w:val="0"/>
              <w:spacing w:before="0" w:after="283"/>
              <w:jc w:val="right"/>
              <w:rPr/>
            </w:pPr>
            <w:r>
              <w:rPr/>
              <w:t> </w:t>
            </w:r>
          </w:p>
        </w:tc>
        <w:tc>
          <w:tcPr>
            <w:tcW w:w="1220" w:type="dxa"/>
            <w:tcBorders>
              <w:bottom w:val="single" w:sz="12" w:space="0" w:color="636466"/>
            </w:tcBorders>
            <w:shd w:fill="EDEDEE" w:val="clear"/>
            <w:vAlign w:val="center"/>
          </w:tcPr>
          <w:p>
            <w:pPr>
              <w:pStyle w:val="TableContents"/>
              <w:bidi w:val="0"/>
              <w:spacing w:before="0" w:after="283"/>
              <w:jc w:val="right"/>
              <w:rPr/>
            </w:pPr>
            <w:r>
              <w:rPr/>
              <w:t>–</w:t>
            </w:r>
          </w:p>
        </w:tc>
      </w:tr>
      <w:tr>
        <w:trPr/>
        <w:tc>
          <w:tcPr>
            <w:tcW w:w="1745" w:type="dxa"/>
            <w:vMerge w:val="restart"/>
            <w:tcBorders>
              <w:bottom w:val="single" w:sz="12" w:space="0" w:color="636466"/>
            </w:tcBorders>
            <w:vAlign w:val="center"/>
          </w:tcPr>
          <w:p>
            <w:pPr>
              <w:pStyle w:val="TableContents"/>
              <w:bidi w:val="0"/>
              <w:spacing w:before="0" w:after="283"/>
              <w:jc w:val="left"/>
              <w:rPr>
                <w:b/>
              </w:rPr>
            </w:pPr>
            <w:r>
              <w:rPr>
                <w:b/>
              </w:rPr>
              <w:t>S. Eddy</w:t>
            </w:r>
            <w:r>
              <w:rPr>
                <w:b/>
                <w:position w:val="8"/>
                <w:sz w:val="19"/>
              </w:rPr>
              <w:t>(2)</w:t>
            </w:r>
          </w:p>
        </w:tc>
        <w:tc>
          <w:tcPr>
            <w:tcW w:w="300" w:type="dxa"/>
            <w:tcBorders/>
            <w:tcMar>
              <w:bottom w:w="0" w:type="dxa"/>
            </w:tcMar>
            <w:vAlign w:val="center"/>
          </w:tcPr>
          <w:p>
            <w:pPr>
              <w:pStyle w:val="TableContents"/>
              <w:bidi w:val="0"/>
              <w:spacing w:before="0" w:after="283"/>
              <w:jc w:val="left"/>
              <w:rPr/>
            </w:pPr>
            <w:r>
              <w:rPr/>
              <w:t> </w:t>
            </w:r>
          </w:p>
        </w:tc>
        <w:tc>
          <w:tcPr>
            <w:tcW w:w="3110" w:type="dxa"/>
            <w:tcBorders>
              <w:bottom w:val="single" w:sz="2" w:space="0" w:color="000000"/>
            </w:tcBorders>
            <w:vAlign w:val="center"/>
          </w:tcPr>
          <w:p>
            <w:pPr>
              <w:pStyle w:val="TableContents"/>
              <w:bidi w:val="0"/>
              <w:spacing w:before="0" w:after="283"/>
              <w:jc w:val="left"/>
              <w:rPr/>
            </w:pPr>
            <w:r>
              <w:rPr/>
              <w:t>RTX Consolidated Pension Plan</w:t>
            </w:r>
          </w:p>
        </w:tc>
        <w:tc>
          <w:tcPr>
            <w:tcW w:w="300" w:type="dxa"/>
            <w:tcBorders>
              <w:bottom w:val="single" w:sz="2" w:space="0" w:color="000000"/>
            </w:tcBorders>
            <w:vAlign w:val="center"/>
          </w:tcPr>
          <w:p>
            <w:pPr>
              <w:pStyle w:val="TableContents"/>
              <w:bidi w:val="0"/>
              <w:spacing w:before="0" w:after="283"/>
              <w:jc w:val="left"/>
              <w:rPr/>
            </w:pPr>
            <w:r>
              <w:rPr/>
              <w:t> </w:t>
            </w:r>
          </w:p>
        </w:tc>
        <w:tc>
          <w:tcPr>
            <w:tcW w:w="1385" w:type="dxa"/>
            <w:tcBorders>
              <w:bottom w:val="single" w:sz="2" w:space="0" w:color="000000"/>
            </w:tcBorders>
            <w:vAlign w:val="center"/>
          </w:tcPr>
          <w:p>
            <w:pPr>
              <w:pStyle w:val="TableContents"/>
              <w:bidi w:val="0"/>
              <w:spacing w:before="0" w:after="283"/>
              <w:jc w:val="right"/>
              <w:rPr/>
            </w:pPr>
            <w:r>
              <w:rPr/>
              <w:t>6</w:t>
            </w:r>
          </w:p>
        </w:tc>
        <w:tc>
          <w:tcPr>
            <w:tcW w:w="300" w:type="dxa"/>
            <w:tcBorders>
              <w:bottom w:val="single" w:sz="2" w:space="0" w:color="000000"/>
            </w:tcBorders>
            <w:vAlign w:val="center"/>
          </w:tcPr>
          <w:p>
            <w:pPr>
              <w:pStyle w:val="TableContents"/>
              <w:bidi w:val="0"/>
              <w:spacing w:before="0" w:after="283"/>
              <w:jc w:val="left"/>
              <w:rPr/>
            </w:pPr>
            <w:r>
              <w:rPr/>
              <w:t> </w:t>
            </w:r>
          </w:p>
        </w:tc>
        <w:tc>
          <w:tcPr>
            <w:tcW w:w="1010" w:type="dxa"/>
            <w:tcBorders>
              <w:bottom w:val="single" w:sz="2" w:space="0" w:color="000000"/>
            </w:tcBorders>
            <w:vAlign w:val="center"/>
          </w:tcPr>
          <w:p>
            <w:pPr>
              <w:pStyle w:val="TableContents"/>
              <w:bidi w:val="0"/>
              <w:spacing w:before="0" w:after="283"/>
              <w:jc w:val="right"/>
              <w:rPr/>
            </w:pPr>
            <w:r>
              <w:rPr/>
              <w:t>$181,674</w:t>
            </w:r>
          </w:p>
        </w:tc>
        <w:tc>
          <w:tcPr>
            <w:tcW w:w="300" w:type="dxa"/>
            <w:tcBorders>
              <w:bottom w:val="single" w:sz="2" w:space="0" w:color="000000"/>
            </w:tcBorders>
            <w:vAlign w:val="center"/>
          </w:tcPr>
          <w:p>
            <w:pPr>
              <w:pStyle w:val="TableContents"/>
              <w:bidi w:val="0"/>
              <w:spacing w:before="0" w:after="283"/>
              <w:jc w:val="right"/>
              <w:rPr/>
            </w:pPr>
            <w:r>
              <w:rPr/>
              <w:t> </w:t>
            </w:r>
          </w:p>
        </w:tc>
        <w:tc>
          <w:tcPr>
            <w:tcW w:w="1220" w:type="dxa"/>
            <w:tcBorders>
              <w:bottom w:val="single" w:sz="2" w:space="0" w:color="000000"/>
            </w:tcBorders>
            <w:vAlign w:val="center"/>
          </w:tcPr>
          <w:p>
            <w:pPr>
              <w:pStyle w:val="TableContents"/>
              <w:bidi w:val="0"/>
              <w:spacing w:before="0" w:after="283"/>
              <w:jc w:val="right"/>
              <w:rPr/>
            </w:pPr>
            <w:r>
              <w:rPr/>
              <w:t>–</w:t>
            </w:r>
          </w:p>
        </w:tc>
      </w:tr>
      <w:tr>
        <w:trPr/>
        <w:tc>
          <w:tcPr>
            <w:tcW w:w="1745" w:type="dxa"/>
            <w:vMerge w:val="continue"/>
            <w:tcBorders>
              <w:bottom w:val="single" w:sz="12" w:space="0" w:color="636466"/>
            </w:tcBorders>
            <w:vAlign w:val="center"/>
          </w:tcPr>
          <w:p>
            <w:pPr>
              <w:pStyle w:val="Normal"/>
              <w:bidi w:val="0"/>
              <w:jc w:val="left"/>
              <w:rPr/>
            </w:pPr>
            <w:r>
              <w:rPr/>
            </w:r>
          </w:p>
        </w:tc>
        <w:tc>
          <w:tcPr>
            <w:tcW w:w="300" w:type="dxa"/>
            <w:tcBorders/>
            <w:tcMar>
              <w:bottom w:w="0" w:type="dxa"/>
            </w:tcMar>
            <w:vAlign w:val="center"/>
          </w:tcPr>
          <w:p>
            <w:pPr>
              <w:pStyle w:val="TableContents"/>
              <w:bidi w:val="0"/>
              <w:spacing w:before="0" w:after="283"/>
              <w:jc w:val="left"/>
              <w:rPr/>
            </w:pPr>
            <w:r>
              <w:rPr/>
              <w:t> </w:t>
            </w:r>
          </w:p>
        </w:tc>
        <w:tc>
          <w:tcPr>
            <w:tcW w:w="3110" w:type="dxa"/>
            <w:tcBorders>
              <w:bottom w:val="single" w:sz="2" w:space="0" w:color="000000"/>
            </w:tcBorders>
            <w:vAlign w:val="center"/>
          </w:tcPr>
          <w:p>
            <w:pPr>
              <w:pStyle w:val="TableContents"/>
              <w:bidi w:val="0"/>
              <w:spacing w:before="0" w:after="283"/>
              <w:jc w:val="left"/>
              <w:rPr/>
            </w:pPr>
            <w:r>
              <w:rPr/>
              <w:t>UTC Pension Preservation Plan</w:t>
            </w:r>
          </w:p>
        </w:tc>
        <w:tc>
          <w:tcPr>
            <w:tcW w:w="300" w:type="dxa"/>
            <w:tcBorders>
              <w:bottom w:val="single" w:sz="2" w:space="0" w:color="000000"/>
            </w:tcBorders>
            <w:vAlign w:val="center"/>
          </w:tcPr>
          <w:p>
            <w:pPr>
              <w:pStyle w:val="TableContents"/>
              <w:bidi w:val="0"/>
              <w:spacing w:before="0" w:after="283"/>
              <w:jc w:val="left"/>
              <w:rPr/>
            </w:pPr>
            <w:r>
              <w:rPr/>
              <w:t> </w:t>
            </w:r>
          </w:p>
        </w:tc>
        <w:tc>
          <w:tcPr>
            <w:tcW w:w="1385" w:type="dxa"/>
            <w:tcBorders>
              <w:bottom w:val="single" w:sz="2" w:space="0" w:color="000000"/>
            </w:tcBorders>
            <w:vAlign w:val="center"/>
          </w:tcPr>
          <w:p>
            <w:pPr>
              <w:pStyle w:val="TableContents"/>
              <w:bidi w:val="0"/>
              <w:spacing w:before="0" w:after="283"/>
              <w:jc w:val="right"/>
              <w:rPr/>
            </w:pPr>
            <w:r>
              <w:rPr/>
              <w:t>–</w:t>
            </w:r>
          </w:p>
        </w:tc>
        <w:tc>
          <w:tcPr>
            <w:tcW w:w="300" w:type="dxa"/>
            <w:tcBorders>
              <w:bottom w:val="single" w:sz="2" w:space="0" w:color="000000"/>
            </w:tcBorders>
            <w:vAlign w:val="center"/>
          </w:tcPr>
          <w:p>
            <w:pPr>
              <w:pStyle w:val="TableContents"/>
              <w:bidi w:val="0"/>
              <w:spacing w:before="0" w:after="283"/>
              <w:jc w:val="left"/>
              <w:rPr/>
            </w:pPr>
            <w:r>
              <w:rPr/>
              <w:t> </w:t>
            </w:r>
          </w:p>
        </w:tc>
        <w:tc>
          <w:tcPr>
            <w:tcW w:w="1010" w:type="dxa"/>
            <w:tcBorders>
              <w:bottom w:val="single" w:sz="2" w:space="0" w:color="000000"/>
            </w:tcBorders>
            <w:vAlign w:val="center"/>
          </w:tcPr>
          <w:p>
            <w:pPr>
              <w:pStyle w:val="TableContents"/>
              <w:bidi w:val="0"/>
              <w:spacing w:before="0" w:after="283"/>
              <w:jc w:val="right"/>
              <w:rPr/>
            </w:pPr>
            <w:r>
              <w:rPr/>
              <w:t>–</w:t>
            </w:r>
          </w:p>
        </w:tc>
        <w:tc>
          <w:tcPr>
            <w:tcW w:w="300" w:type="dxa"/>
            <w:tcBorders>
              <w:bottom w:val="single" w:sz="2" w:space="0" w:color="000000"/>
            </w:tcBorders>
            <w:vAlign w:val="center"/>
          </w:tcPr>
          <w:p>
            <w:pPr>
              <w:pStyle w:val="TableContents"/>
              <w:bidi w:val="0"/>
              <w:spacing w:before="0" w:after="283"/>
              <w:jc w:val="right"/>
              <w:rPr/>
            </w:pPr>
            <w:r>
              <w:rPr/>
              <w:t> </w:t>
            </w:r>
          </w:p>
        </w:tc>
        <w:tc>
          <w:tcPr>
            <w:tcW w:w="1220" w:type="dxa"/>
            <w:tcBorders>
              <w:bottom w:val="single" w:sz="2" w:space="0" w:color="000000"/>
            </w:tcBorders>
            <w:vAlign w:val="center"/>
          </w:tcPr>
          <w:p>
            <w:pPr>
              <w:pStyle w:val="TableContents"/>
              <w:bidi w:val="0"/>
              <w:spacing w:before="0" w:after="283"/>
              <w:jc w:val="right"/>
              <w:rPr/>
            </w:pPr>
            <w:r>
              <w:rPr/>
              <w:t>–</w:t>
            </w:r>
          </w:p>
        </w:tc>
      </w:tr>
      <w:tr>
        <w:trPr/>
        <w:tc>
          <w:tcPr>
            <w:tcW w:w="1745" w:type="dxa"/>
            <w:vMerge w:val="continue"/>
            <w:tcBorders>
              <w:bottom w:val="single" w:sz="12" w:space="0" w:color="636466"/>
            </w:tcBorders>
            <w:vAlign w:val="center"/>
          </w:tcPr>
          <w:p>
            <w:pPr>
              <w:pStyle w:val="Normal"/>
              <w:bidi w:val="0"/>
              <w:jc w:val="left"/>
              <w:rPr/>
            </w:pPr>
            <w:r>
              <w:rPr/>
            </w:r>
          </w:p>
        </w:tc>
        <w:tc>
          <w:tcPr>
            <w:tcW w:w="300" w:type="dxa"/>
            <w:tcBorders>
              <w:bottom w:val="single" w:sz="12" w:space="0" w:color="636466"/>
            </w:tcBorders>
            <w:vAlign w:val="center"/>
          </w:tcPr>
          <w:p>
            <w:pPr>
              <w:pStyle w:val="TableContents"/>
              <w:bidi w:val="0"/>
              <w:spacing w:before="0" w:after="283"/>
              <w:jc w:val="left"/>
              <w:rPr/>
            </w:pPr>
            <w:r>
              <w:rPr/>
              <w:t> </w:t>
            </w:r>
          </w:p>
        </w:tc>
        <w:tc>
          <w:tcPr>
            <w:tcW w:w="3110" w:type="dxa"/>
            <w:tcBorders>
              <w:bottom w:val="single" w:sz="12" w:space="0" w:color="636466"/>
            </w:tcBorders>
            <w:shd w:fill="EDEDEE" w:val="clear"/>
            <w:vAlign w:val="center"/>
          </w:tcPr>
          <w:p>
            <w:pPr>
              <w:pStyle w:val="TableContents"/>
              <w:bidi w:val="0"/>
              <w:spacing w:before="0" w:after="283"/>
              <w:jc w:val="left"/>
              <w:rPr>
                <w:b/>
              </w:rPr>
            </w:pPr>
            <w:r>
              <w:rPr>
                <w:b/>
              </w:rPr>
              <w:t>Total</w:t>
            </w:r>
          </w:p>
        </w:tc>
        <w:tc>
          <w:tcPr>
            <w:tcW w:w="300" w:type="dxa"/>
            <w:tcBorders>
              <w:bottom w:val="single" w:sz="12" w:space="0" w:color="636466"/>
            </w:tcBorders>
            <w:shd w:fill="EDEDEE" w:val="clear"/>
            <w:vAlign w:val="center"/>
          </w:tcPr>
          <w:p>
            <w:pPr>
              <w:pStyle w:val="TableContents"/>
              <w:bidi w:val="0"/>
              <w:spacing w:before="0" w:after="283"/>
              <w:jc w:val="left"/>
              <w:rPr/>
            </w:pPr>
            <w:r>
              <w:rPr/>
              <w:t> </w:t>
            </w:r>
          </w:p>
        </w:tc>
        <w:tc>
          <w:tcPr>
            <w:tcW w:w="1385" w:type="dxa"/>
            <w:tcBorders>
              <w:bottom w:val="single" w:sz="12" w:space="0" w:color="636466"/>
            </w:tcBorders>
            <w:shd w:fill="EDEDEE" w:val="clear"/>
            <w:vAlign w:val="center"/>
          </w:tcPr>
          <w:p>
            <w:pPr>
              <w:pStyle w:val="TableContents"/>
              <w:bidi w:val="0"/>
              <w:spacing w:before="0" w:after="283"/>
              <w:jc w:val="right"/>
              <w:rPr/>
            </w:pPr>
            <w:r>
              <w:rPr/>
              <w:t>–</w:t>
            </w:r>
          </w:p>
        </w:tc>
        <w:tc>
          <w:tcPr>
            <w:tcW w:w="300" w:type="dxa"/>
            <w:tcBorders>
              <w:bottom w:val="single" w:sz="12" w:space="0" w:color="636466"/>
            </w:tcBorders>
            <w:shd w:fill="EDEDEE" w:val="clear"/>
            <w:vAlign w:val="center"/>
          </w:tcPr>
          <w:p>
            <w:pPr>
              <w:pStyle w:val="TableContents"/>
              <w:bidi w:val="0"/>
              <w:spacing w:before="0" w:after="283"/>
              <w:jc w:val="left"/>
              <w:rPr/>
            </w:pPr>
            <w:r>
              <w:rPr/>
              <w:t> </w:t>
            </w:r>
          </w:p>
        </w:tc>
        <w:tc>
          <w:tcPr>
            <w:tcW w:w="1010" w:type="dxa"/>
            <w:tcBorders>
              <w:bottom w:val="single" w:sz="12" w:space="0" w:color="636466"/>
            </w:tcBorders>
            <w:shd w:fill="EDEDEE" w:val="clear"/>
            <w:vAlign w:val="center"/>
          </w:tcPr>
          <w:p>
            <w:pPr>
              <w:pStyle w:val="TableContents"/>
              <w:bidi w:val="0"/>
              <w:spacing w:before="0" w:after="283"/>
              <w:jc w:val="right"/>
              <w:rPr>
                <w:b/>
              </w:rPr>
            </w:pPr>
            <w:r>
              <w:rPr>
                <w:b/>
              </w:rPr>
              <w:t>$181,674</w:t>
            </w:r>
          </w:p>
        </w:tc>
        <w:tc>
          <w:tcPr>
            <w:tcW w:w="300" w:type="dxa"/>
            <w:tcBorders>
              <w:bottom w:val="single" w:sz="12" w:space="0" w:color="636466"/>
            </w:tcBorders>
            <w:shd w:fill="EDEDEE" w:val="clear"/>
            <w:vAlign w:val="center"/>
          </w:tcPr>
          <w:p>
            <w:pPr>
              <w:pStyle w:val="TableContents"/>
              <w:bidi w:val="0"/>
              <w:spacing w:before="0" w:after="283"/>
              <w:jc w:val="right"/>
              <w:rPr/>
            </w:pPr>
            <w:r>
              <w:rPr/>
              <w:t> </w:t>
            </w:r>
          </w:p>
        </w:tc>
        <w:tc>
          <w:tcPr>
            <w:tcW w:w="1220" w:type="dxa"/>
            <w:tcBorders>
              <w:bottom w:val="single" w:sz="12" w:space="0" w:color="636466"/>
            </w:tcBorders>
            <w:shd w:fill="EDEDEE" w:val="clear"/>
            <w:vAlign w:val="center"/>
          </w:tcPr>
          <w:p>
            <w:pPr>
              <w:pStyle w:val="TableContents"/>
              <w:bidi w:val="0"/>
              <w:spacing w:before="0" w:after="283"/>
              <w:jc w:val="right"/>
              <w:rPr/>
            </w:pPr>
            <w:r>
              <w:rPr/>
              <w:t>–</w:t>
            </w:r>
          </w:p>
        </w:tc>
      </w:tr>
      <w:tr>
        <w:trPr/>
        <w:tc>
          <w:tcPr>
            <w:tcW w:w="1745" w:type="dxa"/>
            <w:vMerge w:val="restart"/>
            <w:tcBorders>
              <w:bottom w:val="single" w:sz="12" w:space="0" w:color="636466"/>
            </w:tcBorders>
            <w:vAlign w:val="center"/>
          </w:tcPr>
          <w:p>
            <w:pPr>
              <w:pStyle w:val="TableContents"/>
              <w:bidi w:val="0"/>
              <w:spacing w:before="0" w:after="283"/>
              <w:jc w:val="left"/>
              <w:rPr>
                <w:b/>
              </w:rPr>
            </w:pPr>
            <w:r>
              <w:rPr>
                <w:b/>
              </w:rPr>
              <w:t>T. Brunk</w:t>
            </w:r>
            <w:r>
              <w:rPr>
                <w:b/>
                <w:position w:val="8"/>
                <w:sz w:val="19"/>
              </w:rPr>
              <w:t>(4)</w:t>
            </w:r>
          </w:p>
        </w:tc>
        <w:tc>
          <w:tcPr>
            <w:tcW w:w="300" w:type="dxa"/>
            <w:tcBorders/>
            <w:tcMar>
              <w:bottom w:w="0" w:type="dxa"/>
            </w:tcMar>
            <w:vAlign w:val="center"/>
          </w:tcPr>
          <w:p>
            <w:pPr>
              <w:pStyle w:val="TableContents"/>
              <w:bidi w:val="0"/>
              <w:spacing w:before="0" w:after="283"/>
              <w:jc w:val="left"/>
              <w:rPr/>
            </w:pPr>
            <w:r>
              <w:rPr/>
              <w:t> </w:t>
            </w:r>
          </w:p>
        </w:tc>
        <w:tc>
          <w:tcPr>
            <w:tcW w:w="3110" w:type="dxa"/>
            <w:tcBorders>
              <w:bottom w:val="single" w:sz="2" w:space="0" w:color="000000"/>
            </w:tcBorders>
            <w:vAlign w:val="center"/>
          </w:tcPr>
          <w:p>
            <w:pPr>
              <w:pStyle w:val="TableContents"/>
              <w:bidi w:val="0"/>
              <w:spacing w:before="0" w:after="283"/>
              <w:jc w:val="left"/>
              <w:rPr/>
            </w:pPr>
            <w:r>
              <w:rPr/>
              <w:t>RTX Consolidated Pension Plan</w:t>
            </w:r>
          </w:p>
        </w:tc>
        <w:tc>
          <w:tcPr>
            <w:tcW w:w="300" w:type="dxa"/>
            <w:tcBorders>
              <w:bottom w:val="single" w:sz="2" w:space="0" w:color="000000"/>
            </w:tcBorders>
            <w:vAlign w:val="center"/>
          </w:tcPr>
          <w:p>
            <w:pPr>
              <w:pStyle w:val="TableContents"/>
              <w:bidi w:val="0"/>
              <w:spacing w:before="0" w:after="283"/>
              <w:jc w:val="left"/>
              <w:rPr/>
            </w:pPr>
            <w:r>
              <w:rPr/>
              <w:t> </w:t>
            </w:r>
          </w:p>
        </w:tc>
        <w:tc>
          <w:tcPr>
            <w:tcW w:w="1385" w:type="dxa"/>
            <w:tcBorders>
              <w:bottom w:val="single" w:sz="2" w:space="0" w:color="000000"/>
            </w:tcBorders>
            <w:vAlign w:val="center"/>
          </w:tcPr>
          <w:p>
            <w:pPr>
              <w:pStyle w:val="TableContents"/>
              <w:bidi w:val="0"/>
              <w:spacing w:before="0" w:after="283"/>
              <w:jc w:val="right"/>
              <w:rPr/>
            </w:pPr>
            <w:r>
              <w:rPr/>
              <w:t>15</w:t>
            </w:r>
          </w:p>
        </w:tc>
        <w:tc>
          <w:tcPr>
            <w:tcW w:w="300" w:type="dxa"/>
            <w:tcBorders>
              <w:bottom w:val="single" w:sz="2" w:space="0" w:color="000000"/>
            </w:tcBorders>
            <w:vAlign w:val="center"/>
          </w:tcPr>
          <w:p>
            <w:pPr>
              <w:pStyle w:val="TableContents"/>
              <w:bidi w:val="0"/>
              <w:spacing w:before="0" w:after="283"/>
              <w:jc w:val="left"/>
              <w:rPr/>
            </w:pPr>
            <w:r>
              <w:rPr/>
              <w:t> </w:t>
            </w:r>
          </w:p>
        </w:tc>
        <w:tc>
          <w:tcPr>
            <w:tcW w:w="1010" w:type="dxa"/>
            <w:tcBorders>
              <w:bottom w:val="single" w:sz="2" w:space="0" w:color="000000"/>
            </w:tcBorders>
            <w:vAlign w:val="center"/>
          </w:tcPr>
          <w:p>
            <w:pPr>
              <w:pStyle w:val="TableContents"/>
              <w:bidi w:val="0"/>
              <w:spacing w:before="0" w:after="283"/>
              <w:jc w:val="right"/>
              <w:rPr/>
            </w:pPr>
            <w:r>
              <w:rPr/>
              <w:t>$204,074</w:t>
            </w:r>
          </w:p>
        </w:tc>
        <w:tc>
          <w:tcPr>
            <w:tcW w:w="300" w:type="dxa"/>
            <w:tcBorders>
              <w:bottom w:val="single" w:sz="2" w:space="0" w:color="000000"/>
            </w:tcBorders>
            <w:vAlign w:val="center"/>
          </w:tcPr>
          <w:p>
            <w:pPr>
              <w:pStyle w:val="TableContents"/>
              <w:bidi w:val="0"/>
              <w:spacing w:before="0" w:after="283"/>
              <w:jc w:val="right"/>
              <w:rPr/>
            </w:pPr>
            <w:r>
              <w:rPr/>
              <w:t> </w:t>
            </w:r>
          </w:p>
        </w:tc>
        <w:tc>
          <w:tcPr>
            <w:tcW w:w="1220" w:type="dxa"/>
            <w:tcBorders>
              <w:bottom w:val="single" w:sz="2" w:space="0" w:color="000000"/>
            </w:tcBorders>
            <w:vAlign w:val="center"/>
          </w:tcPr>
          <w:p>
            <w:pPr>
              <w:pStyle w:val="TableContents"/>
              <w:bidi w:val="0"/>
              <w:spacing w:before="0" w:after="283"/>
              <w:jc w:val="right"/>
              <w:rPr/>
            </w:pPr>
            <w:r>
              <w:rPr/>
              <w:t>–</w:t>
            </w:r>
          </w:p>
        </w:tc>
      </w:tr>
      <w:tr>
        <w:trPr/>
        <w:tc>
          <w:tcPr>
            <w:tcW w:w="1745" w:type="dxa"/>
            <w:vMerge w:val="continue"/>
            <w:tcBorders>
              <w:bottom w:val="single" w:sz="12" w:space="0" w:color="636466"/>
            </w:tcBorders>
            <w:vAlign w:val="center"/>
          </w:tcPr>
          <w:p>
            <w:pPr>
              <w:pStyle w:val="Normal"/>
              <w:bidi w:val="0"/>
              <w:jc w:val="left"/>
              <w:rPr/>
            </w:pPr>
            <w:r>
              <w:rPr/>
            </w:r>
          </w:p>
        </w:tc>
        <w:tc>
          <w:tcPr>
            <w:tcW w:w="300" w:type="dxa"/>
            <w:tcBorders/>
            <w:tcMar>
              <w:bottom w:w="0" w:type="dxa"/>
            </w:tcMar>
            <w:vAlign w:val="center"/>
          </w:tcPr>
          <w:p>
            <w:pPr>
              <w:pStyle w:val="TableContents"/>
              <w:bidi w:val="0"/>
              <w:spacing w:before="0" w:after="283"/>
              <w:ind w:left="0" w:right="0" w:firstLine="40"/>
              <w:jc w:val="left"/>
              <w:rPr/>
            </w:pPr>
            <w:r>
              <w:rPr/>
              <w:t> </w:t>
            </w:r>
          </w:p>
        </w:tc>
        <w:tc>
          <w:tcPr>
            <w:tcW w:w="3110" w:type="dxa"/>
            <w:tcBorders>
              <w:bottom w:val="single" w:sz="2" w:space="0" w:color="000000"/>
            </w:tcBorders>
            <w:vAlign w:val="center"/>
          </w:tcPr>
          <w:p>
            <w:pPr>
              <w:pStyle w:val="TableContents"/>
              <w:bidi w:val="0"/>
              <w:spacing w:before="0" w:after="283"/>
              <w:jc w:val="left"/>
              <w:rPr/>
            </w:pPr>
            <w:r>
              <w:rPr/>
              <w:t>UTC Pension Preservation Plan</w:t>
            </w:r>
          </w:p>
        </w:tc>
        <w:tc>
          <w:tcPr>
            <w:tcW w:w="300" w:type="dxa"/>
            <w:tcBorders>
              <w:bottom w:val="single" w:sz="2" w:space="0" w:color="000000"/>
            </w:tcBorders>
            <w:vAlign w:val="center"/>
          </w:tcPr>
          <w:p>
            <w:pPr>
              <w:pStyle w:val="TableContents"/>
              <w:bidi w:val="0"/>
              <w:spacing w:before="0" w:after="283"/>
              <w:jc w:val="left"/>
              <w:rPr/>
            </w:pPr>
            <w:r>
              <w:rPr/>
              <w:t> </w:t>
            </w:r>
          </w:p>
        </w:tc>
        <w:tc>
          <w:tcPr>
            <w:tcW w:w="1385" w:type="dxa"/>
            <w:tcBorders>
              <w:bottom w:val="single" w:sz="2" w:space="0" w:color="000000"/>
            </w:tcBorders>
            <w:vAlign w:val="center"/>
          </w:tcPr>
          <w:p>
            <w:pPr>
              <w:pStyle w:val="TableContents"/>
              <w:bidi w:val="0"/>
              <w:spacing w:before="0" w:after="283"/>
              <w:jc w:val="right"/>
              <w:rPr/>
            </w:pPr>
            <w:r>
              <w:rPr/>
              <w:t>–</w:t>
            </w:r>
          </w:p>
        </w:tc>
        <w:tc>
          <w:tcPr>
            <w:tcW w:w="300" w:type="dxa"/>
            <w:tcBorders>
              <w:bottom w:val="single" w:sz="2" w:space="0" w:color="000000"/>
            </w:tcBorders>
            <w:vAlign w:val="center"/>
          </w:tcPr>
          <w:p>
            <w:pPr>
              <w:pStyle w:val="TableContents"/>
              <w:bidi w:val="0"/>
              <w:spacing w:before="0" w:after="283"/>
              <w:jc w:val="left"/>
              <w:rPr/>
            </w:pPr>
            <w:r>
              <w:rPr/>
              <w:t> </w:t>
            </w:r>
          </w:p>
        </w:tc>
        <w:tc>
          <w:tcPr>
            <w:tcW w:w="1010" w:type="dxa"/>
            <w:tcBorders>
              <w:bottom w:val="single" w:sz="2" w:space="0" w:color="000000"/>
            </w:tcBorders>
            <w:vAlign w:val="center"/>
          </w:tcPr>
          <w:p>
            <w:pPr>
              <w:pStyle w:val="TableContents"/>
              <w:bidi w:val="0"/>
              <w:spacing w:before="0" w:after="283"/>
              <w:jc w:val="right"/>
              <w:rPr/>
            </w:pPr>
            <w:r>
              <w:rPr/>
              <w:t>–</w:t>
            </w:r>
          </w:p>
        </w:tc>
        <w:tc>
          <w:tcPr>
            <w:tcW w:w="300" w:type="dxa"/>
            <w:tcBorders>
              <w:bottom w:val="single" w:sz="2" w:space="0" w:color="000000"/>
            </w:tcBorders>
            <w:vAlign w:val="center"/>
          </w:tcPr>
          <w:p>
            <w:pPr>
              <w:pStyle w:val="TableContents"/>
              <w:bidi w:val="0"/>
              <w:spacing w:before="0" w:after="283"/>
              <w:jc w:val="right"/>
              <w:rPr/>
            </w:pPr>
            <w:r>
              <w:rPr/>
              <w:t> </w:t>
            </w:r>
          </w:p>
        </w:tc>
        <w:tc>
          <w:tcPr>
            <w:tcW w:w="1220" w:type="dxa"/>
            <w:tcBorders>
              <w:bottom w:val="single" w:sz="2" w:space="0" w:color="000000"/>
            </w:tcBorders>
            <w:vAlign w:val="center"/>
          </w:tcPr>
          <w:p>
            <w:pPr>
              <w:pStyle w:val="TableContents"/>
              <w:bidi w:val="0"/>
              <w:spacing w:before="0" w:after="283"/>
              <w:jc w:val="right"/>
              <w:rPr/>
            </w:pPr>
            <w:r>
              <w:rPr/>
              <w:t>–</w:t>
            </w:r>
          </w:p>
        </w:tc>
      </w:tr>
      <w:tr>
        <w:trPr/>
        <w:tc>
          <w:tcPr>
            <w:tcW w:w="1745" w:type="dxa"/>
            <w:vMerge w:val="continue"/>
            <w:tcBorders>
              <w:bottom w:val="single" w:sz="12" w:space="0" w:color="636466"/>
            </w:tcBorders>
            <w:vAlign w:val="center"/>
          </w:tcPr>
          <w:p>
            <w:pPr>
              <w:pStyle w:val="Normal"/>
              <w:bidi w:val="0"/>
              <w:jc w:val="left"/>
              <w:rPr/>
            </w:pPr>
            <w:r>
              <w:rPr/>
            </w:r>
          </w:p>
        </w:tc>
        <w:tc>
          <w:tcPr>
            <w:tcW w:w="300" w:type="dxa"/>
            <w:tcBorders>
              <w:bottom w:val="single" w:sz="12" w:space="0" w:color="636466"/>
            </w:tcBorders>
            <w:vAlign w:val="center"/>
          </w:tcPr>
          <w:p>
            <w:pPr>
              <w:pStyle w:val="TableContents"/>
              <w:bidi w:val="0"/>
              <w:spacing w:before="0" w:after="283"/>
              <w:jc w:val="left"/>
              <w:rPr/>
            </w:pPr>
            <w:r>
              <w:rPr/>
              <w:t> </w:t>
            </w:r>
          </w:p>
        </w:tc>
        <w:tc>
          <w:tcPr>
            <w:tcW w:w="3110" w:type="dxa"/>
            <w:tcBorders>
              <w:bottom w:val="single" w:sz="12" w:space="0" w:color="636466"/>
            </w:tcBorders>
            <w:shd w:fill="EDEDEE" w:val="clear"/>
            <w:vAlign w:val="center"/>
          </w:tcPr>
          <w:p>
            <w:pPr>
              <w:pStyle w:val="TableContents"/>
              <w:bidi w:val="0"/>
              <w:spacing w:before="0" w:after="283"/>
              <w:jc w:val="left"/>
              <w:rPr>
                <w:b/>
              </w:rPr>
            </w:pPr>
            <w:r>
              <w:rPr>
                <w:b/>
              </w:rPr>
              <w:t>Total</w:t>
            </w:r>
          </w:p>
        </w:tc>
        <w:tc>
          <w:tcPr>
            <w:tcW w:w="300" w:type="dxa"/>
            <w:tcBorders>
              <w:bottom w:val="single" w:sz="12" w:space="0" w:color="636466"/>
            </w:tcBorders>
            <w:shd w:fill="EDEDEE" w:val="clear"/>
            <w:vAlign w:val="center"/>
          </w:tcPr>
          <w:p>
            <w:pPr>
              <w:pStyle w:val="TableContents"/>
              <w:bidi w:val="0"/>
              <w:spacing w:before="0" w:after="283"/>
              <w:jc w:val="left"/>
              <w:rPr/>
            </w:pPr>
            <w:r>
              <w:rPr/>
              <w:t> </w:t>
            </w:r>
          </w:p>
        </w:tc>
        <w:tc>
          <w:tcPr>
            <w:tcW w:w="1385" w:type="dxa"/>
            <w:tcBorders>
              <w:bottom w:val="single" w:sz="12" w:space="0" w:color="636466"/>
            </w:tcBorders>
            <w:shd w:fill="EDEDEE" w:val="clear"/>
            <w:vAlign w:val="center"/>
          </w:tcPr>
          <w:p>
            <w:pPr>
              <w:pStyle w:val="TableContents"/>
              <w:bidi w:val="0"/>
              <w:spacing w:before="0" w:after="283"/>
              <w:jc w:val="right"/>
              <w:rPr/>
            </w:pPr>
            <w:r>
              <w:rPr/>
              <w:t>–</w:t>
            </w:r>
          </w:p>
        </w:tc>
        <w:tc>
          <w:tcPr>
            <w:tcW w:w="300" w:type="dxa"/>
            <w:tcBorders>
              <w:bottom w:val="single" w:sz="12" w:space="0" w:color="636466"/>
            </w:tcBorders>
            <w:shd w:fill="EDEDEE" w:val="clear"/>
            <w:vAlign w:val="center"/>
          </w:tcPr>
          <w:p>
            <w:pPr>
              <w:pStyle w:val="TableContents"/>
              <w:bidi w:val="0"/>
              <w:spacing w:before="0" w:after="283"/>
              <w:jc w:val="left"/>
              <w:rPr/>
            </w:pPr>
            <w:r>
              <w:rPr/>
              <w:t> </w:t>
            </w:r>
          </w:p>
        </w:tc>
        <w:tc>
          <w:tcPr>
            <w:tcW w:w="1010" w:type="dxa"/>
            <w:tcBorders>
              <w:bottom w:val="single" w:sz="12" w:space="0" w:color="636466"/>
            </w:tcBorders>
            <w:shd w:fill="EDEDEE" w:val="clear"/>
            <w:vAlign w:val="center"/>
          </w:tcPr>
          <w:p>
            <w:pPr>
              <w:pStyle w:val="TableContents"/>
              <w:bidi w:val="0"/>
              <w:spacing w:before="0" w:after="283"/>
              <w:jc w:val="right"/>
              <w:rPr>
                <w:b/>
              </w:rPr>
            </w:pPr>
            <w:r>
              <w:rPr>
                <w:b/>
              </w:rPr>
              <w:t>$204,074</w:t>
            </w:r>
          </w:p>
        </w:tc>
        <w:tc>
          <w:tcPr>
            <w:tcW w:w="300" w:type="dxa"/>
            <w:tcBorders>
              <w:bottom w:val="single" w:sz="12" w:space="0" w:color="636466"/>
            </w:tcBorders>
            <w:shd w:fill="EDEDEE" w:val="clear"/>
            <w:vAlign w:val="center"/>
          </w:tcPr>
          <w:p>
            <w:pPr>
              <w:pStyle w:val="TableContents"/>
              <w:bidi w:val="0"/>
              <w:spacing w:before="0" w:after="283"/>
              <w:jc w:val="right"/>
              <w:rPr/>
            </w:pPr>
            <w:r>
              <w:rPr/>
              <w:t> </w:t>
            </w:r>
          </w:p>
        </w:tc>
        <w:tc>
          <w:tcPr>
            <w:tcW w:w="1220" w:type="dxa"/>
            <w:tcBorders>
              <w:bottom w:val="single" w:sz="12" w:space="0" w:color="636466"/>
            </w:tcBorders>
            <w:shd w:fill="EDEDEE" w:val="clear"/>
            <w:vAlign w:val="center"/>
          </w:tcPr>
          <w:p>
            <w:pPr>
              <w:pStyle w:val="TableContents"/>
              <w:bidi w:val="0"/>
              <w:spacing w:before="0" w:after="283"/>
              <w:jc w:val="right"/>
              <w:rPr/>
            </w:pPr>
            <w:r>
              <w:rPr/>
              <w:t>–</w:t>
            </w:r>
          </w:p>
        </w:tc>
      </w:tr>
    </w:tbl>
    <w:tbl>
      <w:tblPr>
        <w:tblW w:w="10205" w:type="dxa"/>
        <w:jc w:val="left"/>
        <w:tblInd w:w="0" w:type="dxa"/>
        <w:tblLayout w:type="fixed"/>
        <w:tblCellMar>
          <w:top w:w="0" w:type="dxa"/>
          <w:left w:w="0" w:type="dxa"/>
          <w:bottom w:w="0" w:type="dxa"/>
          <w:right w:w="0" w:type="dxa"/>
        </w:tblCellMar>
      </w:tblPr>
      <w:tblGrid>
        <w:gridCol w:w="236"/>
        <w:gridCol w:w="9969"/>
      </w:tblGrid>
      <w:tr>
        <w:trPr/>
        <w:tc>
          <w:tcPr>
            <w:tcW w:w="236" w:type="dxa"/>
            <w:tcBorders/>
            <w:vAlign w:val="center"/>
          </w:tcPr>
          <w:p>
            <w:pPr>
              <w:pStyle w:val="TableContents"/>
              <w:bidi w:val="0"/>
              <w:spacing w:before="0" w:after="283"/>
              <w:jc w:val="left"/>
              <w:rPr/>
            </w:pPr>
            <w:r>
              <w:rPr/>
              <w:t>(1)</w:t>
            </w:r>
          </w:p>
        </w:tc>
        <w:tc>
          <w:tcPr>
            <w:tcW w:w="9969" w:type="dxa"/>
            <w:tcBorders/>
            <w:vAlign w:val="center"/>
          </w:tcPr>
          <w:p>
            <w:pPr>
              <w:pStyle w:val="TableContents"/>
              <w:bidi w:val="0"/>
              <w:spacing w:before="0" w:after="283"/>
              <w:jc w:val="left"/>
              <w:rPr/>
            </w:pPr>
            <w:r>
              <w:rPr/>
              <w:t>The assumptions used to determine the present value of the accumulated pension benefit under the Company’s pension plans are generally consistent with those described in Note 10: Employee Benefit Plans, to the Consolidated Financial Statements in RTX’s 2025 Form 10-K. More specifically, discount rates ranging from 5.08% to 5.25% for the various pension plans, Pri-2012 mortality table with a plan-specific adjustment and MP-2021 to project future improvements are used.</w:t>
            </w:r>
          </w:p>
        </w:tc>
      </w:tr>
      <w:tr>
        <w:trPr/>
        <w:tc>
          <w:tcPr>
            <w:tcW w:w="236" w:type="dxa"/>
            <w:tcBorders/>
            <w:vAlign w:val="center"/>
          </w:tcPr>
          <w:p>
            <w:pPr>
              <w:pStyle w:val="TableContents"/>
              <w:bidi w:val="0"/>
              <w:spacing w:before="0" w:after="283"/>
              <w:jc w:val="left"/>
              <w:rPr/>
            </w:pPr>
            <w:r>
              <w:rPr/>
              <w:t>(2)</w:t>
            </w:r>
          </w:p>
        </w:tc>
        <w:tc>
          <w:tcPr>
            <w:tcW w:w="9969" w:type="dxa"/>
            <w:tcBorders/>
            <w:vAlign w:val="center"/>
          </w:tcPr>
          <w:p>
            <w:pPr>
              <w:pStyle w:val="TableContents"/>
              <w:bidi w:val="0"/>
              <w:spacing w:before="0" w:after="283"/>
              <w:jc w:val="left"/>
              <w:rPr/>
            </w:pPr>
            <w:r>
              <w:rPr/>
              <w:t>The following additional assumptions are used to determine the present value of the accumulated pension benefit under the legacy UTC pension plans: (i) retirement at age 65 for Cash Balance benefits, because benefits are actuarially reduced for commencements prior to normal retirement age (age 65); and (ii) a lump-sum payment for benefits accrued under the Cash Balance formula of the RTX Consolidated Pension Plan and the UTC Pension Preservation Plan.</w:t>
            </w:r>
          </w:p>
        </w:tc>
      </w:tr>
      <w:tr>
        <w:trPr/>
        <w:tc>
          <w:tcPr>
            <w:tcW w:w="236" w:type="dxa"/>
            <w:tcBorders/>
            <w:vAlign w:val="center"/>
          </w:tcPr>
          <w:p>
            <w:pPr>
              <w:pStyle w:val="TableContents"/>
              <w:bidi w:val="0"/>
              <w:spacing w:before="0" w:after="283"/>
              <w:jc w:val="left"/>
              <w:rPr/>
            </w:pPr>
            <w:r>
              <w:rPr/>
              <w:t>(3)</w:t>
            </w:r>
          </w:p>
        </w:tc>
        <w:tc>
          <w:tcPr>
            <w:tcW w:w="9969" w:type="dxa"/>
            <w:tcBorders/>
            <w:vAlign w:val="center"/>
          </w:tcPr>
          <w:p>
            <w:pPr>
              <w:pStyle w:val="TableContents"/>
              <w:bidi w:val="0"/>
              <w:spacing w:before="0" w:after="283"/>
              <w:jc w:val="left"/>
              <w:rPr/>
            </w:pPr>
            <w:r>
              <w:rPr/>
              <w:t>Mr. Mitchill was hired after January 1, 2010, and therefore does not participate in the legacy UTC pension plans.</w:t>
            </w:r>
          </w:p>
        </w:tc>
      </w:tr>
      <w:tr>
        <w:trPr/>
        <w:tc>
          <w:tcPr>
            <w:tcW w:w="236" w:type="dxa"/>
            <w:tcBorders/>
            <w:vAlign w:val="center"/>
          </w:tcPr>
          <w:p>
            <w:pPr>
              <w:pStyle w:val="TableContents"/>
              <w:bidi w:val="0"/>
              <w:spacing w:before="0" w:after="283"/>
              <w:jc w:val="left"/>
              <w:rPr/>
            </w:pPr>
            <w:r>
              <w:rPr/>
              <w:t>(4)</w:t>
            </w:r>
          </w:p>
        </w:tc>
        <w:tc>
          <w:tcPr>
            <w:tcW w:w="9969" w:type="dxa"/>
            <w:tcBorders/>
            <w:vAlign w:val="center"/>
          </w:tcPr>
          <w:p>
            <w:pPr>
              <w:pStyle w:val="TableContents"/>
              <w:bidi w:val="0"/>
              <w:spacing w:before="0" w:after="283"/>
              <w:jc w:val="left"/>
              <w:rPr/>
            </w:pPr>
            <w:r>
              <w:rPr/>
              <w:t>The present value of the accumulated benefits shown for Messrs. Jasper and Brunk are based on benefits earned under the legacy Rockwell Collins qualified and nonqualified defined benefit pension plans, which were frozen on September 30, 2006, and have since merged into the RTX Consolidated Pension Plan and the UTC Pension Preservation Plan, respectively. The number of years of credited service reflects the years of service they had when the plans were frozen. Benefit calculations are based on age, years of service and average annual base salary and annual incentives. All of Mr. Brunk’s nonqualified pension benefits, and a portion of Mr. Jasper’s nonqualified pension benefit, were previously distributed upon UTC’s acquisition of Rockwell Collins in a lump-sum payment in accordance with the change-in-control provisions in that plan. The following assumptions are also used: (i) retirement at age 62, the earliest date a participant can retire without a reduction of benefits due to age; and (ii) 100% life annuity for benefits under the plan.  </w:t>
            </w:r>
          </w:p>
        </w:tc>
      </w:tr>
    </w:tbl>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15"/>
        </w:rPr>
      </w:pPr>
      <w:r>
        <w:rPr>
          <w:rFonts w:ascii="Arial;Helvetica;Sans-Serif" w:hAnsi="Arial;Helvetica;Sans-Serif"/>
          <w:b/>
          <w:i w:val="false"/>
          <w:caps w:val="false"/>
          <w:smallCaps w:val="false"/>
          <w:sz w:val="15"/>
        </w:rPr>
        <w:t xml:space="preserve">70    RTX </w:t>
      </w:r>
      <w:r>
        <w:rPr>
          <w:rFonts w:ascii="Arial;Helvetica;Sans-Serif" w:hAnsi="Arial;Helvetica;Sans-Serif"/>
          <w:b w:val="false"/>
          <w:i w:val="false"/>
          <w:caps w:val="false"/>
          <w:smallCaps w:val="false"/>
          <w:sz w:val="15"/>
        </w:rPr>
        <w:t>2026 PROXY STATEMENT</w:t>
      </w:r>
    </w:p>
    <w:p>
      <w:pPr>
        <w:pStyle w:val="HorizontalLine"/>
        <w:pBdr>
          <w:bottom w:val="double" w:sz="2" w:space="0" w:color="808080"/>
        </w:pBdr>
        <w:bidi w:val="0"/>
        <w:spacing w:before="0" w:after="283"/>
        <w:jc w:val="left"/>
        <w:rPr/>
      </w:pPr>
      <w:r>
        <w:rPr/>
      </w:r>
    </w:p>
    <w:p>
      <w:pPr>
        <w:pStyle w:val="TextBody"/>
        <w:bidi w:val="0"/>
        <w:spacing w:before="200" w:after="200"/>
        <w:jc w:val="left"/>
        <w:rPr/>
      </w:pPr>
      <w:hyperlink w:anchor="toc">
        <w:r>
          <w:rPr>
            <w:rStyle w:val="InternetLink"/>
            <w:rFonts w:ascii="Arial;Helvetica;Sans-Serif" w:hAnsi="Arial;Helvetica;Sans-Serif"/>
            <w:b/>
            <w:i w:val="false"/>
            <w:caps w:val="false"/>
            <w:smallCaps w:val="false"/>
            <w:sz w:val="16"/>
          </w:rPr>
          <w:t>Table of Contents</w:t>
        </w:r>
      </w:hyperlink>
    </w:p>
    <w:p>
      <w:pPr>
        <w:pStyle w:val="TextBody"/>
        <w:bidi w:val="0"/>
        <w:spacing w:before="0" w:after="0"/>
        <w:ind w:left="0" w:right="0" w:hanging="0"/>
        <w:jc w:val="right"/>
        <w:rPr>
          <w:rFonts w:ascii="Arial;Helvetica;Sans-Serif" w:hAnsi="Arial;Helvetica;Sans-Serif"/>
          <w:b/>
          <w:i w:val="false"/>
          <w:caps w:val="false"/>
          <w:smallCaps w:val="false"/>
          <w:color w:val="C12E33"/>
          <w:sz w:val="15"/>
        </w:rPr>
      </w:pPr>
      <w:r>
        <w:rPr>
          <w:rFonts w:ascii="Arial;Helvetica;Sans-Serif" w:hAnsi="Arial;Helvetica;Sans-Serif"/>
          <w:b/>
          <w:i w:val="false"/>
          <w:caps w:val="false"/>
          <w:smallCaps w:val="false"/>
          <w:color w:val="C12E33"/>
          <w:sz w:val="15"/>
        </w:rPr>
        <w:t>COMPENSATION TABLES</w:t>
      </w:r>
    </w:p>
    <w:p>
      <w:pPr>
        <w:pStyle w:val="TextBody"/>
        <w:bidi w:val="0"/>
        <w:spacing w:before="0" w:after="0"/>
        <w:ind w:left="0" w:right="0" w:hanging="0"/>
        <w:jc w:val="righ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NONQUALIFIED DEFERRED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34"/>
        </w:rPr>
      </w:pPr>
      <w:r>
        <w:rPr>
          <w:rFonts w:ascii="Arial;Helvetica;Sans-Serif" w:hAnsi="Arial;Helvetica;Sans-Serif"/>
          <w:b/>
          <w:i w:val="false"/>
          <w:caps w:val="false"/>
          <w:smallCaps w:val="false"/>
          <w:sz w:val="34"/>
        </w:rPr>
        <w:t>Nonqualified Deferred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 xml:space="preserve">Active Plans. </w:t>
      </w:r>
      <w:r>
        <w:rPr>
          <w:rFonts w:ascii="Arial;Helvetica;Sans-Serif" w:hAnsi="Arial;Helvetica;Sans-Serif"/>
          <w:b w:val="false"/>
          <w:i w:val="false"/>
          <w:caps w:val="false"/>
          <w:smallCaps w:val="false"/>
          <w:sz w:val="20"/>
        </w:rPr>
        <w:t>RTX maintains the following nonqualified deferred compensation plans that remain open to new contributions.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40" w:type="dxa"/>
          <w:right w:w="0" w:type="dxa"/>
        </w:tblCellMar>
      </w:tblPr>
      <w:tblGrid>
        <w:gridCol w:w="1894"/>
        <w:gridCol w:w="300"/>
        <w:gridCol w:w="8011"/>
      </w:tblGrid>
      <w:tr>
        <w:trPr/>
        <w:tc>
          <w:tcPr>
            <w:tcW w:w="1894" w:type="dxa"/>
            <w:tcBorders>
              <w:bottom w:val="single" w:sz="12" w:space="0" w:color="C12E33"/>
            </w:tcBorders>
            <w:vAlign w:val="center"/>
          </w:tcPr>
          <w:p>
            <w:pPr>
              <w:pStyle w:val="TableContents"/>
              <w:bidi w:val="0"/>
              <w:spacing w:before="0" w:after="283"/>
              <w:jc w:val="left"/>
              <w:rPr>
                <w:color w:val="636466"/>
              </w:rPr>
            </w:pPr>
            <w:r>
              <w:rPr>
                <w:color w:val="636466"/>
              </w:rPr>
              <w:t>Plan Name</w:t>
            </w:r>
          </w:p>
        </w:tc>
        <w:tc>
          <w:tcPr>
            <w:tcW w:w="300" w:type="dxa"/>
            <w:tcBorders>
              <w:bottom w:val="single" w:sz="12" w:space="0" w:color="C12E33"/>
            </w:tcBorders>
            <w:vAlign w:val="center"/>
          </w:tcPr>
          <w:p>
            <w:pPr>
              <w:pStyle w:val="TableContents"/>
              <w:bidi w:val="0"/>
              <w:spacing w:before="0" w:after="283"/>
              <w:jc w:val="left"/>
              <w:rPr>
                <w:color w:val="636466"/>
              </w:rPr>
            </w:pPr>
            <w:r>
              <w:rPr>
                <w:color w:val="636466"/>
              </w:rPr>
              <w:t>     </w:t>
            </w:r>
          </w:p>
        </w:tc>
        <w:tc>
          <w:tcPr>
            <w:tcW w:w="8011" w:type="dxa"/>
            <w:tcBorders>
              <w:bottom w:val="single" w:sz="12" w:space="0" w:color="C12E33"/>
            </w:tcBorders>
            <w:vAlign w:val="center"/>
          </w:tcPr>
          <w:p>
            <w:pPr>
              <w:pStyle w:val="TableContents"/>
              <w:bidi w:val="0"/>
              <w:spacing w:before="0" w:after="283"/>
              <w:jc w:val="left"/>
              <w:rPr>
                <w:color w:val="636466"/>
              </w:rPr>
            </w:pPr>
            <w:r>
              <w:rPr>
                <w:color w:val="636466"/>
              </w:rPr>
              <w:t>Description</w:t>
            </w:r>
          </w:p>
        </w:tc>
      </w:tr>
      <w:tr>
        <w:trPr/>
        <w:tc>
          <w:tcPr>
            <w:tcW w:w="1894" w:type="dxa"/>
            <w:tcBorders>
              <w:bottom w:val="single" w:sz="2" w:space="0" w:color="000000"/>
            </w:tcBorders>
            <w:vAlign w:val="center"/>
          </w:tcPr>
          <w:p>
            <w:pPr>
              <w:pStyle w:val="TableContents"/>
              <w:bidi w:val="0"/>
              <w:spacing w:before="0" w:after="283"/>
              <w:jc w:val="left"/>
              <w:rPr>
                <w:b/>
              </w:rPr>
            </w:pPr>
            <w:r>
              <w:rPr>
                <w:b/>
              </w:rPr>
              <w:t>RTX Corporation Compensation Deferral Plan (“RTX CDP”)</w:t>
            </w:r>
          </w:p>
        </w:tc>
        <w:tc>
          <w:tcPr>
            <w:tcW w:w="300" w:type="dxa"/>
            <w:tcBorders>
              <w:bottom w:val="single" w:sz="2" w:space="0" w:color="000000"/>
            </w:tcBorders>
            <w:vAlign w:val="center"/>
          </w:tcPr>
          <w:p>
            <w:pPr>
              <w:pStyle w:val="TableContents"/>
              <w:bidi w:val="0"/>
              <w:spacing w:before="0" w:after="283"/>
              <w:jc w:val="left"/>
              <w:rPr/>
            </w:pPr>
            <w:r>
              <w:rPr/>
              <w:t> </w:t>
            </w:r>
          </w:p>
        </w:tc>
        <w:tc>
          <w:tcPr>
            <w:tcW w:w="8011" w:type="dxa"/>
            <w:tcBorders>
              <w:bottom w:val="single" w:sz="2" w:space="0" w:color="000000"/>
            </w:tcBorders>
            <w:vAlign w:val="center"/>
          </w:tcPr>
          <w:p>
            <w:pPr>
              <w:pStyle w:val="TableContents"/>
              <w:bidi w:val="0"/>
              <w:spacing w:before="0" w:after="0"/>
              <w:ind w:left="0" w:right="0" w:hanging="0"/>
              <w:jc w:val="left"/>
              <w:rPr>
                <w:rFonts w:ascii="Arial;Helvetica;Sans-Serif" w:hAnsi="Arial;Helvetica;Sans-Serif"/>
              </w:rPr>
            </w:pPr>
            <w:r>
              <w:rPr>
                <w:rFonts w:ascii="Arial;Helvetica;Sans-Serif" w:hAnsi="Arial;Helvetica;Sans-Serif"/>
              </w:rPr>
              <w:t>The RTX CDP is an unfunded, nonqualified defined contribution plan that opened on January 1, 2023, and provides eligible employees an opportunity to defer up to 50% of base salary and/or 80% of annual incentive awards. Participants receive Company matching and Company retirement contributions (if eligible) once they can no longer receive these contributions into the qualified RTX Corporation Savings Plan due to IRC limits. Participants who accrue benefits under a Company-sponsored pension plan are not eligible for Company retirement contributions into this plan.</w:t>
            </w:r>
          </w:p>
          <w:p>
            <w:pPr>
              <w:pStyle w:val="TableContents"/>
              <w:bidi w:val="0"/>
              <w:spacing w:before="0" w:after="0"/>
              <w:ind w:left="0" w:right="0" w:hanging="0"/>
              <w:jc w:val="left"/>
              <w:rPr/>
            </w:pPr>
            <w:r>
              <w:rPr/>
              <w:t> </w:t>
            </w:r>
          </w:p>
          <w:p>
            <w:pPr>
              <w:pStyle w:val="TableContents"/>
              <w:bidi w:val="0"/>
              <w:spacing w:before="0" w:after="0"/>
              <w:ind w:left="0" w:right="0" w:hanging="0"/>
              <w:jc w:val="left"/>
              <w:rPr>
                <w:rFonts w:ascii="Arial;Helvetica;Sans-Serif" w:hAnsi="Arial;Helvetica;Sans-Serif"/>
              </w:rPr>
            </w:pPr>
            <w:r>
              <w:rPr>
                <w:rFonts w:ascii="Arial;Helvetica;Sans-Serif" w:hAnsi="Arial;Helvetica;Sans-Serif"/>
              </w:rPr>
              <w:t>The RTX CDP also provides missed Company matching and Company retirement contributions (if applicable) for employees who have not reached the annual IRC compensation limit, but whose contributions to the qualified RTX Corporation Savings Plan exceed the IRC annual contributions limit for the year. Participants are immediately vested in their own deferrals and vest in Company contributions upon the earlier of: (i) two years of service with the Company; (ii) reaching age 65 ; or (iii) reaching age 55 and terminating employment with the Company. Distributions of Company contributions begin upon a separation of service. Participants may elect to begin distributions of employee deferrals either upon separation of service from the Company or upon a future date selected by the participant (which may be no earlier than three years from the date the election was made). RTX CDP balances are distributed in cash, in a lump-sum payment or in annual installments over periods ranging from two to 15 years per the participant’s election.</w:t>
            </w:r>
          </w:p>
        </w:tc>
      </w:tr>
      <w:tr>
        <w:trPr/>
        <w:tc>
          <w:tcPr>
            <w:tcW w:w="1894" w:type="dxa"/>
            <w:tcBorders>
              <w:bottom w:val="single" w:sz="12" w:space="0" w:color="636466"/>
            </w:tcBorders>
            <w:vAlign w:val="center"/>
          </w:tcPr>
          <w:p>
            <w:pPr>
              <w:pStyle w:val="TableContents"/>
              <w:bidi w:val="0"/>
              <w:spacing w:before="0" w:after="283"/>
              <w:jc w:val="left"/>
              <w:rPr>
                <w:b/>
              </w:rPr>
            </w:pPr>
            <w:r>
              <w:rPr>
                <w:b/>
              </w:rPr>
              <w:t>RTX Corporation Performance Share Unit Deferral Plan (“RTX PSU Deferral Plan”)</w:t>
            </w:r>
          </w:p>
        </w:tc>
        <w:tc>
          <w:tcPr>
            <w:tcW w:w="300" w:type="dxa"/>
            <w:tcBorders>
              <w:bottom w:val="single" w:sz="12" w:space="0" w:color="636466"/>
            </w:tcBorders>
            <w:vAlign w:val="center"/>
          </w:tcPr>
          <w:p>
            <w:pPr>
              <w:pStyle w:val="TableContents"/>
              <w:bidi w:val="0"/>
              <w:spacing w:before="0" w:after="283"/>
              <w:jc w:val="left"/>
              <w:rPr/>
            </w:pPr>
            <w:r>
              <w:rPr/>
              <w:t> </w:t>
            </w:r>
          </w:p>
        </w:tc>
        <w:tc>
          <w:tcPr>
            <w:tcW w:w="8011" w:type="dxa"/>
            <w:tcBorders>
              <w:bottom w:val="single" w:sz="12" w:space="0" w:color="636466"/>
            </w:tcBorders>
            <w:vAlign w:val="center"/>
          </w:tcPr>
          <w:p>
            <w:pPr>
              <w:pStyle w:val="TableContents"/>
              <w:bidi w:val="0"/>
              <w:spacing w:before="0" w:after="283"/>
              <w:jc w:val="left"/>
              <w:rPr/>
            </w:pPr>
            <w:r>
              <w:rPr/>
              <w:t>The RTX PSU Deferral Plan is an unfunded, nonqualified deferred compensation arrangement that enables executives to defer between 10% and 100% of their vested PSU awards that would otherwise be settled in unrestricted shares of RTX Common Stock. The deferred portion of the PSU award is converted into deferred stock units that accrue dividend equivalents. Participants may elect to receive distributions from the plan in a lump sum or in two to 15 annual installments, either upon separation of service from the Company or at a future date selected by the participant (which may be no earlier than three years from the year the PSUs are deferred). Distributions are made in whole shares of RTX Common Stock with any fractional units paid in cash.</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 xml:space="preserve">Closed Plans. </w:t>
      </w:r>
      <w:r>
        <w:rPr>
          <w:rFonts w:ascii="Arial;Helvetica;Sans-Serif" w:hAnsi="Arial;Helvetica;Sans-Serif"/>
          <w:b w:val="false"/>
          <w:i w:val="false"/>
          <w:caps w:val="false"/>
          <w:smallCaps w:val="false"/>
          <w:sz w:val="20"/>
        </w:rPr>
        <w:t>Some of our NEOs were previously employed by companies that we acquired over the years, and thus retain balances in nonqualified deferred compensation plans of these acquired companies that have since been closed to new contributions. In addition, we have closed some of our legacy plans to allow for consistent benefits regardless of an employee’s legacy employer.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NEOs hold balances in the following closed nonqualified deferred compensation plans: (i) UTC Company Automatic Contribution Excess Plan, which closed on December 31, 2022; (ii) UTC Deferred Compensation Plan, which closed on December 31, 2022; (iii) UTC Savings Restoration Plan, which closed on December 31, 2022; (iv) Rockwell Collins Non-Qualified Savings Plan, which closed on December 31, 2019; and (v) Rockwell Collins Deferred Compensation Plan, which closed on December 31, 2019. Details on these plans can be found in our previous proxy statements. </w:t>
      </w:r>
    </w:p>
    <w:p>
      <w:pPr>
        <w:pStyle w:val="TextBody"/>
        <w:bidi w:val="0"/>
        <w:spacing w:before="0" w:after="0"/>
        <w:ind w:left="0" w:right="0" w:hanging="0"/>
        <w:jc w:val="left"/>
        <w:rPr>
          <w:caps w:val="false"/>
          <w:smallCaps w:val="false"/>
        </w:rPr>
      </w:pPr>
      <w:r>
        <w:rPr>
          <w:caps w:val="false"/>
          <w:smallCaps w:val="false"/>
        </w:rPr>
        <w:t> </w:t>
      </w:r>
    </w:p>
    <w:tbl>
      <w:tblPr>
        <w:tblW w:w="10520" w:type="dxa"/>
        <w:jc w:val="left"/>
        <w:tblInd w:w="0" w:type="dxa"/>
        <w:tblLayout w:type="fixed"/>
        <w:tblCellMar>
          <w:top w:w="0" w:type="dxa"/>
          <w:left w:w="0" w:type="dxa"/>
          <w:bottom w:w="40" w:type="dxa"/>
          <w:right w:w="0" w:type="dxa"/>
        </w:tblCellMar>
      </w:tblPr>
      <w:tblGrid>
        <w:gridCol w:w="860"/>
        <w:gridCol w:w="300"/>
        <w:gridCol w:w="1400"/>
        <w:gridCol w:w="300"/>
        <w:gridCol w:w="1445"/>
        <w:gridCol w:w="300"/>
        <w:gridCol w:w="1445"/>
        <w:gridCol w:w="300"/>
        <w:gridCol w:w="1070"/>
        <w:gridCol w:w="300"/>
        <w:gridCol w:w="1400"/>
        <w:gridCol w:w="300"/>
        <w:gridCol w:w="1100"/>
      </w:tblGrid>
      <w:tr>
        <w:trPr/>
        <w:tc>
          <w:tcPr>
            <w:tcW w:w="860" w:type="dxa"/>
            <w:tcBorders>
              <w:bottom w:val="single" w:sz="12" w:space="0" w:color="C12E33"/>
            </w:tcBorders>
            <w:vAlign w:val="center"/>
          </w:tcPr>
          <w:p>
            <w:pPr>
              <w:pStyle w:val="TableContents"/>
              <w:bidi w:val="0"/>
              <w:spacing w:before="0" w:after="283"/>
              <w:jc w:val="left"/>
              <w:rPr>
                <w:b/>
                <w:color w:val="636466"/>
              </w:rPr>
            </w:pPr>
            <w:r>
              <w:rPr>
                <w:b/>
                <w:color w:val="636466"/>
              </w:rPr>
              <w:t>Name</w:t>
            </w:r>
          </w:p>
        </w:tc>
        <w:tc>
          <w:tcPr>
            <w:tcW w:w="300" w:type="dxa"/>
            <w:tcBorders>
              <w:bottom w:val="single" w:sz="12" w:space="0" w:color="C12E33"/>
            </w:tcBorders>
            <w:vAlign w:val="center"/>
          </w:tcPr>
          <w:p>
            <w:pPr>
              <w:pStyle w:val="TableContents"/>
              <w:bidi w:val="0"/>
              <w:spacing w:before="0" w:after="283"/>
              <w:jc w:val="left"/>
              <w:rPr>
                <w:color w:val="636466"/>
              </w:rPr>
            </w:pPr>
            <w:r>
              <w:rPr>
                <w:color w:val="636466"/>
              </w:rPr>
              <w:t>     </w:t>
            </w:r>
          </w:p>
        </w:tc>
        <w:tc>
          <w:tcPr>
            <w:tcW w:w="1400" w:type="dxa"/>
            <w:tcBorders>
              <w:bottom w:val="single" w:sz="12" w:space="0" w:color="C12E33"/>
            </w:tcBorders>
            <w:vAlign w:val="center"/>
          </w:tcPr>
          <w:p>
            <w:pPr>
              <w:pStyle w:val="TableContents"/>
              <w:bidi w:val="0"/>
              <w:spacing w:before="0" w:after="283"/>
              <w:jc w:val="left"/>
              <w:rPr>
                <w:b/>
                <w:color w:val="636466"/>
              </w:rPr>
            </w:pPr>
            <w:r>
              <w:rPr>
                <w:b/>
                <w:color w:val="636466"/>
              </w:rPr>
              <w:t>Plan</w:t>
            </w:r>
          </w:p>
        </w:tc>
        <w:tc>
          <w:tcPr>
            <w:tcW w:w="300" w:type="dxa"/>
            <w:tcBorders>
              <w:bottom w:val="single" w:sz="12" w:space="0" w:color="C12E33"/>
            </w:tcBorders>
            <w:vAlign w:val="center"/>
          </w:tcPr>
          <w:p>
            <w:pPr>
              <w:pStyle w:val="TableContents"/>
              <w:bidi w:val="0"/>
              <w:spacing w:before="0" w:after="283"/>
              <w:jc w:val="left"/>
              <w:rPr>
                <w:color w:val="636466"/>
              </w:rPr>
            </w:pPr>
            <w:r>
              <w:rPr>
                <w:color w:val="636466"/>
              </w:rPr>
              <w:t>     </w:t>
            </w:r>
          </w:p>
        </w:tc>
        <w:tc>
          <w:tcPr>
            <w:tcW w:w="1445" w:type="dxa"/>
            <w:tcBorders>
              <w:bottom w:val="single" w:sz="12" w:space="0" w:color="C12E33"/>
            </w:tcBorders>
            <w:vAlign w:val="center"/>
          </w:tcPr>
          <w:p>
            <w:pPr>
              <w:pStyle w:val="TableContents"/>
              <w:bidi w:val="0"/>
              <w:spacing w:before="0" w:after="283"/>
              <w:jc w:val="right"/>
              <w:rPr>
                <w:color w:val="636466"/>
              </w:rPr>
            </w:pPr>
            <w:r>
              <w:rPr>
                <w:b/>
                <w:color w:val="636466"/>
              </w:rPr>
              <w:t>Executive</w:t>
            </w:r>
            <w:r>
              <w:rPr>
                <w:color w:val="636466"/>
              </w:rPr>
              <w:br/>
            </w:r>
            <w:r>
              <w:rPr>
                <w:b/>
                <w:color w:val="636466"/>
              </w:rPr>
              <w:t>Contributions</w:t>
            </w:r>
            <w:r>
              <w:rPr>
                <w:color w:val="636466"/>
              </w:rPr>
              <w:br/>
            </w:r>
            <w:r>
              <w:rPr>
                <w:b/>
                <w:color w:val="636466"/>
              </w:rPr>
              <w:t>in Last FY ($)</w:t>
            </w:r>
            <w:r>
              <w:rPr>
                <w:b/>
                <w:color w:val="636466"/>
                <w:position w:val="8"/>
                <w:sz w:val="19"/>
              </w:rPr>
              <w:t>(1)</w:t>
            </w:r>
          </w:p>
        </w:tc>
        <w:tc>
          <w:tcPr>
            <w:tcW w:w="300" w:type="dxa"/>
            <w:tcBorders>
              <w:bottom w:val="single" w:sz="12" w:space="0" w:color="C12E33"/>
            </w:tcBorders>
            <w:vAlign w:val="center"/>
          </w:tcPr>
          <w:p>
            <w:pPr>
              <w:pStyle w:val="TableContents"/>
              <w:bidi w:val="0"/>
              <w:spacing w:before="0" w:after="283"/>
              <w:jc w:val="left"/>
              <w:rPr>
                <w:color w:val="636466"/>
              </w:rPr>
            </w:pPr>
            <w:r>
              <w:rPr>
                <w:color w:val="636466"/>
              </w:rPr>
              <w:t>     </w:t>
            </w:r>
          </w:p>
        </w:tc>
        <w:tc>
          <w:tcPr>
            <w:tcW w:w="1445" w:type="dxa"/>
            <w:tcBorders>
              <w:bottom w:val="single" w:sz="12" w:space="0" w:color="C12E33"/>
            </w:tcBorders>
            <w:vAlign w:val="center"/>
          </w:tcPr>
          <w:p>
            <w:pPr>
              <w:pStyle w:val="TableContents"/>
              <w:bidi w:val="0"/>
              <w:spacing w:before="0" w:after="283"/>
              <w:jc w:val="right"/>
              <w:rPr>
                <w:color w:val="636466"/>
              </w:rPr>
            </w:pPr>
            <w:r>
              <w:rPr>
                <w:b/>
                <w:color w:val="636466"/>
              </w:rPr>
              <w:t>Registrant</w:t>
            </w:r>
            <w:r>
              <w:rPr>
                <w:color w:val="636466"/>
              </w:rPr>
              <w:br/>
            </w:r>
            <w:r>
              <w:rPr>
                <w:b/>
                <w:color w:val="636466"/>
              </w:rPr>
              <w:t>Contributions</w:t>
            </w:r>
            <w:r>
              <w:rPr>
                <w:color w:val="636466"/>
              </w:rPr>
              <w:br/>
            </w:r>
            <w:r>
              <w:rPr>
                <w:b/>
                <w:color w:val="636466"/>
              </w:rPr>
              <w:t>in Last FY ($)</w:t>
            </w:r>
            <w:r>
              <w:rPr>
                <w:b/>
                <w:color w:val="636466"/>
                <w:position w:val="8"/>
                <w:sz w:val="19"/>
              </w:rPr>
              <w:t>(2)</w:t>
            </w:r>
          </w:p>
        </w:tc>
        <w:tc>
          <w:tcPr>
            <w:tcW w:w="300" w:type="dxa"/>
            <w:tcBorders>
              <w:bottom w:val="single" w:sz="12" w:space="0" w:color="C12E33"/>
            </w:tcBorders>
            <w:vAlign w:val="center"/>
          </w:tcPr>
          <w:p>
            <w:pPr>
              <w:pStyle w:val="TableContents"/>
              <w:bidi w:val="0"/>
              <w:spacing w:before="0" w:after="283"/>
              <w:jc w:val="left"/>
              <w:rPr>
                <w:color w:val="636466"/>
              </w:rPr>
            </w:pPr>
            <w:r>
              <w:rPr>
                <w:color w:val="636466"/>
              </w:rPr>
              <w:t>     </w:t>
            </w:r>
          </w:p>
        </w:tc>
        <w:tc>
          <w:tcPr>
            <w:tcW w:w="1070" w:type="dxa"/>
            <w:tcBorders>
              <w:bottom w:val="single" w:sz="12" w:space="0" w:color="C12E33"/>
            </w:tcBorders>
            <w:vAlign w:val="center"/>
          </w:tcPr>
          <w:p>
            <w:pPr>
              <w:pStyle w:val="TableContents"/>
              <w:bidi w:val="0"/>
              <w:spacing w:before="0" w:after="283"/>
              <w:jc w:val="right"/>
              <w:rPr>
                <w:color w:val="636466"/>
              </w:rPr>
            </w:pPr>
            <w:r>
              <w:rPr>
                <w:b/>
                <w:color w:val="636466"/>
              </w:rPr>
              <w:t>Aggregate</w:t>
            </w:r>
            <w:r>
              <w:rPr>
                <w:color w:val="636466"/>
              </w:rPr>
              <w:br/>
            </w:r>
            <w:r>
              <w:rPr>
                <w:b/>
                <w:color w:val="636466"/>
              </w:rPr>
              <w:t>Earnings in</w:t>
            </w:r>
            <w:r>
              <w:rPr>
                <w:color w:val="636466"/>
              </w:rPr>
              <w:br/>
            </w:r>
            <w:r>
              <w:rPr>
                <w:b/>
                <w:color w:val="636466"/>
              </w:rPr>
              <w:t>Last FY ($)</w:t>
            </w:r>
            <w:r>
              <w:rPr>
                <w:b/>
                <w:color w:val="636466"/>
                <w:position w:val="8"/>
                <w:sz w:val="19"/>
              </w:rPr>
              <w:t>(3)</w:t>
            </w:r>
          </w:p>
        </w:tc>
        <w:tc>
          <w:tcPr>
            <w:tcW w:w="300" w:type="dxa"/>
            <w:tcBorders>
              <w:bottom w:val="single" w:sz="12" w:space="0" w:color="C12E33"/>
            </w:tcBorders>
            <w:vAlign w:val="center"/>
          </w:tcPr>
          <w:p>
            <w:pPr>
              <w:pStyle w:val="TableContents"/>
              <w:bidi w:val="0"/>
              <w:spacing w:before="0" w:after="283"/>
              <w:jc w:val="left"/>
              <w:rPr>
                <w:color w:val="636466"/>
              </w:rPr>
            </w:pPr>
            <w:r>
              <w:rPr>
                <w:color w:val="636466"/>
              </w:rPr>
              <w:t>     </w:t>
            </w:r>
          </w:p>
        </w:tc>
        <w:tc>
          <w:tcPr>
            <w:tcW w:w="1400" w:type="dxa"/>
            <w:tcBorders>
              <w:bottom w:val="single" w:sz="12" w:space="0" w:color="C12E33"/>
            </w:tcBorders>
            <w:vAlign w:val="center"/>
          </w:tcPr>
          <w:p>
            <w:pPr>
              <w:pStyle w:val="TableContents"/>
              <w:bidi w:val="0"/>
              <w:spacing w:before="0" w:after="283"/>
              <w:jc w:val="right"/>
              <w:rPr>
                <w:color w:val="636466"/>
              </w:rPr>
            </w:pPr>
            <w:r>
              <w:rPr>
                <w:b/>
                <w:color w:val="636466"/>
              </w:rPr>
              <w:t>Aggregate</w:t>
            </w:r>
            <w:r>
              <w:rPr>
                <w:color w:val="636466"/>
              </w:rPr>
              <w:br/>
            </w:r>
            <w:r>
              <w:rPr>
                <w:b/>
                <w:color w:val="636466"/>
              </w:rPr>
              <w:t>Withdrawals/</w:t>
            </w:r>
            <w:r>
              <w:rPr>
                <w:color w:val="636466"/>
              </w:rPr>
              <w:br/>
            </w:r>
            <w:r>
              <w:rPr>
                <w:b/>
                <w:color w:val="636466"/>
              </w:rPr>
              <w:t>Distributions ($)</w:t>
            </w:r>
          </w:p>
        </w:tc>
        <w:tc>
          <w:tcPr>
            <w:tcW w:w="300" w:type="dxa"/>
            <w:tcBorders>
              <w:bottom w:val="single" w:sz="12" w:space="0" w:color="C12E33"/>
            </w:tcBorders>
            <w:vAlign w:val="center"/>
          </w:tcPr>
          <w:p>
            <w:pPr>
              <w:pStyle w:val="TableContents"/>
              <w:bidi w:val="0"/>
              <w:spacing w:before="0" w:after="283"/>
              <w:jc w:val="left"/>
              <w:rPr>
                <w:color w:val="636466"/>
              </w:rPr>
            </w:pPr>
            <w:r>
              <w:rPr>
                <w:color w:val="636466"/>
              </w:rPr>
              <w:t>     </w:t>
            </w:r>
          </w:p>
        </w:tc>
        <w:tc>
          <w:tcPr>
            <w:tcW w:w="1100" w:type="dxa"/>
            <w:tcBorders>
              <w:bottom w:val="single" w:sz="12" w:space="0" w:color="C12E33"/>
            </w:tcBorders>
            <w:vAlign w:val="center"/>
          </w:tcPr>
          <w:p>
            <w:pPr>
              <w:pStyle w:val="TableContents"/>
              <w:bidi w:val="0"/>
              <w:spacing w:before="0" w:after="283"/>
              <w:jc w:val="right"/>
              <w:rPr>
                <w:color w:val="636466"/>
              </w:rPr>
            </w:pPr>
            <w:r>
              <w:rPr>
                <w:b/>
                <w:color w:val="636466"/>
              </w:rPr>
              <w:t>Aggregate</w:t>
            </w:r>
            <w:r>
              <w:rPr>
                <w:color w:val="636466"/>
              </w:rPr>
              <w:br/>
            </w:r>
            <w:r>
              <w:rPr>
                <w:b/>
                <w:color w:val="636466"/>
              </w:rPr>
              <w:t>Balance at</w:t>
            </w:r>
            <w:r>
              <w:rPr>
                <w:color w:val="636466"/>
              </w:rPr>
              <w:br/>
            </w:r>
            <w:r>
              <w:rPr>
                <w:b/>
                <w:color w:val="636466"/>
              </w:rPr>
              <w:t>Last FYE ($)</w:t>
            </w:r>
            <w:r>
              <w:rPr>
                <w:b/>
                <w:color w:val="636466"/>
                <w:position w:val="8"/>
                <w:sz w:val="19"/>
              </w:rPr>
              <w:t>(4)</w:t>
            </w:r>
          </w:p>
        </w:tc>
      </w:tr>
      <w:tr>
        <w:trPr/>
        <w:tc>
          <w:tcPr>
            <w:tcW w:w="860" w:type="dxa"/>
            <w:vMerge w:val="restart"/>
            <w:tcBorders>
              <w:bottom w:val="single" w:sz="2" w:space="0" w:color="000000"/>
            </w:tcBorders>
            <w:vAlign w:val="center"/>
          </w:tcPr>
          <w:p>
            <w:pPr>
              <w:pStyle w:val="TableContents"/>
              <w:bidi w:val="0"/>
              <w:spacing w:before="0" w:after="283"/>
              <w:jc w:val="left"/>
              <w:rPr>
                <w:b/>
              </w:rPr>
            </w:pPr>
            <w:r>
              <w:rPr>
                <w:b/>
              </w:rPr>
              <w:t>C. Calio</w:t>
            </w:r>
          </w:p>
        </w:tc>
        <w:tc>
          <w:tcPr>
            <w:tcW w:w="300" w:type="dxa"/>
            <w:tcBorders/>
            <w:tcMar>
              <w:bottom w:w="0" w:type="dxa"/>
            </w:tcMar>
            <w:vAlign w:val="center"/>
          </w:tcPr>
          <w:p>
            <w:pPr>
              <w:pStyle w:val="TableContents"/>
              <w:bidi w:val="0"/>
              <w:spacing w:before="0" w:after="283"/>
              <w:jc w:val="left"/>
              <w:rPr/>
            </w:pPr>
            <w:r>
              <w:rPr/>
              <w:t> </w:t>
            </w:r>
          </w:p>
        </w:tc>
        <w:tc>
          <w:tcPr>
            <w:tcW w:w="1400" w:type="dxa"/>
            <w:tcBorders>
              <w:bottom w:val="single" w:sz="2" w:space="0" w:color="000000"/>
            </w:tcBorders>
            <w:vAlign w:val="center"/>
          </w:tcPr>
          <w:p>
            <w:pPr>
              <w:pStyle w:val="TableContents"/>
              <w:bidi w:val="0"/>
              <w:spacing w:before="0" w:after="283"/>
              <w:jc w:val="left"/>
              <w:rPr/>
            </w:pPr>
            <w:r>
              <w:rPr/>
              <w:t>RTX Compensation Deferral Plan</w:t>
            </w:r>
          </w:p>
        </w:tc>
        <w:tc>
          <w:tcPr>
            <w:tcW w:w="300" w:type="dxa"/>
            <w:tcBorders>
              <w:bottom w:val="single" w:sz="2" w:space="0" w:color="000000"/>
            </w:tcBorders>
            <w:vAlign w:val="center"/>
          </w:tcPr>
          <w:p>
            <w:pPr>
              <w:pStyle w:val="TableContents"/>
              <w:bidi w:val="0"/>
              <w:spacing w:before="0" w:after="283"/>
              <w:jc w:val="left"/>
              <w:rPr/>
            </w:pPr>
            <w:r>
              <w:rPr/>
              <w:t> </w:t>
            </w:r>
          </w:p>
        </w:tc>
        <w:tc>
          <w:tcPr>
            <w:tcW w:w="1445" w:type="dxa"/>
            <w:tcBorders>
              <w:bottom w:val="single" w:sz="2" w:space="0" w:color="000000"/>
            </w:tcBorders>
            <w:vAlign w:val="center"/>
          </w:tcPr>
          <w:p>
            <w:pPr>
              <w:pStyle w:val="TableContents"/>
              <w:bidi w:val="0"/>
              <w:spacing w:before="0" w:after="283"/>
              <w:jc w:val="right"/>
              <w:rPr/>
            </w:pPr>
            <w:r>
              <w:rPr/>
              <w:t>$238,975</w:t>
            </w:r>
          </w:p>
        </w:tc>
        <w:tc>
          <w:tcPr>
            <w:tcW w:w="300" w:type="dxa"/>
            <w:tcBorders>
              <w:bottom w:val="single" w:sz="2" w:space="0" w:color="000000"/>
            </w:tcBorders>
            <w:vAlign w:val="center"/>
          </w:tcPr>
          <w:p>
            <w:pPr>
              <w:pStyle w:val="TableContents"/>
              <w:bidi w:val="0"/>
              <w:spacing w:before="0" w:after="283"/>
              <w:jc w:val="right"/>
              <w:rPr/>
            </w:pPr>
            <w:r>
              <w:rPr/>
              <w:t> </w:t>
            </w:r>
          </w:p>
        </w:tc>
        <w:tc>
          <w:tcPr>
            <w:tcW w:w="1445" w:type="dxa"/>
            <w:tcBorders>
              <w:bottom w:val="single" w:sz="2" w:space="0" w:color="000000"/>
            </w:tcBorders>
            <w:vAlign w:val="center"/>
          </w:tcPr>
          <w:p>
            <w:pPr>
              <w:pStyle w:val="TableContents"/>
              <w:bidi w:val="0"/>
              <w:spacing w:before="0" w:after="283"/>
              <w:jc w:val="right"/>
              <w:rPr/>
            </w:pPr>
            <w:r>
              <w:rPr/>
              <w:t>$434,767</w:t>
            </w:r>
          </w:p>
        </w:tc>
        <w:tc>
          <w:tcPr>
            <w:tcW w:w="300" w:type="dxa"/>
            <w:tcBorders>
              <w:bottom w:val="single" w:sz="2" w:space="0" w:color="000000"/>
            </w:tcBorders>
            <w:vAlign w:val="center"/>
          </w:tcPr>
          <w:p>
            <w:pPr>
              <w:pStyle w:val="TableContents"/>
              <w:bidi w:val="0"/>
              <w:spacing w:before="0" w:after="283"/>
              <w:jc w:val="right"/>
              <w:rPr/>
            </w:pPr>
            <w:r>
              <w:rPr/>
              <w:t> </w:t>
            </w:r>
          </w:p>
        </w:tc>
        <w:tc>
          <w:tcPr>
            <w:tcW w:w="1070" w:type="dxa"/>
            <w:tcBorders>
              <w:bottom w:val="single" w:sz="2" w:space="0" w:color="000000"/>
            </w:tcBorders>
            <w:vAlign w:val="center"/>
          </w:tcPr>
          <w:p>
            <w:pPr>
              <w:pStyle w:val="TableContents"/>
              <w:bidi w:val="0"/>
              <w:spacing w:before="0" w:after="283"/>
              <w:jc w:val="right"/>
              <w:rPr/>
            </w:pPr>
            <w:r>
              <w:rPr/>
              <w:t>$177,195</w:t>
            </w:r>
          </w:p>
        </w:tc>
        <w:tc>
          <w:tcPr>
            <w:tcW w:w="300" w:type="dxa"/>
            <w:tcBorders>
              <w:bottom w:val="single" w:sz="2" w:space="0" w:color="000000"/>
            </w:tcBorders>
            <w:vAlign w:val="center"/>
          </w:tcPr>
          <w:p>
            <w:pPr>
              <w:pStyle w:val="TableContents"/>
              <w:bidi w:val="0"/>
              <w:spacing w:before="0" w:after="283"/>
              <w:jc w:val="right"/>
              <w:rPr/>
            </w:pPr>
            <w:r>
              <w:rPr/>
              <w:t> </w:t>
            </w:r>
          </w:p>
        </w:tc>
        <w:tc>
          <w:tcPr>
            <w:tcW w:w="1400" w:type="dxa"/>
            <w:tcBorders>
              <w:bottom w:val="single" w:sz="2" w:space="0" w:color="000000"/>
            </w:tcBorders>
            <w:vAlign w:val="center"/>
          </w:tcPr>
          <w:p>
            <w:pPr>
              <w:pStyle w:val="TableContents"/>
              <w:bidi w:val="0"/>
              <w:spacing w:before="0" w:after="283"/>
              <w:jc w:val="right"/>
              <w:rPr/>
            </w:pPr>
            <w:r>
              <w:rPr/>
              <w:t>$0</w:t>
            </w:r>
          </w:p>
        </w:tc>
        <w:tc>
          <w:tcPr>
            <w:tcW w:w="300" w:type="dxa"/>
            <w:tcBorders>
              <w:bottom w:val="single" w:sz="2" w:space="0" w:color="000000"/>
            </w:tcBorders>
            <w:vAlign w:val="center"/>
          </w:tcPr>
          <w:p>
            <w:pPr>
              <w:pStyle w:val="TableContents"/>
              <w:bidi w:val="0"/>
              <w:spacing w:before="0" w:after="283"/>
              <w:jc w:val="right"/>
              <w:rPr/>
            </w:pPr>
            <w:r>
              <w:rPr/>
              <w:t> </w:t>
            </w:r>
          </w:p>
        </w:tc>
        <w:tc>
          <w:tcPr>
            <w:tcW w:w="1100" w:type="dxa"/>
            <w:tcBorders>
              <w:bottom w:val="single" w:sz="2" w:space="0" w:color="000000"/>
            </w:tcBorders>
            <w:vAlign w:val="center"/>
          </w:tcPr>
          <w:p>
            <w:pPr>
              <w:pStyle w:val="TableContents"/>
              <w:bidi w:val="0"/>
              <w:spacing w:before="0" w:after="283"/>
              <w:jc w:val="right"/>
              <w:rPr/>
            </w:pPr>
            <w:r>
              <w:rPr/>
              <w:t>$1,735,536</w:t>
            </w:r>
          </w:p>
        </w:tc>
      </w:tr>
      <w:tr>
        <w:trPr/>
        <w:tc>
          <w:tcPr>
            <w:tcW w:w="860" w:type="dxa"/>
            <w:vMerge w:val="continue"/>
            <w:tcBorders>
              <w:bottom w:val="single" w:sz="2" w:space="0" w:color="000000"/>
            </w:tcBorders>
            <w:vAlign w:val="center"/>
          </w:tcPr>
          <w:p>
            <w:pPr>
              <w:pStyle w:val="Normal"/>
              <w:bidi w:val="0"/>
              <w:jc w:val="left"/>
              <w:rPr/>
            </w:pPr>
            <w:r>
              <w:rPr/>
            </w:r>
          </w:p>
        </w:tc>
        <w:tc>
          <w:tcPr>
            <w:tcW w:w="300" w:type="dxa"/>
            <w:tcBorders/>
            <w:tcMar>
              <w:bottom w:w="0" w:type="dxa"/>
            </w:tcMar>
            <w:vAlign w:val="center"/>
          </w:tcPr>
          <w:p>
            <w:pPr>
              <w:pStyle w:val="TableContents"/>
              <w:bidi w:val="0"/>
              <w:spacing w:before="0" w:after="283"/>
              <w:jc w:val="left"/>
              <w:rPr/>
            </w:pPr>
            <w:r>
              <w:rPr/>
              <w:t> </w:t>
            </w:r>
          </w:p>
        </w:tc>
        <w:tc>
          <w:tcPr>
            <w:tcW w:w="1400" w:type="dxa"/>
            <w:tcBorders>
              <w:bottom w:val="single" w:sz="2" w:space="0" w:color="000000"/>
            </w:tcBorders>
            <w:vAlign w:val="center"/>
          </w:tcPr>
          <w:p>
            <w:pPr>
              <w:pStyle w:val="TableContents"/>
              <w:bidi w:val="0"/>
              <w:spacing w:before="0" w:after="283"/>
              <w:jc w:val="left"/>
              <w:rPr/>
            </w:pPr>
            <w:r>
              <w:rPr/>
              <w:t>UTC Company Automatic Contribution Excess Plan</w:t>
            </w:r>
          </w:p>
        </w:tc>
        <w:tc>
          <w:tcPr>
            <w:tcW w:w="300" w:type="dxa"/>
            <w:tcBorders>
              <w:bottom w:val="single" w:sz="2" w:space="0" w:color="000000"/>
            </w:tcBorders>
            <w:vAlign w:val="center"/>
          </w:tcPr>
          <w:p>
            <w:pPr>
              <w:pStyle w:val="TableContents"/>
              <w:bidi w:val="0"/>
              <w:spacing w:before="0" w:after="283"/>
              <w:jc w:val="left"/>
              <w:rPr/>
            </w:pPr>
            <w:r>
              <w:rPr/>
              <w:t> </w:t>
            </w:r>
          </w:p>
        </w:tc>
        <w:tc>
          <w:tcPr>
            <w:tcW w:w="1445" w:type="dxa"/>
            <w:tcBorders>
              <w:bottom w:val="single" w:sz="2" w:space="0" w:color="000000"/>
            </w:tcBorders>
            <w:vAlign w:val="center"/>
          </w:tcPr>
          <w:p>
            <w:pPr>
              <w:pStyle w:val="TableContents"/>
              <w:bidi w:val="0"/>
              <w:spacing w:before="0" w:after="283"/>
              <w:jc w:val="right"/>
              <w:rPr/>
            </w:pPr>
            <w:r>
              <w:rPr/>
              <w:t>$0</w:t>
            </w:r>
          </w:p>
        </w:tc>
        <w:tc>
          <w:tcPr>
            <w:tcW w:w="300" w:type="dxa"/>
            <w:tcBorders>
              <w:bottom w:val="single" w:sz="2" w:space="0" w:color="000000"/>
            </w:tcBorders>
            <w:vAlign w:val="center"/>
          </w:tcPr>
          <w:p>
            <w:pPr>
              <w:pStyle w:val="TableContents"/>
              <w:bidi w:val="0"/>
              <w:spacing w:before="0" w:after="283"/>
              <w:jc w:val="right"/>
              <w:rPr/>
            </w:pPr>
            <w:r>
              <w:rPr/>
              <w:t> </w:t>
            </w:r>
          </w:p>
        </w:tc>
        <w:tc>
          <w:tcPr>
            <w:tcW w:w="1445" w:type="dxa"/>
            <w:tcBorders>
              <w:bottom w:val="single" w:sz="2" w:space="0" w:color="000000"/>
            </w:tcBorders>
            <w:vAlign w:val="center"/>
          </w:tcPr>
          <w:p>
            <w:pPr>
              <w:pStyle w:val="TableContents"/>
              <w:bidi w:val="0"/>
              <w:spacing w:before="0" w:after="283"/>
              <w:jc w:val="right"/>
              <w:rPr/>
            </w:pPr>
            <w:r>
              <w:rPr/>
              <w:t>$0</w:t>
            </w:r>
          </w:p>
        </w:tc>
        <w:tc>
          <w:tcPr>
            <w:tcW w:w="300" w:type="dxa"/>
            <w:tcBorders>
              <w:bottom w:val="single" w:sz="2" w:space="0" w:color="000000"/>
            </w:tcBorders>
            <w:vAlign w:val="center"/>
          </w:tcPr>
          <w:p>
            <w:pPr>
              <w:pStyle w:val="TableContents"/>
              <w:bidi w:val="0"/>
              <w:spacing w:before="0" w:after="283"/>
              <w:jc w:val="right"/>
              <w:rPr/>
            </w:pPr>
            <w:r>
              <w:rPr/>
              <w:t> </w:t>
            </w:r>
          </w:p>
        </w:tc>
        <w:tc>
          <w:tcPr>
            <w:tcW w:w="1070" w:type="dxa"/>
            <w:tcBorders>
              <w:bottom w:val="single" w:sz="2" w:space="0" w:color="000000"/>
            </w:tcBorders>
            <w:vAlign w:val="center"/>
          </w:tcPr>
          <w:p>
            <w:pPr>
              <w:pStyle w:val="TableContents"/>
              <w:bidi w:val="0"/>
              <w:spacing w:before="0" w:after="283"/>
              <w:jc w:val="right"/>
              <w:rPr/>
            </w:pPr>
            <w:r>
              <w:rPr/>
              <w:t>$15,064</w:t>
            </w:r>
          </w:p>
        </w:tc>
        <w:tc>
          <w:tcPr>
            <w:tcW w:w="300" w:type="dxa"/>
            <w:tcBorders>
              <w:bottom w:val="single" w:sz="2" w:space="0" w:color="000000"/>
            </w:tcBorders>
            <w:vAlign w:val="center"/>
          </w:tcPr>
          <w:p>
            <w:pPr>
              <w:pStyle w:val="TableContents"/>
              <w:bidi w:val="0"/>
              <w:spacing w:before="0" w:after="283"/>
              <w:jc w:val="right"/>
              <w:rPr/>
            </w:pPr>
            <w:r>
              <w:rPr/>
              <w:t> </w:t>
            </w:r>
          </w:p>
        </w:tc>
        <w:tc>
          <w:tcPr>
            <w:tcW w:w="1400" w:type="dxa"/>
            <w:tcBorders>
              <w:bottom w:val="single" w:sz="2" w:space="0" w:color="000000"/>
            </w:tcBorders>
            <w:vAlign w:val="center"/>
          </w:tcPr>
          <w:p>
            <w:pPr>
              <w:pStyle w:val="TableContents"/>
              <w:bidi w:val="0"/>
              <w:spacing w:before="0" w:after="283"/>
              <w:jc w:val="right"/>
              <w:rPr/>
            </w:pPr>
            <w:r>
              <w:rPr/>
              <w:t>$0</w:t>
            </w:r>
          </w:p>
        </w:tc>
        <w:tc>
          <w:tcPr>
            <w:tcW w:w="300" w:type="dxa"/>
            <w:tcBorders>
              <w:bottom w:val="single" w:sz="2" w:space="0" w:color="000000"/>
            </w:tcBorders>
            <w:vAlign w:val="center"/>
          </w:tcPr>
          <w:p>
            <w:pPr>
              <w:pStyle w:val="TableContents"/>
              <w:bidi w:val="0"/>
              <w:spacing w:before="0" w:after="283"/>
              <w:jc w:val="right"/>
              <w:rPr/>
            </w:pPr>
            <w:r>
              <w:rPr/>
              <w:t> </w:t>
            </w:r>
          </w:p>
        </w:tc>
        <w:tc>
          <w:tcPr>
            <w:tcW w:w="1100" w:type="dxa"/>
            <w:tcBorders>
              <w:bottom w:val="single" w:sz="2" w:space="0" w:color="000000"/>
            </w:tcBorders>
            <w:vAlign w:val="center"/>
          </w:tcPr>
          <w:p>
            <w:pPr>
              <w:pStyle w:val="TableContents"/>
              <w:bidi w:val="0"/>
              <w:spacing w:before="0" w:after="283"/>
              <w:jc w:val="right"/>
              <w:rPr/>
            </w:pPr>
            <w:r>
              <w:rPr/>
              <w:t>$339,883</w:t>
            </w:r>
          </w:p>
        </w:tc>
      </w:tr>
      <w:tr>
        <w:trPr/>
        <w:tc>
          <w:tcPr>
            <w:tcW w:w="860" w:type="dxa"/>
            <w:vMerge w:val="continue"/>
            <w:tcBorders>
              <w:bottom w:val="single" w:sz="2" w:space="0" w:color="000000"/>
            </w:tcBorders>
            <w:vAlign w:val="center"/>
          </w:tcPr>
          <w:p>
            <w:pPr>
              <w:pStyle w:val="Normal"/>
              <w:bidi w:val="0"/>
              <w:jc w:val="left"/>
              <w:rPr/>
            </w:pPr>
            <w:r>
              <w:rPr/>
            </w:r>
          </w:p>
        </w:tc>
        <w:tc>
          <w:tcPr>
            <w:tcW w:w="300" w:type="dxa"/>
            <w:tcBorders>
              <w:bottom w:val="single" w:sz="2" w:space="0" w:color="000000"/>
            </w:tcBorders>
            <w:vAlign w:val="center"/>
          </w:tcPr>
          <w:p>
            <w:pPr>
              <w:pStyle w:val="TableContents"/>
              <w:bidi w:val="0"/>
              <w:spacing w:before="0" w:after="283"/>
              <w:jc w:val="left"/>
              <w:rPr/>
            </w:pPr>
            <w:r>
              <w:rPr/>
              <w:t> </w:t>
            </w:r>
          </w:p>
        </w:tc>
        <w:tc>
          <w:tcPr>
            <w:tcW w:w="1400" w:type="dxa"/>
            <w:tcBorders>
              <w:bottom w:val="single" w:sz="2" w:space="0" w:color="000000"/>
            </w:tcBorders>
            <w:vAlign w:val="center"/>
          </w:tcPr>
          <w:p>
            <w:pPr>
              <w:pStyle w:val="TableContents"/>
              <w:bidi w:val="0"/>
              <w:spacing w:before="0" w:after="283"/>
              <w:jc w:val="left"/>
              <w:rPr/>
            </w:pPr>
            <w:r>
              <w:rPr/>
              <w:t>UTC Savings Restoration Plan</w:t>
            </w:r>
          </w:p>
        </w:tc>
        <w:tc>
          <w:tcPr>
            <w:tcW w:w="300" w:type="dxa"/>
            <w:tcBorders>
              <w:bottom w:val="single" w:sz="2" w:space="0" w:color="000000"/>
            </w:tcBorders>
            <w:vAlign w:val="center"/>
          </w:tcPr>
          <w:p>
            <w:pPr>
              <w:pStyle w:val="TableContents"/>
              <w:bidi w:val="0"/>
              <w:spacing w:before="0" w:after="283"/>
              <w:jc w:val="left"/>
              <w:rPr/>
            </w:pPr>
            <w:r>
              <w:rPr/>
              <w:t> </w:t>
            </w:r>
          </w:p>
        </w:tc>
        <w:tc>
          <w:tcPr>
            <w:tcW w:w="1445" w:type="dxa"/>
            <w:tcBorders>
              <w:bottom w:val="single" w:sz="2" w:space="0" w:color="000000"/>
            </w:tcBorders>
            <w:vAlign w:val="center"/>
          </w:tcPr>
          <w:p>
            <w:pPr>
              <w:pStyle w:val="TableContents"/>
              <w:bidi w:val="0"/>
              <w:spacing w:before="0" w:after="283"/>
              <w:jc w:val="right"/>
              <w:rPr/>
            </w:pPr>
            <w:r>
              <w:rPr/>
              <w:t>$0</w:t>
            </w:r>
          </w:p>
        </w:tc>
        <w:tc>
          <w:tcPr>
            <w:tcW w:w="300" w:type="dxa"/>
            <w:tcBorders>
              <w:bottom w:val="single" w:sz="2" w:space="0" w:color="000000"/>
            </w:tcBorders>
            <w:vAlign w:val="center"/>
          </w:tcPr>
          <w:p>
            <w:pPr>
              <w:pStyle w:val="TableContents"/>
              <w:bidi w:val="0"/>
              <w:spacing w:before="0" w:after="283"/>
              <w:jc w:val="left"/>
              <w:rPr/>
            </w:pPr>
            <w:r>
              <w:rPr/>
              <w:t> </w:t>
            </w:r>
          </w:p>
        </w:tc>
        <w:tc>
          <w:tcPr>
            <w:tcW w:w="1445" w:type="dxa"/>
            <w:tcBorders>
              <w:bottom w:val="single" w:sz="2" w:space="0" w:color="000000"/>
            </w:tcBorders>
            <w:vAlign w:val="center"/>
          </w:tcPr>
          <w:p>
            <w:pPr>
              <w:pStyle w:val="TableContents"/>
              <w:bidi w:val="0"/>
              <w:spacing w:before="0" w:after="283"/>
              <w:jc w:val="right"/>
              <w:rPr/>
            </w:pPr>
            <w:r>
              <w:rPr/>
              <w:t>$0</w:t>
            </w:r>
          </w:p>
        </w:tc>
        <w:tc>
          <w:tcPr>
            <w:tcW w:w="300" w:type="dxa"/>
            <w:tcBorders>
              <w:bottom w:val="single" w:sz="2" w:space="0" w:color="000000"/>
            </w:tcBorders>
            <w:vAlign w:val="center"/>
          </w:tcPr>
          <w:p>
            <w:pPr>
              <w:pStyle w:val="TableContents"/>
              <w:bidi w:val="0"/>
              <w:spacing w:before="0" w:after="283"/>
              <w:jc w:val="left"/>
              <w:rPr/>
            </w:pPr>
            <w:r>
              <w:rPr/>
              <w:t> </w:t>
            </w:r>
          </w:p>
        </w:tc>
        <w:tc>
          <w:tcPr>
            <w:tcW w:w="1070" w:type="dxa"/>
            <w:tcBorders>
              <w:bottom w:val="single" w:sz="2" w:space="0" w:color="000000"/>
            </w:tcBorders>
            <w:vAlign w:val="center"/>
          </w:tcPr>
          <w:p>
            <w:pPr>
              <w:pStyle w:val="TableContents"/>
              <w:bidi w:val="0"/>
              <w:spacing w:before="0" w:after="283"/>
              <w:jc w:val="right"/>
              <w:rPr/>
            </w:pPr>
            <w:r>
              <w:rPr/>
              <w:t>$256,478</w:t>
            </w:r>
          </w:p>
        </w:tc>
        <w:tc>
          <w:tcPr>
            <w:tcW w:w="300" w:type="dxa"/>
            <w:tcBorders>
              <w:bottom w:val="single" w:sz="2" w:space="0" w:color="000000"/>
            </w:tcBorders>
            <w:vAlign w:val="center"/>
          </w:tcPr>
          <w:p>
            <w:pPr>
              <w:pStyle w:val="TableContents"/>
              <w:bidi w:val="0"/>
              <w:spacing w:before="0" w:after="283"/>
              <w:jc w:val="left"/>
              <w:rPr/>
            </w:pPr>
            <w:r>
              <w:rPr/>
              <w:t> </w:t>
            </w:r>
          </w:p>
        </w:tc>
        <w:tc>
          <w:tcPr>
            <w:tcW w:w="1400" w:type="dxa"/>
            <w:tcBorders>
              <w:bottom w:val="single" w:sz="2" w:space="0" w:color="000000"/>
            </w:tcBorders>
            <w:vAlign w:val="center"/>
          </w:tcPr>
          <w:p>
            <w:pPr>
              <w:pStyle w:val="TableContents"/>
              <w:bidi w:val="0"/>
              <w:spacing w:before="0" w:after="283"/>
              <w:jc w:val="right"/>
              <w:rPr/>
            </w:pPr>
            <w:r>
              <w:rPr/>
              <w:t>$0</w:t>
            </w:r>
          </w:p>
        </w:tc>
        <w:tc>
          <w:tcPr>
            <w:tcW w:w="300" w:type="dxa"/>
            <w:tcBorders>
              <w:bottom w:val="single" w:sz="2" w:space="0" w:color="000000"/>
            </w:tcBorders>
            <w:vAlign w:val="center"/>
          </w:tcPr>
          <w:p>
            <w:pPr>
              <w:pStyle w:val="TableContents"/>
              <w:bidi w:val="0"/>
              <w:spacing w:before="0" w:after="283"/>
              <w:jc w:val="left"/>
              <w:rPr/>
            </w:pPr>
            <w:r>
              <w:rPr/>
              <w:t> </w:t>
            </w:r>
          </w:p>
        </w:tc>
        <w:tc>
          <w:tcPr>
            <w:tcW w:w="1100" w:type="dxa"/>
            <w:tcBorders>
              <w:bottom w:val="single" w:sz="2" w:space="0" w:color="000000"/>
            </w:tcBorders>
            <w:vAlign w:val="center"/>
          </w:tcPr>
          <w:p>
            <w:pPr>
              <w:pStyle w:val="TableContents"/>
              <w:bidi w:val="0"/>
              <w:spacing w:before="0" w:after="283"/>
              <w:jc w:val="right"/>
              <w:rPr/>
            </w:pPr>
            <w:r>
              <w:rPr/>
              <w:t>$962,445</w:t>
            </w:r>
          </w:p>
        </w:tc>
      </w:tr>
      <w:tr>
        <w:trPr/>
        <w:tc>
          <w:tcPr>
            <w:tcW w:w="860" w:type="dxa"/>
            <w:vMerge w:val="restart"/>
            <w:tcBorders>
              <w:bottom w:val="single" w:sz="2" w:space="0" w:color="000000"/>
            </w:tcBorders>
            <w:vAlign w:val="center"/>
          </w:tcPr>
          <w:p>
            <w:pPr>
              <w:pStyle w:val="TableContents"/>
              <w:bidi w:val="0"/>
              <w:spacing w:before="0" w:after="283"/>
              <w:jc w:val="left"/>
              <w:rPr>
                <w:b/>
              </w:rPr>
            </w:pPr>
            <w:r>
              <w:rPr>
                <w:b/>
              </w:rPr>
              <w:t>N. Mitchill, Jr.</w:t>
            </w:r>
          </w:p>
        </w:tc>
        <w:tc>
          <w:tcPr>
            <w:tcW w:w="300" w:type="dxa"/>
            <w:tcBorders/>
            <w:tcMar>
              <w:bottom w:w="0" w:type="dxa"/>
            </w:tcMar>
            <w:vAlign w:val="center"/>
          </w:tcPr>
          <w:p>
            <w:pPr>
              <w:pStyle w:val="TableContents"/>
              <w:bidi w:val="0"/>
              <w:spacing w:before="0" w:after="283"/>
              <w:jc w:val="left"/>
              <w:rPr/>
            </w:pPr>
            <w:r>
              <w:rPr/>
              <w:t> </w:t>
            </w:r>
          </w:p>
        </w:tc>
        <w:tc>
          <w:tcPr>
            <w:tcW w:w="1400" w:type="dxa"/>
            <w:tcBorders>
              <w:bottom w:val="single" w:sz="2" w:space="0" w:color="000000"/>
            </w:tcBorders>
            <w:vAlign w:val="center"/>
          </w:tcPr>
          <w:p>
            <w:pPr>
              <w:pStyle w:val="TableContents"/>
              <w:bidi w:val="0"/>
              <w:spacing w:before="0" w:after="283"/>
              <w:jc w:val="left"/>
              <w:rPr/>
            </w:pPr>
            <w:r>
              <w:rPr/>
              <w:t>RTX Compensation Deferral Plan</w:t>
            </w:r>
          </w:p>
        </w:tc>
        <w:tc>
          <w:tcPr>
            <w:tcW w:w="300" w:type="dxa"/>
            <w:tcBorders>
              <w:bottom w:val="single" w:sz="2" w:space="0" w:color="000000"/>
            </w:tcBorders>
            <w:vAlign w:val="center"/>
          </w:tcPr>
          <w:p>
            <w:pPr>
              <w:pStyle w:val="TableContents"/>
              <w:bidi w:val="0"/>
              <w:spacing w:before="0" w:after="283"/>
              <w:jc w:val="left"/>
              <w:rPr/>
            </w:pPr>
            <w:r>
              <w:rPr/>
              <w:t> </w:t>
            </w:r>
          </w:p>
        </w:tc>
        <w:tc>
          <w:tcPr>
            <w:tcW w:w="1445" w:type="dxa"/>
            <w:tcBorders>
              <w:bottom w:val="single" w:sz="2" w:space="0" w:color="000000"/>
            </w:tcBorders>
            <w:vAlign w:val="center"/>
          </w:tcPr>
          <w:p>
            <w:pPr>
              <w:pStyle w:val="TableContents"/>
              <w:bidi w:val="0"/>
              <w:spacing w:before="0" w:after="283"/>
              <w:jc w:val="right"/>
              <w:rPr/>
            </w:pPr>
            <w:r>
              <w:rPr/>
              <w:t>$142,125</w:t>
            </w:r>
          </w:p>
        </w:tc>
        <w:tc>
          <w:tcPr>
            <w:tcW w:w="300" w:type="dxa"/>
            <w:tcBorders>
              <w:bottom w:val="single" w:sz="2" w:space="0" w:color="000000"/>
            </w:tcBorders>
            <w:vAlign w:val="center"/>
          </w:tcPr>
          <w:p>
            <w:pPr>
              <w:pStyle w:val="TableContents"/>
              <w:bidi w:val="0"/>
              <w:spacing w:before="0" w:after="283"/>
              <w:jc w:val="right"/>
              <w:rPr/>
            </w:pPr>
            <w:r>
              <w:rPr/>
              <w:t> </w:t>
            </w:r>
          </w:p>
        </w:tc>
        <w:tc>
          <w:tcPr>
            <w:tcW w:w="1445" w:type="dxa"/>
            <w:tcBorders>
              <w:bottom w:val="single" w:sz="2" w:space="0" w:color="000000"/>
            </w:tcBorders>
            <w:vAlign w:val="center"/>
          </w:tcPr>
          <w:p>
            <w:pPr>
              <w:pStyle w:val="TableContents"/>
              <w:bidi w:val="0"/>
              <w:spacing w:before="0" w:after="283"/>
              <w:jc w:val="right"/>
              <w:rPr/>
            </w:pPr>
            <w:r>
              <w:rPr/>
              <w:t>$223,750</w:t>
            </w:r>
          </w:p>
        </w:tc>
        <w:tc>
          <w:tcPr>
            <w:tcW w:w="300" w:type="dxa"/>
            <w:tcBorders>
              <w:bottom w:val="single" w:sz="2" w:space="0" w:color="000000"/>
            </w:tcBorders>
            <w:vAlign w:val="center"/>
          </w:tcPr>
          <w:p>
            <w:pPr>
              <w:pStyle w:val="TableContents"/>
              <w:bidi w:val="0"/>
              <w:spacing w:before="0" w:after="283"/>
              <w:jc w:val="right"/>
              <w:rPr/>
            </w:pPr>
            <w:r>
              <w:rPr/>
              <w:t> </w:t>
            </w:r>
          </w:p>
        </w:tc>
        <w:tc>
          <w:tcPr>
            <w:tcW w:w="1070" w:type="dxa"/>
            <w:tcBorders>
              <w:bottom w:val="single" w:sz="2" w:space="0" w:color="000000"/>
            </w:tcBorders>
            <w:vAlign w:val="center"/>
          </w:tcPr>
          <w:p>
            <w:pPr>
              <w:pStyle w:val="TableContents"/>
              <w:bidi w:val="0"/>
              <w:spacing w:before="0" w:after="283"/>
              <w:jc w:val="right"/>
              <w:rPr/>
            </w:pPr>
            <w:r>
              <w:rPr/>
              <w:t>$175,397</w:t>
            </w:r>
          </w:p>
        </w:tc>
        <w:tc>
          <w:tcPr>
            <w:tcW w:w="300" w:type="dxa"/>
            <w:tcBorders>
              <w:bottom w:val="single" w:sz="2" w:space="0" w:color="000000"/>
            </w:tcBorders>
            <w:vAlign w:val="center"/>
          </w:tcPr>
          <w:p>
            <w:pPr>
              <w:pStyle w:val="TableContents"/>
              <w:bidi w:val="0"/>
              <w:spacing w:before="0" w:after="283"/>
              <w:jc w:val="right"/>
              <w:rPr/>
            </w:pPr>
            <w:r>
              <w:rPr/>
              <w:t> </w:t>
            </w:r>
          </w:p>
        </w:tc>
        <w:tc>
          <w:tcPr>
            <w:tcW w:w="1400" w:type="dxa"/>
            <w:tcBorders>
              <w:bottom w:val="single" w:sz="2" w:space="0" w:color="000000"/>
            </w:tcBorders>
            <w:vAlign w:val="center"/>
          </w:tcPr>
          <w:p>
            <w:pPr>
              <w:pStyle w:val="TableContents"/>
              <w:bidi w:val="0"/>
              <w:spacing w:before="0" w:after="283"/>
              <w:jc w:val="right"/>
              <w:rPr/>
            </w:pPr>
            <w:r>
              <w:rPr/>
              <w:t>$0</w:t>
            </w:r>
          </w:p>
        </w:tc>
        <w:tc>
          <w:tcPr>
            <w:tcW w:w="300" w:type="dxa"/>
            <w:tcBorders>
              <w:bottom w:val="single" w:sz="2" w:space="0" w:color="000000"/>
            </w:tcBorders>
            <w:vAlign w:val="center"/>
          </w:tcPr>
          <w:p>
            <w:pPr>
              <w:pStyle w:val="TableContents"/>
              <w:bidi w:val="0"/>
              <w:spacing w:before="0" w:after="283"/>
              <w:jc w:val="right"/>
              <w:rPr/>
            </w:pPr>
            <w:r>
              <w:rPr/>
              <w:t> </w:t>
            </w:r>
          </w:p>
        </w:tc>
        <w:tc>
          <w:tcPr>
            <w:tcW w:w="1100" w:type="dxa"/>
            <w:tcBorders>
              <w:bottom w:val="single" w:sz="2" w:space="0" w:color="000000"/>
            </w:tcBorders>
            <w:vAlign w:val="center"/>
          </w:tcPr>
          <w:p>
            <w:pPr>
              <w:pStyle w:val="TableContents"/>
              <w:bidi w:val="0"/>
              <w:spacing w:before="0" w:after="283"/>
              <w:jc w:val="right"/>
              <w:rPr/>
            </w:pPr>
            <w:r>
              <w:rPr/>
              <w:t>$1,207,736</w:t>
            </w:r>
          </w:p>
        </w:tc>
      </w:tr>
      <w:tr>
        <w:trPr/>
        <w:tc>
          <w:tcPr>
            <w:tcW w:w="860" w:type="dxa"/>
            <w:vMerge w:val="continue"/>
            <w:tcBorders>
              <w:bottom w:val="single" w:sz="2" w:space="0" w:color="000000"/>
            </w:tcBorders>
            <w:vAlign w:val="center"/>
          </w:tcPr>
          <w:p>
            <w:pPr>
              <w:pStyle w:val="Normal"/>
              <w:bidi w:val="0"/>
              <w:jc w:val="left"/>
              <w:rPr/>
            </w:pPr>
            <w:r>
              <w:rPr/>
            </w:r>
          </w:p>
        </w:tc>
        <w:tc>
          <w:tcPr>
            <w:tcW w:w="300" w:type="dxa"/>
            <w:tcBorders/>
            <w:tcMar>
              <w:bottom w:w="0" w:type="dxa"/>
            </w:tcMar>
            <w:vAlign w:val="center"/>
          </w:tcPr>
          <w:p>
            <w:pPr>
              <w:pStyle w:val="TableContents"/>
              <w:bidi w:val="0"/>
              <w:spacing w:before="0" w:after="283"/>
              <w:jc w:val="left"/>
              <w:rPr/>
            </w:pPr>
            <w:r>
              <w:rPr/>
              <w:t> </w:t>
            </w:r>
          </w:p>
        </w:tc>
        <w:tc>
          <w:tcPr>
            <w:tcW w:w="1400" w:type="dxa"/>
            <w:tcBorders>
              <w:bottom w:val="single" w:sz="2" w:space="0" w:color="000000"/>
            </w:tcBorders>
            <w:vAlign w:val="center"/>
          </w:tcPr>
          <w:p>
            <w:pPr>
              <w:pStyle w:val="TableContents"/>
              <w:bidi w:val="0"/>
              <w:spacing w:before="0" w:after="283"/>
              <w:jc w:val="left"/>
              <w:rPr/>
            </w:pPr>
            <w:r>
              <w:rPr/>
              <w:t>UTC Company Automatic Contribution Excess Plan</w:t>
            </w:r>
          </w:p>
        </w:tc>
        <w:tc>
          <w:tcPr>
            <w:tcW w:w="300" w:type="dxa"/>
            <w:tcBorders>
              <w:bottom w:val="single" w:sz="2" w:space="0" w:color="000000"/>
            </w:tcBorders>
            <w:vAlign w:val="center"/>
          </w:tcPr>
          <w:p>
            <w:pPr>
              <w:pStyle w:val="TableContents"/>
              <w:bidi w:val="0"/>
              <w:spacing w:before="0" w:after="283"/>
              <w:jc w:val="left"/>
              <w:rPr/>
            </w:pPr>
            <w:r>
              <w:rPr/>
              <w:t> </w:t>
            </w:r>
          </w:p>
        </w:tc>
        <w:tc>
          <w:tcPr>
            <w:tcW w:w="1445" w:type="dxa"/>
            <w:tcBorders>
              <w:bottom w:val="single" w:sz="2" w:space="0" w:color="000000"/>
            </w:tcBorders>
            <w:vAlign w:val="center"/>
          </w:tcPr>
          <w:p>
            <w:pPr>
              <w:pStyle w:val="TableContents"/>
              <w:bidi w:val="0"/>
              <w:spacing w:before="0" w:after="283"/>
              <w:jc w:val="right"/>
              <w:rPr/>
            </w:pPr>
            <w:r>
              <w:rPr/>
              <w:t>$0</w:t>
            </w:r>
          </w:p>
        </w:tc>
        <w:tc>
          <w:tcPr>
            <w:tcW w:w="300" w:type="dxa"/>
            <w:tcBorders>
              <w:bottom w:val="single" w:sz="2" w:space="0" w:color="000000"/>
            </w:tcBorders>
            <w:vAlign w:val="center"/>
          </w:tcPr>
          <w:p>
            <w:pPr>
              <w:pStyle w:val="TableContents"/>
              <w:bidi w:val="0"/>
              <w:spacing w:before="0" w:after="283"/>
              <w:jc w:val="right"/>
              <w:rPr/>
            </w:pPr>
            <w:r>
              <w:rPr/>
              <w:t> </w:t>
            </w:r>
          </w:p>
        </w:tc>
        <w:tc>
          <w:tcPr>
            <w:tcW w:w="1445" w:type="dxa"/>
            <w:tcBorders>
              <w:bottom w:val="single" w:sz="2" w:space="0" w:color="000000"/>
            </w:tcBorders>
            <w:vAlign w:val="center"/>
          </w:tcPr>
          <w:p>
            <w:pPr>
              <w:pStyle w:val="TableContents"/>
              <w:bidi w:val="0"/>
              <w:spacing w:before="0" w:after="283"/>
              <w:jc w:val="right"/>
              <w:rPr/>
            </w:pPr>
            <w:r>
              <w:rPr/>
              <w:t>$0</w:t>
            </w:r>
          </w:p>
        </w:tc>
        <w:tc>
          <w:tcPr>
            <w:tcW w:w="300" w:type="dxa"/>
            <w:tcBorders>
              <w:bottom w:val="single" w:sz="2" w:space="0" w:color="000000"/>
            </w:tcBorders>
            <w:vAlign w:val="center"/>
          </w:tcPr>
          <w:p>
            <w:pPr>
              <w:pStyle w:val="TableContents"/>
              <w:bidi w:val="0"/>
              <w:spacing w:before="0" w:after="283"/>
              <w:jc w:val="right"/>
              <w:rPr/>
            </w:pPr>
            <w:r>
              <w:rPr/>
              <w:t> </w:t>
            </w:r>
          </w:p>
        </w:tc>
        <w:tc>
          <w:tcPr>
            <w:tcW w:w="1070" w:type="dxa"/>
            <w:tcBorders>
              <w:bottom w:val="single" w:sz="2" w:space="0" w:color="000000"/>
            </w:tcBorders>
            <w:vAlign w:val="center"/>
          </w:tcPr>
          <w:p>
            <w:pPr>
              <w:pStyle w:val="TableContents"/>
              <w:bidi w:val="0"/>
              <w:spacing w:before="0" w:after="283"/>
              <w:jc w:val="right"/>
              <w:rPr/>
            </w:pPr>
            <w:r>
              <w:rPr/>
              <w:t>$56,147</w:t>
            </w:r>
          </w:p>
        </w:tc>
        <w:tc>
          <w:tcPr>
            <w:tcW w:w="300" w:type="dxa"/>
            <w:tcBorders>
              <w:bottom w:val="single" w:sz="2" w:space="0" w:color="000000"/>
            </w:tcBorders>
            <w:vAlign w:val="center"/>
          </w:tcPr>
          <w:p>
            <w:pPr>
              <w:pStyle w:val="TableContents"/>
              <w:bidi w:val="0"/>
              <w:spacing w:before="0" w:after="283"/>
              <w:jc w:val="right"/>
              <w:rPr/>
            </w:pPr>
            <w:r>
              <w:rPr/>
              <w:t> </w:t>
            </w:r>
          </w:p>
        </w:tc>
        <w:tc>
          <w:tcPr>
            <w:tcW w:w="1400" w:type="dxa"/>
            <w:tcBorders>
              <w:bottom w:val="single" w:sz="2" w:space="0" w:color="000000"/>
            </w:tcBorders>
            <w:vAlign w:val="center"/>
          </w:tcPr>
          <w:p>
            <w:pPr>
              <w:pStyle w:val="TableContents"/>
              <w:bidi w:val="0"/>
              <w:spacing w:before="0" w:after="283"/>
              <w:jc w:val="right"/>
              <w:rPr/>
            </w:pPr>
            <w:r>
              <w:rPr/>
              <w:t>$0</w:t>
            </w:r>
          </w:p>
        </w:tc>
        <w:tc>
          <w:tcPr>
            <w:tcW w:w="300" w:type="dxa"/>
            <w:tcBorders>
              <w:bottom w:val="single" w:sz="2" w:space="0" w:color="000000"/>
            </w:tcBorders>
            <w:vAlign w:val="center"/>
          </w:tcPr>
          <w:p>
            <w:pPr>
              <w:pStyle w:val="TableContents"/>
              <w:bidi w:val="0"/>
              <w:spacing w:before="0" w:after="283"/>
              <w:jc w:val="right"/>
              <w:rPr/>
            </w:pPr>
            <w:r>
              <w:rPr/>
              <w:t> </w:t>
            </w:r>
          </w:p>
        </w:tc>
        <w:tc>
          <w:tcPr>
            <w:tcW w:w="1100" w:type="dxa"/>
            <w:tcBorders>
              <w:bottom w:val="single" w:sz="2" w:space="0" w:color="000000"/>
            </w:tcBorders>
            <w:vAlign w:val="center"/>
          </w:tcPr>
          <w:p>
            <w:pPr>
              <w:pStyle w:val="TableContents"/>
              <w:bidi w:val="0"/>
              <w:spacing w:before="0" w:after="283"/>
              <w:jc w:val="right"/>
              <w:rPr/>
            </w:pPr>
            <w:r>
              <w:rPr/>
              <w:t>$434,972</w:t>
            </w:r>
          </w:p>
        </w:tc>
      </w:tr>
      <w:tr>
        <w:trPr/>
        <w:tc>
          <w:tcPr>
            <w:tcW w:w="860" w:type="dxa"/>
            <w:vMerge w:val="continue"/>
            <w:tcBorders>
              <w:bottom w:val="single" w:sz="2" w:space="0" w:color="000000"/>
            </w:tcBorders>
            <w:vAlign w:val="center"/>
          </w:tcPr>
          <w:p>
            <w:pPr>
              <w:pStyle w:val="Normal"/>
              <w:bidi w:val="0"/>
              <w:jc w:val="left"/>
              <w:rPr/>
            </w:pPr>
            <w:r>
              <w:rPr/>
            </w:r>
          </w:p>
        </w:tc>
        <w:tc>
          <w:tcPr>
            <w:tcW w:w="300" w:type="dxa"/>
            <w:tcBorders>
              <w:bottom w:val="single" w:sz="2" w:space="0" w:color="000000"/>
            </w:tcBorders>
            <w:vAlign w:val="center"/>
          </w:tcPr>
          <w:p>
            <w:pPr>
              <w:pStyle w:val="TableContents"/>
              <w:bidi w:val="0"/>
              <w:spacing w:before="0" w:after="283"/>
              <w:jc w:val="left"/>
              <w:rPr/>
            </w:pPr>
            <w:r>
              <w:rPr/>
              <w:t> </w:t>
            </w:r>
          </w:p>
        </w:tc>
        <w:tc>
          <w:tcPr>
            <w:tcW w:w="1400" w:type="dxa"/>
            <w:tcBorders>
              <w:bottom w:val="single" w:sz="2" w:space="0" w:color="000000"/>
            </w:tcBorders>
            <w:vAlign w:val="center"/>
          </w:tcPr>
          <w:p>
            <w:pPr>
              <w:pStyle w:val="TableContents"/>
              <w:bidi w:val="0"/>
              <w:spacing w:before="0" w:after="283"/>
              <w:jc w:val="left"/>
              <w:rPr/>
            </w:pPr>
            <w:r>
              <w:rPr/>
              <w:t>UTC Savings Restoration Plan</w:t>
            </w:r>
          </w:p>
        </w:tc>
        <w:tc>
          <w:tcPr>
            <w:tcW w:w="300" w:type="dxa"/>
            <w:tcBorders>
              <w:bottom w:val="single" w:sz="2" w:space="0" w:color="000000"/>
            </w:tcBorders>
            <w:vAlign w:val="center"/>
          </w:tcPr>
          <w:p>
            <w:pPr>
              <w:pStyle w:val="TableContents"/>
              <w:bidi w:val="0"/>
              <w:spacing w:before="0" w:after="283"/>
              <w:jc w:val="left"/>
              <w:rPr/>
            </w:pPr>
            <w:r>
              <w:rPr/>
              <w:t> </w:t>
            </w:r>
          </w:p>
        </w:tc>
        <w:tc>
          <w:tcPr>
            <w:tcW w:w="1445" w:type="dxa"/>
            <w:tcBorders>
              <w:bottom w:val="single" w:sz="2" w:space="0" w:color="000000"/>
            </w:tcBorders>
            <w:vAlign w:val="center"/>
          </w:tcPr>
          <w:p>
            <w:pPr>
              <w:pStyle w:val="TableContents"/>
              <w:bidi w:val="0"/>
              <w:spacing w:before="0" w:after="283"/>
              <w:jc w:val="right"/>
              <w:rPr/>
            </w:pPr>
            <w:r>
              <w:rPr/>
              <w:t>$0</w:t>
            </w:r>
          </w:p>
        </w:tc>
        <w:tc>
          <w:tcPr>
            <w:tcW w:w="300" w:type="dxa"/>
            <w:tcBorders>
              <w:bottom w:val="single" w:sz="2" w:space="0" w:color="000000"/>
            </w:tcBorders>
            <w:vAlign w:val="center"/>
          </w:tcPr>
          <w:p>
            <w:pPr>
              <w:pStyle w:val="TableContents"/>
              <w:bidi w:val="0"/>
              <w:spacing w:before="0" w:after="283"/>
              <w:jc w:val="left"/>
              <w:rPr/>
            </w:pPr>
            <w:r>
              <w:rPr/>
              <w:t> </w:t>
            </w:r>
          </w:p>
        </w:tc>
        <w:tc>
          <w:tcPr>
            <w:tcW w:w="1445" w:type="dxa"/>
            <w:tcBorders>
              <w:bottom w:val="single" w:sz="2" w:space="0" w:color="000000"/>
            </w:tcBorders>
            <w:vAlign w:val="center"/>
          </w:tcPr>
          <w:p>
            <w:pPr>
              <w:pStyle w:val="TableContents"/>
              <w:bidi w:val="0"/>
              <w:spacing w:before="0" w:after="283"/>
              <w:jc w:val="right"/>
              <w:rPr/>
            </w:pPr>
            <w:r>
              <w:rPr/>
              <w:t>$0</w:t>
            </w:r>
          </w:p>
        </w:tc>
        <w:tc>
          <w:tcPr>
            <w:tcW w:w="300" w:type="dxa"/>
            <w:tcBorders>
              <w:bottom w:val="single" w:sz="2" w:space="0" w:color="000000"/>
            </w:tcBorders>
            <w:vAlign w:val="center"/>
          </w:tcPr>
          <w:p>
            <w:pPr>
              <w:pStyle w:val="TableContents"/>
              <w:bidi w:val="0"/>
              <w:spacing w:before="0" w:after="283"/>
              <w:jc w:val="left"/>
              <w:rPr/>
            </w:pPr>
            <w:r>
              <w:rPr/>
              <w:t> </w:t>
            </w:r>
          </w:p>
        </w:tc>
        <w:tc>
          <w:tcPr>
            <w:tcW w:w="1070" w:type="dxa"/>
            <w:tcBorders>
              <w:bottom w:val="single" w:sz="2" w:space="0" w:color="000000"/>
            </w:tcBorders>
            <w:vAlign w:val="center"/>
          </w:tcPr>
          <w:p>
            <w:pPr>
              <w:pStyle w:val="TableContents"/>
              <w:bidi w:val="0"/>
              <w:spacing w:before="0" w:after="283"/>
              <w:jc w:val="right"/>
              <w:rPr/>
            </w:pPr>
            <w:r>
              <w:rPr/>
              <w:t>$342,932</w:t>
            </w:r>
          </w:p>
        </w:tc>
        <w:tc>
          <w:tcPr>
            <w:tcW w:w="300" w:type="dxa"/>
            <w:tcBorders>
              <w:bottom w:val="single" w:sz="2" w:space="0" w:color="000000"/>
            </w:tcBorders>
            <w:vAlign w:val="center"/>
          </w:tcPr>
          <w:p>
            <w:pPr>
              <w:pStyle w:val="TableContents"/>
              <w:bidi w:val="0"/>
              <w:spacing w:before="0" w:after="283"/>
              <w:jc w:val="left"/>
              <w:rPr/>
            </w:pPr>
            <w:r>
              <w:rPr/>
              <w:t> </w:t>
            </w:r>
          </w:p>
        </w:tc>
        <w:tc>
          <w:tcPr>
            <w:tcW w:w="1400" w:type="dxa"/>
            <w:tcBorders>
              <w:bottom w:val="single" w:sz="2" w:space="0" w:color="000000"/>
            </w:tcBorders>
            <w:vAlign w:val="center"/>
          </w:tcPr>
          <w:p>
            <w:pPr>
              <w:pStyle w:val="TableContents"/>
              <w:bidi w:val="0"/>
              <w:spacing w:before="0" w:after="283"/>
              <w:jc w:val="right"/>
              <w:rPr/>
            </w:pPr>
            <w:r>
              <w:rPr/>
              <w:t>$0</w:t>
            </w:r>
          </w:p>
        </w:tc>
        <w:tc>
          <w:tcPr>
            <w:tcW w:w="300" w:type="dxa"/>
            <w:tcBorders>
              <w:bottom w:val="single" w:sz="2" w:space="0" w:color="000000"/>
            </w:tcBorders>
            <w:vAlign w:val="center"/>
          </w:tcPr>
          <w:p>
            <w:pPr>
              <w:pStyle w:val="TableContents"/>
              <w:bidi w:val="0"/>
              <w:spacing w:before="0" w:after="283"/>
              <w:jc w:val="left"/>
              <w:rPr/>
            </w:pPr>
            <w:r>
              <w:rPr/>
              <w:t> </w:t>
            </w:r>
          </w:p>
        </w:tc>
        <w:tc>
          <w:tcPr>
            <w:tcW w:w="1100" w:type="dxa"/>
            <w:tcBorders>
              <w:bottom w:val="single" w:sz="2" w:space="0" w:color="000000"/>
            </w:tcBorders>
            <w:vAlign w:val="center"/>
          </w:tcPr>
          <w:p>
            <w:pPr>
              <w:pStyle w:val="TableContents"/>
              <w:bidi w:val="0"/>
              <w:spacing w:before="0" w:after="283"/>
              <w:jc w:val="right"/>
              <w:rPr/>
            </w:pPr>
            <w:r>
              <w:rPr/>
              <w:t>$1,309,530</w:t>
            </w:r>
          </w:p>
        </w:tc>
      </w:tr>
      <w:tr>
        <w:trPr/>
        <w:tc>
          <w:tcPr>
            <w:tcW w:w="860" w:type="dxa"/>
            <w:vMerge w:val="restart"/>
            <w:tcBorders>
              <w:bottom w:val="single" w:sz="12" w:space="0" w:color="636466"/>
            </w:tcBorders>
            <w:vAlign w:val="center"/>
          </w:tcPr>
          <w:p>
            <w:pPr>
              <w:pStyle w:val="TableContents"/>
              <w:bidi w:val="0"/>
              <w:spacing w:before="0" w:after="283"/>
              <w:jc w:val="left"/>
              <w:rPr>
                <w:b/>
              </w:rPr>
            </w:pPr>
            <w:r>
              <w:rPr>
                <w:b/>
              </w:rPr>
              <w:t>P. Jasper</w:t>
            </w:r>
          </w:p>
        </w:tc>
        <w:tc>
          <w:tcPr>
            <w:tcW w:w="300" w:type="dxa"/>
            <w:tcBorders/>
            <w:tcMar>
              <w:bottom w:w="0" w:type="dxa"/>
            </w:tcMar>
            <w:vAlign w:val="center"/>
          </w:tcPr>
          <w:p>
            <w:pPr>
              <w:pStyle w:val="TableContents"/>
              <w:bidi w:val="0"/>
              <w:spacing w:before="0" w:after="283"/>
              <w:jc w:val="left"/>
              <w:rPr/>
            </w:pPr>
            <w:r>
              <w:rPr/>
              <w:t> </w:t>
            </w:r>
          </w:p>
        </w:tc>
        <w:tc>
          <w:tcPr>
            <w:tcW w:w="1400" w:type="dxa"/>
            <w:tcBorders>
              <w:bottom w:val="single" w:sz="2" w:space="0" w:color="000000"/>
            </w:tcBorders>
            <w:vAlign w:val="center"/>
          </w:tcPr>
          <w:p>
            <w:pPr>
              <w:pStyle w:val="TableContents"/>
              <w:bidi w:val="0"/>
              <w:spacing w:before="0" w:after="283"/>
              <w:jc w:val="left"/>
              <w:rPr/>
            </w:pPr>
            <w:r>
              <w:rPr/>
              <w:t>RTX Compensation Deferral Plan</w:t>
            </w:r>
          </w:p>
        </w:tc>
        <w:tc>
          <w:tcPr>
            <w:tcW w:w="300" w:type="dxa"/>
            <w:tcBorders>
              <w:bottom w:val="single" w:sz="2" w:space="0" w:color="000000"/>
            </w:tcBorders>
            <w:vAlign w:val="center"/>
          </w:tcPr>
          <w:p>
            <w:pPr>
              <w:pStyle w:val="TableContents"/>
              <w:bidi w:val="0"/>
              <w:spacing w:before="0" w:after="283"/>
              <w:jc w:val="left"/>
              <w:rPr/>
            </w:pPr>
            <w:r>
              <w:rPr/>
              <w:t> </w:t>
            </w:r>
          </w:p>
        </w:tc>
        <w:tc>
          <w:tcPr>
            <w:tcW w:w="1445" w:type="dxa"/>
            <w:tcBorders>
              <w:bottom w:val="single" w:sz="2" w:space="0" w:color="000000"/>
            </w:tcBorders>
            <w:vAlign w:val="center"/>
          </w:tcPr>
          <w:p>
            <w:pPr>
              <w:pStyle w:val="TableContents"/>
              <w:bidi w:val="0"/>
              <w:spacing w:before="0" w:after="283"/>
              <w:jc w:val="right"/>
              <w:rPr/>
            </w:pPr>
            <w:r>
              <w:rPr/>
              <w:t>$99,081</w:t>
            </w:r>
          </w:p>
        </w:tc>
        <w:tc>
          <w:tcPr>
            <w:tcW w:w="300" w:type="dxa"/>
            <w:tcBorders>
              <w:bottom w:val="single" w:sz="2" w:space="0" w:color="000000"/>
            </w:tcBorders>
            <w:vAlign w:val="center"/>
          </w:tcPr>
          <w:p>
            <w:pPr>
              <w:pStyle w:val="TableContents"/>
              <w:bidi w:val="0"/>
              <w:spacing w:before="0" w:after="283"/>
              <w:jc w:val="right"/>
              <w:rPr/>
            </w:pPr>
            <w:r>
              <w:rPr/>
              <w:t> </w:t>
            </w:r>
          </w:p>
        </w:tc>
        <w:tc>
          <w:tcPr>
            <w:tcW w:w="1445" w:type="dxa"/>
            <w:tcBorders>
              <w:bottom w:val="single" w:sz="2" w:space="0" w:color="000000"/>
            </w:tcBorders>
            <w:vAlign w:val="center"/>
          </w:tcPr>
          <w:p>
            <w:pPr>
              <w:pStyle w:val="TableContents"/>
              <w:bidi w:val="0"/>
              <w:spacing w:before="0" w:after="283"/>
              <w:jc w:val="right"/>
              <w:rPr/>
            </w:pPr>
            <w:r>
              <w:rPr/>
              <w:t>$156,517</w:t>
            </w:r>
          </w:p>
        </w:tc>
        <w:tc>
          <w:tcPr>
            <w:tcW w:w="300" w:type="dxa"/>
            <w:tcBorders>
              <w:bottom w:val="single" w:sz="2" w:space="0" w:color="000000"/>
            </w:tcBorders>
            <w:vAlign w:val="center"/>
          </w:tcPr>
          <w:p>
            <w:pPr>
              <w:pStyle w:val="TableContents"/>
              <w:bidi w:val="0"/>
              <w:spacing w:before="0" w:after="283"/>
              <w:jc w:val="right"/>
              <w:rPr/>
            </w:pPr>
            <w:r>
              <w:rPr/>
              <w:t> </w:t>
            </w:r>
          </w:p>
        </w:tc>
        <w:tc>
          <w:tcPr>
            <w:tcW w:w="1070" w:type="dxa"/>
            <w:tcBorders>
              <w:bottom w:val="single" w:sz="2" w:space="0" w:color="000000"/>
            </w:tcBorders>
            <w:vAlign w:val="center"/>
          </w:tcPr>
          <w:p>
            <w:pPr>
              <w:pStyle w:val="TableContents"/>
              <w:bidi w:val="0"/>
              <w:spacing w:before="0" w:after="283"/>
              <w:jc w:val="right"/>
              <w:rPr/>
            </w:pPr>
            <w:r>
              <w:rPr/>
              <w:t>$114,850</w:t>
            </w:r>
          </w:p>
        </w:tc>
        <w:tc>
          <w:tcPr>
            <w:tcW w:w="300" w:type="dxa"/>
            <w:tcBorders>
              <w:bottom w:val="single" w:sz="2" w:space="0" w:color="000000"/>
            </w:tcBorders>
            <w:vAlign w:val="center"/>
          </w:tcPr>
          <w:p>
            <w:pPr>
              <w:pStyle w:val="TableContents"/>
              <w:bidi w:val="0"/>
              <w:spacing w:before="0" w:after="283"/>
              <w:jc w:val="right"/>
              <w:rPr/>
            </w:pPr>
            <w:r>
              <w:rPr/>
              <w:t> </w:t>
            </w:r>
          </w:p>
        </w:tc>
        <w:tc>
          <w:tcPr>
            <w:tcW w:w="1400" w:type="dxa"/>
            <w:tcBorders>
              <w:bottom w:val="single" w:sz="2" w:space="0" w:color="000000"/>
            </w:tcBorders>
            <w:vAlign w:val="center"/>
          </w:tcPr>
          <w:p>
            <w:pPr>
              <w:pStyle w:val="TableContents"/>
              <w:bidi w:val="0"/>
              <w:spacing w:before="0" w:after="283"/>
              <w:jc w:val="right"/>
              <w:rPr/>
            </w:pPr>
            <w:r>
              <w:rPr/>
              <w:t>$0</w:t>
            </w:r>
          </w:p>
        </w:tc>
        <w:tc>
          <w:tcPr>
            <w:tcW w:w="300" w:type="dxa"/>
            <w:tcBorders>
              <w:bottom w:val="single" w:sz="2" w:space="0" w:color="000000"/>
            </w:tcBorders>
            <w:vAlign w:val="center"/>
          </w:tcPr>
          <w:p>
            <w:pPr>
              <w:pStyle w:val="TableContents"/>
              <w:bidi w:val="0"/>
              <w:spacing w:before="0" w:after="283"/>
              <w:jc w:val="right"/>
              <w:rPr/>
            </w:pPr>
            <w:r>
              <w:rPr/>
              <w:t> </w:t>
            </w:r>
          </w:p>
        </w:tc>
        <w:tc>
          <w:tcPr>
            <w:tcW w:w="1100" w:type="dxa"/>
            <w:tcBorders>
              <w:bottom w:val="single" w:sz="2" w:space="0" w:color="000000"/>
            </w:tcBorders>
            <w:vAlign w:val="center"/>
          </w:tcPr>
          <w:p>
            <w:pPr>
              <w:pStyle w:val="TableContents"/>
              <w:bidi w:val="0"/>
              <w:spacing w:before="0" w:after="283"/>
              <w:jc w:val="right"/>
              <w:rPr/>
            </w:pPr>
            <w:r>
              <w:rPr/>
              <w:t>$370,703</w:t>
            </w:r>
          </w:p>
        </w:tc>
      </w:tr>
      <w:tr>
        <w:trPr/>
        <w:tc>
          <w:tcPr>
            <w:tcW w:w="860" w:type="dxa"/>
            <w:vMerge w:val="continue"/>
            <w:tcBorders>
              <w:bottom w:val="single" w:sz="12" w:space="0" w:color="636466"/>
            </w:tcBorders>
            <w:vAlign w:val="center"/>
          </w:tcPr>
          <w:p>
            <w:pPr>
              <w:pStyle w:val="Normal"/>
              <w:bidi w:val="0"/>
              <w:jc w:val="left"/>
              <w:rPr/>
            </w:pPr>
            <w:r>
              <w:rPr/>
            </w:r>
          </w:p>
        </w:tc>
        <w:tc>
          <w:tcPr>
            <w:tcW w:w="300" w:type="dxa"/>
            <w:tcBorders/>
            <w:tcMar>
              <w:bottom w:w="0" w:type="dxa"/>
            </w:tcMar>
            <w:vAlign w:val="center"/>
          </w:tcPr>
          <w:p>
            <w:pPr>
              <w:pStyle w:val="TableContents"/>
              <w:bidi w:val="0"/>
              <w:spacing w:before="0" w:after="283"/>
              <w:jc w:val="left"/>
              <w:rPr/>
            </w:pPr>
            <w:r>
              <w:rPr/>
              <w:t> </w:t>
            </w:r>
          </w:p>
        </w:tc>
        <w:tc>
          <w:tcPr>
            <w:tcW w:w="1400" w:type="dxa"/>
            <w:tcBorders>
              <w:bottom w:val="single" w:sz="2" w:space="0" w:color="000000"/>
            </w:tcBorders>
            <w:vAlign w:val="center"/>
          </w:tcPr>
          <w:p>
            <w:pPr>
              <w:pStyle w:val="TableContents"/>
              <w:bidi w:val="0"/>
              <w:spacing w:before="0" w:after="283"/>
              <w:jc w:val="left"/>
              <w:rPr/>
            </w:pPr>
            <w:r>
              <w:rPr/>
              <w:t>UTC Company Automatic Contribution Excess Plan</w:t>
            </w:r>
          </w:p>
        </w:tc>
        <w:tc>
          <w:tcPr>
            <w:tcW w:w="300" w:type="dxa"/>
            <w:tcBorders>
              <w:bottom w:val="single" w:sz="2" w:space="0" w:color="000000"/>
            </w:tcBorders>
            <w:vAlign w:val="center"/>
          </w:tcPr>
          <w:p>
            <w:pPr>
              <w:pStyle w:val="TableContents"/>
              <w:bidi w:val="0"/>
              <w:spacing w:before="0" w:after="283"/>
              <w:jc w:val="left"/>
              <w:rPr/>
            </w:pPr>
            <w:r>
              <w:rPr/>
              <w:t> </w:t>
            </w:r>
          </w:p>
        </w:tc>
        <w:tc>
          <w:tcPr>
            <w:tcW w:w="1445" w:type="dxa"/>
            <w:tcBorders>
              <w:bottom w:val="single" w:sz="2" w:space="0" w:color="000000"/>
            </w:tcBorders>
            <w:vAlign w:val="center"/>
          </w:tcPr>
          <w:p>
            <w:pPr>
              <w:pStyle w:val="TableContents"/>
              <w:bidi w:val="0"/>
              <w:spacing w:before="0" w:after="283"/>
              <w:jc w:val="right"/>
              <w:rPr/>
            </w:pPr>
            <w:r>
              <w:rPr/>
              <w:t>$0</w:t>
            </w:r>
          </w:p>
        </w:tc>
        <w:tc>
          <w:tcPr>
            <w:tcW w:w="300" w:type="dxa"/>
            <w:tcBorders>
              <w:bottom w:val="single" w:sz="2" w:space="0" w:color="000000"/>
            </w:tcBorders>
            <w:vAlign w:val="center"/>
          </w:tcPr>
          <w:p>
            <w:pPr>
              <w:pStyle w:val="TableContents"/>
              <w:bidi w:val="0"/>
              <w:spacing w:before="0" w:after="283"/>
              <w:jc w:val="right"/>
              <w:rPr/>
            </w:pPr>
            <w:r>
              <w:rPr/>
              <w:t> </w:t>
            </w:r>
          </w:p>
        </w:tc>
        <w:tc>
          <w:tcPr>
            <w:tcW w:w="1445" w:type="dxa"/>
            <w:tcBorders>
              <w:bottom w:val="single" w:sz="2" w:space="0" w:color="000000"/>
            </w:tcBorders>
            <w:vAlign w:val="center"/>
          </w:tcPr>
          <w:p>
            <w:pPr>
              <w:pStyle w:val="TableContents"/>
              <w:bidi w:val="0"/>
              <w:spacing w:before="0" w:after="283"/>
              <w:jc w:val="right"/>
              <w:rPr/>
            </w:pPr>
            <w:r>
              <w:rPr/>
              <w:t>$0</w:t>
            </w:r>
          </w:p>
        </w:tc>
        <w:tc>
          <w:tcPr>
            <w:tcW w:w="300" w:type="dxa"/>
            <w:tcBorders>
              <w:bottom w:val="single" w:sz="2" w:space="0" w:color="000000"/>
            </w:tcBorders>
            <w:vAlign w:val="center"/>
          </w:tcPr>
          <w:p>
            <w:pPr>
              <w:pStyle w:val="TableContents"/>
              <w:bidi w:val="0"/>
              <w:spacing w:before="0" w:after="283"/>
              <w:jc w:val="right"/>
              <w:rPr/>
            </w:pPr>
            <w:r>
              <w:rPr/>
              <w:t> </w:t>
            </w:r>
          </w:p>
        </w:tc>
        <w:tc>
          <w:tcPr>
            <w:tcW w:w="1070" w:type="dxa"/>
            <w:tcBorders>
              <w:bottom w:val="single" w:sz="2" w:space="0" w:color="000000"/>
            </w:tcBorders>
            <w:vAlign w:val="center"/>
          </w:tcPr>
          <w:p>
            <w:pPr>
              <w:pStyle w:val="TableContents"/>
              <w:bidi w:val="0"/>
              <w:spacing w:before="0" w:after="283"/>
              <w:jc w:val="right"/>
              <w:rPr/>
            </w:pPr>
            <w:r>
              <w:rPr/>
              <w:t>$38,816</w:t>
            </w:r>
          </w:p>
        </w:tc>
        <w:tc>
          <w:tcPr>
            <w:tcW w:w="300" w:type="dxa"/>
            <w:tcBorders>
              <w:bottom w:val="single" w:sz="2" w:space="0" w:color="000000"/>
            </w:tcBorders>
            <w:vAlign w:val="center"/>
          </w:tcPr>
          <w:p>
            <w:pPr>
              <w:pStyle w:val="TableContents"/>
              <w:bidi w:val="0"/>
              <w:spacing w:before="0" w:after="283"/>
              <w:jc w:val="right"/>
              <w:rPr/>
            </w:pPr>
            <w:r>
              <w:rPr/>
              <w:t> </w:t>
            </w:r>
          </w:p>
        </w:tc>
        <w:tc>
          <w:tcPr>
            <w:tcW w:w="1400" w:type="dxa"/>
            <w:tcBorders>
              <w:bottom w:val="single" w:sz="2" w:space="0" w:color="000000"/>
            </w:tcBorders>
            <w:vAlign w:val="center"/>
          </w:tcPr>
          <w:p>
            <w:pPr>
              <w:pStyle w:val="TableContents"/>
              <w:bidi w:val="0"/>
              <w:spacing w:before="0" w:after="283"/>
              <w:jc w:val="right"/>
              <w:rPr/>
            </w:pPr>
            <w:r>
              <w:rPr/>
              <w:t>$0</w:t>
            </w:r>
          </w:p>
        </w:tc>
        <w:tc>
          <w:tcPr>
            <w:tcW w:w="300" w:type="dxa"/>
            <w:tcBorders>
              <w:bottom w:val="single" w:sz="2" w:space="0" w:color="000000"/>
            </w:tcBorders>
            <w:vAlign w:val="center"/>
          </w:tcPr>
          <w:p>
            <w:pPr>
              <w:pStyle w:val="TableContents"/>
              <w:bidi w:val="0"/>
              <w:spacing w:before="0" w:after="283"/>
              <w:jc w:val="right"/>
              <w:rPr/>
            </w:pPr>
            <w:r>
              <w:rPr/>
              <w:t> </w:t>
            </w:r>
          </w:p>
        </w:tc>
        <w:tc>
          <w:tcPr>
            <w:tcW w:w="1100" w:type="dxa"/>
            <w:tcBorders>
              <w:bottom w:val="single" w:sz="2" w:space="0" w:color="000000"/>
            </w:tcBorders>
            <w:vAlign w:val="center"/>
          </w:tcPr>
          <w:p>
            <w:pPr>
              <w:pStyle w:val="TableContents"/>
              <w:bidi w:val="0"/>
              <w:spacing w:before="0" w:after="283"/>
              <w:jc w:val="right"/>
              <w:rPr/>
            </w:pPr>
            <w:r>
              <w:rPr/>
              <w:t>$191,994</w:t>
            </w:r>
          </w:p>
        </w:tc>
      </w:tr>
      <w:tr>
        <w:trPr/>
        <w:tc>
          <w:tcPr>
            <w:tcW w:w="860" w:type="dxa"/>
            <w:vMerge w:val="continue"/>
            <w:tcBorders>
              <w:bottom w:val="single" w:sz="12" w:space="0" w:color="636466"/>
            </w:tcBorders>
            <w:vAlign w:val="center"/>
          </w:tcPr>
          <w:p>
            <w:pPr>
              <w:pStyle w:val="Normal"/>
              <w:bidi w:val="0"/>
              <w:jc w:val="left"/>
              <w:rPr/>
            </w:pPr>
            <w:r>
              <w:rPr/>
            </w:r>
          </w:p>
        </w:tc>
        <w:tc>
          <w:tcPr>
            <w:tcW w:w="300" w:type="dxa"/>
            <w:tcBorders/>
            <w:tcMar>
              <w:bottom w:w="0" w:type="dxa"/>
            </w:tcMar>
            <w:vAlign w:val="center"/>
          </w:tcPr>
          <w:p>
            <w:pPr>
              <w:pStyle w:val="TableContents"/>
              <w:bidi w:val="0"/>
              <w:spacing w:before="0" w:after="283"/>
              <w:jc w:val="left"/>
              <w:rPr/>
            </w:pPr>
            <w:r>
              <w:rPr/>
              <w:t> </w:t>
            </w:r>
          </w:p>
        </w:tc>
        <w:tc>
          <w:tcPr>
            <w:tcW w:w="1400" w:type="dxa"/>
            <w:tcBorders>
              <w:bottom w:val="single" w:sz="2" w:space="0" w:color="000000"/>
            </w:tcBorders>
            <w:vAlign w:val="center"/>
          </w:tcPr>
          <w:p>
            <w:pPr>
              <w:pStyle w:val="TableContents"/>
              <w:bidi w:val="0"/>
              <w:spacing w:before="0" w:after="283"/>
              <w:jc w:val="left"/>
              <w:rPr/>
            </w:pPr>
            <w:r>
              <w:rPr/>
              <w:t>UTC Savings Restoration Plan</w:t>
            </w:r>
          </w:p>
        </w:tc>
        <w:tc>
          <w:tcPr>
            <w:tcW w:w="300" w:type="dxa"/>
            <w:tcBorders>
              <w:bottom w:val="single" w:sz="2" w:space="0" w:color="000000"/>
            </w:tcBorders>
            <w:vAlign w:val="center"/>
          </w:tcPr>
          <w:p>
            <w:pPr>
              <w:pStyle w:val="TableContents"/>
              <w:bidi w:val="0"/>
              <w:spacing w:before="0" w:after="283"/>
              <w:jc w:val="left"/>
              <w:rPr/>
            </w:pPr>
            <w:r>
              <w:rPr/>
              <w:t> </w:t>
            </w:r>
          </w:p>
        </w:tc>
        <w:tc>
          <w:tcPr>
            <w:tcW w:w="1445" w:type="dxa"/>
            <w:tcBorders>
              <w:bottom w:val="single" w:sz="2" w:space="0" w:color="000000"/>
            </w:tcBorders>
            <w:vAlign w:val="center"/>
          </w:tcPr>
          <w:p>
            <w:pPr>
              <w:pStyle w:val="TableContents"/>
              <w:bidi w:val="0"/>
              <w:spacing w:before="0" w:after="283"/>
              <w:jc w:val="right"/>
              <w:rPr/>
            </w:pPr>
            <w:r>
              <w:rPr/>
              <w:t>$0</w:t>
            </w:r>
          </w:p>
        </w:tc>
        <w:tc>
          <w:tcPr>
            <w:tcW w:w="300" w:type="dxa"/>
            <w:tcBorders>
              <w:bottom w:val="single" w:sz="2" w:space="0" w:color="000000"/>
            </w:tcBorders>
            <w:vAlign w:val="center"/>
          </w:tcPr>
          <w:p>
            <w:pPr>
              <w:pStyle w:val="TableContents"/>
              <w:bidi w:val="0"/>
              <w:spacing w:before="0" w:after="283"/>
              <w:jc w:val="left"/>
              <w:rPr/>
            </w:pPr>
            <w:r>
              <w:rPr/>
              <w:t> </w:t>
            </w:r>
          </w:p>
        </w:tc>
        <w:tc>
          <w:tcPr>
            <w:tcW w:w="1445" w:type="dxa"/>
            <w:tcBorders>
              <w:bottom w:val="single" w:sz="2" w:space="0" w:color="000000"/>
            </w:tcBorders>
            <w:vAlign w:val="center"/>
          </w:tcPr>
          <w:p>
            <w:pPr>
              <w:pStyle w:val="TableContents"/>
              <w:bidi w:val="0"/>
              <w:spacing w:before="0" w:after="283"/>
              <w:jc w:val="right"/>
              <w:rPr/>
            </w:pPr>
            <w:r>
              <w:rPr/>
              <w:t>$0</w:t>
            </w:r>
          </w:p>
        </w:tc>
        <w:tc>
          <w:tcPr>
            <w:tcW w:w="300" w:type="dxa"/>
            <w:tcBorders>
              <w:bottom w:val="single" w:sz="2" w:space="0" w:color="000000"/>
            </w:tcBorders>
            <w:vAlign w:val="center"/>
          </w:tcPr>
          <w:p>
            <w:pPr>
              <w:pStyle w:val="TableContents"/>
              <w:bidi w:val="0"/>
              <w:spacing w:before="0" w:after="283"/>
              <w:jc w:val="left"/>
              <w:rPr/>
            </w:pPr>
            <w:r>
              <w:rPr/>
              <w:t> </w:t>
            </w:r>
          </w:p>
        </w:tc>
        <w:tc>
          <w:tcPr>
            <w:tcW w:w="1070" w:type="dxa"/>
            <w:tcBorders>
              <w:bottom w:val="single" w:sz="2" w:space="0" w:color="000000"/>
            </w:tcBorders>
            <w:vAlign w:val="center"/>
          </w:tcPr>
          <w:p>
            <w:pPr>
              <w:pStyle w:val="TableContents"/>
              <w:bidi w:val="0"/>
              <w:spacing w:before="0" w:after="283"/>
              <w:jc w:val="right"/>
              <w:rPr/>
            </w:pPr>
            <w:r>
              <w:rPr/>
              <w:t>$139,981</w:t>
            </w:r>
          </w:p>
        </w:tc>
        <w:tc>
          <w:tcPr>
            <w:tcW w:w="300" w:type="dxa"/>
            <w:tcBorders>
              <w:bottom w:val="single" w:sz="2" w:space="0" w:color="000000"/>
            </w:tcBorders>
            <w:vAlign w:val="center"/>
          </w:tcPr>
          <w:p>
            <w:pPr>
              <w:pStyle w:val="TableContents"/>
              <w:bidi w:val="0"/>
              <w:spacing w:before="0" w:after="283"/>
              <w:jc w:val="left"/>
              <w:rPr/>
            </w:pPr>
            <w:r>
              <w:rPr/>
              <w:t> </w:t>
            </w:r>
          </w:p>
        </w:tc>
        <w:tc>
          <w:tcPr>
            <w:tcW w:w="1400" w:type="dxa"/>
            <w:tcBorders>
              <w:bottom w:val="single" w:sz="2" w:space="0" w:color="000000"/>
            </w:tcBorders>
            <w:vAlign w:val="center"/>
          </w:tcPr>
          <w:p>
            <w:pPr>
              <w:pStyle w:val="TableContents"/>
              <w:bidi w:val="0"/>
              <w:spacing w:before="0" w:after="283"/>
              <w:jc w:val="right"/>
              <w:rPr/>
            </w:pPr>
            <w:r>
              <w:rPr/>
              <w:t>$0</w:t>
            </w:r>
          </w:p>
        </w:tc>
        <w:tc>
          <w:tcPr>
            <w:tcW w:w="300" w:type="dxa"/>
            <w:tcBorders>
              <w:bottom w:val="single" w:sz="2" w:space="0" w:color="000000"/>
            </w:tcBorders>
            <w:vAlign w:val="center"/>
          </w:tcPr>
          <w:p>
            <w:pPr>
              <w:pStyle w:val="TableContents"/>
              <w:bidi w:val="0"/>
              <w:spacing w:before="0" w:after="283"/>
              <w:jc w:val="left"/>
              <w:rPr/>
            </w:pPr>
            <w:r>
              <w:rPr/>
              <w:t> </w:t>
            </w:r>
          </w:p>
        </w:tc>
        <w:tc>
          <w:tcPr>
            <w:tcW w:w="1100" w:type="dxa"/>
            <w:tcBorders>
              <w:bottom w:val="single" w:sz="2" w:space="0" w:color="000000"/>
            </w:tcBorders>
            <w:vAlign w:val="center"/>
          </w:tcPr>
          <w:p>
            <w:pPr>
              <w:pStyle w:val="TableContents"/>
              <w:bidi w:val="0"/>
              <w:spacing w:before="0" w:after="283"/>
              <w:jc w:val="right"/>
              <w:rPr/>
            </w:pPr>
            <w:r>
              <w:rPr/>
              <w:t>$342,152</w:t>
            </w:r>
          </w:p>
        </w:tc>
      </w:tr>
      <w:tr>
        <w:trPr/>
        <w:tc>
          <w:tcPr>
            <w:tcW w:w="860" w:type="dxa"/>
            <w:vMerge w:val="continue"/>
            <w:tcBorders>
              <w:bottom w:val="single" w:sz="12" w:space="0" w:color="636466"/>
            </w:tcBorders>
            <w:vAlign w:val="center"/>
          </w:tcPr>
          <w:p>
            <w:pPr>
              <w:pStyle w:val="Normal"/>
              <w:bidi w:val="0"/>
              <w:jc w:val="left"/>
              <w:rPr/>
            </w:pPr>
            <w:r>
              <w:rPr/>
            </w:r>
          </w:p>
        </w:tc>
        <w:tc>
          <w:tcPr>
            <w:tcW w:w="300" w:type="dxa"/>
            <w:tcBorders/>
            <w:tcMar>
              <w:bottom w:w="0" w:type="dxa"/>
            </w:tcMar>
            <w:vAlign w:val="center"/>
          </w:tcPr>
          <w:p>
            <w:pPr>
              <w:pStyle w:val="TableContents"/>
              <w:bidi w:val="0"/>
              <w:spacing w:before="0" w:after="283"/>
              <w:jc w:val="left"/>
              <w:rPr/>
            </w:pPr>
            <w:r>
              <w:rPr/>
              <w:t> </w:t>
            </w:r>
          </w:p>
        </w:tc>
        <w:tc>
          <w:tcPr>
            <w:tcW w:w="1400" w:type="dxa"/>
            <w:tcBorders>
              <w:bottom w:val="single" w:sz="2" w:space="0" w:color="000000"/>
            </w:tcBorders>
            <w:vAlign w:val="center"/>
          </w:tcPr>
          <w:p>
            <w:pPr>
              <w:pStyle w:val="TableContents"/>
              <w:bidi w:val="0"/>
              <w:spacing w:before="0" w:after="283"/>
              <w:jc w:val="left"/>
              <w:rPr/>
            </w:pPr>
            <w:r>
              <w:rPr/>
              <w:t>Rockwell Collins Deferred Compensation Plan</w:t>
            </w:r>
          </w:p>
        </w:tc>
        <w:tc>
          <w:tcPr>
            <w:tcW w:w="300" w:type="dxa"/>
            <w:tcBorders>
              <w:bottom w:val="single" w:sz="2" w:space="0" w:color="000000"/>
            </w:tcBorders>
            <w:vAlign w:val="center"/>
          </w:tcPr>
          <w:p>
            <w:pPr>
              <w:pStyle w:val="TableContents"/>
              <w:bidi w:val="0"/>
              <w:spacing w:before="0" w:after="283"/>
              <w:jc w:val="left"/>
              <w:rPr/>
            </w:pPr>
            <w:r>
              <w:rPr/>
              <w:t> </w:t>
            </w:r>
          </w:p>
        </w:tc>
        <w:tc>
          <w:tcPr>
            <w:tcW w:w="1445" w:type="dxa"/>
            <w:tcBorders>
              <w:bottom w:val="single" w:sz="2" w:space="0" w:color="000000"/>
            </w:tcBorders>
            <w:vAlign w:val="center"/>
          </w:tcPr>
          <w:p>
            <w:pPr>
              <w:pStyle w:val="TableContents"/>
              <w:bidi w:val="0"/>
              <w:spacing w:before="0" w:after="283"/>
              <w:jc w:val="right"/>
              <w:rPr/>
            </w:pPr>
            <w:r>
              <w:rPr/>
              <w:t>$0</w:t>
            </w:r>
          </w:p>
        </w:tc>
        <w:tc>
          <w:tcPr>
            <w:tcW w:w="300" w:type="dxa"/>
            <w:tcBorders>
              <w:bottom w:val="single" w:sz="2" w:space="0" w:color="000000"/>
            </w:tcBorders>
            <w:vAlign w:val="center"/>
          </w:tcPr>
          <w:p>
            <w:pPr>
              <w:pStyle w:val="TableContents"/>
              <w:bidi w:val="0"/>
              <w:spacing w:before="0" w:after="283"/>
              <w:jc w:val="right"/>
              <w:rPr/>
            </w:pPr>
            <w:r>
              <w:rPr/>
              <w:t> </w:t>
            </w:r>
          </w:p>
        </w:tc>
        <w:tc>
          <w:tcPr>
            <w:tcW w:w="1445" w:type="dxa"/>
            <w:tcBorders>
              <w:bottom w:val="single" w:sz="2" w:space="0" w:color="000000"/>
            </w:tcBorders>
            <w:vAlign w:val="center"/>
          </w:tcPr>
          <w:p>
            <w:pPr>
              <w:pStyle w:val="TableContents"/>
              <w:bidi w:val="0"/>
              <w:spacing w:before="0" w:after="283"/>
              <w:jc w:val="right"/>
              <w:rPr/>
            </w:pPr>
            <w:r>
              <w:rPr/>
              <w:t>$0</w:t>
            </w:r>
          </w:p>
        </w:tc>
        <w:tc>
          <w:tcPr>
            <w:tcW w:w="300" w:type="dxa"/>
            <w:tcBorders>
              <w:bottom w:val="single" w:sz="2" w:space="0" w:color="000000"/>
            </w:tcBorders>
            <w:vAlign w:val="center"/>
          </w:tcPr>
          <w:p>
            <w:pPr>
              <w:pStyle w:val="TableContents"/>
              <w:bidi w:val="0"/>
              <w:spacing w:before="0" w:after="283"/>
              <w:jc w:val="right"/>
              <w:rPr/>
            </w:pPr>
            <w:r>
              <w:rPr/>
              <w:t> </w:t>
            </w:r>
          </w:p>
        </w:tc>
        <w:tc>
          <w:tcPr>
            <w:tcW w:w="1070" w:type="dxa"/>
            <w:tcBorders>
              <w:bottom w:val="single" w:sz="2" w:space="0" w:color="000000"/>
            </w:tcBorders>
            <w:vAlign w:val="center"/>
          </w:tcPr>
          <w:p>
            <w:pPr>
              <w:pStyle w:val="TableContents"/>
              <w:bidi w:val="0"/>
              <w:spacing w:before="0" w:after="283"/>
              <w:jc w:val="right"/>
              <w:rPr/>
            </w:pPr>
            <w:r>
              <w:rPr/>
              <w:t>$37,232</w:t>
            </w:r>
          </w:p>
        </w:tc>
        <w:tc>
          <w:tcPr>
            <w:tcW w:w="300" w:type="dxa"/>
            <w:tcBorders>
              <w:bottom w:val="single" w:sz="2" w:space="0" w:color="000000"/>
            </w:tcBorders>
            <w:vAlign w:val="center"/>
          </w:tcPr>
          <w:p>
            <w:pPr>
              <w:pStyle w:val="TableContents"/>
              <w:bidi w:val="0"/>
              <w:spacing w:before="0" w:after="283"/>
              <w:jc w:val="right"/>
              <w:rPr/>
            </w:pPr>
            <w:r>
              <w:rPr/>
              <w:t> </w:t>
            </w:r>
          </w:p>
        </w:tc>
        <w:tc>
          <w:tcPr>
            <w:tcW w:w="1400" w:type="dxa"/>
            <w:tcBorders>
              <w:bottom w:val="single" w:sz="2" w:space="0" w:color="000000"/>
            </w:tcBorders>
            <w:vAlign w:val="center"/>
          </w:tcPr>
          <w:p>
            <w:pPr>
              <w:pStyle w:val="TableContents"/>
              <w:bidi w:val="0"/>
              <w:spacing w:before="0" w:after="283"/>
              <w:jc w:val="right"/>
              <w:rPr/>
            </w:pPr>
            <w:r>
              <w:rPr/>
              <w:t>$0</w:t>
            </w:r>
          </w:p>
        </w:tc>
        <w:tc>
          <w:tcPr>
            <w:tcW w:w="300" w:type="dxa"/>
            <w:tcBorders>
              <w:bottom w:val="single" w:sz="2" w:space="0" w:color="000000"/>
            </w:tcBorders>
            <w:vAlign w:val="center"/>
          </w:tcPr>
          <w:p>
            <w:pPr>
              <w:pStyle w:val="TableContents"/>
              <w:bidi w:val="0"/>
              <w:spacing w:before="0" w:after="283"/>
              <w:jc w:val="right"/>
              <w:rPr/>
            </w:pPr>
            <w:r>
              <w:rPr/>
              <w:t> </w:t>
            </w:r>
          </w:p>
        </w:tc>
        <w:tc>
          <w:tcPr>
            <w:tcW w:w="1100" w:type="dxa"/>
            <w:tcBorders>
              <w:bottom w:val="single" w:sz="2" w:space="0" w:color="000000"/>
            </w:tcBorders>
            <w:vAlign w:val="center"/>
          </w:tcPr>
          <w:p>
            <w:pPr>
              <w:pStyle w:val="TableContents"/>
              <w:bidi w:val="0"/>
              <w:spacing w:before="0" w:after="283"/>
              <w:jc w:val="right"/>
              <w:rPr/>
            </w:pPr>
            <w:r>
              <w:rPr/>
              <w:t>$200,966</w:t>
            </w:r>
          </w:p>
        </w:tc>
      </w:tr>
      <w:tr>
        <w:trPr/>
        <w:tc>
          <w:tcPr>
            <w:tcW w:w="860" w:type="dxa"/>
            <w:vMerge w:val="continue"/>
            <w:tcBorders>
              <w:bottom w:val="single" w:sz="12" w:space="0" w:color="636466"/>
            </w:tcBorders>
            <w:vAlign w:val="center"/>
          </w:tcPr>
          <w:p>
            <w:pPr>
              <w:pStyle w:val="Normal"/>
              <w:bidi w:val="0"/>
              <w:jc w:val="left"/>
              <w:rPr/>
            </w:pPr>
            <w:r>
              <w:rPr/>
            </w:r>
          </w:p>
        </w:tc>
        <w:tc>
          <w:tcPr>
            <w:tcW w:w="300" w:type="dxa"/>
            <w:tcBorders>
              <w:bottom w:val="single" w:sz="12" w:space="0" w:color="636466"/>
            </w:tcBorders>
            <w:vAlign w:val="center"/>
          </w:tcPr>
          <w:p>
            <w:pPr>
              <w:pStyle w:val="TableContents"/>
              <w:bidi w:val="0"/>
              <w:spacing w:before="0" w:after="283"/>
              <w:jc w:val="left"/>
              <w:rPr/>
            </w:pPr>
            <w:r>
              <w:rPr/>
              <w:t> </w:t>
            </w:r>
          </w:p>
        </w:tc>
        <w:tc>
          <w:tcPr>
            <w:tcW w:w="1400" w:type="dxa"/>
            <w:tcBorders>
              <w:bottom w:val="single" w:sz="12" w:space="0" w:color="636466"/>
            </w:tcBorders>
            <w:vAlign w:val="center"/>
          </w:tcPr>
          <w:p>
            <w:pPr>
              <w:pStyle w:val="TableContents"/>
              <w:bidi w:val="0"/>
              <w:spacing w:before="0" w:after="283"/>
              <w:jc w:val="left"/>
              <w:rPr/>
            </w:pPr>
            <w:r>
              <w:rPr/>
              <w:t>Rockwell Collins Non-Qualified Savings Plan</w:t>
            </w:r>
          </w:p>
        </w:tc>
        <w:tc>
          <w:tcPr>
            <w:tcW w:w="300" w:type="dxa"/>
            <w:tcBorders>
              <w:bottom w:val="single" w:sz="12" w:space="0" w:color="636466"/>
            </w:tcBorders>
            <w:vAlign w:val="center"/>
          </w:tcPr>
          <w:p>
            <w:pPr>
              <w:pStyle w:val="TableContents"/>
              <w:bidi w:val="0"/>
              <w:spacing w:before="0" w:after="283"/>
              <w:jc w:val="left"/>
              <w:rPr/>
            </w:pPr>
            <w:r>
              <w:rPr/>
              <w:t> </w:t>
            </w:r>
          </w:p>
        </w:tc>
        <w:tc>
          <w:tcPr>
            <w:tcW w:w="1445" w:type="dxa"/>
            <w:tcBorders>
              <w:bottom w:val="single" w:sz="12" w:space="0" w:color="636466"/>
            </w:tcBorders>
            <w:vAlign w:val="center"/>
          </w:tcPr>
          <w:p>
            <w:pPr>
              <w:pStyle w:val="TableContents"/>
              <w:bidi w:val="0"/>
              <w:spacing w:before="0" w:after="283"/>
              <w:jc w:val="right"/>
              <w:rPr/>
            </w:pPr>
            <w:r>
              <w:rPr/>
              <w:t>$0</w:t>
            </w:r>
          </w:p>
        </w:tc>
        <w:tc>
          <w:tcPr>
            <w:tcW w:w="300" w:type="dxa"/>
            <w:tcBorders>
              <w:bottom w:val="single" w:sz="12" w:space="0" w:color="636466"/>
            </w:tcBorders>
            <w:vAlign w:val="center"/>
          </w:tcPr>
          <w:p>
            <w:pPr>
              <w:pStyle w:val="TableContents"/>
              <w:bidi w:val="0"/>
              <w:spacing w:before="0" w:after="283"/>
              <w:jc w:val="right"/>
              <w:rPr/>
            </w:pPr>
            <w:r>
              <w:rPr/>
              <w:t> </w:t>
            </w:r>
          </w:p>
        </w:tc>
        <w:tc>
          <w:tcPr>
            <w:tcW w:w="1445" w:type="dxa"/>
            <w:tcBorders>
              <w:bottom w:val="single" w:sz="12" w:space="0" w:color="636466"/>
            </w:tcBorders>
            <w:vAlign w:val="center"/>
          </w:tcPr>
          <w:p>
            <w:pPr>
              <w:pStyle w:val="TableContents"/>
              <w:bidi w:val="0"/>
              <w:spacing w:before="0" w:after="283"/>
              <w:jc w:val="right"/>
              <w:rPr/>
            </w:pPr>
            <w:r>
              <w:rPr/>
              <w:t>$0</w:t>
            </w:r>
          </w:p>
        </w:tc>
        <w:tc>
          <w:tcPr>
            <w:tcW w:w="300" w:type="dxa"/>
            <w:tcBorders>
              <w:bottom w:val="single" w:sz="12" w:space="0" w:color="636466"/>
            </w:tcBorders>
            <w:vAlign w:val="center"/>
          </w:tcPr>
          <w:p>
            <w:pPr>
              <w:pStyle w:val="TableContents"/>
              <w:bidi w:val="0"/>
              <w:spacing w:before="0" w:after="283"/>
              <w:jc w:val="right"/>
              <w:rPr/>
            </w:pPr>
            <w:r>
              <w:rPr/>
              <w:t> </w:t>
            </w:r>
          </w:p>
        </w:tc>
        <w:tc>
          <w:tcPr>
            <w:tcW w:w="1070" w:type="dxa"/>
            <w:tcBorders>
              <w:bottom w:val="single" w:sz="12" w:space="0" w:color="636466"/>
            </w:tcBorders>
            <w:vAlign w:val="center"/>
          </w:tcPr>
          <w:p>
            <w:pPr>
              <w:pStyle w:val="TableContents"/>
              <w:bidi w:val="0"/>
              <w:spacing w:before="0" w:after="283"/>
              <w:jc w:val="right"/>
              <w:rPr/>
            </w:pPr>
            <w:r>
              <w:rPr/>
              <w:t>$442,774</w:t>
            </w:r>
          </w:p>
        </w:tc>
        <w:tc>
          <w:tcPr>
            <w:tcW w:w="300" w:type="dxa"/>
            <w:tcBorders>
              <w:bottom w:val="single" w:sz="12" w:space="0" w:color="636466"/>
            </w:tcBorders>
            <w:vAlign w:val="center"/>
          </w:tcPr>
          <w:p>
            <w:pPr>
              <w:pStyle w:val="TableContents"/>
              <w:bidi w:val="0"/>
              <w:spacing w:before="0" w:after="283"/>
              <w:jc w:val="right"/>
              <w:rPr/>
            </w:pPr>
            <w:r>
              <w:rPr/>
              <w:t> </w:t>
            </w:r>
          </w:p>
        </w:tc>
        <w:tc>
          <w:tcPr>
            <w:tcW w:w="1400" w:type="dxa"/>
            <w:tcBorders>
              <w:bottom w:val="single" w:sz="12" w:space="0" w:color="636466"/>
            </w:tcBorders>
            <w:vAlign w:val="center"/>
          </w:tcPr>
          <w:p>
            <w:pPr>
              <w:pStyle w:val="TableContents"/>
              <w:bidi w:val="0"/>
              <w:spacing w:before="0" w:after="283"/>
              <w:jc w:val="right"/>
              <w:rPr/>
            </w:pPr>
            <w:r>
              <w:rPr/>
              <w:t>$0</w:t>
            </w:r>
          </w:p>
        </w:tc>
        <w:tc>
          <w:tcPr>
            <w:tcW w:w="300" w:type="dxa"/>
            <w:tcBorders>
              <w:bottom w:val="single" w:sz="12" w:space="0" w:color="636466"/>
            </w:tcBorders>
            <w:vAlign w:val="center"/>
          </w:tcPr>
          <w:p>
            <w:pPr>
              <w:pStyle w:val="TableContents"/>
              <w:bidi w:val="0"/>
              <w:spacing w:before="0" w:after="283"/>
              <w:jc w:val="right"/>
              <w:rPr/>
            </w:pPr>
            <w:r>
              <w:rPr/>
              <w:t> </w:t>
            </w:r>
          </w:p>
        </w:tc>
        <w:tc>
          <w:tcPr>
            <w:tcW w:w="1100" w:type="dxa"/>
            <w:tcBorders>
              <w:bottom w:val="single" w:sz="12" w:space="0" w:color="636466"/>
            </w:tcBorders>
            <w:vAlign w:val="center"/>
          </w:tcPr>
          <w:p>
            <w:pPr>
              <w:pStyle w:val="TableContents"/>
              <w:bidi w:val="0"/>
              <w:spacing w:before="0" w:after="283"/>
              <w:jc w:val="right"/>
              <w:rPr/>
            </w:pPr>
            <w:r>
              <w:rPr/>
              <w:t>$1,146,311</w:t>
            </w:r>
          </w:p>
        </w:tc>
      </w:tr>
    </w:tbl>
    <w:p>
      <w:pPr>
        <w:pStyle w:val="TextBody"/>
        <w:bidi w:val="0"/>
        <w:jc w:val="left"/>
        <w:rPr>
          <w:caps w:val="false"/>
          <w:smallCaps w:val="false"/>
        </w:rPr>
      </w:pPr>
      <w:r>
        <w:rPr>
          <w:caps w:val="false"/>
          <w:smallCaps w:val="false"/>
        </w:rPr>
        <w:t> </w:t>
      </w:r>
    </w:p>
    <w:p>
      <w:pPr>
        <w:pStyle w:val="TextBody"/>
        <w:bidi w:val="0"/>
        <w:jc w:val="right"/>
        <w:rPr>
          <w:rFonts w:ascii="Arial;Helvetica;Sans-Serif" w:hAnsi="Arial;Helvetica;Sans-Serif"/>
          <w:b w:val="false"/>
          <w:i w:val="false"/>
          <w:caps w:val="false"/>
          <w:smallCaps w:val="false"/>
          <w:sz w:val="15"/>
        </w:rPr>
      </w:pPr>
      <w:r>
        <w:rPr>
          <w:rFonts w:ascii="Arial;Helvetica;Sans-Serif" w:hAnsi="Arial;Helvetica;Sans-Serif"/>
          <w:b/>
          <w:i w:val="false"/>
          <w:caps w:val="false"/>
          <w:smallCaps w:val="false"/>
          <w:sz w:val="15"/>
        </w:rPr>
        <w:t xml:space="preserve">RTX </w:t>
      </w:r>
      <w:r>
        <w:rPr>
          <w:rFonts w:ascii="Arial;Helvetica;Sans-Serif" w:hAnsi="Arial;Helvetica;Sans-Serif"/>
          <w:b w:val="false"/>
          <w:i w:val="false"/>
          <w:caps w:val="false"/>
          <w:smallCaps w:val="false"/>
          <w:sz w:val="15"/>
        </w:rPr>
        <w:t>2026 PROXY STATEMENT    </w:t>
      </w:r>
      <w:r>
        <w:rPr>
          <w:rFonts w:ascii="Arial;Helvetica;Sans-Serif" w:hAnsi="Arial;Helvetica;Sans-Serif"/>
          <w:b/>
          <w:i w:val="false"/>
          <w:caps w:val="false"/>
          <w:smallCaps w:val="false"/>
          <w:sz w:val="15"/>
        </w:rPr>
        <w:t>71</w:t>
      </w:r>
    </w:p>
    <w:p>
      <w:pPr>
        <w:pStyle w:val="HorizontalLine"/>
        <w:pBdr>
          <w:bottom w:val="double" w:sz="2" w:space="0" w:color="808080"/>
        </w:pBdr>
        <w:bidi w:val="0"/>
        <w:spacing w:before="0" w:after="283"/>
        <w:jc w:val="left"/>
        <w:rPr/>
      </w:pPr>
      <w:r>
        <w:rPr/>
      </w:r>
    </w:p>
    <w:p>
      <w:pPr>
        <w:pStyle w:val="TextBody"/>
        <w:bidi w:val="0"/>
        <w:spacing w:before="200" w:after="200"/>
        <w:jc w:val="left"/>
        <w:rPr/>
      </w:pPr>
      <w:hyperlink w:anchor="toc">
        <w:r>
          <w:rPr>
            <w:rStyle w:val="InternetLink"/>
            <w:rFonts w:ascii="Arial;Helvetica;Sans-Serif" w:hAnsi="Arial;Helvetica;Sans-Serif"/>
            <w:b/>
            <w:i w:val="false"/>
            <w:caps w:val="false"/>
            <w:smallCaps w:val="false"/>
            <w:sz w:val="16"/>
          </w:rPr>
          <w:t>Table of Contents</w:t>
        </w:r>
      </w:hyperlink>
    </w:p>
    <w:p>
      <w:pPr>
        <w:pStyle w:val="TextBody"/>
        <w:bidi w:val="0"/>
        <w:spacing w:before="0" w:after="0"/>
        <w:ind w:left="0" w:right="0" w:hanging="0"/>
        <w:jc w:val="left"/>
        <w:rPr>
          <w:rFonts w:ascii="Arial;Helvetica;Sans-Serif" w:hAnsi="Arial;Helvetica;Sans-Serif"/>
          <w:b/>
          <w:i w:val="false"/>
          <w:caps w:val="false"/>
          <w:smallCaps w:val="false"/>
          <w:color w:val="C12E33"/>
          <w:sz w:val="15"/>
        </w:rPr>
      </w:pPr>
      <w:r>
        <w:rPr>
          <w:rFonts w:ascii="Arial;Helvetica;Sans-Serif" w:hAnsi="Arial;Helvetica;Sans-Serif"/>
          <w:b/>
          <w:i w:val="false"/>
          <w:caps w:val="false"/>
          <w:smallCaps w:val="false"/>
          <w:color w:val="C12E33"/>
          <w:sz w:val="15"/>
        </w:rPr>
        <w:t>COMPENSATION TABLES</w:t>
      </w:r>
    </w:p>
    <w:p>
      <w:pPr>
        <w:pStyle w:val="TextBody"/>
        <w:bidi w:val="0"/>
        <w:spacing w:before="0" w:after="0"/>
        <w:ind w:left="0" w:right="0" w:hanging="0"/>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NONQUALIFIED DEFERRED COMPENSATION</w:t>
      </w:r>
    </w:p>
    <w:p>
      <w:pPr>
        <w:pStyle w:val="TextBody"/>
        <w:bidi w:val="0"/>
        <w:spacing w:before="0" w:after="0"/>
        <w:ind w:left="0" w:right="0" w:hanging="0"/>
        <w:jc w:val="left"/>
        <w:rPr>
          <w:caps w:val="false"/>
          <w:smallCaps w:val="false"/>
        </w:rPr>
      </w:pPr>
      <w:r>
        <w:rPr>
          <w:caps w:val="false"/>
          <w:smallCaps w:val="false"/>
        </w:rPr>
        <w:t> </w:t>
      </w:r>
    </w:p>
    <w:tbl>
      <w:tblPr>
        <w:tblW w:w="10355" w:type="dxa"/>
        <w:jc w:val="left"/>
        <w:tblInd w:w="0" w:type="dxa"/>
        <w:tblLayout w:type="fixed"/>
        <w:tblCellMar>
          <w:top w:w="0" w:type="dxa"/>
          <w:left w:w="0" w:type="dxa"/>
          <w:bottom w:w="40" w:type="dxa"/>
          <w:right w:w="0" w:type="dxa"/>
        </w:tblCellMar>
      </w:tblPr>
      <w:tblGrid>
        <w:gridCol w:w="695"/>
        <w:gridCol w:w="300"/>
        <w:gridCol w:w="1400"/>
        <w:gridCol w:w="300"/>
        <w:gridCol w:w="1445"/>
        <w:gridCol w:w="300"/>
        <w:gridCol w:w="1445"/>
        <w:gridCol w:w="300"/>
        <w:gridCol w:w="1070"/>
        <w:gridCol w:w="300"/>
        <w:gridCol w:w="1400"/>
        <w:gridCol w:w="300"/>
        <w:gridCol w:w="1100"/>
      </w:tblGrid>
      <w:tr>
        <w:trPr/>
        <w:tc>
          <w:tcPr>
            <w:tcW w:w="695" w:type="dxa"/>
            <w:tcBorders>
              <w:bottom w:val="single" w:sz="12" w:space="0" w:color="C12E33"/>
            </w:tcBorders>
            <w:vAlign w:val="center"/>
          </w:tcPr>
          <w:p>
            <w:pPr>
              <w:pStyle w:val="TableContents"/>
              <w:bidi w:val="0"/>
              <w:spacing w:before="0" w:after="283"/>
              <w:jc w:val="left"/>
              <w:rPr>
                <w:b/>
                <w:color w:val="636466"/>
              </w:rPr>
            </w:pPr>
            <w:r>
              <w:rPr>
                <w:b/>
                <w:color w:val="636466"/>
              </w:rPr>
              <w:t>Name</w:t>
            </w:r>
          </w:p>
        </w:tc>
        <w:tc>
          <w:tcPr>
            <w:tcW w:w="300" w:type="dxa"/>
            <w:tcBorders>
              <w:bottom w:val="single" w:sz="12" w:space="0" w:color="C12E33"/>
            </w:tcBorders>
            <w:vAlign w:val="center"/>
          </w:tcPr>
          <w:p>
            <w:pPr>
              <w:pStyle w:val="TableContents"/>
              <w:bidi w:val="0"/>
              <w:spacing w:before="0" w:after="283"/>
              <w:jc w:val="left"/>
              <w:rPr>
                <w:color w:val="636466"/>
              </w:rPr>
            </w:pPr>
            <w:r>
              <w:rPr>
                <w:color w:val="636466"/>
              </w:rPr>
              <w:t>     </w:t>
            </w:r>
          </w:p>
        </w:tc>
        <w:tc>
          <w:tcPr>
            <w:tcW w:w="1400" w:type="dxa"/>
            <w:tcBorders>
              <w:bottom w:val="single" w:sz="12" w:space="0" w:color="C12E33"/>
            </w:tcBorders>
            <w:vAlign w:val="center"/>
          </w:tcPr>
          <w:p>
            <w:pPr>
              <w:pStyle w:val="TableContents"/>
              <w:bidi w:val="0"/>
              <w:spacing w:before="0" w:after="283"/>
              <w:jc w:val="left"/>
              <w:rPr>
                <w:b/>
                <w:color w:val="636466"/>
              </w:rPr>
            </w:pPr>
            <w:r>
              <w:rPr>
                <w:b/>
                <w:color w:val="636466"/>
              </w:rPr>
              <w:t>Plan</w:t>
            </w:r>
          </w:p>
        </w:tc>
        <w:tc>
          <w:tcPr>
            <w:tcW w:w="300" w:type="dxa"/>
            <w:tcBorders>
              <w:bottom w:val="single" w:sz="12" w:space="0" w:color="C12E33"/>
            </w:tcBorders>
            <w:vAlign w:val="center"/>
          </w:tcPr>
          <w:p>
            <w:pPr>
              <w:pStyle w:val="TableContents"/>
              <w:bidi w:val="0"/>
              <w:spacing w:before="0" w:after="283"/>
              <w:jc w:val="left"/>
              <w:rPr>
                <w:color w:val="636466"/>
              </w:rPr>
            </w:pPr>
            <w:r>
              <w:rPr>
                <w:color w:val="636466"/>
              </w:rPr>
              <w:t>     </w:t>
            </w:r>
          </w:p>
        </w:tc>
        <w:tc>
          <w:tcPr>
            <w:tcW w:w="1445" w:type="dxa"/>
            <w:tcBorders>
              <w:bottom w:val="single" w:sz="12" w:space="0" w:color="C12E33"/>
            </w:tcBorders>
            <w:vAlign w:val="center"/>
          </w:tcPr>
          <w:p>
            <w:pPr>
              <w:pStyle w:val="TableContents"/>
              <w:bidi w:val="0"/>
              <w:spacing w:before="0" w:after="283"/>
              <w:jc w:val="right"/>
              <w:rPr>
                <w:color w:val="636466"/>
              </w:rPr>
            </w:pPr>
            <w:r>
              <w:rPr>
                <w:b/>
                <w:color w:val="636466"/>
              </w:rPr>
              <w:t>Executive</w:t>
            </w:r>
            <w:r>
              <w:rPr>
                <w:color w:val="636466"/>
              </w:rPr>
              <w:br/>
            </w:r>
            <w:r>
              <w:rPr>
                <w:b/>
                <w:color w:val="636466"/>
              </w:rPr>
              <w:t>Contributions</w:t>
            </w:r>
            <w:r>
              <w:rPr>
                <w:color w:val="636466"/>
              </w:rPr>
              <w:br/>
            </w:r>
            <w:r>
              <w:rPr>
                <w:b/>
                <w:color w:val="636466"/>
              </w:rPr>
              <w:t>in Last FY ($)</w:t>
            </w:r>
            <w:r>
              <w:rPr>
                <w:b/>
                <w:color w:val="636466"/>
                <w:position w:val="8"/>
                <w:sz w:val="19"/>
              </w:rPr>
              <w:t>(1)</w:t>
            </w:r>
          </w:p>
        </w:tc>
        <w:tc>
          <w:tcPr>
            <w:tcW w:w="300" w:type="dxa"/>
            <w:tcBorders>
              <w:bottom w:val="single" w:sz="12" w:space="0" w:color="C12E33"/>
            </w:tcBorders>
            <w:vAlign w:val="center"/>
          </w:tcPr>
          <w:p>
            <w:pPr>
              <w:pStyle w:val="TableContents"/>
              <w:bidi w:val="0"/>
              <w:spacing w:before="0" w:after="283"/>
              <w:jc w:val="right"/>
              <w:rPr>
                <w:color w:val="636466"/>
              </w:rPr>
            </w:pPr>
            <w:r>
              <w:rPr>
                <w:color w:val="636466"/>
              </w:rPr>
              <w:t>     </w:t>
            </w:r>
          </w:p>
        </w:tc>
        <w:tc>
          <w:tcPr>
            <w:tcW w:w="1445" w:type="dxa"/>
            <w:tcBorders>
              <w:bottom w:val="single" w:sz="12" w:space="0" w:color="C12E33"/>
            </w:tcBorders>
            <w:vAlign w:val="center"/>
          </w:tcPr>
          <w:p>
            <w:pPr>
              <w:pStyle w:val="TableContents"/>
              <w:bidi w:val="0"/>
              <w:spacing w:before="0" w:after="283"/>
              <w:jc w:val="right"/>
              <w:rPr>
                <w:color w:val="636466"/>
              </w:rPr>
            </w:pPr>
            <w:r>
              <w:rPr>
                <w:b/>
                <w:color w:val="636466"/>
              </w:rPr>
              <w:t>Registrant</w:t>
            </w:r>
            <w:r>
              <w:rPr>
                <w:color w:val="636466"/>
              </w:rPr>
              <w:br/>
            </w:r>
            <w:r>
              <w:rPr>
                <w:b/>
                <w:color w:val="636466"/>
              </w:rPr>
              <w:t>Contributions</w:t>
            </w:r>
            <w:r>
              <w:rPr>
                <w:color w:val="636466"/>
              </w:rPr>
              <w:br/>
            </w:r>
            <w:r>
              <w:rPr>
                <w:b/>
                <w:color w:val="636466"/>
              </w:rPr>
              <w:t>in Last FY ($)</w:t>
            </w:r>
            <w:r>
              <w:rPr>
                <w:b/>
                <w:color w:val="636466"/>
                <w:position w:val="8"/>
                <w:sz w:val="19"/>
              </w:rPr>
              <w:t>(2)</w:t>
            </w:r>
          </w:p>
        </w:tc>
        <w:tc>
          <w:tcPr>
            <w:tcW w:w="300" w:type="dxa"/>
            <w:tcBorders>
              <w:bottom w:val="single" w:sz="12" w:space="0" w:color="C12E33"/>
            </w:tcBorders>
            <w:vAlign w:val="center"/>
          </w:tcPr>
          <w:p>
            <w:pPr>
              <w:pStyle w:val="TableContents"/>
              <w:bidi w:val="0"/>
              <w:spacing w:before="0" w:after="283"/>
              <w:jc w:val="right"/>
              <w:rPr>
                <w:color w:val="636466"/>
              </w:rPr>
            </w:pPr>
            <w:r>
              <w:rPr>
                <w:color w:val="636466"/>
              </w:rPr>
              <w:t>     </w:t>
            </w:r>
          </w:p>
        </w:tc>
        <w:tc>
          <w:tcPr>
            <w:tcW w:w="1070" w:type="dxa"/>
            <w:tcBorders>
              <w:bottom w:val="single" w:sz="12" w:space="0" w:color="C12E33"/>
            </w:tcBorders>
            <w:vAlign w:val="center"/>
          </w:tcPr>
          <w:p>
            <w:pPr>
              <w:pStyle w:val="TableContents"/>
              <w:bidi w:val="0"/>
              <w:spacing w:before="0" w:after="283"/>
              <w:jc w:val="right"/>
              <w:rPr>
                <w:color w:val="636466"/>
              </w:rPr>
            </w:pPr>
            <w:r>
              <w:rPr>
                <w:b/>
                <w:color w:val="636466"/>
              </w:rPr>
              <w:t>Aggregate</w:t>
            </w:r>
            <w:r>
              <w:rPr>
                <w:color w:val="636466"/>
              </w:rPr>
              <w:br/>
            </w:r>
            <w:r>
              <w:rPr>
                <w:b/>
                <w:color w:val="636466"/>
              </w:rPr>
              <w:t>Earnings in</w:t>
            </w:r>
            <w:r>
              <w:rPr>
                <w:color w:val="636466"/>
              </w:rPr>
              <w:br/>
            </w:r>
            <w:r>
              <w:rPr>
                <w:b/>
                <w:color w:val="636466"/>
              </w:rPr>
              <w:t>Last FY ($)</w:t>
            </w:r>
            <w:r>
              <w:rPr>
                <w:b/>
                <w:color w:val="636466"/>
                <w:position w:val="8"/>
                <w:sz w:val="19"/>
              </w:rPr>
              <w:t>(3)</w:t>
            </w:r>
          </w:p>
        </w:tc>
        <w:tc>
          <w:tcPr>
            <w:tcW w:w="300" w:type="dxa"/>
            <w:tcBorders>
              <w:bottom w:val="single" w:sz="12" w:space="0" w:color="C12E33"/>
            </w:tcBorders>
            <w:vAlign w:val="center"/>
          </w:tcPr>
          <w:p>
            <w:pPr>
              <w:pStyle w:val="TableContents"/>
              <w:bidi w:val="0"/>
              <w:spacing w:before="0" w:after="283"/>
              <w:jc w:val="right"/>
              <w:rPr>
                <w:color w:val="636466"/>
              </w:rPr>
            </w:pPr>
            <w:r>
              <w:rPr>
                <w:color w:val="636466"/>
              </w:rPr>
              <w:t>     </w:t>
            </w:r>
          </w:p>
        </w:tc>
        <w:tc>
          <w:tcPr>
            <w:tcW w:w="1400" w:type="dxa"/>
            <w:tcBorders>
              <w:bottom w:val="single" w:sz="12" w:space="0" w:color="C12E33"/>
            </w:tcBorders>
            <w:vAlign w:val="center"/>
          </w:tcPr>
          <w:p>
            <w:pPr>
              <w:pStyle w:val="TableContents"/>
              <w:bidi w:val="0"/>
              <w:spacing w:before="0" w:after="283"/>
              <w:jc w:val="right"/>
              <w:rPr>
                <w:color w:val="636466"/>
              </w:rPr>
            </w:pPr>
            <w:r>
              <w:rPr>
                <w:b/>
                <w:color w:val="636466"/>
              </w:rPr>
              <w:t>Aggregate</w:t>
            </w:r>
            <w:r>
              <w:rPr>
                <w:color w:val="636466"/>
              </w:rPr>
              <w:br/>
            </w:r>
            <w:r>
              <w:rPr>
                <w:b/>
                <w:color w:val="636466"/>
              </w:rPr>
              <w:t>Withdrawals/</w:t>
            </w:r>
            <w:r>
              <w:rPr>
                <w:color w:val="636466"/>
              </w:rPr>
              <w:br/>
            </w:r>
            <w:r>
              <w:rPr>
                <w:b/>
                <w:color w:val="636466"/>
              </w:rPr>
              <w:t>Distributions ($)</w:t>
            </w:r>
          </w:p>
        </w:tc>
        <w:tc>
          <w:tcPr>
            <w:tcW w:w="300" w:type="dxa"/>
            <w:tcBorders>
              <w:bottom w:val="single" w:sz="12" w:space="0" w:color="C12E33"/>
            </w:tcBorders>
            <w:vAlign w:val="center"/>
          </w:tcPr>
          <w:p>
            <w:pPr>
              <w:pStyle w:val="TableContents"/>
              <w:bidi w:val="0"/>
              <w:spacing w:before="0" w:after="283"/>
              <w:jc w:val="right"/>
              <w:rPr>
                <w:color w:val="636466"/>
              </w:rPr>
            </w:pPr>
            <w:r>
              <w:rPr>
                <w:color w:val="636466"/>
              </w:rPr>
              <w:t>     </w:t>
            </w:r>
          </w:p>
        </w:tc>
        <w:tc>
          <w:tcPr>
            <w:tcW w:w="1100" w:type="dxa"/>
            <w:tcBorders>
              <w:bottom w:val="single" w:sz="12" w:space="0" w:color="C12E33"/>
            </w:tcBorders>
            <w:vAlign w:val="center"/>
          </w:tcPr>
          <w:p>
            <w:pPr>
              <w:pStyle w:val="TableContents"/>
              <w:bidi w:val="0"/>
              <w:spacing w:before="0" w:after="283"/>
              <w:jc w:val="right"/>
              <w:rPr>
                <w:color w:val="636466"/>
              </w:rPr>
            </w:pPr>
            <w:r>
              <w:rPr>
                <w:b/>
                <w:color w:val="636466"/>
              </w:rPr>
              <w:t>Aggregate</w:t>
            </w:r>
            <w:r>
              <w:rPr>
                <w:color w:val="636466"/>
              </w:rPr>
              <w:br/>
            </w:r>
            <w:r>
              <w:rPr>
                <w:b/>
                <w:color w:val="636466"/>
              </w:rPr>
              <w:t>Balance at</w:t>
            </w:r>
            <w:r>
              <w:rPr>
                <w:color w:val="636466"/>
              </w:rPr>
              <w:br/>
            </w:r>
            <w:r>
              <w:rPr>
                <w:b/>
                <w:color w:val="636466"/>
              </w:rPr>
              <w:t>Last FYE ($)</w:t>
            </w:r>
            <w:r>
              <w:rPr>
                <w:b/>
                <w:color w:val="636466"/>
                <w:position w:val="8"/>
                <w:sz w:val="19"/>
              </w:rPr>
              <w:t>(4)</w:t>
            </w:r>
          </w:p>
        </w:tc>
      </w:tr>
      <w:tr>
        <w:trPr/>
        <w:tc>
          <w:tcPr>
            <w:tcW w:w="695" w:type="dxa"/>
            <w:vMerge w:val="restart"/>
            <w:tcBorders>
              <w:bottom w:val="single" w:sz="2" w:space="0" w:color="000000"/>
            </w:tcBorders>
            <w:vAlign w:val="center"/>
          </w:tcPr>
          <w:p>
            <w:pPr>
              <w:pStyle w:val="TableContents"/>
              <w:bidi w:val="0"/>
              <w:spacing w:before="0" w:after="283"/>
              <w:jc w:val="left"/>
              <w:rPr>
                <w:b/>
              </w:rPr>
            </w:pPr>
            <w:r>
              <w:rPr>
                <w:b/>
              </w:rPr>
              <w:t>S. Eddy</w:t>
            </w:r>
          </w:p>
        </w:tc>
        <w:tc>
          <w:tcPr>
            <w:tcW w:w="300" w:type="dxa"/>
            <w:tcBorders/>
            <w:tcMar>
              <w:bottom w:w="0" w:type="dxa"/>
            </w:tcMar>
            <w:vAlign w:val="center"/>
          </w:tcPr>
          <w:p>
            <w:pPr>
              <w:pStyle w:val="TableContents"/>
              <w:bidi w:val="0"/>
              <w:spacing w:before="0" w:after="283"/>
              <w:jc w:val="left"/>
              <w:rPr/>
            </w:pPr>
            <w:r>
              <w:rPr/>
              <w:t> </w:t>
            </w:r>
          </w:p>
        </w:tc>
        <w:tc>
          <w:tcPr>
            <w:tcW w:w="1400" w:type="dxa"/>
            <w:tcBorders>
              <w:bottom w:val="single" w:sz="2" w:space="0" w:color="000000"/>
            </w:tcBorders>
            <w:vAlign w:val="center"/>
          </w:tcPr>
          <w:p>
            <w:pPr>
              <w:pStyle w:val="TableContents"/>
              <w:bidi w:val="0"/>
              <w:spacing w:before="0" w:after="283"/>
              <w:jc w:val="left"/>
              <w:rPr/>
            </w:pPr>
            <w:r>
              <w:rPr/>
              <w:t>RTX Compensation Deferral Plan</w:t>
            </w:r>
          </w:p>
        </w:tc>
        <w:tc>
          <w:tcPr>
            <w:tcW w:w="300" w:type="dxa"/>
            <w:tcBorders>
              <w:bottom w:val="single" w:sz="2" w:space="0" w:color="000000"/>
            </w:tcBorders>
            <w:vAlign w:val="center"/>
          </w:tcPr>
          <w:p>
            <w:pPr>
              <w:pStyle w:val="TableContents"/>
              <w:bidi w:val="0"/>
              <w:spacing w:before="0" w:after="283"/>
              <w:jc w:val="left"/>
              <w:rPr/>
            </w:pPr>
            <w:r>
              <w:rPr/>
              <w:t> </w:t>
            </w:r>
          </w:p>
        </w:tc>
        <w:tc>
          <w:tcPr>
            <w:tcW w:w="1445" w:type="dxa"/>
            <w:tcBorders>
              <w:bottom w:val="single" w:sz="2" w:space="0" w:color="000000"/>
            </w:tcBorders>
            <w:vAlign w:val="center"/>
          </w:tcPr>
          <w:p>
            <w:pPr>
              <w:pStyle w:val="TableContents"/>
              <w:bidi w:val="0"/>
              <w:spacing w:before="0" w:after="283"/>
              <w:jc w:val="right"/>
              <w:rPr/>
            </w:pPr>
            <w:r>
              <w:rPr/>
              <w:t>$93,825</w:t>
            </w:r>
          </w:p>
        </w:tc>
        <w:tc>
          <w:tcPr>
            <w:tcW w:w="300" w:type="dxa"/>
            <w:tcBorders>
              <w:bottom w:val="single" w:sz="2" w:space="0" w:color="000000"/>
            </w:tcBorders>
            <w:vAlign w:val="center"/>
          </w:tcPr>
          <w:p>
            <w:pPr>
              <w:pStyle w:val="TableContents"/>
              <w:bidi w:val="0"/>
              <w:spacing w:before="0" w:after="283"/>
              <w:jc w:val="right"/>
              <w:rPr/>
            </w:pPr>
            <w:r>
              <w:rPr/>
              <w:t> </w:t>
            </w:r>
          </w:p>
        </w:tc>
        <w:tc>
          <w:tcPr>
            <w:tcW w:w="1445" w:type="dxa"/>
            <w:tcBorders>
              <w:bottom w:val="single" w:sz="2" w:space="0" w:color="000000"/>
            </w:tcBorders>
            <w:vAlign w:val="center"/>
          </w:tcPr>
          <w:p>
            <w:pPr>
              <w:pStyle w:val="TableContents"/>
              <w:bidi w:val="0"/>
              <w:spacing w:before="0" w:after="283"/>
              <w:jc w:val="right"/>
              <w:rPr/>
            </w:pPr>
            <w:r>
              <w:rPr/>
              <w:t>$155,433</w:t>
            </w:r>
          </w:p>
        </w:tc>
        <w:tc>
          <w:tcPr>
            <w:tcW w:w="300" w:type="dxa"/>
            <w:tcBorders>
              <w:bottom w:val="single" w:sz="2" w:space="0" w:color="000000"/>
            </w:tcBorders>
            <w:vAlign w:val="center"/>
          </w:tcPr>
          <w:p>
            <w:pPr>
              <w:pStyle w:val="TableContents"/>
              <w:bidi w:val="0"/>
              <w:spacing w:before="0" w:after="283"/>
              <w:jc w:val="right"/>
              <w:rPr/>
            </w:pPr>
            <w:r>
              <w:rPr/>
              <w:t> </w:t>
            </w:r>
          </w:p>
        </w:tc>
        <w:tc>
          <w:tcPr>
            <w:tcW w:w="1070" w:type="dxa"/>
            <w:tcBorders>
              <w:bottom w:val="single" w:sz="2" w:space="0" w:color="000000"/>
            </w:tcBorders>
            <w:vAlign w:val="center"/>
          </w:tcPr>
          <w:p>
            <w:pPr>
              <w:pStyle w:val="TableContents"/>
              <w:bidi w:val="0"/>
              <w:spacing w:before="0" w:after="283"/>
              <w:jc w:val="right"/>
              <w:rPr/>
            </w:pPr>
            <w:r>
              <w:rPr/>
              <w:t>$153,643</w:t>
            </w:r>
          </w:p>
        </w:tc>
        <w:tc>
          <w:tcPr>
            <w:tcW w:w="300" w:type="dxa"/>
            <w:tcBorders>
              <w:bottom w:val="single" w:sz="2" w:space="0" w:color="000000"/>
            </w:tcBorders>
            <w:vAlign w:val="center"/>
          </w:tcPr>
          <w:p>
            <w:pPr>
              <w:pStyle w:val="TableContents"/>
              <w:bidi w:val="0"/>
              <w:spacing w:before="0" w:after="283"/>
              <w:jc w:val="right"/>
              <w:rPr/>
            </w:pPr>
            <w:r>
              <w:rPr/>
              <w:t> </w:t>
            </w:r>
          </w:p>
        </w:tc>
        <w:tc>
          <w:tcPr>
            <w:tcW w:w="1400" w:type="dxa"/>
            <w:tcBorders>
              <w:bottom w:val="single" w:sz="2" w:space="0" w:color="000000"/>
            </w:tcBorders>
            <w:vAlign w:val="center"/>
          </w:tcPr>
          <w:p>
            <w:pPr>
              <w:pStyle w:val="TableContents"/>
              <w:bidi w:val="0"/>
              <w:spacing w:before="0" w:after="283"/>
              <w:jc w:val="right"/>
              <w:rPr/>
            </w:pPr>
            <w:r>
              <w:rPr/>
              <w:t>$0</w:t>
            </w:r>
          </w:p>
        </w:tc>
        <w:tc>
          <w:tcPr>
            <w:tcW w:w="300" w:type="dxa"/>
            <w:tcBorders>
              <w:bottom w:val="single" w:sz="2" w:space="0" w:color="000000"/>
            </w:tcBorders>
            <w:vAlign w:val="center"/>
          </w:tcPr>
          <w:p>
            <w:pPr>
              <w:pStyle w:val="TableContents"/>
              <w:bidi w:val="0"/>
              <w:spacing w:before="0" w:after="283"/>
              <w:jc w:val="right"/>
              <w:rPr/>
            </w:pPr>
            <w:r>
              <w:rPr/>
              <w:t> </w:t>
            </w:r>
          </w:p>
        </w:tc>
        <w:tc>
          <w:tcPr>
            <w:tcW w:w="1100" w:type="dxa"/>
            <w:tcBorders>
              <w:bottom w:val="single" w:sz="2" w:space="0" w:color="000000"/>
            </w:tcBorders>
            <w:vAlign w:val="center"/>
          </w:tcPr>
          <w:p>
            <w:pPr>
              <w:pStyle w:val="TableContents"/>
              <w:bidi w:val="0"/>
              <w:spacing w:before="0" w:after="283"/>
              <w:jc w:val="right"/>
              <w:rPr/>
            </w:pPr>
            <w:r>
              <w:rPr/>
              <w:t>$1,062,489</w:t>
            </w:r>
          </w:p>
        </w:tc>
      </w:tr>
      <w:tr>
        <w:trPr/>
        <w:tc>
          <w:tcPr>
            <w:tcW w:w="695" w:type="dxa"/>
            <w:vMerge w:val="continue"/>
            <w:tcBorders>
              <w:bottom w:val="single" w:sz="2" w:space="0" w:color="000000"/>
            </w:tcBorders>
            <w:vAlign w:val="center"/>
          </w:tcPr>
          <w:p>
            <w:pPr>
              <w:pStyle w:val="Normal"/>
              <w:bidi w:val="0"/>
              <w:jc w:val="left"/>
              <w:rPr/>
            </w:pPr>
            <w:r>
              <w:rPr/>
            </w:r>
          </w:p>
        </w:tc>
        <w:tc>
          <w:tcPr>
            <w:tcW w:w="300" w:type="dxa"/>
            <w:tcBorders/>
            <w:tcMar>
              <w:bottom w:w="0" w:type="dxa"/>
            </w:tcMar>
            <w:vAlign w:val="center"/>
          </w:tcPr>
          <w:p>
            <w:pPr>
              <w:pStyle w:val="TableContents"/>
              <w:bidi w:val="0"/>
              <w:spacing w:before="0" w:after="283"/>
              <w:jc w:val="left"/>
              <w:rPr/>
            </w:pPr>
            <w:r>
              <w:rPr/>
              <w:t> </w:t>
            </w:r>
          </w:p>
        </w:tc>
        <w:tc>
          <w:tcPr>
            <w:tcW w:w="1400" w:type="dxa"/>
            <w:tcBorders>
              <w:bottom w:val="single" w:sz="2" w:space="0" w:color="000000"/>
            </w:tcBorders>
            <w:vAlign w:val="center"/>
          </w:tcPr>
          <w:p>
            <w:pPr>
              <w:pStyle w:val="TableContents"/>
              <w:bidi w:val="0"/>
              <w:spacing w:before="0" w:after="283"/>
              <w:jc w:val="left"/>
              <w:rPr/>
            </w:pPr>
            <w:r>
              <w:rPr/>
              <w:t>UTC Company Automatic Contribution Excess Plan</w:t>
            </w:r>
          </w:p>
        </w:tc>
        <w:tc>
          <w:tcPr>
            <w:tcW w:w="300" w:type="dxa"/>
            <w:tcBorders>
              <w:bottom w:val="single" w:sz="2" w:space="0" w:color="000000"/>
            </w:tcBorders>
            <w:vAlign w:val="center"/>
          </w:tcPr>
          <w:p>
            <w:pPr>
              <w:pStyle w:val="TableContents"/>
              <w:bidi w:val="0"/>
              <w:spacing w:before="0" w:after="283"/>
              <w:jc w:val="left"/>
              <w:rPr/>
            </w:pPr>
            <w:r>
              <w:rPr/>
              <w:t> </w:t>
            </w:r>
          </w:p>
        </w:tc>
        <w:tc>
          <w:tcPr>
            <w:tcW w:w="1445" w:type="dxa"/>
            <w:tcBorders>
              <w:bottom w:val="single" w:sz="2" w:space="0" w:color="000000"/>
            </w:tcBorders>
            <w:vAlign w:val="center"/>
          </w:tcPr>
          <w:p>
            <w:pPr>
              <w:pStyle w:val="TableContents"/>
              <w:bidi w:val="0"/>
              <w:spacing w:before="0" w:after="283"/>
              <w:jc w:val="right"/>
              <w:rPr/>
            </w:pPr>
            <w:r>
              <w:rPr/>
              <w:t>$0</w:t>
            </w:r>
          </w:p>
        </w:tc>
        <w:tc>
          <w:tcPr>
            <w:tcW w:w="300" w:type="dxa"/>
            <w:tcBorders>
              <w:bottom w:val="single" w:sz="2" w:space="0" w:color="000000"/>
            </w:tcBorders>
            <w:vAlign w:val="center"/>
          </w:tcPr>
          <w:p>
            <w:pPr>
              <w:pStyle w:val="TableContents"/>
              <w:bidi w:val="0"/>
              <w:spacing w:before="0" w:after="283"/>
              <w:jc w:val="left"/>
              <w:rPr/>
            </w:pPr>
            <w:r>
              <w:rPr/>
              <w:t> </w:t>
            </w:r>
          </w:p>
        </w:tc>
        <w:tc>
          <w:tcPr>
            <w:tcW w:w="1445" w:type="dxa"/>
            <w:tcBorders>
              <w:bottom w:val="single" w:sz="2" w:space="0" w:color="000000"/>
            </w:tcBorders>
            <w:vAlign w:val="center"/>
          </w:tcPr>
          <w:p>
            <w:pPr>
              <w:pStyle w:val="TableContents"/>
              <w:bidi w:val="0"/>
              <w:spacing w:before="0" w:after="283"/>
              <w:jc w:val="right"/>
              <w:rPr/>
            </w:pPr>
            <w:r>
              <w:rPr/>
              <w:t>$0</w:t>
            </w:r>
          </w:p>
        </w:tc>
        <w:tc>
          <w:tcPr>
            <w:tcW w:w="300" w:type="dxa"/>
            <w:tcBorders>
              <w:bottom w:val="single" w:sz="2" w:space="0" w:color="000000"/>
            </w:tcBorders>
            <w:vAlign w:val="center"/>
          </w:tcPr>
          <w:p>
            <w:pPr>
              <w:pStyle w:val="TableContents"/>
              <w:bidi w:val="0"/>
              <w:spacing w:before="0" w:after="283"/>
              <w:jc w:val="left"/>
              <w:rPr/>
            </w:pPr>
            <w:r>
              <w:rPr/>
              <w:t> </w:t>
            </w:r>
          </w:p>
        </w:tc>
        <w:tc>
          <w:tcPr>
            <w:tcW w:w="1070" w:type="dxa"/>
            <w:tcBorders>
              <w:bottom w:val="single" w:sz="2" w:space="0" w:color="000000"/>
            </w:tcBorders>
            <w:vAlign w:val="center"/>
          </w:tcPr>
          <w:p>
            <w:pPr>
              <w:pStyle w:val="TableContents"/>
              <w:bidi w:val="0"/>
              <w:spacing w:before="0" w:after="283"/>
              <w:jc w:val="right"/>
              <w:rPr/>
            </w:pPr>
            <w:r>
              <w:rPr/>
              <w:t>$55,079</w:t>
            </w:r>
          </w:p>
        </w:tc>
        <w:tc>
          <w:tcPr>
            <w:tcW w:w="300" w:type="dxa"/>
            <w:tcBorders>
              <w:bottom w:val="single" w:sz="2" w:space="0" w:color="000000"/>
            </w:tcBorders>
            <w:vAlign w:val="center"/>
          </w:tcPr>
          <w:p>
            <w:pPr>
              <w:pStyle w:val="TableContents"/>
              <w:bidi w:val="0"/>
              <w:spacing w:before="0" w:after="283"/>
              <w:jc w:val="left"/>
              <w:rPr/>
            </w:pPr>
            <w:r>
              <w:rPr/>
              <w:t> </w:t>
            </w:r>
          </w:p>
        </w:tc>
        <w:tc>
          <w:tcPr>
            <w:tcW w:w="1400" w:type="dxa"/>
            <w:tcBorders>
              <w:bottom w:val="single" w:sz="2" w:space="0" w:color="000000"/>
            </w:tcBorders>
            <w:vAlign w:val="center"/>
          </w:tcPr>
          <w:p>
            <w:pPr>
              <w:pStyle w:val="TableContents"/>
              <w:bidi w:val="0"/>
              <w:spacing w:before="0" w:after="283"/>
              <w:jc w:val="right"/>
              <w:rPr/>
            </w:pPr>
            <w:r>
              <w:rPr/>
              <w:t>$0</w:t>
            </w:r>
          </w:p>
        </w:tc>
        <w:tc>
          <w:tcPr>
            <w:tcW w:w="300" w:type="dxa"/>
            <w:tcBorders>
              <w:bottom w:val="single" w:sz="2" w:space="0" w:color="000000"/>
            </w:tcBorders>
            <w:vAlign w:val="center"/>
          </w:tcPr>
          <w:p>
            <w:pPr>
              <w:pStyle w:val="TableContents"/>
              <w:bidi w:val="0"/>
              <w:spacing w:before="0" w:after="283"/>
              <w:jc w:val="left"/>
              <w:rPr/>
            </w:pPr>
            <w:r>
              <w:rPr/>
              <w:t> </w:t>
            </w:r>
          </w:p>
        </w:tc>
        <w:tc>
          <w:tcPr>
            <w:tcW w:w="1100" w:type="dxa"/>
            <w:tcBorders>
              <w:bottom w:val="single" w:sz="2" w:space="0" w:color="000000"/>
            </w:tcBorders>
            <w:vAlign w:val="center"/>
          </w:tcPr>
          <w:p>
            <w:pPr>
              <w:pStyle w:val="TableContents"/>
              <w:bidi w:val="0"/>
              <w:spacing w:before="0" w:after="283"/>
              <w:jc w:val="right"/>
              <w:rPr/>
            </w:pPr>
            <w:r>
              <w:rPr/>
              <w:t>$419,245</w:t>
            </w:r>
          </w:p>
        </w:tc>
      </w:tr>
      <w:tr>
        <w:trPr/>
        <w:tc>
          <w:tcPr>
            <w:tcW w:w="695" w:type="dxa"/>
            <w:vMerge w:val="continue"/>
            <w:tcBorders>
              <w:bottom w:val="single" w:sz="2" w:space="0" w:color="000000"/>
            </w:tcBorders>
            <w:vAlign w:val="center"/>
          </w:tcPr>
          <w:p>
            <w:pPr>
              <w:pStyle w:val="Normal"/>
              <w:bidi w:val="0"/>
              <w:jc w:val="left"/>
              <w:rPr/>
            </w:pPr>
            <w:r>
              <w:rPr/>
            </w:r>
          </w:p>
        </w:tc>
        <w:tc>
          <w:tcPr>
            <w:tcW w:w="300" w:type="dxa"/>
            <w:tcBorders>
              <w:bottom w:val="single" w:sz="2" w:space="0" w:color="000000"/>
            </w:tcBorders>
            <w:vAlign w:val="center"/>
          </w:tcPr>
          <w:p>
            <w:pPr>
              <w:pStyle w:val="TableContents"/>
              <w:bidi w:val="0"/>
              <w:spacing w:before="0" w:after="283"/>
              <w:jc w:val="left"/>
              <w:rPr/>
            </w:pPr>
            <w:r>
              <w:rPr/>
              <w:t> </w:t>
            </w:r>
          </w:p>
        </w:tc>
        <w:tc>
          <w:tcPr>
            <w:tcW w:w="1400" w:type="dxa"/>
            <w:tcBorders>
              <w:bottom w:val="single" w:sz="2" w:space="0" w:color="000000"/>
            </w:tcBorders>
            <w:vAlign w:val="center"/>
          </w:tcPr>
          <w:p>
            <w:pPr>
              <w:pStyle w:val="TableContents"/>
              <w:bidi w:val="0"/>
              <w:spacing w:before="0" w:after="283"/>
              <w:jc w:val="left"/>
              <w:rPr/>
            </w:pPr>
            <w:r>
              <w:rPr/>
              <w:t>UTC Savings Restoration Plan</w:t>
            </w:r>
          </w:p>
        </w:tc>
        <w:tc>
          <w:tcPr>
            <w:tcW w:w="300" w:type="dxa"/>
            <w:tcBorders>
              <w:bottom w:val="single" w:sz="2" w:space="0" w:color="000000"/>
            </w:tcBorders>
            <w:vAlign w:val="center"/>
          </w:tcPr>
          <w:p>
            <w:pPr>
              <w:pStyle w:val="TableContents"/>
              <w:bidi w:val="0"/>
              <w:spacing w:before="0" w:after="283"/>
              <w:jc w:val="left"/>
              <w:rPr/>
            </w:pPr>
            <w:r>
              <w:rPr/>
              <w:t> </w:t>
            </w:r>
          </w:p>
        </w:tc>
        <w:tc>
          <w:tcPr>
            <w:tcW w:w="1445" w:type="dxa"/>
            <w:tcBorders>
              <w:bottom w:val="single" w:sz="2" w:space="0" w:color="000000"/>
            </w:tcBorders>
            <w:vAlign w:val="center"/>
          </w:tcPr>
          <w:p>
            <w:pPr>
              <w:pStyle w:val="TableContents"/>
              <w:bidi w:val="0"/>
              <w:spacing w:before="0" w:after="283"/>
              <w:jc w:val="right"/>
              <w:rPr/>
            </w:pPr>
            <w:r>
              <w:rPr/>
              <w:t>$0</w:t>
            </w:r>
          </w:p>
        </w:tc>
        <w:tc>
          <w:tcPr>
            <w:tcW w:w="300" w:type="dxa"/>
            <w:tcBorders>
              <w:bottom w:val="single" w:sz="2" w:space="0" w:color="000000"/>
            </w:tcBorders>
            <w:vAlign w:val="center"/>
          </w:tcPr>
          <w:p>
            <w:pPr>
              <w:pStyle w:val="TableContents"/>
              <w:bidi w:val="0"/>
              <w:spacing w:before="0" w:after="283"/>
              <w:jc w:val="left"/>
              <w:rPr/>
            </w:pPr>
            <w:r>
              <w:rPr/>
              <w:t> </w:t>
            </w:r>
          </w:p>
        </w:tc>
        <w:tc>
          <w:tcPr>
            <w:tcW w:w="1445" w:type="dxa"/>
            <w:tcBorders>
              <w:bottom w:val="single" w:sz="2" w:space="0" w:color="000000"/>
            </w:tcBorders>
            <w:vAlign w:val="center"/>
          </w:tcPr>
          <w:p>
            <w:pPr>
              <w:pStyle w:val="TableContents"/>
              <w:bidi w:val="0"/>
              <w:spacing w:before="0" w:after="283"/>
              <w:jc w:val="right"/>
              <w:rPr/>
            </w:pPr>
            <w:r>
              <w:rPr/>
              <w:t>$0</w:t>
            </w:r>
          </w:p>
        </w:tc>
        <w:tc>
          <w:tcPr>
            <w:tcW w:w="300" w:type="dxa"/>
            <w:tcBorders>
              <w:bottom w:val="single" w:sz="2" w:space="0" w:color="000000"/>
            </w:tcBorders>
            <w:vAlign w:val="center"/>
          </w:tcPr>
          <w:p>
            <w:pPr>
              <w:pStyle w:val="TableContents"/>
              <w:bidi w:val="0"/>
              <w:spacing w:before="0" w:after="283"/>
              <w:jc w:val="left"/>
              <w:rPr/>
            </w:pPr>
            <w:r>
              <w:rPr/>
              <w:t> </w:t>
            </w:r>
          </w:p>
        </w:tc>
        <w:tc>
          <w:tcPr>
            <w:tcW w:w="1070" w:type="dxa"/>
            <w:tcBorders>
              <w:bottom w:val="single" w:sz="2" w:space="0" w:color="000000"/>
            </w:tcBorders>
            <w:vAlign w:val="center"/>
          </w:tcPr>
          <w:p>
            <w:pPr>
              <w:pStyle w:val="TableContents"/>
              <w:bidi w:val="0"/>
              <w:spacing w:before="0" w:after="283"/>
              <w:jc w:val="right"/>
              <w:rPr/>
            </w:pPr>
            <w:r>
              <w:rPr/>
              <w:t>$311,770</w:t>
            </w:r>
          </w:p>
        </w:tc>
        <w:tc>
          <w:tcPr>
            <w:tcW w:w="300" w:type="dxa"/>
            <w:tcBorders>
              <w:bottom w:val="single" w:sz="2" w:space="0" w:color="000000"/>
            </w:tcBorders>
            <w:vAlign w:val="center"/>
          </w:tcPr>
          <w:p>
            <w:pPr>
              <w:pStyle w:val="TableContents"/>
              <w:bidi w:val="0"/>
              <w:spacing w:before="0" w:after="283"/>
              <w:jc w:val="left"/>
              <w:rPr/>
            </w:pPr>
            <w:r>
              <w:rPr/>
              <w:t> </w:t>
            </w:r>
          </w:p>
        </w:tc>
        <w:tc>
          <w:tcPr>
            <w:tcW w:w="1400" w:type="dxa"/>
            <w:tcBorders>
              <w:bottom w:val="single" w:sz="2" w:space="0" w:color="000000"/>
            </w:tcBorders>
            <w:vAlign w:val="center"/>
          </w:tcPr>
          <w:p>
            <w:pPr>
              <w:pStyle w:val="TableContents"/>
              <w:bidi w:val="0"/>
              <w:spacing w:before="0" w:after="283"/>
              <w:jc w:val="right"/>
              <w:rPr/>
            </w:pPr>
            <w:r>
              <w:rPr/>
              <w:t>$0</w:t>
            </w:r>
          </w:p>
        </w:tc>
        <w:tc>
          <w:tcPr>
            <w:tcW w:w="300" w:type="dxa"/>
            <w:tcBorders>
              <w:bottom w:val="single" w:sz="2" w:space="0" w:color="000000"/>
            </w:tcBorders>
            <w:vAlign w:val="center"/>
          </w:tcPr>
          <w:p>
            <w:pPr>
              <w:pStyle w:val="TableContents"/>
              <w:bidi w:val="0"/>
              <w:spacing w:before="0" w:after="283"/>
              <w:jc w:val="left"/>
              <w:rPr/>
            </w:pPr>
            <w:r>
              <w:rPr/>
              <w:t> </w:t>
            </w:r>
          </w:p>
        </w:tc>
        <w:tc>
          <w:tcPr>
            <w:tcW w:w="1100" w:type="dxa"/>
            <w:tcBorders>
              <w:bottom w:val="single" w:sz="2" w:space="0" w:color="000000"/>
            </w:tcBorders>
            <w:vAlign w:val="center"/>
          </w:tcPr>
          <w:p>
            <w:pPr>
              <w:pStyle w:val="TableContents"/>
              <w:bidi w:val="0"/>
              <w:spacing w:before="0" w:after="283"/>
              <w:jc w:val="right"/>
              <w:rPr/>
            </w:pPr>
            <w:r>
              <w:rPr/>
              <w:t>$1,216,388</w:t>
            </w:r>
          </w:p>
        </w:tc>
      </w:tr>
      <w:tr>
        <w:trPr/>
        <w:tc>
          <w:tcPr>
            <w:tcW w:w="695" w:type="dxa"/>
            <w:vMerge w:val="restart"/>
            <w:tcBorders>
              <w:bottom w:val="single" w:sz="12" w:space="0" w:color="636466"/>
            </w:tcBorders>
            <w:vAlign w:val="center"/>
          </w:tcPr>
          <w:p>
            <w:pPr>
              <w:pStyle w:val="TableContents"/>
              <w:bidi w:val="0"/>
              <w:spacing w:before="0" w:after="283"/>
              <w:jc w:val="left"/>
              <w:rPr>
                <w:b/>
              </w:rPr>
            </w:pPr>
            <w:r>
              <w:rPr>
                <w:b/>
              </w:rPr>
              <w:t>T. Brunk</w:t>
            </w:r>
          </w:p>
        </w:tc>
        <w:tc>
          <w:tcPr>
            <w:tcW w:w="300" w:type="dxa"/>
            <w:tcBorders/>
            <w:tcMar>
              <w:bottom w:w="0" w:type="dxa"/>
            </w:tcMar>
            <w:vAlign w:val="center"/>
          </w:tcPr>
          <w:p>
            <w:pPr>
              <w:pStyle w:val="TableContents"/>
              <w:bidi w:val="0"/>
              <w:spacing w:before="0" w:after="283"/>
              <w:jc w:val="left"/>
              <w:rPr/>
            </w:pPr>
            <w:r>
              <w:rPr/>
              <w:t> </w:t>
            </w:r>
          </w:p>
        </w:tc>
        <w:tc>
          <w:tcPr>
            <w:tcW w:w="1400" w:type="dxa"/>
            <w:tcBorders>
              <w:bottom w:val="single" w:sz="2" w:space="0" w:color="000000"/>
            </w:tcBorders>
            <w:vAlign w:val="center"/>
          </w:tcPr>
          <w:p>
            <w:pPr>
              <w:pStyle w:val="TableContents"/>
              <w:bidi w:val="0"/>
              <w:spacing w:before="0" w:after="283"/>
              <w:jc w:val="left"/>
              <w:rPr/>
            </w:pPr>
            <w:r>
              <w:rPr/>
              <w:t>RTX Compensation Deferral Plan</w:t>
            </w:r>
          </w:p>
        </w:tc>
        <w:tc>
          <w:tcPr>
            <w:tcW w:w="300" w:type="dxa"/>
            <w:tcBorders>
              <w:bottom w:val="single" w:sz="2" w:space="0" w:color="000000"/>
            </w:tcBorders>
            <w:vAlign w:val="center"/>
          </w:tcPr>
          <w:p>
            <w:pPr>
              <w:pStyle w:val="TableContents"/>
              <w:bidi w:val="0"/>
              <w:spacing w:before="0" w:after="283"/>
              <w:jc w:val="left"/>
              <w:rPr/>
            </w:pPr>
            <w:r>
              <w:rPr/>
              <w:t> </w:t>
            </w:r>
          </w:p>
        </w:tc>
        <w:tc>
          <w:tcPr>
            <w:tcW w:w="1445" w:type="dxa"/>
            <w:tcBorders>
              <w:bottom w:val="single" w:sz="2" w:space="0" w:color="000000"/>
            </w:tcBorders>
            <w:vAlign w:val="center"/>
          </w:tcPr>
          <w:p>
            <w:pPr>
              <w:pStyle w:val="TableContents"/>
              <w:bidi w:val="0"/>
              <w:spacing w:before="0" w:after="283"/>
              <w:jc w:val="right"/>
              <w:rPr/>
            </w:pPr>
            <w:r>
              <w:rPr/>
              <w:t>$220,510</w:t>
            </w:r>
          </w:p>
        </w:tc>
        <w:tc>
          <w:tcPr>
            <w:tcW w:w="300" w:type="dxa"/>
            <w:tcBorders>
              <w:bottom w:val="single" w:sz="2" w:space="0" w:color="000000"/>
            </w:tcBorders>
            <w:vAlign w:val="center"/>
          </w:tcPr>
          <w:p>
            <w:pPr>
              <w:pStyle w:val="TableContents"/>
              <w:bidi w:val="0"/>
              <w:spacing w:before="0" w:after="283"/>
              <w:jc w:val="left"/>
              <w:rPr/>
            </w:pPr>
            <w:r>
              <w:rPr/>
              <w:t> </w:t>
            </w:r>
          </w:p>
        </w:tc>
        <w:tc>
          <w:tcPr>
            <w:tcW w:w="1445" w:type="dxa"/>
            <w:tcBorders>
              <w:bottom w:val="single" w:sz="2" w:space="0" w:color="000000"/>
            </w:tcBorders>
            <w:vAlign w:val="center"/>
          </w:tcPr>
          <w:p>
            <w:pPr>
              <w:pStyle w:val="TableContents"/>
              <w:bidi w:val="0"/>
              <w:spacing w:before="0" w:after="283"/>
              <w:jc w:val="right"/>
              <w:rPr/>
            </w:pPr>
            <w:r>
              <w:rPr/>
              <w:t>$109,534</w:t>
            </w:r>
          </w:p>
        </w:tc>
        <w:tc>
          <w:tcPr>
            <w:tcW w:w="300" w:type="dxa"/>
            <w:tcBorders>
              <w:bottom w:val="single" w:sz="2" w:space="0" w:color="000000"/>
            </w:tcBorders>
            <w:vAlign w:val="center"/>
          </w:tcPr>
          <w:p>
            <w:pPr>
              <w:pStyle w:val="TableContents"/>
              <w:bidi w:val="0"/>
              <w:spacing w:before="0" w:after="283"/>
              <w:jc w:val="left"/>
              <w:rPr/>
            </w:pPr>
            <w:r>
              <w:rPr/>
              <w:t> </w:t>
            </w:r>
          </w:p>
        </w:tc>
        <w:tc>
          <w:tcPr>
            <w:tcW w:w="1070" w:type="dxa"/>
            <w:tcBorders>
              <w:bottom w:val="single" w:sz="2" w:space="0" w:color="000000"/>
            </w:tcBorders>
            <w:vAlign w:val="center"/>
          </w:tcPr>
          <w:p>
            <w:pPr>
              <w:pStyle w:val="TableContents"/>
              <w:bidi w:val="0"/>
              <w:spacing w:before="0" w:after="283"/>
              <w:jc w:val="right"/>
              <w:rPr/>
            </w:pPr>
            <w:r>
              <w:rPr/>
              <w:t>$117,722</w:t>
            </w:r>
          </w:p>
        </w:tc>
        <w:tc>
          <w:tcPr>
            <w:tcW w:w="300" w:type="dxa"/>
            <w:tcBorders>
              <w:bottom w:val="single" w:sz="2" w:space="0" w:color="000000"/>
            </w:tcBorders>
            <w:vAlign w:val="center"/>
          </w:tcPr>
          <w:p>
            <w:pPr>
              <w:pStyle w:val="TableContents"/>
              <w:bidi w:val="0"/>
              <w:spacing w:before="0" w:after="283"/>
              <w:jc w:val="left"/>
              <w:rPr/>
            </w:pPr>
            <w:r>
              <w:rPr/>
              <w:t> </w:t>
            </w:r>
          </w:p>
        </w:tc>
        <w:tc>
          <w:tcPr>
            <w:tcW w:w="1400" w:type="dxa"/>
            <w:tcBorders>
              <w:bottom w:val="single" w:sz="2" w:space="0" w:color="000000"/>
            </w:tcBorders>
            <w:vAlign w:val="center"/>
          </w:tcPr>
          <w:p>
            <w:pPr>
              <w:pStyle w:val="TableContents"/>
              <w:bidi w:val="0"/>
              <w:spacing w:before="0" w:after="283"/>
              <w:jc w:val="right"/>
              <w:rPr/>
            </w:pPr>
            <w:r>
              <w:rPr/>
              <w:t>$0</w:t>
            </w:r>
          </w:p>
        </w:tc>
        <w:tc>
          <w:tcPr>
            <w:tcW w:w="300" w:type="dxa"/>
            <w:tcBorders>
              <w:bottom w:val="single" w:sz="2" w:space="0" w:color="000000"/>
            </w:tcBorders>
            <w:vAlign w:val="center"/>
          </w:tcPr>
          <w:p>
            <w:pPr>
              <w:pStyle w:val="TableContents"/>
              <w:bidi w:val="0"/>
              <w:spacing w:before="0" w:after="283"/>
              <w:jc w:val="left"/>
              <w:rPr/>
            </w:pPr>
            <w:r>
              <w:rPr/>
              <w:t> </w:t>
            </w:r>
          </w:p>
        </w:tc>
        <w:tc>
          <w:tcPr>
            <w:tcW w:w="1100" w:type="dxa"/>
            <w:tcBorders>
              <w:bottom w:val="single" w:sz="2" w:space="0" w:color="000000"/>
            </w:tcBorders>
            <w:vAlign w:val="center"/>
          </w:tcPr>
          <w:p>
            <w:pPr>
              <w:pStyle w:val="TableContents"/>
              <w:bidi w:val="0"/>
              <w:spacing w:before="0" w:after="283"/>
              <w:jc w:val="right"/>
              <w:rPr/>
            </w:pPr>
            <w:r>
              <w:rPr/>
              <w:t>$756,540</w:t>
            </w:r>
          </w:p>
        </w:tc>
      </w:tr>
      <w:tr>
        <w:trPr/>
        <w:tc>
          <w:tcPr>
            <w:tcW w:w="695" w:type="dxa"/>
            <w:vMerge w:val="continue"/>
            <w:tcBorders>
              <w:bottom w:val="single" w:sz="12" w:space="0" w:color="636466"/>
            </w:tcBorders>
            <w:vAlign w:val="center"/>
          </w:tcPr>
          <w:p>
            <w:pPr>
              <w:pStyle w:val="Normal"/>
              <w:bidi w:val="0"/>
              <w:jc w:val="left"/>
              <w:rPr/>
            </w:pPr>
            <w:r>
              <w:rPr/>
            </w:r>
          </w:p>
        </w:tc>
        <w:tc>
          <w:tcPr>
            <w:tcW w:w="300" w:type="dxa"/>
            <w:tcBorders/>
            <w:tcMar>
              <w:bottom w:w="0" w:type="dxa"/>
            </w:tcMar>
            <w:vAlign w:val="center"/>
          </w:tcPr>
          <w:p>
            <w:pPr>
              <w:pStyle w:val="TableContents"/>
              <w:bidi w:val="0"/>
              <w:spacing w:before="0" w:after="283"/>
              <w:jc w:val="left"/>
              <w:rPr/>
            </w:pPr>
            <w:r>
              <w:rPr/>
              <w:t> </w:t>
            </w:r>
          </w:p>
        </w:tc>
        <w:tc>
          <w:tcPr>
            <w:tcW w:w="1400" w:type="dxa"/>
            <w:tcBorders>
              <w:bottom w:val="single" w:sz="2" w:space="0" w:color="000000"/>
            </w:tcBorders>
            <w:vAlign w:val="center"/>
          </w:tcPr>
          <w:p>
            <w:pPr>
              <w:pStyle w:val="TableContents"/>
              <w:bidi w:val="0"/>
              <w:spacing w:before="0" w:after="283"/>
              <w:jc w:val="left"/>
              <w:rPr/>
            </w:pPr>
            <w:r>
              <w:rPr/>
              <w:t>UTC Company Automatic Contribution Excess Plan</w:t>
            </w:r>
          </w:p>
        </w:tc>
        <w:tc>
          <w:tcPr>
            <w:tcW w:w="300" w:type="dxa"/>
            <w:tcBorders>
              <w:bottom w:val="single" w:sz="2" w:space="0" w:color="000000"/>
            </w:tcBorders>
            <w:vAlign w:val="center"/>
          </w:tcPr>
          <w:p>
            <w:pPr>
              <w:pStyle w:val="TableContents"/>
              <w:bidi w:val="0"/>
              <w:spacing w:before="0" w:after="283"/>
              <w:jc w:val="left"/>
              <w:rPr/>
            </w:pPr>
            <w:r>
              <w:rPr/>
              <w:t> </w:t>
            </w:r>
          </w:p>
        </w:tc>
        <w:tc>
          <w:tcPr>
            <w:tcW w:w="1445" w:type="dxa"/>
            <w:tcBorders>
              <w:bottom w:val="single" w:sz="2" w:space="0" w:color="000000"/>
            </w:tcBorders>
            <w:vAlign w:val="center"/>
          </w:tcPr>
          <w:p>
            <w:pPr>
              <w:pStyle w:val="TableContents"/>
              <w:bidi w:val="0"/>
              <w:spacing w:before="0" w:after="283"/>
              <w:jc w:val="right"/>
              <w:rPr/>
            </w:pPr>
            <w:r>
              <w:rPr/>
              <w:t>$0</w:t>
            </w:r>
          </w:p>
        </w:tc>
        <w:tc>
          <w:tcPr>
            <w:tcW w:w="300" w:type="dxa"/>
            <w:tcBorders>
              <w:bottom w:val="single" w:sz="2" w:space="0" w:color="000000"/>
            </w:tcBorders>
            <w:vAlign w:val="center"/>
          </w:tcPr>
          <w:p>
            <w:pPr>
              <w:pStyle w:val="TableContents"/>
              <w:bidi w:val="0"/>
              <w:spacing w:before="0" w:after="283"/>
              <w:jc w:val="left"/>
              <w:rPr/>
            </w:pPr>
            <w:r>
              <w:rPr/>
              <w:t> </w:t>
            </w:r>
          </w:p>
        </w:tc>
        <w:tc>
          <w:tcPr>
            <w:tcW w:w="1445" w:type="dxa"/>
            <w:tcBorders>
              <w:bottom w:val="single" w:sz="2" w:space="0" w:color="000000"/>
            </w:tcBorders>
            <w:vAlign w:val="center"/>
          </w:tcPr>
          <w:p>
            <w:pPr>
              <w:pStyle w:val="TableContents"/>
              <w:bidi w:val="0"/>
              <w:spacing w:before="0" w:after="283"/>
              <w:jc w:val="right"/>
              <w:rPr/>
            </w:pPr>
            <w:r>
              <w:rPr/>
              <w:t>$0</w:t>
            </w:r>
          </w:p>
        </w:tc>
        <w:tc>
          <w:tcPr>
            <w:tcW w:w="300" w:type="dxa"/>
            <w:tcBorders>
              <w:bottom w:val="single" w:sz="2" w:space="0" w:color="000000"/>
            </w:tcBorders>
            <w:vAlign w:val="center"/>
          </w:tcPr>
          <w:p>
            <w:pPr>
              <w:pStyle w:val="TableContents"/>
              <w:bidi w:val="0"/>
              <w:spacing w:before="0" w:after="283"/>
              <w:jc w:val="left"/>
              <w:rPr/>
            </w:pPr>
            <w:r>
              <w:rPr/>
              <w:t> </w:t>
            </w:r>
          </w:p>
        </w:tc>
        <w:tc>
          <w:tcPr>
            <w:tcW w:w="1070" w:type="dxa"/>
            <w:tcBorders>
              <w:bottom w:val="single" w:sz="2" w:space="0" w:color="000000"/>
            </w:tcBorders>
            <w:vAlign w:val="center"/>
          </w:tcPr>
          <w:p>
            <w:pPr>
              <w:pStyle w:val="TableContents"/>
              <w:bidi w:val="0"/>
              <w:spacing w:before="0" w:after="283"/>
              <w:jc w:val="right"/>
              <w:rPr/>
            </w:pPr>
            <w:r>
              <w:rPr/>
              <w:t>$24,489</w:t>
            </w:r>
          </w:p>
        </w:tc>
        <w:tc>
          <w:tcPr>
            <w:tcW w:w="300" w:type="dxa"/>
            <w:tcBorders>
              <w:bottom w:val="single" w:sz="2" w:space="0" w:color="000000"/>
            </w:tcBorders>
            <w:vAlign w:val="center"/>
          </w:tcPr>
          <w:p>
            <w:pPr>
              <w:pStyle w:val="TableContents"/>
              <w:bidi w:val="0"/>
              <w:spacing w:before="0" w:after="283"/>
              <w:jc w:val="left"/>
              <w:rPr/>
            </w:pPr>
            <w:r>
              <w:rPr/>
              <w:t> </w:t>
            </w:r>
          </w:p>
        </w:tc>
        <w:tc>
          <w:tcPr>
            <w:tcW w:w="1400" w:type="dxa"/>
            <w:tcBorders>
              <w:bottom w:val="single" w:sz="2" w:space="0" w:color="000000"/>
            </w:tcBorders>
            <w:vAlign w:val="center"/>
          </w:tcPr>
          <w:p>
            <w:pPr>
              <w:pStyle w:val="TableContents"/>
              <w:bidi w:val="0"/>
              <w:spacing w:before="0" w:after="283"/>
              <w:jc w:val="right"/>
              <w:rPr/>
            </w:pPr>
            <w:r>
              <w:rPr/>
              <w:t>$0</w:t>
            </w:r>
          </w:p>
        </w:tc>
        <w:tc>
          <w:tcPr>
            <w:tcW w:w="300" w:type="dxa"/>
            <w:tcBorders>
              <w:bottom w:val="single" w:sz="2" w:space="0" w:color="000000"/>
            </w:tcBorders>
            <w:vAlign w:val="center"/>
          </w:tcPr>
          <w:p>
            <w:pPr>
              <w:pStyle w:val="TableContents"/>
              <w:bidi w:val="0"/>
              <w:spacing w:before="0" w:after="283"/>
              <w:jc w:val="left"/>
              <w:rPr/>
            </w:pPr>
            <w:r>
              <w:rPr/>
              <w:t> </w:t>
            </w:r>
          </w:p>
        </w:tc>
        <w:tc>
          <w:tcPr>
            <w:tcW w:w="1100" w:type="dxa"/>
            <w:tcBorders>
              <w:bottom w:val="single" w:sz="2" w:space="0" w:color="000000"/>
            </w:tcBorders>
            <w:vAlign w:val="center"/>
          </w:tcPr>
          <w:p>
            <w:pPr>
              <w:pStyle w:val="TableContents"/>
              <w:bidi w:val="0"/>
              <w:spacing w:before="0" w:after="283"/>
              <w:jc w:val="right"/>
              <w:rPr/>
            </w:pPr>
            <w:r>
              <w:rPr/>
              <w:t>$139,994</w:t>
            </w:r>
          </w:p>
        </w:tc>
      </w:tr>
      <w:tr>
        <w:trPr/>
        <w:tc>
          <w:tcPr>
            <w:tcW w:w="695" w:type="dxa"/>
            <w:vMerge w:val="continue"/>
            <w:tcBorders>
              <w:bottom w:val="single" w:sz="12" w:space="0" w:color="636466"/>
            </w:tcBorders>
            <w:vAlign w:val="center"/>
          </w:tcPr>
          <w:p>
            <w:pPr>
              <w:pStyle w:val="Normal"/>
              <w:bidi w:val="0"/>
              <w:jc w:val="left"/>
              <w:rPr/>
            </w:pPr>
            <w:r>
              <w:rPr/>
            </w:r>
          </w:p>
        </w:tc>
        <w:tc>
          <w:tcPr>
            <w:tcW w:w="300" w:type="dxa"/>
            <w:tcBorders/>
            <w:tcMar>
              <w:bottom w:w="0" w:type="dxa"/>
            </w:tcMar>
            <w:vAlign w:val="center"/>
          </w:tcPr>
          <w:p>
            <w:pPr>
              <w:pStyle w:val="TableContents"/>
              <w:bidi w:val="0"/>
              <w:spacing w:before="0" w:after="283"/>
              <w:jc w:val="left"/>
              <w:rPr/>
            </w:pPr>
            <w:r>
              <w:rPr/>
              <w:t> </w:t>
            </w:r>
          </w:p>
        </w:tc>
        <w:tc>
          <w:tcPr>
            <w:tcW w:w="1400" w:type="dxa"/>
            <w:tcBorders>
              <w:bottom w:val="single" w:sz="2" w:space="0" w:color="000000"/>
            </w:tcBorders>
            <w:vAlign w:val="center"/>
          </w:tcPr>
          <w:p>
            <w:pPr>
              <w:pStyle w:val="TableContents"/>
              <w:bidi w:val="0"/>
              <w:spacing w:before="0" w:after="283"/>
              <w:jc w:val="left"/>
              <w:rPr/>
            </w:pPr>
            <w:r>
              <w:rPr/>
              <w:t>UTC Savings Restoration Plan</w:t>
            </w:r>
          </w:p>
        </w:tc>
        <w:tc>
          <w:tcPr>
            <w:tcW w:w="300" w:type="dxa"/>
            <w:tcBorders>
              <w:bottom w:val="single" w:sz="2" w:space="0" w:color="000000"/>
            </w:tcBorders>
            <w:vAlign w:val="center"/>
          </w:tcPr>
          <w:p>
            <w:pPr>
              <w:pStyle w:val="TableContents"/>
              <w:bidi w:val="0"/>
              <w:spacing w:before="0" w:after="283"/>
              <w:jc w:val="left"/>
              <w:rPr/>
            </w:pPr>
            <w:r>
              <w:rPr/>
              <w:t> </w:t>
            </w:r>
          </w:p>
        </w:tc>
        <w:tc>
          <w:tcPr>
            <w:tcW w:w="1445" w:type="dxa"/>
            <w:tcBorders>
              <w:bottom w:val="single" w:sz="2" w:space="0" w:color="000000"/>
            </w:tcBorders>
            <w:vAlign w:val="center"/>
          </w:tcPr>
          <w:p>
            <w:pPr>
              <w:pStyle w:val="TableContents"/>
              <w:bidi w:val="0"/>
              <w:spacing w:before="0" w:after="283"/>
              <w:jc w:val="right"/>
              <w:rPr/>
            </w:pPr>
            <w:r>
              <w:rPr/>
              <w:t>$0</w:t>
            </w:r>
          </w:p>
        </w:tc>
        <w:tc>
          <w:tcPr>
            <w:tcW w:w="300" w:type="dxa"/>
            <w:tcBorders>
              <w:bottom w:val="single" w:sz="2" w:space="0" w:color="000000"/>
            </w:tcBorders>
            <w:vAlign w:val="center"/>
          </w:tcPr>
          <w:p>
            <w:pPr>
              <w:pStyle w:val="TableContents"/>
              <w:bidi w:val="0"/>
              <w:spacing w:before="0" w:after="283"/>
              <w:jc w:val="left"/>
              <w:rPr/>
            </w:pPr>
            <w:r>
              <w:rPr/>
              <w:t> </w:t>
            </w:r>
          </w:p>
        </w:tc>
        <w:tc>
          <w:tcPr>
            <w:tcW w:w="1445" w:type="dxa"/>
            <w:tcBorders>
              <w:bottom w:val="single" w:sz="2" w:space="0" w:color="000000"/>
            </w:tcBorders>
            <w:vAlign w:val="center"/>
          </w:tcPr>
          <w:p>
            <w:pPr>
              <w:pStyle w:val="TableContents"/>
              <w:bidi w:val="0"/>
              <w:spacing w:before="0" w:after="283"/>
              <w:jc w:val="right"/>
              <w:rPr/>
            </w:pPr>
            <w:r>
              <w:rPr/>
              <w:t>$0</w:t>
            </w:r>
          </w:p>
        </w:tc>
        <w:tc>
          <w:tcPr>
            <w:tcW w:w="300" w:type="dxa"/>
            <w:tcBorders>
              <w:bottom w:val="single" w:sz="2" w:space="0" w:color="000000"/>
            </w:tcBorders>
            <w:vAlign w:val="center"/>
          </w:tcPr>
          <w:p>
            <w:pPr>
              <w:pStyle w:val="TableContents"/>
              <w:bidi w:val="0"/>
              <w:spacing w:before="0" w:after="283"/>
              <w:jc w:val="left"/>
              <w:rPr/>
            </w:pPr>
            <w:r>
              <w:rPr/>
              <w:t> </w:t>
            </w:r>
          </w:p>
        </w:tc>
        <w:tc>
          <w:tcPr>
            <w:tcW w:w="1070" w:type="dxa"/>
            <w:tcBorders>
              <w:bottom w:val="single" w:sz="2" w:space="0" w:color="000000"/>
            </w:tcBorders>
            <w:vAlign w:val="center"/>
          </w:tcPr>
          <w:p>
            <w:pPr>
              <w:pStyle w:val="TableContents"/>
              <w:bidi w:val="0"/>
              <w:spacing w:before="0" w:after="283"/>
              <w:jc w:val="right"/>
              <w:rPr/>
            </w:pPr>
            <w:r>
              <w:rPr/>
              <w:t>$50,929</w:t>
            </w:r>
          </w:p>
        </w:tc>
        <w:tc>
          <w:tcPr>
            <w:tcW w:w="300" w:type="dxa"/>
            <w:tcBorders>
              <w:bottom w:val="single" w:sz="2" w:space="0" w:color="000000"/>
            </w:tcBorders>
            <w:vAlign w:val="center"/>
          </w:tcPr>
          <w:p>
            <w:pPr>
              <w:pStyle w:val="TableContents"/>
              <w:bidi w:val="0"/>
              <w:spacing w:before="0" w:after="283"/>
              <w:jc w:val="left"/>
              <w:rPr/>
            </w:pPr>
            <w:r>
              <w:rPr/>
              <w:t> </w:t>
            </w:r>
          </w:p>
        </w:tc>
        <w:tc>
          <w:tcPr>
            <w:tcW w:w="1400" w:type="dxa"/>
            <w:tcBorders>
              <w:bottom w:val="single" w:sz="2" w:space="0" w:color="000000"/>
            </w:tcBorders>
            <w:vAlign w:val="center"/>
          </w:tcPr>
          <w:p>
            <w:pPr>
              <w:pStyle w:val="TableContents"/>
              <w:bidi w:val="0"/>
              <w:spacing w:before="0" w:after="283"/>
              <w:jc w:val="right"/>
              <w:rPr/>
            </w:pPr>
            <w:r>
              <w:rPr/>
              <w:t>$0</w:t>
            </w:r>
          </w:p>
        </w:tc>
        <w:tc>
          <w:tcPr>
            <w:tcW w:w="300" w:type="dxa"/>
            <w:tcBorders>
              <w:bottom w:val="single" w:sz="2" w:space="0" w:color="000000"/>
            </w:tcBorders>
            <w:vAlign w:val="center"/>
          </w:tcPr>
          <w:p>
            <w:pPr>
              <w:pStyle w:val="TableContents"/>
              <w:bidi w:val="0"/>
              <w:spacing w:before="0" w:after="283"/>
              <w:jc w:val="left"/>
              <w:rPr/>
            </w:pPr>
            <w:r>
              <w:rPr/>
              <w:t> </w:t>
            </w:r>
          </w:p>
        </w:tc>
        <w:tc>
          <w:tcPr>
            <w:tcW w:w="1100" w:type="dxa"/>
            <w:tcBorders>
              <w:bottom w:val="single" w:sz="2" w:space="0" w:color="000000"/>
            </w:tcBorders>
            <w:vAlign w:val="center"/>
          </w:tcPr>
          <w:p>
            <w:pPr>
              <w:pStyle w:val="TableContents"/>
              <w:bidi w:val="0"/>
              <w:spacing w:before="0" w:after="283"/>
              <w:jc w:val="right"/>
              <w:rPr/>
            </w:pPr>
            <w:r>
              <w:rPr/>
              <w:t>$150,081</w:t>
            </w:r>
          </w:p>
        </w:tc>
      </w:tr>
      <w:tr>
        <w:trPr/>
        <w:tc>
          <w:tcPr>
            <w:tcW w:w="695" w:type="dxa"/>
            <w:vMerge w:val="continue"/>
            <w:tcBorders>
              <w:bottom w:val="single" w:sz="12" w:space="0" w:color="636466"/>
            </w:tcBorders>
            <w:vAlign w:val="center"/>
          </w:tcPr>
          <w:p>
            <w:pPr>
              <w:pStyle w:val="Normal"/>
              <w:bidi w:val="0"/>
              <w:jc w:val="left"/>
              <w:rPr/>
            </w:pPr>
            <w:r>
              <w:rPr/>
            </w:r>
          </w:p>
        </w:tc>
        <w:tc>
          <w:tcPr>
            <w:tcW w:w="300" w:type="dxa"/>
            <w:tcBorders/>
            <w:tcMar>
              <w:bottom w:w="0" w:type="dxa"/>
            </w:tcMar>
            <w:vAlign w:val="center"/>
          </w:tcPr>
          <w:p>
            <w:pPr>
              <w:pStyle w:val="TableContents"/>
              <w:bidi w:val="0"/>
              <w:spacing w:before="0" w:after="283"/>
              <w:jc w:val="left"/>
              <w:rPr/>
            </w:pPr>
            <w:r>
              <w:rPr/>
              <w:t> </w:t>
            </w:r>
          </w:p>
        </w:tc>
        <w:tc>
          <w:tcPr>
            <w:tcW w:w="1400" w:type="dxa"/>
            <w:tcBorders>
              <w:bottom w:val="single" w:sz="2" w:space="0" w:color="000000"/>
            </w:tcBorders>
            <w:vAlign w:val="center"/>
          </w:tcPr>
          <w:p>
            <w:pPr>
              <w:pStyle w:val="TableContents"/>
              <w:bidi w:val="0"/>
              <w:spacing w:before="0" w:after="283"/>
              <w:jc w:val="left"/>
              <w:rPr/>
            </w:pPr>
            <w:r>
              <w:rPr/>
              <w:t>UTC Deferred Compensation Plan</w:t>
            </w:r>
          </w:p>
        </w:tc>
        <w:tc>
          <w:tcPr>
            <w:tcW w:w="300" w:type="dxa"/>
            <w:tcBorders>
              <w:bottom w:val="single" w:sz="2" w:space="0" w:color="000000"/>
            </w:tcBorders>
            <w:vAlign w:val="center"/>
          </w:tcPr>
          <w:p>
            <w:pPr>
              <w:pStyle w:val="TableContents"/>
              <w:bidi w:val="0"/>
              <w:spacing w:before="0" w:after="283"/>
              <w:jc w:val="left"/>
              <w:rPr/>
            </w:pPr>
            <w:r>
              <w:rPr/>
              <w:t> </w:t>
            </w:r>
          </w:p>
        </w:tc>
        <w:tc>
          <w:tcPr>
            <w:tcW w:w="1445" w:type="dxa"/>
            <w:tcBorders>
              <w:bottom w:val="single" w:sz="2" w:space="0" w:color="000000"/>
            </w:tcBorders>
            <w:vAlign w:val="center"/>
          </w:tcPr>
          <w:p>
            <w:pPr>
              <w:pStyle w:val="TableContents"/>
              <w:bidi w:val="0"/>
              <w:spacing w:before="0" w:after="283"/>
              <w:jc w:val="right"/>
              <w:rPr/>
            </w:pPr>
            <w:r>
              <w:rPr/>
              <w:t>$0</w:t>
            </w:r>
          </w:p>
        </w:tc>
        <w:tc>
          <w:tcPr>
            <w:tcW w:w="300" w:type="dxa"/>
            <w:tcBorders>
              <w:bottom w:val="single" w:sz="2" w:space="0" w:color="000000"/>
            </w:tcBorders>
            <w:vAlign w:val="center"/>
          </w:tcPr>
          <w:p>
            <w:pPr>
              <w:pStyle w:val="TableContents"/>
              <w:bidi w:val="0"/>
              <w:spacing w:before="0" w:after="283"/>
              <w:jc w:val="left"/>
              <w:rPr/>
            </w:pPr>
            <w:r>
              <w:rPr/>
              <w:t> </w:t>
            </w:r>
          </w:p>
        </w:tc>
        <w:tc>
          <w:tcPr>
            <w:tcW w:w="1445" w:type="dxa"/>
            <w:tcBorders>
              <w:bottom w:val="single" w:sz="2" w:space="0" w:color="000000"/>
            </w:tcBorders>
            <w:vAlign w:val="center"/>
          </w:tcPr>
          <w:p>
            <w:pPr>
              <w:pStyle w:val="TableContents"/>
              <w:bidi w:val="0"/>
              <w:spacing w:before="0" w:after="283"/>
              <w:jc w:val="right"/>
              <w:rPr/>
            </w:pPr>
            <w:r>
              <w:rPr/>
              <w:t>$0</w:t>
            </w:r>
          </w:p>
        </w:tc>
        <w:tc>
          <w:tcPr>
            <w:tcW w:w="300" w:type="dxa"/>
            <w:tcBorders>
              <w:bottom w:val="single" w:sz="2" w:space="0" w:color="000000"/>
            </w:tcBorders>
            <w:vAlign w:val="center"/>
          </w:tcPr>
          <w:p>
            <w:pPr>
              <w:pStyle w:val="TableContents"/>
              <w:bidi w:val="0"/>
              <w:spacing w:before="0" w:after="283"/>
              <w:jc w:val="left"/>
              <w:rPr/>
            </w:pPr>
            <w:r>
              <w:rPr/>
              <w:t> </w:t>
            </w:r>
          </w:p>
        </w:tc>
        <w:tc>
          <w:tcPr>
            <w:tcW w:w="1070" w:type="dxa"/>
            <w:tcBorders>
              <w:bottom w:val="single" w:sz="2" w:space="0" w:color="000000"/>
            </w:tcBorders>
            <w:vAlign w:val="center"/>
          </w:tcPr>
          <w:p>
            <w:pPr>
              <w:pStyle w:val="TableContents"/>
              <w:bidi w:val="0"/>
              <w:spacing w:before="0" w:after="283"/>
              <w:jc w:val="right"/>
              <w:rPr/>
            </w:pPr>
            <w:r>
              <w:rPr/>
              <w:t>$128,748</w:t>
            </w:r>
          </w:p>
        </w:tc>
        <w:tc>
          <w:tcPr>
            <w:tcW w:w="300" w:type="dxa"/>
            <w:tcBorders>
              <w:bottom w:val="single" w:sz="2" w:space="0" w:color="000000"/>
            </w:tcBorders>
            <w:vAlign w:val="center"/>
          </w:tcPr>
          <w:p>
            <w:pPr>
              <w:pStyle w:val="TableContents"/>
              <w:bidi w:val="0"/>
              <w:spacing w:before="0" w:after="283"/>
              <w:jc w:val="left"/>
              <w:rPr/>
            </w:pPr>
            <w:r>
              <w:rPr/>
              <w:t> </w:t>
            </w:r>
          </w:p>
        </w:tc>
        <w:tc>
          <w:tcPr>
            <w:tcW w:w="1400" w:type="dxa"/>
            <w:tcBorders>
              <w:bottom w:val="single" w:sz="2" w:space="0" w:color="000000"/>
            </w:tcBorders>
            <w:vAlign w:val="center"/>
          </w:tcPr>
          <w:p>
            <w:pPr>
              <w:pStyle w:val="TableContents"/>
              <w:bidi w:val="0"/>
              <w:spacing w:before="0" w:after="283"/>
              <w:jc w:val="right"/>
              <w:rPr/>
            </w:pPr>
            <w:r>
              <w:rPr/>
              <w:t>$0</w:t>
            </w:r>
          </w:p>
        </w:tc>
        <w:tc>
          <w:tcPr>
            <w:tcW w:w="300" w:type="dxa"/>
            <w:tcBorders>
              <w:bottom w:val="single" w:sz="2" w:space="0" w:color="000000"/>
            </w:tcBorders>
            <w:vAlign w:val="center"/>
          </w:tcPr>
          <w:p>
            <w:pPr>
              <w:pStyle w:val="TableContents"/>
              <w:bidi w:val="0"/>
              <w:spacing w:before="0" w:after="283"/>
              <w:jc w:val="left"/>
              <w:rPr/>
            </w:pPr>
            <w:r>
              <w:rPr/>
              <w:t> </w:t>
            </w:r>
          </w:p>
        </w:tc>
        <w:tc>
          <w:tcPr>
            <w:tcW w:w="1100" w:type="dxa"/>
            <w:tcBorders>
              <w:bottom w:val="single" w:sz="2" w:space="0" w:color="000000"/>
            </w:tcBorders>
            <w:vAlign w:val="center"/>
          </w:tcPr>
          <w:p>
            <w:pPr>
              <w:pStyle w:val="TableContents"/>
              <w:bidi w:val="0"/>
              <w:spacing w:before="0" w:after="283"/>
              <w:jc w:val="right"/>
              <w:rPr/>
            </w:pPr>
            <w:r>
              <w:rPr/>
              <w:t>$721,033</w:t>
            </w:r>
          </w:p>
        </w:tc>
      </w:tr>
      <w:tr>
        <w:trPr/>
        <w:tc>
          <w:tcPr>
            <w:tcW w:w="695" w:type="dxa"/>
            <w:vMerge w:val="continue"/>
            <w:tcBorders>
              <w:bottom w:val="single" w:sz="12" w:space="0" w:color="636466"/>
            </w:tcBorders>
            <w:vAlign w:val="center"/>
          </w:tcPr>
          <w:p>
            <w:pPr>
              <w:pStyle w:val="Normal"/>
              <w:bidi w:val="0"/>
              <w:jc w:val="left"/>
              <w:rPr/>
            </w:pPr>
            <w:r>
              <w:rPr/>
            </w:r>
          </w:p>
        </w:tc>
        <w:tc>
          <w:tcPr>
            <w:tcW w:w="300" w:type="dxa"/>
            <w:tcBorders/>
            <w:tcMar>
              <w:bottom w:w="0" w:type="dxa"/>
            </w:tcMar>
            <w:vAlign w:val="center"/>
          </w:tcPr>
          <w:p>
            <w:pPr>
              <w:pStyle w:val="TableContents"/>
              <w:bidi w:val="0"/>
              <w:spacing w:before="0" w:after="283"/>
              <w:jc w:val="left"/>
              <w:rPr/>
            </w:pPr>
            <w:r>
              <w:rPr/>
              <w:t> </w:t>
            </w:r>
          </w:p>
        </w:tc>
        <w:tc>
          <w:tcPr>
            <w:tcW w:w="1400" w:type="dxa"/>
            <w:tcBorders>
              <w:bottom w:val="single" w:sz="2" w:space="0" w:color="000000"/>
            </w:tcBorders>
            <w:vAlign w:val="center"/>
          </w:tcPr>
          <w:p>
            <w:pPr>
              <w:pStyle w:val="TableContents"/>
              <w:bidi w:val="0"/>
              <w:spacing w:before="0" w:after="283"/>
              <w:jc w:val="left"/>
              <w:rPr/>
            </w:pPr>
            <w:r>
              <w:rPr/>
              <w:t>RTX PSU Deferral Plan</w:t>
            </w:r>
          </w:p>
        </w:tc>
        <w:tc>
          <w:tcPr>
            <w:tcW w:w="300" w:type="dxa"/>
            <w:tcBorders>
              <w:bottom w:val="single" w:sz="2" w:space="0" w:color="000000"/>
            </w:tcBorders>
            <w:vAlign w:val="center"/>
          </w:tcPr>
          <w:p>
            <w:pPr>
              <w:pStyle w:val="TableContents"/>
              <w:bidi w:val="0"/>
              <w:spacing w:before="0" w:after="283"/>
              <w:jc w:val="left"/>
              <w:rPr/>
            </w:pPr>
            <w:r>
              <w:rPr/>
              <w:t> </w:t>
            </w:r>
          </w:p>
        </w:tc>
        <w:tc>
          <w:tcPr>
            <w:tcW w:w="1445" w:type="dxa"/>
            <w:tcBorders>
              <w:bottom w:val="single" w:sz="2" w:space="0" w:color="000000"/>
            </w:tcBorders>
            <w:vAlign w:val="center"/>
          </w:tcPr>
          <w:p>
            <w:pPr>
              <w:pStyle w:val="TableContents"/>
              <w:bidi w:val="0"/>
              <w:spacing w:before="0" w:after="283"/>
              <w:jc w:val="right"/>
              <w:rPr/>
            </w:pPr>
            <w:r>
              <w:rPr/>
              <w:t>$289,745</w:t>
            </w:r>
          </w:p>
        </w:tc>
        <w:tc>
          <w:tcPr>
            <w:tcW w:w="300" w:type="dxa"/>
            <w:tcBorders>
              <w:bottom w:val="single" w:sz="2" w:space="0" w:color="000000"/>
            </w:tcBorders>
            <w:vAlign w:val="center"/>
          </w:tcPr>
          <w:p>
            <w:pPr>
              <w:pStyle w:val="TableContents"/>
              <w:bidi w:val="0"/>
              <w:spacing w:before="0" w:after="283"/>
              <w:jc w:val="left"/>
              <w:rPr/>
            </w:pPr>
            <w:r>
              <w:rPr/>
              <w:t> </w:t>
            </w:r>
          </w:p>
        </w:tc>
        <w:tc>
          <w:tcPr>
            <w:tcW w:w="1445" w:type="dxa"/>
            <w:tcBorders>
              <w:bottom w:val="single" w:sz="2" w:space="0" w:color="000000"/>
            </w:tcBorders>
            <w:vAlign w:val="center"/>
          </w:tcPr>
          <w:p>
            <w:pPr>
              <w:pStyle w:val="TableContents"/>
              <w:bidi w:val="0"/>
              <w:spacing w:before="0" w:after="283"/>
              <w:jc w:val="right"/>
              <w:rPr/>
            </w:pPr>
            <w:r>
              <w:rPr/>
              <w:t>$0</w:t>
            </w:r>
          </w:p>
        </w:tc>
        <w:tc>
          <w:tcPr>
            <w:tcW w:w="300" w:type="dxa"/>
            <w:tcBorders>
              <w:bottom w:val="single" w:sz="2" w:space="0" w:color="000000"/>
            </w:tcBorders>
            <w:vAlign w:val="center"/>
          </w:tcPr>
          <w:p>
            <w:pPr>
              <w:pStyle w:val="TableContents"/>
              <w:bidi w:val="0"/>
              <w:spacing w:before="0" w:after="283"/>
              <w:jc w:val="left"/>
              <w:rPr/>
            </w:pPr>
            <w:r>
              <w:rPr/>
              <w:t> </w:t>
            </w:r>
          </w:p>
        </w:tc>
        <w:tc>
          <w:tcPr>
            <w:tcW w:w="1070" w:type="dxa"/>
            <w:tcBorders>
              <w:bottom w:val="single" w:sz="2" w:space="0" w:color="000000"/>
            </w:tcBorders>
            <w:vAlign w:val="center"/>
          </w:tcPr>
          <w:p>
            <w:pPr>
              <w:pStyle w:val="TableContents"/>
              <w:bidi w:val="0"/>
              <w:spacing w:before="0" w:after="283"/>
              <w:jc w:val="right"/>
              <w:rPr/>
            </w:pPr>
            <w:r>
              <w:rPr/>
              <w:t>$328,159</w:t>
            </w:r>
          </w:p>
        </w:tc>
        <w:tc>
          <w:tcPr>
            <w:tcW w:w="300" w:type="dxa"/>
            <w:tcBorders>
              <w:bottom w:val="single" w:sz="2" w:space="0" w:color="000000"/>
            </w:tcBorders>
            <w:vAlign w:val="center"/>
          </w:tcPr>
          <w:p>
            <w:pPr>
              <w:pStyle w:val="TableContents"/>
              <w:bidi w:val="0"/>
              <w:spacing w:before="0" w:after="283"/>
              <w:jc w:val="left"/>
              <w:rPr/>
            </w:pPr>
            <w:r>
              <w:rPr/>
              <w:t> </w:t>
            </w:r>
          </w:p>
        </w:tc>
        <w:tc>
          <w:tcPr>
            <w:tcW w:w="1400" w:type="dxa"/>
            <w:tcBorders>
              <w:bottom w:val="single" w:sz="2" w:space="0" w:color="000000"/>
            </w:tcBorders>
            <w:vAlign w:val="center"/>
          </w:tcPr>
          <w:p>
            <w:pPr>
              <w:pStyle w:val="TableContents"/>
              <w:bidi w:val="0"/>
              <w:spacing w:before="0" w:after="283"/>
              <w:jc w:val="right"/>
              <w:rPr/>
            </w:pPr>
            <w:r>
              <w:rPr/>
              <w:t>$0</w:t>
            </w:r>
          </w:p>
        </w:tc>
        <w:tc>
          <w:tcPr>
            <w:tcW w:w="300" w:type="dxa"/>
            <w:tcBorders>
              <w:bottom w:val="single" w:sz="2" w:space="0" w:color="000000"/>
            </w:tcBorders>
            <w:vAlign w:val="center"/>
          </w:tcPr>
          <w:p>
            <w:pPr>
              <w:pStyle w:val="TableContents"/>
              <w:bidi w:val="0"/>
              <w:spacing w:before="0" w:after="283"/>
              <w:jc w:val="left"/>
              <w:rPr/>
            </w:pPr>
            <w:r>
              <w:rPr/>
              <w:t> </w:t>
            </w:r>
          </w:p>
        </w:tc>
        <w:tc>
          <w:tcPr>
            <w:tcW w:w="1100" w:type="dxa"/>
            <w:tcBorders>
              <w:bottom w:val="single" w:sz="2" w:space="0" w:color="000000"/>
            </w:tcBorders>
            <w:vAlign w:val="center"/>
          </w:tcPr>
          <w:p>
            <w:pPr>
              <w:pStyle w:val="TableContents"/>
              <w:bidi w:val="0"/>
              <w:spacing w:before="0" w:after="283"/>
              <w:jc w:val="right"/>
              <w:rPr/>
            </w:pPr>
            <w:r>
              <w:rPr/>
              <w:t>$336,215</w:t>
            </w:r>
          </w:p>
        </w:tc>
      </w:tr>
      <w:tr>
        <w:trPr/>
        <w:tc>
          <w:tcPr>
            <w:tcW w:w="695" w:type="dxa"/>
            <w:vMerge w:val="continue"/>
            <w:tcBorders>
              <w:bottom w:val="single" w:sz="12" w:space="0" w:color="636466"/>
            </w:tcBorders>
            <w:vAlign w:val="center"/>
          </w:tcPr>
          <w:p>
            <w:pPr>
              <w:pStyle w:val="Normal"/>
              <w:bidi w:val="0"/>
              <w:jc w:val="left"/>
              <w:rPr/>
            </w:pPr>
            <w:r>
              <w:rPr/>
            </w:r>
          </w:p>
        </w:tc>
        <w:tc>
          <w:tcPr>
            <w:tcW w:w="300" w:type="dxa"/>
            <w:tcBorders>
              <w:bottom w:val="single" w:sz="12" w:space="0" w:color="636466"/>
            </w:tcBorders>
            <w:vAlign w:val="center"/>
          </w:tcPr>
          <w:p>
            <w:pPr>
              <w:pStyle w:val="TableContents"/>
              <w:bidi w:val="0"/>
              <w:spacing w:before="0" w:after="283"/>
              <w:jc w:val="left"/>
              <w:rPr/>
            </w:pPr>
            <w:r>
              <w:rPr/>
              <w:t> </w:t>
            </w:r>
          </w:p>
        </w:tc>
        <w:tc>
          <w:tcPr>
            <w:tcW w:w="1400" w:type="dxa"/>
            <w:tcBorders>
              <w:bottom w:val="single" w:sz="12" w:space="0" w:color="636466"/>
            </w:tcBorders>
            <w:vAlign w:val="center"/>
          </w:tcPr>
          <w:p>
            <w:pPr>
              <w:pStyle w:val="TableContents"/>
              <w:bidi w:val="0"/>
              <w:spacing w:before="0" w:after="283"/>
              <w:jc w:val="left"/>
              <w:rPr/>
            </w:pPr>
            <w:r>
              <w:rPr/>
              <w:t>Rockwell Collins Non-Qualified Savings Plan</w:t>
            </w:r>
          </w:p>
        </w:tc>
        <w:tc>
          <w:tcPr>
            <w:tcW w:w="300" w:type="dxa"/>
            <w:tcBorders>
              <w:bottom w:val="single" w:sz="12" w:space="0" w:color="636466"/>
            </w:tcBorders>
            <w:vAlign w:val="center"/>
          </w:tcPr>
          <w:p>
            <w:pPr>
              <w:pStyle w:val="TableContents"/>
              <w:bidi w:val="0"/>
              <w:spacing w:before="0" w:after="283"/>
              <w:jc w:val="left"/>
              <w:rPr/>
            </w:pPr>
            <w:r>
              <w:rPr/>
              <w:t> </w:t>
            </w:r>
          </w:p>
        </w:tc>
        <w:tc>
          <w:tcPr>
            <w:tcW w:w="1445" w:type="dxa"/>
            <w:tcBorders>
              <w:bottom w:val="single" w:sz="12" w:space="0" w:color="636466"/>
            </w:tcBorders>
            <w:vAlign w:val="center"/>
          </w:tcPr>
          <w:p>
            <w:pPr>
              <w:pStyle w:val="TableContents"/>
              <w:bidi w:val="0"/>
              <w:spacing w:before="0" w:after="283"/>
              <w:jc w:val="right"/>
              <w:rPr/>
            </w:pPr>
            <w:r>
              <w:rPr/>
              <w:t>$0</w:t>
            </w:r>
          </w:p>
        </w:tc>
        <w:tc>
          <w:tcPr>
            <w:tcW w:w="300" w:type="dxa"/>
            <w:tcBorders>
              <w:bottom w:val="single" w:sz="12" w:space="0" w:color="636466"/>
            </w:tcBorders>
            <w:vAlign w:val="center"/>
          </w:tcPr>
          <w:p>
            <w:pPr>
              <w:pStyle w:val="TableContents"/>
              <w:bidi w:val="0"/>
              <w:spacing w:before="0" w:after="283"/>
              <w:jc w:val="left"/>
              <w:rPr/>
            </w:pPr>
            <w:r>
              <w:rPr/>
              <w:t> </w:t>
            </w:r>
          </w:p>
        </w:tc>
        <w:tc>
          <w:tcPr>
            <w:tcW w:w="1445" w:type="dxa"/>
            <w:tcBorders>
              <w:bottom w:val="single" w:sz="12" w:space="0" w:color="636466"/>
            </w:tcBorders>
            <w:vAlign w:val="center"/>
          </w:tcPr>
          <w:p>
            <w:pPr>
              <w:pStyle w:val="TableContents"/>
              <w:bidi w:val="0"/>
              <w:spacing w:before="0" w:after="283"/>
              <w:jc w:val="right"/>
              <w:rPr/>
            </w:pPr>
            <w:r>
              <w:rPr/>
              <w:t>$0</w:t>
            </w:r>
          </w:p>
        </w:tc>
        <w:tc>
          <w:tcPr>
            <w:tcW w:w="300" w:type="dxa"/>
            <w:tcBorders>
              <w:bottom w:val="single" w:sz="12" w:space="0" w:color="636466"/>
            </w:tcBorders>
            <w:vAlign w:val="center"/>
          </w:tcPr>
          <w:p>
            <w:pPr>
              <w:pStyle w:val="TableContents"/>
              <w:bidi w:val="0"/>
              <w:spacing w:before="0" w:after="283"/>
              <w:jc w:val="left"/>
              <w:rPr/>
            </w:pPr>
            <w:r>
              <w:rPr/>
              <w:t> </w:t>
            </w:r>
          </w:p>
        </w:tc>
        <w:tc>
          <w:tcPr>
            <w:tcW w:w="1070" w:type="dxa"/>
            <w:tcBorders>
              <w:bottom w:val="single" w:sz="12" w:space="0" w:color="636466"/>
            </w:tcBorders>
            <w:vAlign w:val="center"/>
          </w:tcPr>
          <w:p>
            <w:pPr>
              <w:pStyle w:val="TableContents"/>
              <w:bidi w:val="0"/>
              <w:spacing w:before="0" w:after="283"/>
              <w:jc w:val="right"/>
              <w:rPr/>
            </w:pPr>
            <w:r>
              <w:rPr/>
              <w:t>$14,422</w:t>
            </w:r>
          </w:p>
        </w:tc>
        <w:tc>
          <w:tcPr>
            <w:tcW w:w="300" w:type="dxa"/>
            <w:tcBorders>
              <w:bottom w:val="single" w:sz="12" w:space="0" w:color="636466"/>
            </w:tcBorders>
            <w:vAlign w:val="center"/>
          </w:tcPr>
          <w:p>
            <w:pPr>
              <w:pStyle w:val="TableContents"/>
              <w:bidi w:val="0"/>
              <w:spacing w:before="0" w:after="283"/>
              <w:jc w:val="left"/>
              <w:rPr/>
            </w:pPr>
            <w:r>
              <w:rPr/>
              <w:t> </w:t>
            </w:r>
          </w:p>
        </w:tc>
        <w:tc>
          <w:tcPr>
            <w:tcW w:w="1400" w:type="dxa"/>
            <w:tcBorders>
              <w:bottom w:val="single" w:sz="12" w:space="0" w:color="636466"/>
            </w:tcBorders>
            <w:vAlign w:val="center"/>
          </w:tcPr>
          <w:p>
            <w:pPr>
              <w:pStyle w:val="TableContents"/>
              <w:bidi w:val="0"/>
              <w:spacing w:before="0" w:after="283"/>
              <w:jc w:val="right"/>
              <w:rPr/>
            </w:pPr>
            <w:r>
              <w:rPr/>
              <w:t>$0</w:t>
            </w:r>
          </w:p>
        </w:tc>
        <w:tc>
          <w:tcPr>
            <w:tcW w:w="300" w:type="dxa"/>
            <w:tcBorders>
              <w:bottom w:val="single" w:sz="12" w:space="0" w:color="636466"/>
            </w:tcBorders>
            <w:vAlign w:val="center"/>
          </w:tcPr>
          <w:p>
            <w:pPr>
              <w:pStyle w:val="TableContents"/>
              <w:bidi w:val="0"/>
              <w:spacing w:before="0" w:after="283"/>
              <w:jc w:val="left"/>
              <w:rPr/>
            </w:pPr>
            <w:r>
              <w:rPr/>
              <w:t> </w:t>
            </w:r>
          </w:p>
        </w:tc>
        <w:tc>
          <w:tcPr>
            <w:tcW w:w="1100" w:type="dxa"/>
            <w:tcBorders>
              <w:bottom w:val="single" w:sz="12" w:space="0" w:color="636466"/>
            </w:tcBorders>
            <w:vAlign w:val="center"/>
          </w:tcPr>
          <w:p>
            <w:pPr>
              <w:pStyle w:val="TableContents"/>
              <w:bidi w:val="0"/>
              <w:spacing w:before="0" w:after="283"/>
              <w:jc w:val="right"/>
              <w:rPr/>
            </w:pPr>
            <w:r>
              <w:rPr/>
              <w:t>$38,526</w:t>
            </w:r>
          </w:p>
        </w:tc>
      </w:tr>
    </w:tbl>
    <w:tbl>
      <w:tblPr>
        <w:tblW w:w="10205" w:type="dxa"/>
        <w:jc w:val="left"/>
        <w:tblInd w:w="0" w:type="dxa"/>
        <w:tblLayout w:type="fixed"/>
        <w:tblCellMar>
          <w:top w:w="0" w:type="dxa"/>
          <w:left w:w="0" w:type="dxa"/>
          <w:bottom w:w="0" w:type="dxa"/>
          <w:right w:w="0" w:type="dxa"/>
        </w:tblCellMar>
      </w:tblPr>
      <w:tblGrid>
        <w:gridCol w:w="249"/>
        <w:gridCol w:w="9956"/>
      </w:tblGrid>
      <w:tr>
        <w:trPr/>
        <w:tc>
          <w:tcPr>
            <w:tcW w:w="249" w:type="dxa"/>
            <w:tcBorders/>
            <w:vAlign w:val="center"/>
          </w:tcPr>
          <w:p>
            <w:pPr>
              <w:pStyle w:val="TableContents"/>
              <w:bidi w:val="0"/>
              <w:spacing w:before="0" w:after="283"/>
              <w:jc w:val="left"/>
              <w:rPr/>
            </w:pPr>
            <w:r>
              <w:rPr/>
              <w:t>(1)</w:t>
            </w:r>
          </w:p>
        </w:tc>
        <w:tc>
          <w:tcPr>
            <w:tcW w:w="9956" w:type="dxa"/>
            <w:tcBorders/>
            <w:vAlign w:val="center"/>
          </w:tcPr>
          <w:p>
            <w:pPr>
              <w:pStyle w:val="TableContents"/>
              <w:bidi w:val="0"/>
              <w:spacing w:before="0" w:after="283"/>
              <w:jc w:val="left"/>
              <w:rPr/>
            </w:pPr>
            <w:r>
              <w:rPr/>
              <w:t>Amounts shown are included in the Salary and Bonus columns of the Summary Compensation Table on page 64, except for contributions into the RTX PSU Deferral Plan, which are included in the Options Exercised and Stock Vested table on page 69.</w:t>
            </w:r>
          </w:p>
        </w:tc>
      </w:tr>
      <w:tr>
        <w:trPr/>
        <w:tc>
          <w:tcPr>
            <w:tcW w:w="249" w:type="dxa"/>
            <w:tcBorders/>
            <w:vAlign w:val="center"/>
          </w:tcPr>
          <w:p>
            <w:pPr>
              <w:pStyle w:val="TableContents"/>
              <w:bidi w:val="0"/>
              <w:spacing w:before="0" w:after="283"/>
              <w:jc w:val="left"/>
              <w:rPr/>
            </w:pPr>
            <w:r>
              <w:rPr/>
              <w:t>(2)</w:t>
            </w:r>
          </w:p>
        </w:tc>
        <w:tc>
          <w:tcPr>
            <w:tcW w:w="9956" w:type="dxa"/>
            <w:tcBorders/>
            <w:vAlign w:val="center"/>
          </w:tcPr>
          <w:p>
            <w:pPr>
              <w:pStyle w:val="TableContents"/>
              <w:bidi w:val="0"/>
              <w:spacing w:before="0" w:after="283"/>
              <w:jc w:val="left"/>
              <w:rPr/>
            </w:pPr>
            <w:r>
              <w:rPr/>
              <w:t>Amounts shown are included in the All Other Compensation column of the Summary Compensation Table on page 64.</w:t>
            </w:r>
          </w:p>
        </w:tc>
      </w:tr>
      <w:tr>
        <w:trPr/>
        <w:tc>
          <w:tcPr>
            <w:tcW w:w="249" w:type="dxa"/>
            <w:tcBorders/>
            <w:vAlign w:val="center"/>
          </w:tcPr>
          <w:p>
            <w:pPr>
              <w:pStyle w:val="TableContents"/>
              <w:bidi w:val="0"/>
              <w:spacing w:before="0" w:after="283"/>
              <w:jc w:val="left"/>
              <w:rPr/>
            </w:pPr>
            <w:r>
              <w:rPr/>
              <w:t>(3)</w:t>
            </w:r>
          </w:p>
        </w:tc>
        <w:tc>
          <w:tcPr>
            <w:tcW w:w="9956" w:type="dxa"/>
            <w:tcBorders/>
            <w:vAlign w:val="center"/>
          </w:tcPr>
          <w:p>
            <w:pPr>
              <w:pStyle w:val="TableContents"/>
              <w:bidi w:val="0"/>
              <w:spacing w:before="0" w:after="283"/>
              <w:jc w:val="left"/>
              <w:rPr/>
            </w:pPr>
            <w:r>
              <w:rPr/>
              <w:t>Amounts shown reflect hypothetical investment returns (less fees, if applicable) based on fixed income, bond and equity indices selected by the participant. Participants also may elect RTX stock units with dividend reinvestments (except under the UTC Company Automatic Contribution Excess Plan). These returns do not constitute above-market earnings.</w:t>
            </w:r>
          </w:p>
        </w:tc>
      </w:tr>
      <w:tr>
        <w:trPr/>
        <w:tc>
          <w:tcPr>
            <w:tcW w:w="249" w:type="dxa"/>
            <w:tcBorders/>
            <w:vAlign w:val="center"/>
          </w:tcPr>
          <w:p>
            <w:pPr>
              <w:pStyle w:val="TableContents"/>
              <w:bidi w:val="0"/>
              <w:spacing w:before="0" w:after="283"/>
              <w:jc w:val="left"/>
              <w:rPr/>
            </w:pPr>
            <w:r>
              <w:rPr/>
              <w:t>(4)</w:t>
            </w:r>
          </w:p>
        </w:tc>
        <w:tc>
          <w:tcPr>
            <w:tcW w:w="9956" w:type="dxa"/>
            <w:tcBorders/>
            <w:vAlign w:val="center"/>
          </w:tcPr>
          <w:p>
            <w:pPr>
              <w:pStyle w:val="TableContents"/>
              <w:bidi w:val="0"/>
              <w:spacing w:before="0" w:after="283"/>
              <w:jc w:val="left"/>
              <w:rPr/>
            </w:pPr>
            <w:r>
              <w:rPr/>
              <w:t>The sum of contributions (by both the executive and RTX) and credited earnings on those prior deferrals, less withdrawals. Of these totals, the following amounts have been included in the Summary Compensation Table in prior years: Mr. Calio, $1,245,996; Mr. Mitchill, $1,210,024; Mr. Jasper, $139,695; Mr. Eddy, $274,999; and Mr. Brunk, $216,434.</w:t>
            </w:r>
          </w:p>
        </w:tc>
      </w:tr>
    </w:tbl>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15"/>
        </w:rPr>
      </w:pPr>
      <w:r>
        <w:rPr>
          <w:rFonts w:ascii="Arial;Helvetica;Sans-Serif" w:hAnsi="Arial;Helvetica;Sans-Serif"/>
          <w:b/>
          <w:i w:val="false"/>
          <w:caps w:val="false"/>
          <w:smallCaps w:val="false"/>
          <w:sz w:val="15"/>
        </w:rPr>
        <w:t xml:space="preserve">72    RTX </w:t>
      </w:r>
      <w:r>
        <w:rPr>
          <w:rFonts w:ascii="Arial;Helvetica;Sans-Serif" w:hAnsi="Arial;Helvetica;Sans-Serif"/>
          <w:b w:val="false"/>
          <w:i w:val="false"/>
          <w:caps w:val="false"/>
          <w:smallCaps w:val="false"/>
          <w:sz w:val="15"/>
        </w:rPr>
        <w:t>2026 PROXY STATEMENT</w:t>
      </w:r>
    </w:p>
    <w:p>
      <w:pPr>
        <w:pStyle w:val="HorizontalLine"/>
        <w:pBdr>
          <w:bottom w:val="double" w:sz="2" w:space="0" w:color="808080"/>
        </w:pBdr>
        <w:bidi w:val="0"/>
        <w:spacing w:before="0" w:after="283"/>
        <w:jc w:val="left"/>
        <w:rPr/>
      </w:pPr>
      <w:r>
        <w:rPr/>
      </w:r>
    </w:p>
    <w:p>
      <w:pPr>
        <w:pStyle w:val="TextBody"/>
        <w:bidi w:val="0"/>
        <w:spacing w:before="200" w:after="200"/>
        <w:jc w:val="left"/>
        <w:rPr/>
      </w:pPr>
      <w:hyperlink w:anchor="toc">
        <w:r>
          <w:rPr>
            <w:rStyle w:val="InternetLink"/>
            <w:rFonts w:ascii="Arial;Helvetica;Sans-Serif" w:hAnsi="Arial;Helvetica;Sans-Serif"/>
            <w:b/>
            <w:i w:val="false"/>
            <w:caps w:val="false"/>
            <w:smallCaps w:val="false"/>
            <w:sz w:val="16"/>
          </w:rPr>
          <w:t>Table of Contents</w:t>
        </w:r>
      </w:hyperlink>
    </w:p>
    <w:p>
      <w:pPr>
        <w:pStyle w:val="TextBody"/>
        <w:bidi w:val="0"/>
        <w:spacing w:before="0" w:after="0"/>
        <w:ind w:left="0" w:right="0" w:hanging="0"/>
        <w:jc w:val="right"/>
        <w:rPr>
          <w:rFonts w:ascii="Arial;Helvetica;Sans-Serif" w:hAnsi="Arial;Helvetica;Sans-Serif"/>
          <w:b/>
          <w:i w:val="false"/>
          <w:caps w:val="false"/>
          <w:smallCaps w:val="false"/>
          <w:color w:val="C12E33"/>
          <w:sz w:val="15"/>
        </w:rPr>
      </w:pPr>
      <w:r>
        <w:rPr>
          <w:rFonts w:ascii="Arial;Helvetica;Sans-Serif" w:hAnsi="Arial;Helvetica;Sans-Serif"/>
          <w:b/>
          <w:i w:val="false"/>
          <w:caps w:val="false"/>
          <w:smallCaps w:val="false"/>
          <w:color w:val="C12E33"/>
          <w:sz w:val="15"/>
        </w:rPr>
        <w:t>COMPENSATION TABLES</w:t>
      </w:r>
    </w:p>
    <w:p>
      <w:pPr>
        <w:pStyle w:val="TextBody"/>
        <w:bidi w:val="0"/>
        <w:spacing w:before="0" w:after="0"/>
        <w:ind w:left="0" w:right="0" w:hanging="0"/>
        <w:jc w:val="righ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POTENTIAL PAYMENTS UPON TERMINATION OR CHANGE-IN-CONTROL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34"/>
        </w:rPr>
      </w:pPr>
      <w:r>
        <w:rPr>
          <w:rFonts w:ascii="Arial;Helvetica;Sans-Serif" w:hAnsi="Arial;Helvetica;Sans-Serif"/>
          <w:b/>
          <w:i w:val="false"/>
          <w:caps w:val="false"/>
          <w:smallCaps w:val="false"/>
          <w:sz w:val="34"/>
        </w:rPr>
        <w:t>Potential Payments upon Termination or Change-in-Control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For descriptions of our Executive Leadership Group (“ELG”) program and the RTX Corporation Long-Term Incentive Plan (“RTX LTIP”), see pages 59-60.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CHRISTOPHER T. CALIO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table below shows the estimated value of payments and benefits that Mr. Calio would have been entitled to receive had his employment terminated on December 31, 2025, under various hypothetical circumstances.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40" w:type="dxa"/>
          <w:right w:w="0" w:type="dxa"/>
        </w:tblCellMar>
      </w:tblPr>
      <w:tblGrid>
        <w:gridCol w:w="3199"/>
        <w:gridCol w:w="300"/>
        <w:gridCol w:w="1538"/>
        <w:gridCol w:w="300"/>
        <w:gridCol w:w="1544"/>
        <w:gridCol w:w="300"/>
        <w:gridCol w:w="1220"/>
        <w:gridCol w:w="300"/>
        <w:gridCol w:w="1504"/>
      </w:tblGrid>
      <w:tr>
        <w:trPr/>
        <w:tc>
          <w:tcPr>
            <w:tcW w:w="3199" w:type="dxa"/>
            <w:tcBorders>
              <w:bottom w:val="single" w:sz="12" w:space="0" w:color="C12E33"/>
            </w:tcBorders>
            <w:vAlign w:val="center"/>
          </w:tcPr>
          <w:p>
            <w:pPr>
              <w:pStyle w:val="TableContents"/>
              <w:bidi w:val="0"/>
              <w:spacing w:before="0" w:after="283"/>
              <w:jc w:val="left"/>
              <w:rPr>
                <w:color w:val="636466"/>
              </w:rPr>
            </w:pPr>
            <w:r>
              <w:rPr>
                <w:color w:val="636466"/>
              </w:rPr>
              <w:t> </w:t>
            </w:r>
          </w:p>
        </w:tc>
        <w:tc>
          <w:tcPr>
            <w:tcW w:w="300" w:type="dxa"/>
            <w:tcBorders>
              <w:bottom w:val="single" w:sz="12" w:space="0" w:color="C12E33"/>
            </w:tcBorders>
            <w:vAlign w:val="center"/>
          </w:tcPr>
          <w:p>
            <w:pPr>
              <w:pStyle w:val="TableContents"/>
              <w:bidi w:val="0"/>
              <w:spacing w:before="0" w:after="283"/>
              <w:jc w:val="left"/>
              <w:rPr>
                <w:color w:val="636466"/>
              </w:rPr>
            </w:pPr>
            <w:r>
              <w:rPr>
                <w:color w:val="636466"/>
              </w:rPr>
              <w:t>     </w:t>
            </w:r>
          </w:p>
        </w:tc>
        <w:tc>
          <w:tcPr>
            <w:tcW w:w="1538" w:type="dxa"/>
            <w:tcBorders>
              <w:bottom w:val="single" w:sz="12" w:space="0" w:color="C12E33"/>
            </w:tcBorders>
            <w:vAlign w:val="center"/>
          </w:tcPr>
          <w:p>
            <w:pPr>
              <w:pStyle w:val="TableContents"/>
              <w:bidi w:val="0"/>
              <w:spacing w:before="0" w:after="283"/>
              <w:jc w:val="right"/>
              <w:rPr>
                <w:b/>
                <w:color w:val="636466"/>
                <w:sz w:val="15"/>
              </w:rPr>
            </w:pPr>
            <w:r>
              <w:rPr>
                <w:b/>
                <w:color w:val="636466"/>
                <w:sz w:val="15"/>
              </w:rPr>
              <w:t>Involuntary Separation</w:t>
              <w:br/>
              <w:t>(for Cause)</w:t>
            </w:r>
            <w:r>
              <w:rPr>
                <w:b/>
                <w:color w:val="636466"/>
                <w:position w:val="5"/>
                <w:sz w:val="12"/>
                <w:sz w:val="15"/>
              </w:rPr>
              <w:t>(1)</w:t>
            </w:r>
          </w:p>
        </w:tc>
        <w:tc>
          <w:tcPr>
            <w:tcW w:w="300" w:type="dxa"/>
            <w:tcBorders>
              <w:bottom w:val="single" w:sz="12" w:space="0" w:color="C12E33"/>
            </w:tcBorders>
            <w:vAlign w:val="center"/>
          </w:tcPr>
          <w:p>
            <w:pPr>
              <w:pStyle w:val="TableContents"/>
              <w:bidi w:val="0"/>
              <w:spacing w:before="0" w:after="283"/>
              <w:jc w:val="left"/>
              <w:rPr>
                <w:color w:val="636466"/>
              </w:rPr>
            </w:pPr>
            <w:r>
              <w:rPr>
                <w:color w:val="636466"/>
              </w:rPr>
              <w:t>     </w:t>
            </w:r>
          </w:p>
        </w:tc>
        <w:tc>
          <w:tcPr>
            <w:tcW w:w="1544" w:type="dxa"/>
            <w:tcBorders>
              <w:bottom w:val="single" w:sz="12" w:space="0" w:color="C12E33"/>
            </w:tcBorders>
            <w:vAlign w:val="center"/>
          </w:tcPr>
          <w:p>
            <w:pPr>
              <w:pStyle w:val="TableContents"/>
              <w:bidi w:val="0"/>
              <w:spacing w:before="0" w:after="283"/>
              <w:jc w:val="right"/>
              <w:rPr>
                <w:b/>
                <w:color w:val="636466"/>
                <w:sz w:val="15"/>
              </w:rPr>
            </w:pPr>
            <w:r>
              <w:rPr>
                <w:b/>
                <w:color w:val="636466"/>
                <w:sz w:val="15"/>
              </w:rPr>
              <w:t>Involuntary Separation</w:t>
              <w:br/>
              <w:t>(without Cause)</w:t>
            </w:r>
            <w:r>
              <w:rPr>
                <w:b/>
                <w:color w:val="636466"/>
                <w:position w:val="5"/>
                <w:sz w:val="12"/>
                <w:sz w:val="15"/>
              </w:rPr>
              <w:t>(2)</w:t>
            </w:r>
          </w:p>
        </w:tc>
        <w:tc>
          <w:tcPr>
            <w:tcW w:w="300" w:type="dxa"/>
            <w:tcBorders>
              <w:bottom w:val="single" w:sz="12" w:space="0" w:color="C12E33"/>
            </w:tcBorders>
            <w:vAlign w:val="center"/>
          </w:tcPr>
          <w:p>
            <w:pPr>
              <w:pStyle w:val="TableContents"/>
              <w:bidi w:val="0"/>
              <w:spacing w:before="0" w:after="283"/>
              <w:jc w:val="left"/>
              <w:rPr>
                <w:color w:val="636466"/>
              </w:rPr>
            </w:pPr>
            <w:r>
              <w:rPr>
                <w:color w:val="636466"/>
              </w:rPr>
              <w:t>     </w:t>
            </w:r>
          </w:p>
        </w:tc>
        <w:tc>
          <w:tcPr>
            <w:tcW w:w="1220" w:type="dxa"/>
            <w:tcBorders>
              <w:bottom w:val="single" w:sz="12" w:space="0" w:color="C12E33"/>
            </w:tcBorders>
            <w:vAlign w:val="center"/>
          </w:tcPr>
          <w:p>
            <w:pPr>
              <w:pStyle w:val="TableContents"/>
              <w:bidi w:val="0"/>
              <w:spacing w:before="0" w:after="283"/>
              <w:jc w:val="right"/>
              <w:rPr>
                <w:b/>
                <w:color w:val="636466"/>
                <w:sz w:val="15"/>
              </w:rPr>
            </w:pPr>
            <w:r>
              <w:rPr>
                <w:b/>
                <w:color w:val="636466"/>
                <w:sz w:val="15"/>
              </w:rPr>
              <w:t>Voluntary</w:t>
              <w:br/>
              <w:t>Separation</w:t>
            </w:r>
            <w:r>
              <w:rPr>
                <w:b/>
                <w:color w:val="636466"/>
                <w:position w:val="5"/>
                <w:sz w:val="12"/>
                <w:sz w:val="15"/>
              </w:rPr>
              <w:t>(3)</w:t>
            </w:r>
          </w:p>
        </w:tc>
        <w:tc>
          <w:tcPr>
            <w:tcW w:w="300" w:type="dxa"/>
            <w:tcBorders>
              <w:bottom w:val="single" w:sz="12" w:space="0" w:color="C12E33"/>
            </w:tcBorders>
            <w:vAlign w:val="center"/>
          </w:tcPr>
          <w:p>
            <w:pPr>
              <w:pStyle w:val="TableContents"/>
              <w:bidi w:val="0"/>
              <w:spacing w:before="0" w:after="283"/>
              <w:jc w:val="left"/>
              <w:rPr>
                <w:color w:val="636466"/>
              </w:rPr>
            </w:pPr>
            <w:r>
              <w:rPr>
                <w:color w:val="636466"/>
              </w:rPr>
              <w:t>     </w:t>
            </w:r>
          </w:p>
        </w:tc>
        <w:tc>
          <w:tcPr>
            <w:tcW w:w="1504" w:type="dxa"/>
            <w:tcBorders>
              <w:bottom w:val="single" w:sz="12" w:space="0" w:color="C12E33"/>
            </w:tcBorders>
            <w:vAlign w:val="center"/>
          </w:tcPr>
          <w:p>
            <w:pPr>
              <w:pStyle w:val="TableContents"/>
              <w:bidi w:val="0"/>
              <w:spacing w:before="0" w:after="283"/>
              <w:jc w:val="right"/>
              <w:rPr>
                <w:b/>
                <w:color w:val="636466"/>
                <w:sz w:val="15"/>
              </w:rPr>
            </w:pPr>
            <w:r>
              <w:rPr>
                <w:b/>
                <w:color w:val="636466"/>
                <w:sz w:val="15"/>
              </w:rPr>
              <w:t>Separation following a</w:t>
              <w:br/>
              <w:t>Change-in-Control</w:t>
            </w:r>
            <w:r>
              <w:rPr>
                <w:b/>
                <w:color w:val="636466"/>
                <w:position w:val="5"/>
                <w:sz w:val="12"/>
                <w:sz w:val="15"/>
              </w:rPr>
              <w:t>(4)</w:t>
            </w:r>
          </w:p>
        </w:tc>
      </w:tr>
      <w:tr>
        <w:trPr/>
        <w:tc>
          <w:tcPr>
            <w:tcW w:w="3199" w:type="dxa"/>
            <w:tcBorders>
              <w:bottom w:val="single" w:sz="2" w:space="0" w:color="000000"/>
            </w:tcBorders>
            <w:vAlign w:val="center"/>
          </w:tcPr>
          <w:p>
            <w:pPr>
              <w:pStyle w:val="TableContents"/>
              <w:bidi w:val="0"/>
              <w:spacing w:before="0" w:after="283"/>
              <w:jc w:val="left"/>
              <w:rPr/>
            </w:pPr>
            <w:r>
              <w:rPr/>
              <w:t>Annual Incentive Award</w:t>
            </w:r>
            <w:r>
              <w:rPr>
                <w:position w:val="8"/>
                <w:sz w:val="19"/>
              </w:rPr>
              <w:t>(5)</w:t>
            </w:r>
          </w:p>
        </w:tc>
        <w:tc>
          <w:tcPr>
            <w:tcW w:w="300" w:type="dxa"/>
            <w:tcBorders>
              <w:bottom w:val="single" w:sz="2" w:space="0" w:color="000000"/>
            </w:tcBorders>
            <w:vAlign w:val="center"/>
          </w:tcPr>
          <w:p>
            <w:pPr>
              <w:pStyle w:val="TableContents"/>
              <w:bidi w:val="0"/>
              <w:spacing w:before="0" w:after="283"/>
              <w:jc w:val="left"/>
              <w:rPr/>
            </w:pPr>
            <w:r>
              <w:rPr/>
              <w:t> </w:t>
            </w:r>
          </w:p>
        </w:tc>
        <w:tc>
          <w:tcPr>
            <w:tcW w:w="1538" w:type="dxa"/>
            <w:tcBorders>
              <w:bottom w:val="single" w:sz="2" w:space="0" w:color="000000"/>
            </w:tcBorders>
            <w:vAlign w:val="center"/>
          </w:tcPr>
          <w:p>
            <w:pPr>
              <w:pStyle w:val="TableContents"/>
              <w:bidi w:val="0"/>
              <w:spacing w:before="0" w:after="283"/>
              <w:jc w:val="right"/>
              <w:rPr/>
            </w:pPr>
            <w:r>
              <w:rPr/>
              <w:t>$0</w:t>
            </w:r>
          </w:p>
        </w:tc>
        <w:tc>
          <w:tcPr>
            <w:tcW w:w="300" w:type="dxa"/>
            <w:tcBorders>
              <w:bottom w:val="single" w:sz="2" w:space="0" w:color="000000"/>
            </w:tcBorders>
            <w:vAlign w:val="center"/>
          </w:tcPr>
          <w:p>
            <w:pPr>
              <w:pStyle w:val="TableContents"/>
              <w:bidi w:val="0"/>
              <w:spacing w:before="0" w:after="283"/>
              <w:jc w:val="left"/>
              <w:rPr/>
            </w:pPr>
            <w:r>
              <w:rPr/>
              <w:t> </w:t>
            </w:r>
          </w:p>
        </w:tc>
        <w:tc>
          <w:tcPr>
            <w:tcW w:w="1544" w:type="dxa"/>
            <w:tcBorders>
              <w:bottom w:val="single" w:sz="2" w:space="0" w:color="000000"/>
            </w:tcBorders>
            <w:vAlign w:val="center"/>
          </w:tcPr>
          <w:p>
            <w:pPr>
              <w:pStyle w:val="TableContents"/>
              <w:bidi w:val="0"/>
              <w:spacing w:before="0" w:after="283"/>
              <w:jc w:val="right"/>
              <w:rPr/>
            </w:pPr>
            <w:r>
              <w:rPr/>
              <w:t>$3,100,000</w:t>
            </w:r>
          </w:p>
        </w:tc>
        <w:tc>
          <w:tcPr>
            <w:tcW w:w="300" w:type="dxa"/>
            <w:tcBorders>
              <w:bottom w:val="single" w:sz="2" w:space="0" w:color="000000"/>
            </w:tcBorders>
            <w:vAlign w:val="center"/>
          </w:tcPr>
          <w:p>
            <w:pPr>
              <w:pStyle w:val="TableContents"/>
              <w:bidi w:val="0"/>
              <w:spacing w:before="0" w:after="283"/>
              <w:jc w:val="left"/>
              <w:rPr/>
            </w:pPr>
            <w:r>
              <w:rPr/>
              <w:t> </w:t>
            </w:r>
          </w:p>
        </w:tc>
        <w:tc>
          <w:tcPr>
            <w:tcW w:w="1220" w:type="dxa"/>
            <w:tcBorders>
              <w:bottom w:val="single" w:sz="2" w:space="0" w:color="000000"/>
            </w:tcBorders>
            <w:vAlign w:val="center"/>
          </w:tcPr>
          <w:p>
            <w:pPr>
              <w:pStyle w:val="TableContents"/>
              <w:bidi w:val="0"/>
              <w:spacing w:before="0" w:after="283"/>
              <w:jc w:val="right"/>
              <w:rPr/>
            </w:pPr>
            <w:r>
              <w:rPr/>
              <w:t>$0</w:t>
            </w:r>
          </w:p>
        </w:tc>
        <w:tc>
          <w:tcPr>
            <w:tcW w:w="300" w:type="dxa"/>
            <w:tcBorders>
              <w:bottom w:val="single" w:sz="2" w:space="0" w:color="000000"/>
            </w:tcBorders>
            <w:vAlign w:val="center"/>
          </w:tcPr>
          <w:p>
            <w:pPr>
              <w:pStyle w:val="TableContents"/>
              <w:bidi w:val="0"/>
              <w:spacing w:before="0" w:after="283"/>
              <w:jc w:val="left"/>
              <w:rPr/>
            </w:pPr>
            <w:r>
              <w:rPr/>
              <w:t> </w:t>
            </w:r>
          </w:p>
        </w:tc>
        <w:tc>
          <w:tcPr>
            <w:tcW w:w="1504" w:type="dxa"/>
            <w:tcBorders>
              <w:bottom w:val="single" w:sz="2" w:space="0" w:color="000000"/>
            </w:tcBorders>
            <w:vAlign w:val="center"/>
          </w:tcPr>
          <w:p>
            <w:pPr>
              <w:pStyle w:val="TableContents"/>
              <w:bidi w:val="0"/>
              <w:spacing w:before="0" w:after="283"/>
              <w:jc w:val="right"/>
              <w:rPr/>
            </w:pPr>
            <w:r>
              <w:rPr/>
              <w:t>$3,100,000</w:t>
            </w:r>
          </w:p>
        </w:tc>
      </w:tr>
      <w:tr>
        <w:trPr/>
        <w:tc>
          <w:tcPr>
            <w:tcW w:w="3199" w:type="dxa"/>
            <w:tcBorders>
              <w:bottom w:val="single" w:sz="2" w:space="0" w:color="000000"/>
            </w:tcBorders>
            <w:vAlign w:val="center"/>
          </w:tcPr>
          <w:p>
            <w:pPr>
              <w:pStyle w:val="TableContents"/>
              <w:bidi w:val="0"/>
              <w:spacing w:before="0" w:after="283"/>
              <w:jc w:val="left"/>
              <w:rPr/>
            </w:pPr>
            <w:r>
              <w:rPr/>
              <w:t>Pension</w:t>
            </w:r>
            <w:r>
              <w:rPr>
                <w:position w:val="8"/>
                <w:sz w:val="19"/>
              </w:rPr>
              <w:t>(6)</w:t>
            </w:r>
          </w:p>
        </w:tc>
        <w:tc>
          <w:tcPr>
            <w:tcW w:w="300" w:type="dxa"/>
            <w:tcBorders>
              <w:bottom w:val="single" w:sz="2" w:space="0" w:color="000000"/>
            </w:tcBorders>
            <w:vAlign w:val="center"/>
          </w:tcPr>
          <w:p>
            <w:pPr>
              <w:pStyle w:val="TableContents"/>
              <w:bidi w:val="0"/>
              <w:spacing w:before="0" w:after="283"/>
              <w:jc w:val="left"/>
              <w:rPr/>
            </w:pPr>
            <w:r>
              <w:rPr/>
              <w:t> </w:t>
            </w:r>
          </w:p>
        </w:tc>
        <w:tc>
          <w:tcPr>
            <w:tcW w:w="1538" w:type="dxa"/>
            <w:tcBorders>
              <w:bottom w:val="single" w:sz="2" w:space="0" w:color="000000"/>
            </w:tcBorders>
            <w:vAlign w:val="center"/>
          </w:tcPr>
          <w:p>
            <w:pPr>
              <w:pStyle w:val="TableContents"/>
              <w:bidi w:val="0"/>
              <w:spacing w:before="0" w:after="283"/>
              <w:jc w:val="right"/>
              <w:rPr/>
            </w:pPr>
            <w:r>
              <w:rPr/>
              <w:t>$0</w:t>
            </w:r>
          </w:p>
        </w:tc>
        <w:tc>
          <w:tcPr>
            <w:tcW w:w="300" w:type="dxa"/>
            <w:tcBorders>
              <w:bottom w:val="single" w:sz="2" w:space="0" w:color="000000"/>
            </w:tcBorders>
            <w:vAlign w:val="center"/>
          </w:tcPr>
          <w:p>
            <w:pPr>
              <w:pStyle w:val="TableContents"/>
              <w:bidi w:val="0"/>
              <w:spacing w:before="0" w:after="283"/>
              <w:jc w:val="left"/>
              <w:rPr/>
            </w:pPr>
            <w:r>
              <w:rPr/>
              <w:t> </w:t>
            </w:r>
          </w:p>
        </w:tc>
        <w:tc>
          <w:tcPr>
            <w:tcW w:w="1544" w:type="dxa"/>
            <w:tcBorders>
              <w:bottom w:val="single" w:sz="2" w:space="0" w:color="000000"/>
            </w:tcBorders>
            <w:vAlign w:val="center"/>
          </w:tcPr>
          <w:p>
            <w:pPr>
              <w:pStyle w:val="TableContents"/>
              <w:bidi w:val="0"/>
              <w:spacing w:before="0" w:after="283"/>
              <w:jc w:val="right"/>
              <w:rPr/>
            </w:pPr>
            <w:r>
              <w:rPr/>
              <w:t>$0</w:t>
            </w:r>
          </w:p>
        </w:tc>
        <w:tc>
          <w:tcPr>
            <w:tcW w:w="300" w:type="dxa"/>
            <w:tcBorders>
              <w:bottom w:val="single" w:sz="2" w:space="0" w:color="000000"/>
            </w:tcBorders>
            <w:vAlign w:val="center"/>
          </w:tcPr>
          <w:p>
            <w:pPr>
              <w:pStyle w:val="TableContents"/>
              <w:bidi w:val="0"/>
              <w:spacing w:before="0" w:after="283"/>
              <w:jc w:val="left"/>
              <w:rPr/>
            </w:pPr>
            <w:r>
              <w:rPr/>
              <w:t> </w:t>
            </w:r>
          </w:p>
        </w:tc>
        <w:tc>
          <w:tcPr>
            <w:tcW w:w="1220" w:type="dxa"/>
            <w:tcBorders>
              <w:bottom w:val="single" w:sz="2" w:space="0" w:color="000000"/>
            </w:tcBorders>
            <w:vAlign w:val="center"/>
          </w:tcPr>
          <w:p>
            <w:pPr>
              <w:pStyle w:val="TableContents"/>
              <w:bidi w:val="0"/>
              <w:spacing w:before="0" w:after="283"/>
              <w:jc w:val="right"/>
              <w:rPr/>
            </w:pPr>
            <w:r>
              <w:rPr/>
              <w:t>$0</w:t>
            </w:r>
          </w:p>
        </w:tc>
        <w:tc>
          <w:tcPr>
            <w:tcW w:w="300" w:type="dxa"/>
            <w:tcBorders>
              <w:bottom w:val="single" w:sz="2" w:space="0" w:color="000000"/>
            </w:tcBorders>
            <w:vAlign w:val="center"/>
          </w:tcPr>
          <w:p>
            <w:pPr>
              <w:pStyle w:val="TableContents"/>
              <w:bidi w:val="0"/>
              <w:spacing w:before="0" w:after="283"/>
              <w:jc w:val="left"/>
              <w:rPr/>
            </w:pPr>
            <w:r>
              <w:rPr/>
              <w:t> </w:t>
            </w:r>
          </w:p>
        </w:tc>
        <w:tc>
          <w:tcPr>
            <w:tcW w:w="1504" w:type="dxa"/>
            <w:tcBorders>
              <w:bottom w:val="single" w:sz="2" w:space="0" w:color="000000"/>
            </w:tcBorders>
            <w:vAlign w:val="center"/>
          </w:tcPr>
          <w:p>
            <w:pPr>
              <w:pStyle w:val="TableContents"/>
              <w:bidi w:val="0"/>
              <w:spacing w:before="0" w:after="283"/>
              <w:jc w:val="right"/>
              <w:rPr/>
            </w:pPr>
            <w:r>
              <w:rPr/>
              <w:t>$0</w:t>
            </w:r>
          </w:p>
        </w:tc>
      </w:tr>
      <w:tr>
        <w:trPr/>
        <w:tc>
          <w:tcPr>
            <w:tcW w:w="3199" w:type="dxa"/>
            <w:tcBorders>
              <w:bottom w:val="single" w:sz="2" w:space="0" w:color="000000"/>
            </w:tcBorders>
            <w:vAlign w:val="center"/>
          </w:tcPr>
          <w:p>
            <w:pPr>
              <w:pStyle w:val="TableContents"/>
              <w:bidi w:val="0"/>
              <w:spacing w:before="0" w:after="283"/>
              <w:jc w:val="left"/>
              <w:rPr/>
            </w:pPr>
            <w:r>
              <w:rPr/>
              <w:t>Health &amp; Welfare Continuation</w:t>
            </w:r>
            <w:r>
              <w:rPr>
                <w:position w:val="8"/>
                <w:sz w:val="19"/>
              </w:rPr>
              <w:t>(7)</w:t>
            </w:r>
          </w:p>
        </w:tc>
        <w:tc>
          <w:tcPr>
            <w:tcW w:w="300" w:type="dxa"/>
            <w:tcBorders>
              <w:bottom w:val="single" w:sz="2" w:space="0" w:color="000000"/>
            </w:tcBorders>
            <w:vAlign w:val="center"/>
          </w:tcPr>
          <w:p>
            <w:pPr>
              <w:pStyle w:val="TableContents"/>
              <w:bidi w:val="0"/>
              <w:spacing w:before="0" w:after="283"/>
              <w:jc w:val="left"/>
              <w:rPr/>
            </w:pPr>
            <w:r>
              <w:rPr/>
              <w:t> </w:t>
            </w:r>
          </w:p>
        </w:tc>
        <w:tc>
          <w:tcPr>
            <w:tcW w:w="1538" w:type="dxa"/>
            <w:tcBorders>
              <w:bottom w:val="single" w:sz="2" w:space="0" w:color="000000"/>
            </w:tcBorders>
            <w:vAlign w:val="center"/>
          </w:tcPr>
          <w:p>
            <w:pPr>
              <w:pStyle w:val="TableContents"/>
              <w:bidi w:val="0"/>
              <w:spacing w:before="0" w:after="283"/>
              <w:jc w:val="right"/>
              <w:rPr/>
            </w:pPr>
            <w:r>
              <w:rPr/>
              <w:t>$0</w:t>
            </w:r>
          </w:p>
        </w:tc>
        <w:tc>
          <w:tcPr>
            <w:tcW w:w="300" w:type="dxa"/>
            <w:tcBorders>
              <w:bottom w:val="single" w:sz="2" w:space="0" w:color="000000"/>
            </w:tcBorders>
            <w:vAlign w:val="center"/>
          </w:tcPr>
          <w:p>
            <w:pPr>
              <w:pStyle w:val="TableContents"/>
              <w:bidi w:val="0"/>
              <w:spacing w:before="0" w:after="283"/>
              <w:jc w:val="left"/>
              <w:rPr/>
            </w:pPr>
            <w:r>
              <w:rPr/>
              <w:t> </w:t>
            </w:r>
          </w:p>
        </w:tc>
        <w:tc>
          <w:tcPr>
            <w:tcW w:w="1544" w:type="dxa"/>
            <w:tcBorders>
              <w:bottom w:val="single" w:sz="2" w:space="0" w:color="000000"/>
            </w:tcBorders>
            <w:vAlign w:val="center"/>
          </w:tcPr>
          <w:p>
            <w:pPr>
              <w:pStyle w:val="TableContents"/>
              <w:bidi w:val="0"/>
              <w:spacing w:before="0" w:after="283"/>
              <w:jc w:val="right"/>
              <w:rPr/>
            </w:pPr>
            <w:r>
              <w:rPr/>
              <w:t>$39,566</w:t>
            </w:r>
          </w:p>
        </w:tc>
        <w:tc>
          <w:tcPr>
            <w:tcW w:w="300" w:type="dxa"/>
            <w:tcBorders>
              <w:bottom w:val="single" w:sz="2" w:space="0" w:color="000000"/>
            </w:tcBorders>
            <w:vAlign w:val="center"/>
          </w:tcPr>
          <w:p>
            <w:pPr>
              <w:pStyle w:val="TableContents"/>
              <w:bidi w:val="0"/>
              <w:spacing w:before="0" w:after="283"/>
              <w:jc w:val="left"/>
              <w:rPr/>
            </w:pPr>
            <w:r>
              <w:rPr/>
              <w:t> </w:t>
            </w:r>
          </w:p>
        </w:tc>
        <w:tc>
          <w:tcPr>
            <w:tcW w:w="1220" w:type="dxa"/>
            <w:tcBorders>
              <w:bottom w:val="single" w:sz="2" w:space="0" w:color="000000"/>
            </w:tcBorders>
            <w:vAlign w:val="center"/>
          </w:tcPr>
          <w:p>
            <w:pPr>
              <w:pStyle w:val="TableContents"/>
              <w:bidi w:val="0"/>
              <w:spacing w:before="0" w:after="283"/>
              <w:jc w:val="right"/>
              <w:rPr/>
            </w:pPr>
            <w:r>
              <w:rPr/>
              <w:t>$0</w:t>
            </w:r>
          </w:p>
        </w:tc>
        <w:tc>
          <w:tcPr>
            <w:tcW w:w="300" w:type="dxa"/>
            <w:tcBorders>
              <w:bottom w:val="single" w:sz="2" w:space="0" w:color="000000"/>
            </w:tcBorders>
            <w:vAlign w:val="center"/>
          </w:tcPr>
          <w:p>
            <w:pPr>
              <w:pStyle w:val="TableContents"/>
              <w:bidi w:val="0"/>
              <w:spacing w:before="0" w:after="283"/>
              <w:jc w:val="left"/>
              <w:rPr/>
            </w:pPr>
            <w:r>
              <w:rPr/>
              <w:t> </w:t>
            </w:r>
          </w:p>
        </w:tc>
        <w:tc>
          <w:tcPr>
            <w:tcW w:w="1504" w:type="dxa"/>
            <w:tcBorders>
              <w:bottom w:val="single" w:sz="2" w:space="0" w:color="000000"/>
            </w:tcBorders>
            <w:vAlign w:val="center"/>
          </w:tcPr>
          <w:p>
            <w:pPr>
              <w:pStyle w:val="TableContents"/>
              <w:bidi w:val="0"/>
              <w:spacing w:before="0" w:after="283"/>
              <w:jc w:val="right"/>
              <w:rPr/>
            </w:pPr>
            <w:r>
              <w:rPr/>
              <w:t>$39,566</w:t>
            </w:r>
          </w:p>
        </w:tc>
      </w:tr>
      <w:tr>
        <w:trPr/>
        <w:tc>
          <w:tcPr>
            <w:tcW w:w="3199" w:type="dxa"/>
            <w:tcBorders>
              <w:bottom w:val="single" w:sz="2" w:space="0" w:color="000000"/>
            </w:tcBorders>
            <w:vAlign w:val="center"/>
          </w:tcPr>
          <w:p>
            <w:pPr>
              <w:pStyle w:val="TableContents"/>
              <w:bidi w:val="0"/>
              <w:spacing w:before="0" w:after="283"/>
              <w:jc w:val="left"/>
              <w:rPr/>
            </w:pPr>
            <w:r>
              <w:rPr/>
              <w:t>Accrued Paid Time Off</w:t>
            </w:r>
          </w:p>
        </w:tc>
        <w:tc>
          <w:tcPr>
            <w:tcW w:w="300" w:type="dxa"/>
            <w:tcBorders>
              <w:bottom w:val="single" w:sz="2" w:space="0" w:color="000000"/>
            </w:tcBorders>
            <w:vAlign w:val="center"/>
          </w:tcPr>
          <w:p>
            <w:pPr>
              <w:pStyle w:val="TableContents"/>
              <w:bidi w:val="0"/>
              <w:spacing w:before="0" w:after="283"/>
              <w:jc w:val="left"/>
              <w:rPr/>
            </w:pPr>
            <w:r>
              <w:rPr/>
              <w:t> </w:t>
            </w:r>
          </w:p>
        </w:tc>
        <w:tc>
          <w:tcPr>
            <w:tcW w:w="1538" w:type="dxa"/>
            <w:tcBorders>
              <w:bottom w:val="single" w:sz="2" w:space="0" w:color="000000"/>
            </w:tcBorders>
            <w:vAlign w:val="center"/>
          </w:tcPr>
          <w:p>
            <w:pPr>
              <w:pStyle w:val="TableContents"/>
              <w:bidi w:val="0"/>
              <w:spacing w:before="0" w:after="283"/>
              <w:jc w:val="right"/>
              <w:rPr/>
            </w:pPr>
            <w:r>
              <w:rPr/>
              <w:t>$0</w:t>
            </w:r>
          </w:p>
        </w:tc>
        <w:tc>
          <w:tcPr>
            <w:tcW w:w="300" w:type="dxa"/>
            <w:tcBorders>
              <w:bottom w:val="single" w:sz="2" w:space="0" w:color="000000"/>
            </w:tcBorders>
            <w:vAlign w:val="center"/>
          </w:tcPr>
          <w:p>
            <w:pPr>
              <w:pStyle w:val="TableContents"/>
              <w:bidi w:val="0"/>
              <w:spacing w:before="0" w:after="283"/>
              <w:jc w:val="left"/>
              <w:rPr/>
            </w:pPr>
            <w:r>
              <w:rPr/>
              <w:t> </w:t>
            </w:r>
          </w:p>
        </w:tc>
        <w:tc>
          <w:tcPr>
            <w:tcW w:w="1544" w:type="dxa"/>
            <w:tcBorders>
              <w:bottom w:val="single" w:sz="2" w:space="0" w:color="000000"/>
            </w:tcBorders>
            <w:vAlign w:val="center"/>
          </w:tcPr>
          <w:p>
            <w:pPr>
              <w:pStyle w:val="TableContents"/>
              <w:bidi w:val="0"/>
              <w:spacing w:before="0" w:after="283"/>
              <w:jc w:val="right"/>
              <w:rPr/>
            </w:pPr>
            <w:r>
              <w:rPr/>
              <w:t>$0</w:t>
            </w:r>
          </w:p>
        </w:tc>
        <w:tc>
          <w:tcPr>
            <w:tcW w:w="300" w:type="dxa"/>
            <w:tcBorders>
              <w:bottom w:val="single" w:sz="2" w:space="0" w:color="000000"/>
            </w:tcBorders>
            <w:vAlign w:val="center"/>
          </w:tcPr>
          <w:p>
            <w:pPr>
              <w:pStyle w:val="TableContents"/>
              <w:bidi w:val="0"/>
              <w:spacing w:before="0" w:after="283"/>
              <w:jc w:val="left"/>
              <w:rPr/>
            </w:pPr>
            <w:r>
              <w:rPr/>
              <w:t> </w:t>
            </w:r>
          </w:p>
        </w:tc>
        <w:tc>
          <w:tcPr>
            <w:tcW w:w="1220" w:type="dxa"/>
            <w:tcBorders>
              <w:bottom w:val="single" w:sz="2" w:space="0" w:color="000000"/>
            </w:tcBorders>
            <w:vAlign w:val="center"/>
          </w:tcPr>
          <w:p>
            <w:pPr>
              <w:pStyle w:val="TableContents"/>
              <w:bidi w:val="0"/>
              <w:spacing w:before="0" w:after="283"/>
              <w:jc w:val="right"/>
              <w:rPr/>
            </w:pPr>
            <w:r>
              <w:rPr/>
              <w:t>$0</w:t>
            </w:r>
          </w:p>
        </w:tc>
        <w:tc>
          <w:tcPr>
            <w:tcW w:w="300" w:type="dxa"/>
            <w:tcBorders>
              <w:bottom w:val="single" w:sz="2" w:space="0" w:color="000000"/>
            </w:tcBorders>
            <w:vAlign w:val="center"/>
          </w:tcPr>
          <w:p>
            <w:pPr>
              <w:pStyle w:val="TableContents"/>
              <w:bidi w:val="0"/>
              <w:spacing w:before="0" w:after="283"/>
              <w:jc w:val="left"/>
              <w:rPr/>
            </w:pPr>
            <w:r>
              <w:rPr/>
              <w:t> </w:t>
            </w:r>
          </w:p>
        </w:tc>
        <w:tc>
          <w:tcPr>
            <w:tcW w:w="1504" w:type="dxa"/>
            <w:tcBorders>
              <w:bottom w:val="single" w:sz="2" w:space="0" w:color="000000"/>
            </w:tcBorders>
            <w:vAlign w:val="center"/>
          </w:tcPr>
          <w:p>
            <w:pPr>
              <w:pStyle w:val="TableContents"/>
              <w:bidi w:val="0"/>
              <w:spacing w:before="0" w:after="283"/>
              <w:jc w:val="right"/>
              <w:rPr/>
            </w:pPr>
            <w:r>
              <w:rPr/>
              <w:t>$0</w:t>
            </w:r>
          </w:p>
        </w:tc>
      </w:tr>
      <w:tr>
        <w:trPr/>
        <w:tc>
          <w:tcPr>
            <w:tcW w:w="3199" w:type="dxa"/>
            <w:tcBorders>
              <w:bottom w:val="single" w:sz="2" w:space="0" w:color="000000"/>
            </w:tcBorders>
            <w:vAlign w:val="center"/>
          </w:tcPr>
          <w:p>
            <w:pPr>
              <w:pStyle w:val="TableContents"/>
              <w:bidi w:val="0"/>
              <w:spacing w:before="0" w:after="283"/>
              <w:jc w:val="left"/>
              <w:rPr/>
            </w:pPr>
            <w:r>
              <w:rPr/>
              <w:t>Option Awards</w:t>
            </w:r>
            <w:r>
              <w:rPr>
                <w:position w:val="8"/>
                <w:sz w:val="19"/>
              </w:rPr>
              <w:t>(8)</w:t>
            </w:r>
          </w:p>
        </w:tc>
        <w:tc>
          <w:tcPr>
            <w:tcW w:w="300" w:type="dxa"/>
            <w:tcBorders>
              <w:bottom w:val="single" w:sz="2" w:space="0" w:color="000000"/>
            </w:tcBorders>
            <w:vAlign w:val="center"/>
          </w:tcPr>
          <w:p>
            <w:pPr>
              <w:pStyle w:val="TableContents"/>
              <w:bidi w:val="0"/>
              <w:spacing w:before="0" w:after="283"/>
              <w:jc w:val="left"/>
              <w:rPr/>
            </w:pPr>
            <w:r>
              <w:rPr/>
              <w:t> </w:t>
            </w:r>
          </w:p>
        </w:tc>
        <w:tc>
          <w:tcPr>
            <w:tcW w:w="1538" w:type="dxa"/>
            <w:tcBorders>
              <w:bottom w:val="single" w:sz="2" w:space="0" w:color="000000"/>
            </w:tcBorders>
            <w:vAlign w:val="center"/>
          </w:tcPr>
          <w:p>
            <w:pPr>
              <w:pStyle w:val="TableContents"/>
              <w:bidi w:val="0"/>
              <w:spacing w:before="0" w:after="283"/>
              <w:jc w:val="right"/>
              <w:rPr/>
            </w:pPr>
            <w:r>
              <w:rPr/>
              <w:t>$0</w:t>
            </w:r>
          </w:p>
        </w:tc>
        <w:tc>
          <w:tcPr>
            <w:tcW w:w="300" w:type="dxa"/>
            <w:tcBorders>
              <w:bottom w:val="single" w:sz="2" w:space="0" w:color="000000"/>
            </w:tcBorders>
            <w:vAlign w:val="center"/>
          </w:tcPr>
          <w:p>
            <w:pPr>
              <w:pStyle w:val="TableContents"/>
              <w:bidi w:val="0"/>
              <w:spacing w:before="0" w:after="283"/>
              <w:jc w:val="left"/>
              <w:rPr/>
            </w:pPr>
            <w:r>
              <w:rPr/>
              <w:t> </w:t>
            </w:r>
          </w:p>
        </w:tc>
        <w:tc>
          <w:tcPr>
            <w:tcW w:w="1544" w:type="dxa"/>
            <w:tcBorders>
              <w:bottom w:val="single" w:sz="2" w:space="0" w:color="000000"/>
            </w:tcBorders>
            <w:vAlign w:val="center"/>
          </w:tcPr>
          <w:p>
            <w:pPr>
              <w:pStyle w:val="TableContents"/>
              <w:bidi w:val="0"/>
              <w:spacing w:before="0" w:after="283"/>
              <w:jc w:val="right"/>
              <w:rPr/>
            </w:pPr>
            <w:r>
              <w:rPr/>
              <w:t>$36,714,317</w:t>
            </w:r>
          </w:p>
        </w:tc>
        <w:tc>
          <w:tcPr>
            <w:tcW w:w="300" w:type="dxa"/>
            <w:tcBorders>
              <w:bottom w:val="single" w:sz="2" w:space="0" w:color="000000"/>
            </w:tcBorders>
            <w:vAlign w:val="center"/>
          </w:tcPr>
          <w:p>
            <w:pPr>
              <w:pStyle w:val="TableContents"/>
              <w:bidi w:val="0"/>
              <w:spacing w:before="0" w:after="283"/>
              <w:jc w:val="left"/>
              <w:rPr/>
            </w:pPr>
            <w:r>
              <w:rPr/>
              <w:t> </w:t>
            </w:r>
          </w:p>
        </w:tc>
        <w:tc>
          <w:tcPr>
            <w:tcW w:w="1220" w:type="dxa"/>
            <w:tcBorders>
              <w:bottom w:val="single" w:sz="2" w:space="0" w:color="000000"/>
            </w:tcBorders>
            <w:vAlign w:val="center"/>
          </w:tcPr>
          <w:p>
            <w:pPr>
              <w:pStyle w:val="TableContents"/>
              <w:bidi w:val="0"/>
              <w:spacing w:before="0" w:after="283"/>
              <w:jc w:val="right"/>
              <w:rPr/>
            </w:pPr>
            <w:r>
              <w:rPr/>
              <w:t>$36,714,317</w:t>
            </w:r>
          </w:p>
        </w:tc>
        <w:tc>
          <w:tcPr>
            <w:tcW w:w="300" w:type="dxa"/>
            <w:tcBorders>
              <w:bottom w:val="single" w:sz="2" w:space="0" w:color="000000"/>
            </w:tcBorders>
            <w:vAlign w:val="center"/>
          </w:tcPr>
          <w:p>
            <w:pPr>
              <w:pStyle w:val="TableContents"/>
              <w:bidi w:val="0"/>
              <w:spacing w:before="0" w:after="283"/>
              <w:jc w:val="left"/>
              <w:rPr/>
            </w:pPr>
            <w:r>
              <w:rPr/>
              <w:t> </w:t>
            </w:r>
          </w:p>
        </w:tc>
        <w:tc>
          <w:tcPr>
            <w:tcW w:w="1504" w:type="dxa"/>
            <w:tcBorders>
              <w:bottom w:val="single" w:sz="2" w:space="0" w:color="000000"/>
            </w:tcBorders>
            <w:vAlign w:val="center"/>
          </w:tcPr>
          <w:p>
            <w:pPr>
              <w:pStyle w:val="TableContents"/>
              <w:bidi w:val="0"/>
              <w:spacing w:before="0" w:after="283"/>
              <w:jc w:val="right"/>
              <w:rPr/>
            </w:pPr>
            <w:r>
              <w:rPr/>
              <w:t>$46,857,251</w:t>
            </w:r>
          </w:p>
        </w:tc>
      </w:tr>
      <w:tr>
        <w:trPr/>
        <w:tc>
          <w:tcPr>
            <w:tcW w:w="3199" w:type="dxa"/>
            <w:tcBorders>
              <w:bottom w:val="single" w:sz="12" w:space="0" w:color="636466"/>
            </w:tcBorders>
            <w:vAlign w:val="center"/>
          </w:tcPr>
          <w:p>
            <w:pPr>
              <w:pStyle w:val="TableContents"/>
              <w:bidi w:val="0"/>
              <w:spacing w:before="0" w:after="283"/>
              <w:jc w:val="left"/>
              <w:rPr/>
            </w:pPr>
            <w:r>
              <w:rPr/>
              <w:t>Stock Awards</w:t>
            </w:r>
            <w:r>
              <w:rPr>
                <w:position w:val="8"/>
                <w:sz w:val="19"/>
              </w:rPr>
              <w:t>(8)</w:t>
            </w:r>
          </w:p>
        </w:tc>
        <w:tc>
          <w:tcPr>
            <w:tcW w:w="300" w:type="dxa"/>
            <w:tcBorders>
              <w:bottom w:val="single" w:sz="12" w:space="0" w:color="636466"/>
            </w:tcBorders>
            <w:vAlign w:val="center"/>
          </w:tcPr>
          <w:p>
            <w:pPr>
              <w:pStyle w:val="TableContents"/>
              <w:bidi w:val="0"/>
              <w:spacing w:before="0" w:after="283"/>
              <w:jc w:val="left"/>
              <w:rPr/>
            </w:pPr>
            <w:r>
              <w:rPr/>
              <w:t> </w:t>
            </w:r>
          </w:p>
        </w:tc>
        <w:tc>
          <w:tcPr>
            <w:tcW w:w="1538" w:type="dxa"/>
            <w:tcBorders>
              <w:bottom w:val="single" w:sz="12" w:space="0" w:color="636466"/>
            </w:tcBorders>
            <w:vAlign w:val="center"/>
          </w:tcPr>
          <w:p>
            <w:pPr>
              <w:pStyle w:val="TableContents"/>
              <w:bidi w:val="0"/>
              <w:spacing w:before="0" w:after="283"/>
              <w:jc w:val="right"/>
              <w:rPr/>
            </w:pPr>
            <w:r>
              <w:rPr/>
              <w:t>$0</w:t>
            </w:r>
          </w:p>
        </w:tc>
        <w:tc>
          <w:tcPr>
            <w:tcW w:w="300" w:type="dxa"/>
            <w:tcBorders>
              <w:bottom w:val="single" w:sz="12" w:space="0" w:color="636466"/>
            </w:tcBorders>
            <w:vAlign w:val="center"/>
          </w:tcPr>
          <w:p>
            <w:pPr>
              <w:pStyle w:val="TableContents"/>
              <w:bidi w:val="0"/>
              <w:spacing w:before="0" w:after="283"/>
              <w:jc w:val="left"/>
              <w:rPr/>
            </w:pPr>
            <w:r>
              <w:rPr/>
              <w:t> </w:t>
            </w:r>
          </w:p>
        </w:tc>
        <w:tc>
          <w:tcPr>
            <w:tcW w:w="1544" w:type="dxa"/>
            <w:tcBorders>
              <w:bottom w:val="single" w:sz="12" w:space="0" w:color="636466"/>
            </w:tcBorders>
            <w:vAlign w:val="center"/>
          </w:tcPr>
          <w:p>
            <w:pPr>
              <w:pStyle w:val="TableContents"/>
              <w:bidi w:val="0"/>
              <w:spacing w:before="0" w:after="283"/>
              <w:jc w:val="right"/>
              <w:rPr/>
            </w:pPr>
            <w:r>
              <w:rPr/>
              <w:t>$52,530,290</w:t>
            </w:r>
          </w:p>
        </w:tc>
        <w:tc>
          <w:tcPr>
            <w:tcW w:w="300" w:type="dxa"/>
            <w:tcBorders>
              <w:bottom w:val="single" w:sz="12" w:space="0" w:color="636466"/>
            </w:tcBorders>
            <w:vAlign w:val="center"/>
          </w:tcPr>
          <w:p>
            <w:pPr>
              <w:pStyle w:val="TableContents"/>
              <w:bidi w:val="0"/>
              <w:spacing w:before="0" w:after="283"/>
              <w:jc w:val="left"/>
              <w:rPr/>
            </w:pPr>
            <w:r>
              <w:rPr/>
              <w:t> </w:t>
            </w:r>
          </w:p>
        </w:tc>
        <w:tc>
          <w:tcPr>
            <w:tcW w:w="1220" w:type="dxa"/>
            <w:tcBorders>
              <w:bottom w:val="single" w:sz="12" w:space="0" w:color="636466"/>
            </w:tcBorders>
            <w:vAlign w:val="center"/>
          </w:tcPr>
          <w:p>
            <w:pPr>
              <w:pStyle w:val="TableContents"/>
              <w:bidi w:val="0"/>
              <w:spacing w:before="0" w:after="283"/>
              <w:jc w:val="right"/>
              <w:rPr/>
            </w:pPr>
            <w:r>
              <w:rPr/>
              <w:t>$49,088,789</w:t>
            </w:r>
          </w:p>
        </w:tc>
        <w:tc>
          <w:tcPr>
            <w:tcW w:w="300" w:type="dxa"/>
            <w:tcBorders>
              <w:bottom w:val="single" w:sz="12" w:space="0" w:color="636466"/>
            </w:tcBorders>
            <w:vAlign w:val="center"/>
          </w:tcPr>
          <w:p>
            <w:pPr>
              <w:pStyle w:val="TableContents"/>
              <w:bidi w:val="0"/>
              <w:spacing w:before="0" w:after="283"/>
              <w:jc w:val="left"/>
              <w:rPr/>
            </w:pPr>
            <w:r>
              <w:rPr/>
              <w:t> </w:t>
            </w:r>
          </w:p>
        </w:tc>
        <w:tc>
          <w:tcPr>
            <w:tcW w:w="1504" w:type="dxa"/>
            <w:tcBorders>
              <w:bottom w:val="single" w:sz="12" w:space="0" w:color="636466"/>
            </w:tcBorders>
            <w:vAlign w:val="center"/>
          </w:tcPr>
          <w:p>
            <w:pPr>
              <w:pStyle w:val="TableContents"/>
              <w:bidi w:val="0"/>
              <w:spacing w:before="0" w:after="283"/>
              <w:jc w:val="right"/>
              <w:rPr/>
            </w:pPr>
            <w:r>
              <w:rPr/>
              <w:t>$81,841,278</w:t>
            </w:r>
          </w:p>
        </w:tc>
      </w:tr>
      <w:tr>
        <w:trPr/>
        <w:tc>
          <w:tcPr>
            <w:tcW w:w="3199" w:type="dxa"/>
            <w:tcBorders>
              <w:bottom w:val="single" w:sz="12" w:space="0" w:color="636466"/>
            </w:tcBorders>
            <w:shd w:fill="EDEDEE" w:val="clear"/>
            <w:vAlign w:val="center"/>
          </w:tcPr>
          <w:p>
            <w:pPr>
              <w:pStyle w:val="TableContents"/>
              <w:bidi w:val="0"/>
              <w:spacing w:before="0" w:after="283"/>
              <w:jc w:val="left"/>
              <w:rPr>
                <w:b/>
              </w:rPr>
            </w:pPr>
            <w:r>
              <w:rPr>
                <w:b/>
              </w:rPr>
              <w:t>Total</w:t>
            </w:r>
          </w:p>
        </w:tc>
        <w:tc>
          <w:tcPr>
            <w:tcW w:w="300" w:type="dxa"/>
            <w:tcBorders>
              <w:bottom w:val="single" w:sz="12" w:space="0" w:color="636466"/>
            </w:tcBorders>
            <w:shd w:fill="EDEDEE" w:val="clear"/>
            <w:vAlign w:val="center"/>
          </w:tcPr>
          <w:p>
            <w:pPr>
              <w:pStyle w:val="TableContents"/>
              <w:bidi w:val="0"/>
              <w:spacing w:before="0" w:after="283"/>
              <w:jc w:val="left"/>
              <w:rPr/>
            </w:pPr>
            <w:r>
              <w:rPr/>
              <w:t> </w:t>
            </w:r>
          </w:p>
        </w:tc>
        <w:tc>
          <w:tcPr>
            <w:tcW w:w="1538" w:type="dxa"/>
            <w:tcBorders>
              <w:bottom w:val="single" w:sz="12" w:space="0" w:color="636466"/>
            </w:tcBorders>
            <w:shd w:fill="EDEDEE" w:val="clear"/>
            <w:vAlign w:val="center"/>
          </w:tcPr>
          <w:p>
            <w:pPr>
              <w:pStyle w:val="TableContents"/>
              <w:bidi w:val="0"/>
              <w:spacing w:before="0" w:after="283"/>
              <w:jc w:val="right"/>
              <w:rPr>
                <w:b/>
              </w:rPr>
            </w:pPr>
            <w:r>
              <w:rPr>
                <w:b/>
              </w:rPr>
              <w:t>$0</w:t>
            </w:r>
          </w:p>
        </w:tc>
        <w:tc>
          <w:tcPr>
            <w:tcW w:w="300" w:type="dxa"/>
            <w:tcBorders>
              <w:bottom w:val="single" w:sz="12" w:space="0" w:color="636466"/>
            </w:tcBorders>
            <w:shd w:fill="EDEDEE" w:val="clear"/>
            <w:vAlign w:val="center"/>
          </w:tcPr>
          <w:p>
            <w:pPr>
              <w:pStyle w:val="TableContents"/>
              <w:bidi w:val="0"/>
              <w:spacing w:before="0" w:after="283"/>
              <w:jc w:val="left"/>
              <w:rPr/>
            </w:pPr>
            <w:r>
              <w:rPr/>
              <w:t> </w:t>
            </w:r>
          </w:p>
        </w:tc>
        <w:tc>
          <w:tcPr>
            <w:tcW w:w="1544" w:type="dxa"/>
            <w:tcBorders>
              <w:bottom w:val="single" w:sz="12" w:space="0" w:color="636466"/>
            </w:tcBorders>
            <w:shd w:fill="EDEDEE" w:val="clear"/>
            <w:vAlign w:val="center"/>
          </w:tcPr>
          <w:p>
            <w:pPr>
              <w:pStyle w:val="TableContents"/>
              <w:bidi w:val="0"/>
              <w:spacing w:before="0" w:after="283"/>
              <w:jc w:val="right"/>
              <w:rPr>
                <w:b/>
              </w:rPr>
            </w:pPr>
            <w:r>
              <w:rPr>
                <w:b/>
              </w:rPr>
              <w:t>$92,384,173</w:t>
            </w:r>
          </w:p>
        </w:tc>
        <w:tc>
          <w:tcPr>
            <w:tcW w:w="300" w:type="dxa"/>
            <w:tcBorders>
              <w:bottom w:val="single" w:sz="12" w:space="0" w:color="636466"/>
            </w:tcBorders>
            <w:shd w:fill="EDEDEE" w:val="clear"/>
            <w:vAlign w:val="center"/>
          </w:tcPr>
          <w:p>
            <w:pPr>
              <w:pStyle w:val="TableContents"/>
              <w:bidi w:val="0"/>
              <w:spacing w:before="0" w:after="283"/>
              <w:jc w:val="left"/>
              <w:rPr/>
            </w:pPr>
            <w:r>
              <w:rPr/>
              <w:t> </w:t>
            </w:r>
          </w:p>
        </w:tc>
        <w:tc>
          <w:tcPr>
            <w:tcW w:w="1220" w:type="dxa"/>
            <w:tcBorders>
              <w:bottom w:val="single" w:sz="12" w:space="0" w:color="636466"/>
            </w:tcBorders>
            <w:shd w:fill="EDEDEE" w:val="clear"/>
            <w:vAlign w:val="center"/>
          </w:tcPr>
          <w:p>
            <w:pPr>
              <w:pStyle w:val="TableContents"/>
              <w:bidi w:val="0"/>
              <w:spacing w:before="0" w:after="283"/>
              <w:jc w:val="right"/>
              <w:rPr>
                <w:b/>
              </w:rPr>
            </w:pPr>
            <w:r>
              <w:rPr>
                <w:b/>
              </w:rPr>
              <w:t>$85,803,106</w:t>
            </w:r>
          </w:p>
        </w:tc>
        <w:tc>
          <w:tcPr>
            <w:tcW w:w="300" w:type="dxa"/>
            <w:tcBorders>
              <w:bottom w:val="single" w:sz="12" w:space="0" w:color="636466"/>
            </w:tcBorders>
            <w:shd w:fill="EDEDEE" w:val="clear"/>
            <w:vAlign w:val="center"/>
          </w:tcPr>
          <w:p>
            <w:pPr>
              <w:pStyle w:val="TableContents"/>
              <w:bidi w:val="0"/>
              <w:spacing w:before="0" w:after="283"/>
              <w:jc w:val="left"/>
              <w:rPr/>
            </w:pPr>
            <w:r>
              <w:rPr/>
              <w:t> </w:t>
            </w:r>
          </w:p>
        </w:tc>
        <w:tc>
          <w:tcPr>
            <w:tcW w:w="1504" w:type="dxa"/>
            <w:tcBorders>
              <w:bottom w:val="single" w:sz="12" w:space="0" w:color="636466"/>
            </w:tcBorders>
            <w:shd w:fill="EDEDEE" w:val="clear"/>
            <w:vAlign w:val="center"/>
          </w:tcPr>
          <w:p>
            <w:pPr>
              <w:pStyle w:val="TableContents"/>
              <w:bidi w:val="0"/>
              <w:spacing w:before="0" w:after="283"/>
              <w:jc w:val="right"/>
              <w:rPr>
                <w:b/>
              </w:rPr>
            </w:pPr>
            <w:r>
              <w:rPr>
                <w:b/>
              </w:rPr>
              <w:t>$131,838,095</w:t>
            </w:r>
          </w:p>
        </w:tc>
      </w:tr>
    </w:tbl>
    <w:tbl>
      <w:tblPr>
        <w:tblW w:w="10205" w:type="dxa"/>
        <w:jc w:val="left"/>
        <w:tblInd w:w="0" w:type="dxa"/>
        <w:tblLayout w:type="fixed"/>
        <w:tblCellMar>
          <w:top w:w="0" w:type="dxa"/>
          <w:left w:w="0" w:type="dxa"/>
          <w:bottom w:w="0" w:type="dxa"/>
          <w:right w:w="0" w:type="dxa"/>
        </w:tblCellMar>
      </w:tblPr>
      <w:tblGrid>
        <w:gridCol w:w="237"/>
        <w:gridCol w:w="9968"/>
      </w:tblGrid>
      <w:tr>
        <w:trPr/>
        <w:tc>
          <w:tcPr>
            <w:tcW w:w="237" w:type="dxa"/>
            <w:tcBorders/>
            <w:vAlign w:val="center"/>
          </w:tcPr>
          <w:p>
            <w:pPr>
              <w:pStyle w:val="TableContents"/>
              <w:bidi w:val="0"/>
              <w:spacing w:before="0" w:after="283"/>
              <w:jc w:val="left"/>
              <w:rPr/>
            </w:pPr>
            <w:r>
              <w:rPr/>
              <w:t>(1)</w:t>
            </w:r>
          </w:p>
        </w:tc>
        <w:tc>
          <w:tcPr>
            <w:tcW w:w="9968" w:type="dxa"/>
            <w:tcBorders/>
            <w:vAlign w:val="center"/>
          </w:tcPr>
          <w:p>
            <w:pPr>
              <w:pStyle w:val="TableContents"/>
              <w:bidi w:val="0"/>
              <w:spacing w:before="0" w:after="283"/>
              <w:jc w:val="left"/>
              <w:rPr/>
            </w:pPr>
            <w:r>
              <w:rPr/>
              <w:t>Outstanding LTI awards would be forfeited upon an involuntary separation for cause.</w:t>
            </w:r>
          </w:p>
        </w:tc>
      </w:tr>
      <w:tr>
        <w:trPr/>
        <w:tc>
          <w:tcPr>
            <w:tcW w:w="237" w:type="dxa"/>
            <w:tcBorders/>
            <w:vAlign w:val="center"/>
          </w:tcPr>
          <w:p>
            <w:pPr>
              <w:pStyle w:val="TableContents"/>
              <w:bidi w:val="0"/>
              <w:spacing w:before="0" w:after="283"/>
              <w:jc w:val="left"/>
              <w:rPr/>
            </w:pPr>
            <w:r>
              <w:rPr/>
              <w:t>(2)</w:t>
            </w:r>
          </w:p>
        </w:tc>
        <w:tc>
          <w:tcPr>
            <w:tcW w:w="9968" w:type="dxa"/>
            <w:tcBorders/>
            <w:vAlign w:val="center"/>
          </w:tcPr>
          <w:p>
            <w:pPr>
              <w:pStyle w:val="TableContents"/>
              <w:bidi w:val="0"/>
              <w:spacing w:before="0" w:after="283"/>
              <w:jc w:val="left"/>
              <w:rPr/>
            </w:pPr>
            <w:r>
              <w:rPr/>
              <w:t>As of December 31, 2025, Mr. Calio had attained retirement eligibility status under the terms of the RTX LTIP. As a result, in the event of an involuntary separation (without cause), his annual LTI awards would receive the beneficial treatment reserved for retirement-eligible employees. These awards, if outstanding for more than one year, would be treated as follows: (i) SARs would vest; and (ii) PSUs would remain eligible to vest on the original vesting date, subject to the achievement of Company performance goals. An involuntary (without cause) separation would constitute a qualifying separation under the terms of the ELG RSU awards and as a result, those RSUs would vest. Annual LTI awards outstanding for less than one year would be forfeited.</w:t>
            </w:r>
          </w:p>
        </w:tc>
      </w:tr>
      <w:tr>
        <w:trPr/>
        <w:tc>
          <w:tcPr>
            <w:tcW w:w="237" w:type="dxa"/>
            <w:tcBorders/>
            <w:vAlign w:val="center"/>
          </w:tcPr>
          <w:p>
            <w:pPr>
              <w:pStyle w:val="TableContents"/>
              <w:bidi w:val="0"/>
              <w:spacing w:before="0" w:after="283"/>
              <w:jc w:val="left"/>
              <w:rPr/>
            </w:pPr>
            <w:r>
              <w:rPr/>
              <w:t>(3)</w:t>
            </w:r>
          </w:p>
        </w:tc>
        <w:tc>
          <w:tcPr>
            <w:tcW w:w="9968" w:type="dxa"/>
            <w:tcBorders/>
            <w:vAlign w:val="center"/>
          </w:tcPr>
          <w:p>
            <w:pPr>
              <w:pStyle w:val="TableContents"/>
              <w:bidi w:val="0"/>
              <w:spacing w:before="0" w:after="283"/>
              <w:jc w:val="left"/>
              <w:rPr/>
            </w:pPr>
            <w:r>
              <w:rPr/>
              <w:t>As of December 31, 2025, Mr. Calio had attained retirement eligibility status under the terms of the RTX LTIP. As a result, in the event of a voluntary separation, his annual LTI awards would receive the beneficial treatment reserved for retirement-eligible employees. These awards, if outstanding for more than one year, would be treated as follows: (i) SARs would vest; and (ii) PSUs would remain eligible to vest on the original vesting date, subject to the achievement of Company performance goals. Annual LTI awards outstanding for less than one year and his ELG RSU award, which does not carry beneficial retirement treatment, would be forfeited in the case of a voluntary separation from the Company, unless the terms of Mr. Calio’s separation were determined to be “mutually agreeable” following three years of service within the ELG. In this case, the Company may elect to vest his ELG RSU award.</w:t>
            </w:r>
          </w:p>
        </w:tc>
      </w:tr>
      <w:tr>
        <w:trPr/>
        <w:tc>
          <w:tcPr>
            <w:tcW w:w="237" w:type="dxa"/>
            <w:tcBorders/>
            <w:vAlign w:val="center"/>
          </w:tcPr>
          <w:p>
            <w:pPr>
              <w:pStyle w:val="TableContents"/>
              <w:bidi w:val="0"/>
              <w:spacing w:before="0" w:after="283"/>
              <w:jc w:val="left"/>
              <w:rPr/>
            </w:pPr>
            <w:r>
              <w:rPr/>
              <w:t>(4)</w:t>
            </w:r>
          </w:p>
        </w:tc>
        <w:tc>
          <w:tcPr>
            <w:tcW w:w="9968" w:type="dxa"/>
            <w:tcBorders/>
            <w:vAlign w:val="center"/>
          </w:tcPr>
          <w:p>
            <w:pPr>
              <w:pStyle w:val="TableContents"/>
              <w:bidi w:val="0"/>
              <w:spacing w:before="0" w:after="283"/>
              <w:jc w:val="left"/>
              <w:rPr/>
            </w:pPr>
            <w:r>
              <w:rPr/>
              <w:t>In the event of a qualifying termination within two years of an RTX change-in-control, all outstanding awards would vest in accordance with the RTX LTIP, including PSUs, which would vest at the greater of actual or target performance.</w:t>
            </w:r>
          </w:p>
        </w:tc>
      </w:tr>
      <w:tr>
        <w:trPr/>
        <w:tc>
          <w:tcPr>
            <w:tcW w:w="237" w:type="dxa"/>
            <w:tcBorders/>
            <w:vAlign w:val="center"/>
          </w:tcPr>
          <w:p>
            <w:pPr>
              <w:pStyle w:val="TableContents"/>
              <w:bidi w:val="0"/>
              <w:spacing w:before="0" w:after="283"/>
              <w:jc w:val="left"/>
              <w:rPr/>
            </w:pPr>
            <w:r>
              <w:rPr/>
              <w:t>(5)</w:t>
            </w:r>
          </w:p>
        </w:tc>
        <w:tc>
          <w:tcPr>
            <w:tcW w:w="9968" w:type="dxa"/>
            <w:tcBorders/>
            <w:vAlign w:val="center"/>
          </w:tcPr>
          <w:p>
            <w:pPr>
              <w:pStyle w:val="TableContents"/>
              <w:bidi w:val="0"/>
              <w:spacing w:before="0" w:after="283"/>
              <w:jc w:val="left"/>
              <w:rPr/>
            </w:pPr>
            <w:r>
              <w:rPr/>
              <w:t>Upon an involuntary separation (without cause) or a qualifying separation following a change-in-control, the Company provides a pro-rata portion of target annual incentive awards for the period of time employed during the plan year. Since this table assumes a December 31, 2025, separation, a full-year 2025 target annual incentive award is shown.</w:t>
            </w:r>
          </w:p>
        </w:tc>
      </w:tr>
      <w:tr>
        <w:trPr/>
        <w:tc>
          <w:tcPr>
            <w:tcW w:w="237" w:type="dxa"/>
            <w:tcBorders/>
            <w:vAlign w:val="center"/>
          </w:tcPr>
          <w:p>
            <w:pPr>
              <w:pStyle w:val="TableContents"/>
              <w:bidi w:val="0"/>
              <w:spacing w:before="0" w:after="283"/>
              <w:jc w:val="left"/>
              <w:rPr/>
            </w:pPr>
            <w:r>
              <w:rPr/>
              <w:t>(6)</w:t>
            </w:r>
          </w:p>
        </w:tc>
        <w:tc>
          <w:tcPr>
            <w:tcW w:w="9968" w:type="dxa"/>
            <w:tcBorders/>
            <w:vAlign w:val="center"/>
          </w:tcPr>
          <w:p>
            <w:pPr>
              <w:pStyle w:val="TableContents"/>
              <w:bidi w:val="0"/>
              <w:spacing w:before="0" w:after="283"/>
              <w:jc w:val="left"/>
              <w:rPr/>
            </w:pPr>
            <w:r>
              <w:rPr/>
              <w:t>An estimated lump-sum present value of the qualified and nonqualified pension benefits payable to Mr. Calio upon a separation from the Company can be found in the Pension Benefits table on page 70.</w:t>
            </w:r>
          </w:p>
        </w:tc>
      </w:tr>
      <w:tr>
        <w:trPr/>
        <w:tc>
          <w:tcPr>
            <w:tcW w:w="237" w:type="dxa"/>
            <w:tcBorders/>
            <w:vAlign w:val="center"/>
          </w:tcPr>
          <w:p>
            <w:pPr>
              <w:pStyle w:val="TableContents"/>
              <w:bidi w:val="0"/>
              <w:spacing w:before="0" w:after="283"/>
              <w:jc w:val="left"/>
              <w:rPr/>
            </w:pPr>
            <w:r>
              <w:rPr/>
              <w:t>(7)</w:t>
            </w:r>
          </w:p>
        </w:tc>
        <w:tc>
          <w:tcPr>
            <w:tcW w:w="9968" w:type="dxa"/>
            <w:tcBorders/>
            <w:vAlign w:val="center"/>
          </w:tcPr>
          <w:p>
            <w:pPr>
              <w:pStyle w:val="TableContents"/>
              <w:bidi w:val="0"/>
              <w:spacing w:before="0" w:after="283"/>
              <w:jc w:val="left"/>
              <w:rPr/>
            </w:pPr>
            <w:r>
              <w:rPr/>
              <w:t>Upon an involuntary separation (without cause) or a qualifying separation following a change-in-control, the Company provides one year of continuation of health and welfare benefits. Amounts shown reflect the estimated cost of one year of health and welfare benefit continuation based on elections as of December 31, 2025.</w:t>
            </w:r>
          </w:p>
        </w:tc>
      </w:tr>
      <w:tr>
        <w:trPr/>
        <w:tc>
          <w:tcPr>
            <w:tcW w:w="237" w:type="dxa"/>
            <w:tcBorders/>
            <w:vAlign w:val="center"/>
          </w:tcPr>
          <w:p>
            <w:pPr>
              <w:pStyle w:val="TableContents"/>
              <w:bidi w:val="0"/>
              <w:spacing w:before="0" w:after="283"/>
              <w:jc w:val="left"/>
              <w:rPr/>
            </w:pPr>
            <w:r>
              <w:rPr/>
              <w:t>(8)</w:t>
            </w:r>
          </w:p>
        </w:tc>
        <w:tc>
          <w:tcPr>
            <w:tcW w:w="9968" w:type="dxa"/>
            <w:tcBorders/>
            <w:vAlign w:val="center"/>
          </w:tcPr>
          <w:p>
            <w:pPr>
              <w:pStyle w:val="TableContents"/>
              <w:bidi w:val="0"/>
              <w:spacing w:before="0" w:after="283"/>
              <w:jc w:val="left"/>
              <w:rPr/>
            </w:pPr>
            <w:r>
              <w:rPr/>
              <w:t>Reflects the value of unvested LTI awards that would vest (or remain eligible to vest) following a separation from the Company, calculated using the closing stock price of RTX on the last trading day of 2025 ($183.40). Where included, the 2025 and 2024 PSUs assume maximum-level performance based on estimated performance as of December 31, 2025, and actual performance is used for the 2023 PSUs.  </w:t>
            </w:r>
          </w:p>
        </w:tc>
      </w:tr>
    </w:tbl>
    <w:p>
      <w:pPr>
        <w:pStyle w:val="TextBody"/>
        <w:bidi w:val="0"/>
        <w:jc w:val="left"/>
        <w:rPr>
          <w:caps w:val="false"/>
          <w:smallCaps w:val="false"/>
        </w:rPr>
      </w:pPr>
      <w:r>
        <w:rPr>
          <w:caps w:val="false"/>
          <w:smallCaps w:val="false"/>
        </w:rPr>
        <w:t> </w:t>
      </w:r>
    </w:p>
    <w:p>
      <w:pPr>
        <w:pStyle w:val="TextBody"/>
        <w:bidi w:val="0"/>
        <w:jc w:val="right"/>
        <w:rPr>
          <w:rFonts w:ascii="Arial;Helvetica;Sans-Serif" w:hAnsi="Arial;Helvetica;Sans-Serif"/>
          <w:b w:val="false"/>
          <w:i w:val="false"/>
          <w:caps w:val="false"/>
          <w:smallCaps w:val="false"/>
          <w:sz w:val="15"/>
        </w:rPr>
      </w:pPr>
      <w:r>
        <w:rPr>
          <w:rFonts w:ascii="Arial;Helvetica;Sans-Serif" w:hAnsi="Arial;Helvetica;Sans-Serif"/>
          <w:b/>
          <w:i w:val="false"/>
          <w:caps w:val="false"/>
          <w:smallCaps w:val="false"/>
          <w:sz w:val="15"/>
        </w:rPr>
        <w:t xml:space="preserve">RTX </w:t>
      </w:r>
      <w:r>
        <w:rPr>
          <w:rFonts w:ascii="Arial;Helvetica;Sans-Serif" w:hAnsi="Arial;Helvetica;Sans-Serif"/>
          <w:b w:val="false"/>
          <w:i w:val="false"/>
          <w:caps w:val="false"/>
          <w:smallCaps w:val="false"/>
          <w:sz w:val="15"/>
        </w:rPr>
        <w:t>2026 PROXY STATEMENT    </w:t>
      </w:r>
      <w:r>
        <w:rPr>
          <w:rFonts w:ascii="Arial;Helvetica;Sans-Serif" w:hAnsi="Arial;Helvetica;Sans-Serif"/>
          <w:b/>
          <w:i w:val="false"/>
          <w:caps w:val="false"/>
          <w:smallCaps w:val="false"/>
          <w:sz w:val="15"/>
        </w:rPr>
        <w:t>73</w:t>
      </w:r>
    </w:p>
    <w:p>
      <w:pPr>
        <w:pStyle w:val="HorizontalLine"/>
        <w:pBdr>
          <w:bottom w:val="double" w:sz="2" w:space="0" w:color="808080"/>
        </w:pBdr>
        <w:bidi w:val="0"/>
        <w:spacing w:before="0" w:after="283"/>
        <w:jc w:val="left"/>
        <w:rPr/>
      </w:pPr>
      <w:r>
        <w:rPr/>
      </w:r>
    </w:p>
    <w:p>
      <w:pPr>
        <w:pStyle w:val="TextBody"/>
        <w:bidi w:val="0"/>
        <w:spacing w:before="200" w:after="200"/>
        <w:jc w:val="left"/>
        <w:rPr/>
      </w:pPr>
      <w:hyperlink w:anchor="toc">
        <w:r>
          <w:rPr>
            <w:rStyle w:val="InternetLink"/>
            <w:rFonts w:ascii="Arial;Helvetica;Sans-Serif" w:hAnsi="Arial;Helvetica;Sans-Serif"/>
            <w:b/>
            <w:i w:val="false"/>
            <w:caps w:val="false"/>
            <w:smallCaps w:val="false"/>
            <w:sz w:val="16"/>
          </w:rPr>
          <w:t>Table of Contents</w:t>
        </w:r>
      </w:hyperlink>
    </w:p>
    <w:p>
      <w:pPr>
        <w:pStyle w:val="TextBody"/>
        <w:bidi w:val="0"/>
        <w:spacing w:before="0" w:after="0"/>
        <w:jc w:val="left"/>
        <w:rPr>
          <w:rFonts w:ascii="Arial;Helvetica;Sans-Serif" w:hAnsi="Arial;Helvetica;Sans-Serif"/>
          <w:b/>
          <w:i w:val="false"/>
          <w:caps w:val="false"/>
          <w:smallCaps w:val="false"/>
          <w:color w:val="C12E33"/>
          <w:sz w:val="15"/>
        </w:rPr>
      </w:pPr>
      <w:r>
        <w:rPr>
          <w:rFonts w:ascii="Arial;Helvetica;Sans-Serif" w:hAnsi="Arial;Helvetica;Sans-Serif"/>
          <w:b/>
          <w:i w:val="false"/>
          <w:caps w:val="false"/>
          <w:smallCaps w:val="false"/>
          <w:color w:val="C12E33"/>
          <w:sz w:val="15"/>
        </w:rPr>
        <w:t>COMPENSATION TABLES</w:t>
      </w:r>
    </w:p>
    <w:p>
      <w:pPr>
        <w:pStyle w:val="TextBody"/>
        <w:bidi w:val="0"/>
        <w:spacing w:before="0" w:after="0"/>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POTENTIAL PAYMENTS UPON TERMINATION OR CHANGE-IN-CONTROL</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NEIL G. MITCHILL, JR.</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table below shows the estimated value of payments and benefits that Mr. Mitchill would have been entitled to receive had his employment terminated on December 31, 2025, under various hypothetical circumstances.</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40" w:type="dxa"/>
          <w:right w:w="0" w:type="dxa"/>
        </w:tblCellMar>
      </w:tblPr>
      <w:tblGrid>
        <w:gridCol w:w="2132"/>
        <w:gridCol w:w="300"/>
        <w:gridCol w:w="1730"/>
        <w:gridCol w:w="300"/>
        <w:gridCol w:w="1730"/>
        <w:gridCol w:w="300"/>
        <w:gridCol w:w="1259"/>
        <w:gridCol w:w="300"/>
        <w:gridCol w:w="2154"/>
      </w:tblGrid>
      <w:tr>
        <w:trPr/>
        <w:tc>
          <w:tcPr>
            <w:tcW w:w="2132" w:type="dxa"/>
            <w:tcBorders>
              <w:bottom w:val="single" w:sz="12" w:space="0" w:color="C12D33"/>
            </w:tcBorders>
            <w:vAlign w:val="center"/>
          </w:tcPr>
          <w:p>
            <w:pPr>
              <w:pStyle w:val="TableContents"/>
              <w:bidi w:val="0"/>
              <w:spacing w:before="0" w:after="283"/>
              <w:jc w:val="left"/>
              <w:rPr/>
            </w:pPr>
            <w:r>
              <w:rPr/>
              <w:t> </w:t>
            </w:r>
          </w:p>
        </w:tc>
        <w:tc>
          <w:tcPr>
            <w:tcW w:w="300" w:type="dxa"/>
            <w:tcBorders>
              <w:bottom w:val="single" w:sz="12" w:space="0" w:color="C12D33"/>
            </w:tcBorders>
            <w:vAlign w:val="center"/>
          </w:tcPr>
          <w:p>
            <w:pPr>
              <w:pStyle w:val="TableContents"/>
              <w:bidi w:val="0"/>
              <w:spacing w:before="0" w:after="283"/>
              <w:jc w:val="left"/>
              <w:rPr/>
            </w:pPr>
            <w:r>
              <w:rPr/>
              <w:t>     </w:t>
            </w:r>
          </w:p>
        </w:tc>
        <w:tc>
          <w:tcPr>
            <w:tcW w:w="1730" w:type="dxa"/>
            <w:tcBorders>
              <w:bottom w:val="single" w:sz="12" w:space="0" w:color="C12D33"/>
            </w:tcBorders>
            <w:vAlign w:val="center"/>
          </w:tcPr>
          <w:p>
            <w:pPr>
              <w:pStyle w:val="TableContents"/>
              <w:bidi w:val="0"/>
              <w:spacing w:before="0" w:after="283"/>
              <w:jc w:val="right"/>
              <w:rPr/>
            </w:pPr>
            <w:r>
              <w:rPr>
                <w:b/>
                <w:color w:val="636466"/>
              </w:rPr>
              <w:t>Involuntary Separation</w:t>
            </w:r>
            <w:r>
              <w:rPr>
                <w:b/>
              </w:rPr>
              <w:br/>
            </w:r>
            <w:r>
              <w:rPr>
                <w:b/>
                <w:color w:val="636466"/>
              </w:rPr>
              <w:t>(for Cause)</w:t>
            </w:r>
            <w:r>
              <w:rPr>
                <w:b/>
                <w:color w:val="636466"/>
                <w:position w:val="8"/>
                <w:sz w:val="19"/>
              </w:rPr>
              <w:t>(1)</w:t>
            </w:r>
          </w:p>
        </w:tc>
        <w:tc>
          <w:tcPr>
            <w:tcW w:w="300" w:type="dxa"/>
            <w:tcBorders>
              <w:bottom w:val="single" w:sz="12" w:space="0" w:color="C12D33"/>
            </w:tcBorders>
            <w:vAlign w:val="center"/>
          </w:tcPr>
          <w:p>
            <w:pPr>
              <w:pStyle w:val="TableContents"/>
              <w:bidi w:val="0"/>
              <w:spacing w:before="0" w:after="283"/>
              <w:jc w:val="left"/>
              <w:rPr/>
            </w:pPr>
            <w:r>
              <w:rPr/>
              <w:t>     </w:t>
            </w:r>
          </w:p>
        </w:tc>
        <w:tc>
          <w:tcPr>
            <w:tcW w:w="1730" w:type="dxa"/>
            <w:tcBorders>
              <w:bottom w:val="single" w:sz="12" w:space="0" w:color="C12D33"/>
            </w:tcBorders>
            <w:vAlign w:val="center"/>
          </w:tcPr>
          <w:p>
            <w:pPr>
              <w:pStyle w:val="TableContents"/>
              <w:bidi w:val="0"/>
              <w:spacing w:before="0" w:after="283"/>
              <w:jc w:val="right"/>
              <w:rPr/>
            </w:pPr>
            <w:r>
              <w:rPr>
                <w:b/>
                <w:color w:val="636466"/>
              </w:rPr>
              <w:t>Involuntary Separation</w:t>
            </w:r>
            <w:r>
              <w:rPr>
                <w:b/>
              </w:rPr>
              <w:br/>
            </w:r>
            <w:r>
              <w:rPr>
                <w:b/>
                <w:color w:val="636466"/>
              </w:rPr>
              <w:t>(without Cause)</w:t>
            </w:r>
            <w:r>
              <w:rPr>
                <w:b/>
                <w:color w:val="636466"/>
                <w:position w:val="8"/>
                <w:sz w:val="19"/>
              </w:rPr>
              <w:t>(2)</w:t>
            </w:r>
          </w:p>
        </w:tc>
        <w:tc>
          <w:tcPr>
            <w:tcW w:w="300" w:type="dxa"/>
            <w:tcBorders>
              <w:bottom w:val="single" w:sz="12" w:space="0" w:color="C12D33"/>
            </w:tcBorders>
            <w:vAlign w:val="center"/>
          </w:tcPr>
          <w:p>
            <w:pPr>
              <w:pStyle w:val="TableContents"/>
              <w:bidi w:val="0"/>
              <w:spacing w:before="0" w:after="283"/>
              <w:jc w:val="left"/>
              <w:rPr/>
            </w:pPr>
            <w:r>
              <w:rPr/>
              <w:t>     </w:t>
            </w:r>
          </w:p>
        </w:tc>
        <w:tc>
          <w:tcPr>
            <w:tcW w:w="1259" w:type="dxa"/>
            <w:tcBorders>
              <w:bottom w:val="single" w:sz="12" w:space="0" w:color="C12D33"/>
            </w:tcBorders>
            <w:vAlign w:val="center"/>
          </w:tcPr>
          <w:p>
            <w:pPr>
              <w:pStyle w:val="TableContents"/>
              <w:bidi w:val="0"/>
              <w:spacing w:before="0" w:after="283"/>
              <w:jc w:val="right"/>
              <w:rPr/>
            </w:pPr>
            <w:r>
              <w:rPr>
                <w:b/>
                <w:color w:val="636466"/>
              </w:rPr>
              <w:t>Voluntary</w:t>
            </w:r>
            <w:r>
              <w:rPr>
                <w:b/>
              </w:rPr>
              <w:br/>
            </w:r>
            <w:r>
              <w:rPr>
                <w:b/>
                <w:color w:val="636466"/>
              </w:rPr>
              <w:t>Separation</w:t>
            </w:r>
            <w:r>
              <w:rPr>
                <w:b/>
                <w:color w:val="636466"/>
                <w:position w:val="8"/>
                <w:sz w:val="19"/>
              </w:rPr>
              <w:t>(3)</w:t>
            </w:r>
          </w:p>
        </w:tc>
        <w:tc>
          <w:tcPr>
            <w:tcW w:w="300" w:type="dxa"/>
            <w:tcBorders>
              <w:bottom w:val="single" w:sz="12" w:space="0" w:color="C12D33"/>
            </w:tcBorders>
            <w:vAlign w:val="center"/>
          </w:tcPr>
          <w:p>
            <w:pPr>
              <w:pStyle w:val="TableContents"/>
              <w:bidi w:val="0"/>
              <w:spacing w:before="0" w:after="283"/>
              <w:jc w:val="left"/>
              <w:rPr/>
            </w:pPr>
            <w:r>
              <w:rPr/>
              <w:t>     </w:t>
            </w:r>
          </w:p>
        </w:tc>
        <w:tc>
          <w:tcPr>
            <w:tcW w:w="2154" w:type="dxa"/>
            <w:tcBorders>
              <w:bottom w:val="single" w:sz="12" w:space="0" w:color="C12D33"/>
            </w:tcBorders>
            <w:vAlign w:val="center"/>
          </w:tcPr>
          <w:p>
            <w:pPr>
              <w:pStyle w:val="TableContents"/>
              <w:bidi w:val="0"/>
              <w:spacing w:before="0" w:after="283"/>
              <w:jc w:val="right"/>
              <w:rPr/>
            </w:pPr>
            <w:r>
              <w:rPr>
                <w:b/>
                <w:color w:val="636466"/>
              </w:rPr>
              <w:t>Separation following a</w:t>
            </w:r>
            <w:r>
              <w:rPr>
                <w:b/>
              </w:rPr>
              <w:br/>
            </w:r>
            <w:r>
              <w:rPr>
                <w:b/>
                <w:color w:val="636466"/>
              </w:rPr>
              <w:t>Change-in-Control</w:t>
            </w:r>
            <w:r>
              <w:rPr>
                <w:b/>
                <w:color w:val="636466"/>
                <w:position w:val="8"/>
                <w:sz w:val="19"/>
              </w:rPr>
              <w:t>(4)</w:t>
            </w:r>
          </w:p>
        </w:tc>
      </w:tr>
      <w:tr>
        <w:trPr/>
        <w:tc>
          <w:tcPr>
            <w:tcW w:w="2132" w:type="dxa"/>
            <w:tcBorders>
              <w:bottom w:val="single" w:sz="2" w:space="0" w:color="000000"/>
            </w:tcBorders>
            <w:vAlign w:val="center"/>
          </w:tcPr>
          <w:p>
            <w:pPr>
              <w:pStyle w:val="TableContents"/>
              <w:bidi w:val="0"/>
              <w:spacing w:before="0" w:after="283"/>
              <w:jc w:val="left"/>
              <w:rPr/>
            </w:pPr>
            <w:r>
              <w:rPr/>
              <w:t>Annual Incentive Award</w:t>
            </w:r>
            <w:r>
              <w:rPr>
                <w:position w:val="8"/>
                <w:sz w:val="19"/>
              </w:rPr>
              <w:t>(5)</w:t>
            </w:r>
          </w:p>
        </w:tc>
        <w:tc>
          <w:tcPr>
            <w:tcW w:w="300" w:type="dxa"/>
            <w:tcBorders>
              <w:bottom w:val="single" w:sz="2" w:space="0" w:color="000000"/>
            </w:tcBorders>
            <w:vAlign w:val="center"/>
          </w:tcPr>
          <w:p>
            <w:pPr>
              <w:pStyle w:val="TableContents"/>
              <w:bidi w:val="0"/>
              <w:spacing w:before="0" w:after="283"/>
              <w:jc w:val="left"/>
              <w:rPr/>
            </w:pPr>
            <w:r>
              <w:rPr/>
              <w:t> </w:t>
            </w:r>
          </w:p>
        </w:tc>
        <w:tc>
          <w:tcPr>
            <w:tcW w:w="1730" w:type="dxa"/>
            <w:tcBorders>
              <w:bottom w:val="single" w:sz="2" w:space="0" w:color="000000"/>
            </w:tcBorders>
            <w:vAlign w:val="center"/>
          </w:tcPr>
          <w:p>
            <w:pPr>
              <w:pStyle w:val="TableContents"/>
              <w:bidi w:val="0"/>
              <w:spacing w:before="0" w:after="283"/>
              <w:jc w:val="right"/>
              <w:rPr/>
            </w:pPr>
            <w:r>
              <w:rPr/>
              <w:t>$0</w:t>
            </w:r>
          </w:p>
        </w:tc>
        <w:tc>
          <w:tcPr>
            <w:tcW w:w="300" w:type="dxa"/>
            <w:tcBorders>
              <w:bottom w:val="single" w:sz="2" w:space="0" w:color="000000"/>
            </w:tcBorders>
            <w:vAlign w:val="center"/>
          </w:tcPr>
          <w:p>
            <w:pPr>
              <w:pStyle w:val="TableContents"/>
              <w:bidi w:val="0"/>
              <w:spacing w:before="0" w:after="283"/>
              <w:jc w:val="left"/>
              <w:rPr/>
            </w:pPr>
            <w:r>
              <w:rPr/>
              <w:t> </w:t>
            </w:r>
          </w:p>
        </w:tc>
        <w:tc>
          <w:tcPr>
            <w:tcW w:w="1730" w:type="dxa"/>
            <w:tcBorders>
              <w:bottom w:val="single" w:sz="2" w:space="0" w:color="000000"/>
            </w:tcBorders>
            <w:vAlign w:val="center"/>
          </w:tcPr>
          <w:p>
            <w:pPr>
              <w:pStyle w:val="TableContents"/>
              <w:bidi w:val="0"/>
              <w:spacing w:before="0" w:after="283"/>
              <w:jc w:val="right"/>
              <w:rPr/>
            </w:pPr>
            <w:r>
              <w:rPr/>
              <w:t>$1,375,000</w:t>
            </w:r>
          </w:p>
        </w:tc>
        <w:tc>
          <w:tcPr>
            <w:tcW w:w="300" w:type="dxa"/>
            <w:tcBorders>
              <w:bottom w:val="single" w:sz="2" w:space="0" w:color="000000"/>
            </w:tcBorders>
            <w:vAlign w:val="center"/>
          </w:tcPr>
          <w:p>
            <w:pPr>
              <w:pStyle w:val="TableContents"/>
              <w:bidi w:val="0"/>
              <w:spacing w:before="0" w:after="283"/>
              <w:jc w:val="left"/>
              <w:rPr/>
            </w:pPr>
            <w:r>
              <w:rPr/>
              <w:t> </w:t>
            </w:r>
          </w:p>
        </w:tc>
        <w:tc>
          <w:tcPr>
            <w:tcW w:w="1259" w:type="dxa"/>
            <w:tcBorders>
              <w:bottom w:val="single" w:sz="2" w:space="0" w:color="000000"/>
            </w:tcBorders>
            <w:vAlign w:val="center"/>
          </w:tcPr>
          <w:p>
            <w:pPr>
              <w:pStyle w:val="TableContents"/>
              <w:bidi w:val="0"/>
              <w:spacing w:before="0" w:after="283"/>
              <w:jc w:val="right"/>
              <w:rPr/>
            </w:pPr>
            <w:r>
              <w:rPr/>
              <w:t>$0</w:t>
            </w:r>
          </w:p>
        </w:tc>
        <w:tc>
          <w:tcPr>
            <w:tcW w:w="300" w:type="dxa"/>
            <w:tcBorders>
              <w:bottom w:val="single" w:sz="2" w:space="0" w:color="000000"/>
            </w:tcBorders>
            <w:vAlign w:val="center"/>
          </w:tcPr>
          <w:p>
            <w:pPr>
              <w:pStyle w:val="TableContents"/>
              <w:bidi w:val="0"/>
              <w:spacing w:before="0" w:after="283"/>
              <w:jc w:val="left"/>
              <w:rPr/>
            </w:pPr>
            <w:r>
              <w:rPr/>
              <w:t> </w:t>
            </w:r>
          </w:p>
        </w:tc>
        <w:tc>
          <w:tcPr>
            <w:tcW w:w="2154" w:type="dxa"/>
            <w:tcBorders>
              <w:bottom w:val="single" w:sz="2" w:space="0" w:color="000000"/>
            </w:tcBorders>
            <w:vAlign w:val="center"/>
          </w:tcPr>
          <w:p>
            <w:pPr>
              <w:pStyle w:val="TableContents"/>
              <w:bidi w:val="0"/>
              <w:spacing w:before="0" w:after="283"/>
              <w:jc w:val="right"/>
              <w:rPr/>
            </w:pPr>
            <w:r>
              <w:rPr/>
              <w:t>$1,375,000</w:t>
            </w:r>
          </w:p>
        </w:tc>
      </w:tr>
      <w:tr>
        <w:trPr/>
        <w:tc>
          <w:tcPr>
            <w:tcW w:w="2132" w:type="dxa"/>
            <w:tcBorders>
              <w:bottom w:val="single" w:sz="2" w:space="0" w:color="000000"/>
            </w:tcBorders>
            <w:vAlign w:val="center"/>
          </w:tcPr>
          <w:p>
            <w:pPr>
              <w:pStyle w:val="TableContents"/>
              <w:bidi w:val="0"/>
              <w:spacing w:before="0" w:after="283"/>
              <w:jc w:val="left"/>
              <w:rPr/>
            </w:pPr>
            <w:r>
              <w:rPr/>
              <w:t>Pension</w:t>
            </w:r>
            <w:r>
              <w:rPr>
                <w:position w:val="8"/>
                <w:sz w:val="19"/>
              </w:rPr>
              <w:t>(6)</w:t>
            </w:r>
          </w:p>
        </w:tc>
        <w:tc>
          <w:tcPr>
            <w:tcW w:w="300" w:type="dxa"/>
            <w:tcBorders>
              <w:bottom w:val="single" w:sz="2" w:space="0" w:color="000000"/>
            </w:tcBorders>
            <w:vAlign w:val="center"/>
          </w:tcPr>
          <w:p>
            <w:pPr>
              <w:pStyle w:val="TableContents"/>
              <w:bidi w:val="0"/>
              <w:spacing w:before="0" w:after="283"/>
              <w:jc w:val="left"/>
              <w:rPr/>
            </w:pPr>
            <w:r>
              <w:rPr/>
              <w:t> </w:t>
            </w:r>
          </w:p>
        </w:tc>
        <w:tc>
          <w:tcPr>
            <w:tcW w:w="1730" w:type="dxa"/>
            <w:tcBorders>
              <w:bottom w:val="single" w:sz="2" w:space="0" w:color="000000"/>
            </w:tcBorders>
            <w:vAlign w:val="center"/>
          </w:tcPr>
          <w:p>
            <w:pPr>
              <w:pStyle w:val="TableContents"/>
              <w:bidi w:val="0"/>
              <w:spacing w:before="0" w:after="283"/>
              <w:jc w:val="right"/>
              <w:rPr/>
            </w:pPr>
            <w:r>
              <w:rPr/>
              <w:t>$0</w:t>
            </w:r>
          </w:p>
        </w:tc>
        <w:tc>
          <w:tcPr>
            <w:tcW w:w="300" w:type="dxa"/>
            <w:tcBorders>
              <w:bottom w:val="single" w:sz="2" w:space="0" w:color="000000"/>
            </w:tcBorders>
            <w:vAlign w:val="center"/>
          </w:tcPr>
          <w:p>
            <w:pPr>
              <w:pStyle w:val="TableContents"/>
              <w:bidi w:val="0"/>
              <w:spacing w:before="0" w:after="283"/>
              <w:jc w:val="left"/>
              <w:rPr/>
            </w:pPr>
            <w:r>
              <w:rPr/>
              <w:t> </w:t>
            </w:r>
          </w:p>
        </w:tc>
        <w:tc>
          <w:tcPr>
            <w:tcW w:w="1730" w:type="dxa"/>
            <w:tcBorders>
              <w:bottom w:val="single" w:sz="2" w:space="0" w:color="000000"/>
            </w:tcBorders>
            <w:vAlign w:val="center"/>
          </w:tcPr>
          <w:p>
            <w:pPr>
              <w:pStyle w:val="TableContents"/>
              <w:bidi w:val="0"/>
              <w:spacing w:before="0" w:after="283"/>
              <w:jc w:val="right"/>
              <w:rPr/>
            </w:pPr>
            <w:r>
              <w:rPr/>
              <w:t>$0</w:t>
            </w:r>
          </w:p>
        </w:tc>
        <w:tc>
          <w:tcPr>
            <w:tcW w:w="300" w:type="dxa"/>
            <w:tcBorders>
              <w:bottom w:val="single" w:sz="2" w:space="0" w:color="000000"/>
            </w:tcBorders>
            <w:vAlign w:val="center"/>
          </w:tcPr>
          <w:p>
            <w:pPr>
              <w:pStyle w:val="TableContents"/>
              <w:bidi w:val="0"/>
              <w:spacing w:before="0" w:after="283"/>
              <w:jc w:val="left"/>
              <w:rPr/>
            </w:pPr>
            <w:r>
              <w:rPr/>
              <w:t> </w:t>
            </w:r>
          </w:p>
        </w:tc>
        <w:tc>
          <w:tcPr>
            <w:tcW w:w="1259" w:type="dxa"/>
            <w:tcBorders>
              <w:bottom w:val="single" w:sz="2" w:space="0" w:color="000000"/>
            </w:tcBorders>
            <w:vAlign w:val="center"/>
          </w:tcPr>
          <w:p>
            <w:pPr>
              <w:pStyle w:val="TableContents"/>
              <w:bidi w:val="0"/>
              <w:spacing w:before="0" w:after="283"/>
              <w:jc w:val="right"/>
              <w:rPr/>
            </w:pPr>
            <w:r>
              <w:rPr/>
              <w:t>$0</w:t>
            </w:r>
          </w:p>
        </w:tc>
        <w:tc>
          <w:tcPr>
            <w:tcW w:w="300" w:type="dxa"/>
            <w:tcBorders>
              <w:bottom w:val="single" w:sz="2" w:space="0" w:color="000000"/>
            </w:tcBorders>
            <w:vAlign w:val="center"/>
          </w:tcPr>
          <w:p>
            <w:pPr>
              <w:pStyle w:val="TableContents"/>
              <w:bidi w:val="0"/>
              <w:spacing w:before="0" w:after="283"/>
              <w:jc w:val="left"/>
              <w:rPr/>
            </w:pPr>
            <w:r>
              <w:rPr/>
              <w:t> </w:t>
            </w:r>
          </w:p>
        </w:tc>
        <w:tc>
          <w:tcPr>
            <w:tcW w:w="2154" w:type="dxa"/>
            <w:tcBorders>
              <w:bottom w:val="single" w:sz="2" w:space="0" w:color="000000"/>
            </w:tcBorders>
            <w:vAlign w:val="center"/>
          </w:tcPr>
          <w:p>
            <w:pPr>
              <w:pStyle w:val="TableContents"/>
              <w:bidi w:val="0"/>
              <w:spacing w:before="0" w:after="283"/>
              <w:jc w:val="right"/>
              <w:rPr/>
            </w:pPr>
            <w:r>
              <w:rPr/>
              <w:t>$0</w:t>
            </w:r>
          </w:p>
        </w:tc>
      </w:tr>
      <w:tr>
        <w:trPr/>
        <w:tc>
          <w:tcPr>
            <w:tcW w:w="2132" w:type="dxa"/>
            <w:tcBorders>
              <w:bottom w:val="single" w:sz="2" w:space="0" w:color="000000"/>
            </w:tcBorders>
            <w:vAlign w:val="center"/>
          </w:tcPr>
          <w:p>
            <w:pPr>
              <w:pStyle w:val="TableContents"/>
              <w:bidi w:val="0"/>
              <w:spacing w:before="0" w:after="283"/>
              <w:jc w:val="left"/>
              <w:rPr/>
            </w:pPr>
            <w:r>
              <w:rPr/>
              <w:t>Health &amp; Welfare Continuation</w:t>
            </w:r>
            <w:r>
              <w:rPr>
                <w:position w:val="8"/>
                <w:sz w:val="19"/>
              </w:rPr>
              <w:t>(7)</w:t>
            </w:r>
          </w:p>
        </w:tc>
        <w:tc>
          <w:tcPr>
            <w:tcW w:w="300" w:type="dxa"/>
            <w:tcBorders>
              <w:bottom w:val="single" w:sz="2" w:space="0" w:color="000000"/>
            </w:tcBorders>
            <w:vAlign w:val="center"/>
          </w:tcPr>
          <w:p>
            <w:pPr>
              <w:pStyle w:val="TableContents"/>
              <w:bidi w:val="0"/>
              <w:spacing w:before="0" w:after="283"/>
              <w:jc w:val="left"/>
              <w:rPr/>
            </w:pPr>
            <w:r>
              <w:rPr/>
              <w:t> </w:t>
            </w:r>
          </w:p>
        </w:tc>
        <w:tc>
          <w:tcPr>
            <w:tcW w:w="1730" w:type="dxa"/>
            <w:tcBorders>
              <w:bottom w:val="single" w:sz="2" w:space="0" w:color="000000"/>
            </w:tcBorders>
            <w:vAlign w:val="center"/>
          </w:tcPr>
          <w:p>
            <w:pPr>
              <w:pStyle w:val="TableContents"/>
              <w:bidi w:val="0"/>
              <w:spacing w:before="0" w:after="283"/>
              <w:jc w:val="right"/>
              <w:rPr/>
            </w:pPr>
            <w:r>
              <w:rPr/>
              <w:t>$0</w:t>
            </w:r>
          </w:p>
        </w:tc>
        <w:tc>
          <w:tcPr>
            <w:tcW w:w="300" w:type="dxa"/>
            <w:tcBorders>
              <w:bottom w:val="single" w:sz="2" w:space="0" w:color="000000"/>
            </w:tcBorders>
            <w:vAlign w:val="center"/>
          </w:tcPr>
          <w:p>
            <w:pPr>
              <w:pStyle w:val="TableContents"/>
              <w:bidi w:val="0"/>
              <w:spacing w:before="0" w:after="283"/>
              <w:jc w:val="left"/>
              <w:rPr/>
            </w:pPr>
            <w:r>
              <w:rPr/>
              <w:t> </w:t>
            </w:r>
          </w:p>
        </w:tc>
        <w:tc>
          <w:tcPr>
            <w:tcW w:w="1730" w:type="dxa"/>
            <w:tcBorders>
              <w:bottom w:val="single" w:sz="2" w:space="0" w:color="000000"/>
            </w:tcBorders>
            <w:vAlign w:val="center"/>
          </w:tcPr>
          <w:p>
            <w:pPr>
              <w:pStyle w:val="TableContents"/>
              <w:bidi w:val="0"/>
              <w:spacing w:before="0" w:after="283"/>
              <w:jc w:val="right"/>
              <w:rPr/>
            </w:pPr>
            <w:r>
              <w:rPr/>
              <w:t>$37,490</w:t>
            </w:r>
          </w:p>
        </w:tc>
        <w:tc>
          <w:tcPr>
            <w:tcW w:w="300" w:type="dxa"/>
            <w:tcBorders>
              <w:bottom w:val="single" w:sz="2" w:space="0" w:color="000000"/>
            </w:tcBorders>
            <w:vAlign w:val="center"/>
          </w:tcPr>
          <w:p>
            <w:pPr>
              <w:pStyle w:val="TableContents"/>
              <w:bidi w:val="0"/>
              <w:spacing w:before="0" w:after="283"/>
              <w:jc w:val="left"/>
              <w:rPr/>
            </w:pPr>
            <w:r>
              <w:rPr/>
              <w:t> </w:t>
            </w:r>
          </w:p>
        </w:tc>
        <w:tc>
          <w:tcPr>
            <w:tcW w:w="1259" w:type="dxa"/>
            <w:tcBorders>
              <w:bottom w:val="single" w:sz="2" w:space="0" w:color="000000"/>
            </w:tcBorders>
            <w:vAlign w:val="center"/>
          </w:tcPr>
          <w:p>
            <w:pPr>
              <w:pStyle w:val="TableContents"/>
              <w:bidi w:val="0"/>
              <w:spacing w:before="0" w:after="283"/>
              <w:jc w:val="right"/>
              <w:rPr/>
            </w:pPr>
            <w:r>
              <w:rPr/>
              <w:t>$0</w:t>
            </w:r>
          </w:p>
        </w:tc>
        <w:tc>
          <w:tcPr>
            <w:tcW w:w="300" w:type="dxa"/>
            <w:tcBorders>
              <w:bottom w:val="single" w:sz="2" w:space="0" w:color="000000"/>
            </w:tcBorders>
            <w:vAlign w:val="center"/>
          </w:tcPr>
          <w:p>
            <w:pPr>
              <w:pStyle w:val="TableContents"/>
              <w:bidi w:val="0"/>
              <w:spacing w:before="0" w:after="283"/>
              <w:jc w:val="left"/>
              <w:rPr/>
            </w:pPr>
            <w:r>
              <w:rPr/>
              <w:t> </w:t>
            </w:r>
          </w:p>
        </w:tc>
        <w:tc>
          <w:tcPr>
            <w:tcW w:w="2154" w:type="dxa"/>
            <w:tcBorders>
              <w:bottom w:val="single" w:sz="2" w:space="0" w:color="000000"/>
            </w:tcBorders>
            <w:vAlign w:val="center"/>
          </w:tcPr>
          <w:p>
            <w:pPr>
              <w:pStyle w:val="TableContents"/>
              <w:bidi w:val="0"/>
              <w:spacing w:before="0" w:after="283"/>
              <w:jc w:val="right"/>
              <w:rPr/>
            </w:pPr>
            <w:r>
              <w:rPr/>
              <w:t>$37,490</w:t>
            </w:r>
          </w:p>
        </w:tc>
      </w:tr>
      <w:tr>
        <w:trPr/>
        <w:tc>
          <w:tcPr>
            <w:tcW w:w="2132" w:type="dxa"/>
            <w:tcBorders>
              <w:bottom w:val="single" w:sz="2" w:space="0" w:color="000000"/>
            </w:tcBorders>
            <w:vAlign w:val="center"/>
          </w:tcPr>
          <w:p>
            <w:pPr>
              <w:pStyle w:val="TableContents"/>
              <w:bidi w:val="0"/>
              <w:spacing w:before="0" w:after="283"/>
              <w:jc w:val="left"/>
              <w:rPr/>
            </w:pPr>
            <w:r>
              <w:rPr/>
              <w:t>Accrued Paid Time Off</w:t>
            </w:r>
          </w:p>
        </w:tc>
        <w:tc>
          <w:tcPr>
            <w:tcW w:w="300" w:type="dxa"/>
            <w:tcBorders>
              <w:bottom w:val="single" w:sz="2" w:space="0" w:color="000000"/>
            </w:tcBorders>
            <w:vAlign w:val="center"/>
          </w:tcPr>
          <w:p>
            <w:pPr>
              <w:pStyle w:val="TableContents"/>
              <w:bidi w:val="0"/>
              <w:spacing w:before="0" w:after="283"/>
              <w:jc w:val="left"/>
              <w:rPr/>
            </w:pPr>
            <w:r>
              <w:rPr/>
              <w:t> </w:t>
            </w:r>
          </w:p>
        </w:tc>
        <w:tc>
          <w:tcPr>
            <w:tcW w:w="1730" w:type="dxa"/>
            <w:tcBorders>
              <w:bottom w:val="single" w:sz="2" w:space="0" w:color="000000"/>
            </w:tcBorders>
            <w:vAlign w:val="center"/>
          </w:tcPr>
          <w:p>
            <w:pPr>
              <w:pStyle w:val="TableContents"/>
              <w:bidi w:val="0"/>
              <w:spacing w:before="0" w:after="283"/>
              <w:jc w:val="right"/>
              <w:rPr/>
            </w:pPr>
            <w:r>
              <w:rPr/>
              <w:t>$0</w:t>
            </w:r>
          </w:p>
        </w:tc>
        <w:tc>
          <w:tcPr>
            <w:tcW w:w="300" w:type="dxa"/>
            <w:tcBorders>
              <w:bottom w:val="single" w:sz="2" w:space="0" w:color="000000"/>
            </w:tcBorders>
            <w:vAlign w:val="center"/>
          </w:tcPr>
          <w:p>
            <w:pPr>
              <w:pStyle w:val="TableContents"/>
              <w:bidi w:val="0"/>
              <w:spacing w:before="0" w:after="283"/>
              <w:jc w:val="left"/>
              <w:rPr/>
            </w:pPr>
            <w:r>
              <w:rPr/>
              <w:t> </w:t>
            </w:r>
          </w:p>
        </w:tc>
        <w:tc>
          <w:tcPr>
            <w:tcW w:w="1730" w:type="dxa"/>
            <w:tcBorders>
              <w:bottom w:val="single" w:sz="2" w:space="0" w:color="000000"/>
            </w:tcBorders>
            <w:vAlign w:val="center"/>
          </w:tcPr>
          <w:p>
            <w:pPr>
              <w:pStyle w:val="TableContents"/>
              <w:bidi w:val="0"/>
              <w:spacing w:before="0" w:after="283"/>
              <w:jc w:val="right"/>
              <w:rPr/>
            </w:pPr>
            <w:r>
              <w:rPr/>
              <w:t>$0</w:t>
            </w:r>
          </w:p>
        </w:tc>
        <w:tc>
          <w:tcPr>
            <w:tcW w:w="300" w:type="dxa"/>
            <w:tcBorders>
              <w:bottom w:val="single" w:sz="2" w:space="0" w:color="000000"/>
            </w:tcBorders>
            <w:vAlign w:val="center"/>
          </w:tcPr>
          <w:p>
            <w:pPr>
              <w:pStyle w:val="TableContents"/>
              <w:bidi w:val="0"/>
              <w:spacing w:before="0" w:after="283"/>
              <w:jc w:val="left"/>
              <w:rPr/>
            </w:pPr>
            <w:r>
              <w:rPr/>
              <w:t> </w:t>
            </w:r>
          </w:p>
        </w:tc>
        <w:tc>
          <w:tcPr>
            <w:tcW w:w="1259" w:type="dxa"/>
            <w:tcBorders>
              <w:bottom w:val="single" w:sz="2" w:space="0" w:color="000000"/>
            </w:tcBorders>
            <w:vAlign w:val="center"/>
          </w:tcPr>
          <w:p>
            <w:pPr>
              <w:pStyle w:val="TableContents"/>
              <w:bidi w:val="0"/>
              <w:spacing w:before="0" w:after="283"/>
              <w:jc w:val="right"/>
              <w:rPr/>
            </w:pPr>
            <w:r>
              <w:rPr/>
              <w:t>$0</w:t>
            </w:r>
          </w:p>
        </w:tc>
        <w:tc>
          <w:tcPr>
            <w:tcW w:w="300" w:type="dxa"/>
            <w:tcBorders>
              <w:bottom w:val="single" w:sz="2" w:space="0" w:color="000000"/>
            </w:tcBorders>
            <w:vAlign w:val="center"/>
          </w:tcPr>
          <w:p>
            <w:pPr>
              <w:pStyle w:val="TableContents"/>
              <w:bidi w:val="0"/>
              <w:spacing w:before="0" w:after="283"/>
              <w:jc w:val="left"/>
              <w:rPr/>
            </w:pPr>
            <w:r>
              <w:rPr/>
              <w:t> </w:t>
            </w:r>
          </w:p>
        </w:tc>
        <w:tc>
          <w:tcPr>
            <w:tcW w:w="2154" w:type="dxa"/>
            <w:tcBorders>
              <w:bottom w:val="single" w:sz="2" w:space="0" w:color="000000"/>
            </w:tcBorders>
            <w:vAlign w:val="center"/>
          </w:tcPr>
          <w:p>
            <w:pPr>
              <w:pStyle w:val="TableContents"/>
              <w:bidi w:val="0"/>
              <w:spacing w:before="0" w:after="283"/>
              <w:jc w:val="right"/>
              <w:rPr/>
            </w:pPr>
            <w:r>
              <w:rPr/>
              <w:t>$0</w:t>
            </w:r>
          </w:p>
        </w:tc>
      </w:tr>
      <w:tr>
        <w:trPr/>
        <w:tc>
          <w:tcPr>
            <w:tcW w:w="2132" w:type="dxa"/>
            <w:tcBorders>
              <w:bottom w:val="single" w:sz="2" w:space="0" w:color="000000"/>
            </w:tcBorders>
            <w:vAlign w:val="center"/>
          </w:tcPr>
          <w:p>
            <w:pPr>
              <w:pStyle w:val="TableContents"/>
              <w:bidi w:val="0"/>
              <w:spacing w:before="0" w:after="283"/>
              <w:jc w:val="left"/>
              <w:rPr/>
            </w:pPr>
            <w:r>
              <w:rPr/>
              <w:t>Option Awards</w:t>
            </w:r>
            <w:r>
              <w:rPr>
                <w:position w:val="8"/>
                <w:sz w:val="19"/>
              </w:rPr>
              <w:t>(8)</w:t>
            </w:r>
          </w:p>
        </w:tc>
        <w:tc>
          <w:tcPr>
            <w:tcW w:w="300" w:type="dxa"/>
            <w:tcBorders>
              <w:bottom w:val="single" w:sz="2" w:space="0" w:color="000000"/>
            </w:tcBorders>
            <w:vAlign w:val="center"/>
          </w:tcPr>
          <w:p>
            <w:pPr>
              <w:pStyle w:val="TableContents"/>
              <w:bidi w:val="0"/>
              <w:spacing w:before="0" w:after="283"/>
              <w:jc w:val="left"/>
              <w:rPr/>
            </w:pPr>
            <w:r>
              <w:rPr/>
              <w:t> </w:t>
            </w:r>
          </w:p>
        </w:tc>
        <w:tc>
          <w:tcPr>
            <w:tcW w:w="1730" w:type="dxa"/>
            <w:tcBorders>
              <w:bottom w:val="single" w:sz="2" w:space="0" w:color="000000"/>
            </w:tcBorders>
            <w:vAlign w:val="center"/>
          </w:tcPr>
          <w:p>
            <w:pPr>
              <w:pStyle w:val="TableContents"/>
              <w:bidi w:val="0"/>
              <w:spacing w:before="0" w:after="283"/>
              <w:jc w:val="right"/>
              <w:rPr/>
            </w:pPr>
            <w:r>
              <w:rPr/>
              <w:t>$0</w:t>
            </w:r>
          </w:p>
        </w:tc>
        <w:tc>
          <w:tcPr>
            <w:tcW w:w="300" w:type="dxa"/>
            <w:tcBorders>
              <w:bottom w:val="single" w:sz="2" w:space="0" w:color="000000"/>
            </w:tcBorders>
            <w:vAlign w:val="center"/>
          </w:tcPr>
          <w:p>
            <w:pPr>
              <w:pStyle w:val="TableContents"/>
              <w:bidi w:val="0"/>
              <w:spacing w:before="0" w:after="283"/>
              <w:jc w:val="left"/>
              <w:rPr/>
            </w:pPr>
            <w:r>
              <w:rPr/>
              <w:t> </w:t>
            </w:r>
          </w:p>
        </w:tc>
        <w:tc>
          <w:tcPr>
            <w:tcW w:w="1730" w:type="dxa"/>
            <w:tcBorders>
              <w:bottom w:val="single" w:sz="2" w:space="0" w:color="000000"/>
            </w:tcBorders>
            <w:vAlign w:val="center"/>
          </w:tcPr>
          <w:p>
            <w:pPr>
              <w:pStyle w:val="TableContents"/>
              <w:bidi w:val="0"/>
              <w:spacing w:before="0" w:after="283"/>
              <w:jc w:val="right"/>
              <w:rPr/>
            </w:pPr>
            <w:r>
              <w:rPr/>
              <w:t>$12,353,178</w:t>
            </w:r>
          </w:p>
        </w:tc>
        <w:tc>
          <w:tcPr>
            <w:tcW w:w="300" w:type="dxa"/>
            <w:tcBorders>
              <w:bottom w:val="single" w:sz="2" w:space="0" w:color="000000"/>
            </w:tcBorders>
            <w:vAlign w:val="center"/>
          </w:tcPr>
          <w:p>
            <w:pPr>
              <w:pStyle w:val="TableContents"/>
              <w:bidi w:val="0"/>
              <w:spacing w:before="0" w:after="283"/>
              <w:jc w:val="left"/>
              <w:rPr/>
            </w:pPr>
            <w:r>
              <w:rPr/>
              <w:t> </w:t>
            </w:r>
          </w:p>
        </w:tc>
        <w:tc>
          <w:tcPr>
            <w:tcW w:w="1259" w:type="dxa"/>
            <w:tcBorders>
              <w:bottom w:val="single" w:sz="2" w:space="0" w:color="000000"/>
            </w:tcBorders>
            <w:vAlign w:val="center"/>
          </w:tcPr>
          <w:p>
            <w:pPr>
              <w:pStyle w:val="TableContents"/>
              <w:bidi w:val="0"/>
              <w:spacing w:before="0" w:after="283"/>
              <w:jc w:val="right"/>
              <w:rPr/>
            </w:pPr>
            <w:r>
              <w:rPr/>
              <w:t>$0</w:t>
            </w:r>
          </w:p>
        </w:tc>
        <w:tc>
          <w:tcPr>
            <w:tcW w:w="300" w:type="dxa"/>
            <w:tcBorders>
              <w:bottom w:val="single" w:sz="2" w:space="0" w:color="000000"/>
            </w:tcBorders>
            <w:vAlign w:val="center"/>
          </w:tcPr>
          <w:p>
            <w:pPr>
              <w:pStyle w:val="TableContents"/>
              <w:bidi w:val="0"/>
              <w:spacing w:before="0" w:after="283"/>
              <w:jc w:val="left"/>
              <w:rPr/>
            </w:pPr>
            <w:r>
              <w:rPr/>
              <w:t> </w:t>
            </w:r>
          </w:p>
        </w:tc>
        <w:tc>
          <w:tcPr>
            <w:tcW w:w="2154" w:type="dxa"/>
            <w:tcBorders>
              <w:bottom w:val="single" w:sz="2" w:space="0" w:color="000000"/>
            </w:tcBorders>
            <w:vAlign w:val="center"/>
          </w:tcPr>
          <w:p>
            <w:pPr>
              <w:pStyle w:val="TableContents"/>
              <w:bidi w:val="0"/>
              <w:spacing w:before="0" w:after="283"/>
              <w:jc w:val="right"/>
              <w:rPr/>
            </w:pPr>
            <w:r>
              <w:rPr/>
              <w:t>$19,740,075</w:t>
            </w:r>
          </w:p>
        </w:tc>
      </w:tr>
      <w:tr>
        <w:trPr/>
        <w:tc>
          <w:tcPr>
            <w:tcW w:w="2132" w:type="dxa"/>
            <w:tcBorders>
              <w:bottom w:val="single" w:sz="12" w:space="0" w:color="636466"/>
            </w:tcBorders>
            <w:vAlign w:val="center"/>
          </w:tcPr>
          <w:p>
            <w:pPr>
              <w:pStyle w:val="TableContents"/>
              <w:bidi w:val="0"/>
              <w:spacing w:before="0" w:after="283"/>
              <w:jc w:val="left"/>
              <w:rPr/>
            </w:pPr>
            <w:r>
              <w:rPr/>
              <w:t>Stock Awards</w:t>
            </w:r>
            <w:r>
              <w:rPr>
                <w:position w:val="8"/>
                <w:sz w:val="19"/>
              </w:rPr>
              <w:t>(8)</w:t>
            </w:r>
          </w:p>
        </w:tc>
        <w:tc>
          <w:tcPr>
            <w:tcW w:w="300" w:type="dxa"/>
            <w:tcBorders>
              <w:bottom w:val="single" w:sz="12" w:space="0" w:color="636466"/>
            </w:tcBorders>
            <w:vAlign w:val="center"/>
          </w:tcPr>
          <w:p>
            <w:pPr>
              <w:pStyle w:val="TableContents"/>
              <w:bidi w:val="0"/>
              <w:spacing w:before="0" w:after="283"/>
              <w:jc w:val="left"/>
              <w:rPr/>
            </w:pPr>
            <w:r>
              <w:rPr/>
              <w:t> </w:t>
            </w:r>
          </w:p>
        </w:tc>
        <w:tc>
          <w:tcPr>
            <w:tcW w:w="1730" w:type="dxa"/>
            <w:tcBorders>
              <w:bottom w:val="single" w:sz="12" w:space="0" w:color="636466"/>
            </w:tcBorders>
            <w:vAlign w:val="center"/>
          </w:tcPr>
          <w:p>
            <w:pPr>
              <w:pStyle w:val="TableContents"/>
              <w:bidi w:val="0"/>
              <w:spacing w:before="0" w:after="283"/>
              <w:jc w:val="right"/>
              <w:rPr/>
            </w:pPr>
            <w:r>
              <w:rPr/>
              <w:t>$0</w:t>
            </w:r>
          </w:p>
        </w:tc>
        <w:tc>
          <w:tcPr>
            <w:tcW w:w="300" w:type="dxa"/>
            <w:tcBorders>
              <w:bottom w:val="single" w:sz="12" w:space="0" w:color="636466"/>
            </w:tcBorders>
            <w:vAlign w:val="center"/>
          </w:tcPr>
          <w:p>
            <w:pPr>
              <w:pStyle w:val="TableContents"/>
              <w:bidi w:val="0"/>
              <w:spacing w:before="0" w:after="283"/>
              <w:jc w:val="left"/>
              <w:rPr/>
            </w:pPr>
            <w:r>
              <w:rPr/>
              <w:t> </w:t>
            </w:r>
          </w:p>
        </w:tc>
        <w:tc>
          <w:tcPr>
            <w:tcW w:w="1730" w:type="dxa"/>
            <w:tcBorders>
              <w:bottom w:val="single" w:sz="12" w:space="0" w:color="636466"/>
            </w:tcBorders>
            <w:vAlign w:val="center"/>
          </w:tcPr>
          <w:p>
            <w:pPr>
              <w:pStyle w:val="TableContents"/>
              <w:bidi w:val="0"/>
              <w:spacing w:before="0" w:after="283"/>
              <w:jc w:val="right"/>
              <w:rPr/>
            </w:pPr>
            <w:r>
              <w:rPr/>
              <w:t>$19,535,731</w:t>
            </w:r>
          </w:p>
        </w:tc>
        <w:tc>
          <w:tcPr>
            <w:tcW w:w="300" w:type="dxa"/>
            <w:tcBorders>
              <w:bottom w:val="single" w:sz="12" w:space="0" w:color="636466"/>
            </w:tcBorders>
            <w:vAlign w:val="center"/>
          </w:tcPr>
          <w:p>
            <w:pPr>
              <w:pStyle w:val="TableContents"/>
              <w:bidi w:val="0"/>
              <w:spacing w:before="0" w:after="283"/>
              <w:jc w:val="left"/>
              <w:rPr/>
            </w:pPr>
            <w:r>
              <w:rPr/>
              <w:t> </w:t>
            </w:r>
          </w:p>
        </w:tc>
        <w:tc>
          <w:tcPr>
            <w:tcW w:w="1259" w:type="dxa"/>
            <w:tcBorders>
              <w:bottom w:val="single" w:sz="12" w:space="0" w:color="636466"/>
            </w:tcBorders>
            <w:vAlign w:val="center"/>
          </w:tcPr>
          <w:p>
            <w:pPr>
              <w:pStyle w:val="TableContents"/>
              <w:bidi w:val="0"/>
              <w:spacing w:before="0" w:after="283"/>
              <w:jc w:val="right"/>
              <w:rPr/>
            </w:pPr>
            <w:r>
              <w:rPr/>
              <w:t>$0</w:t>
            </w:r>
          </w:p>
        </w:tc>
        <w:tc>
          <w:tcPr>
            <w:tcW w:w="300" w:type="dxa"/>
            <w:tcBorders>
              <w:bottom w:val="single" w:sz="12" w:space="0" w:color="636466"/>
            </w:tcBorders>
            <w:vAlign w:val="center"/>
          </w:tcPr>
          <w:p>
            <w:pPr>
              <w:pStyle w:val="TableContents"/>
              <w:bidi w:val="0"/>
              <w:spacing w:before="0" w:after="283"/>
              <w:jc w:val="left"/>
              <w:rPr/>
            </w:pPr>
            <w:r>
              <w:rPr/>
              <w:t> </w:t>
            </w:r>
          </w:p>
        </w:tc>
        <w:tc>
          <w:tcPr>
            <w:tcW w:w="2154" w:type="dxa"/>
            <w:tcBorders>
              <w:bottom w:val="single" w:sz="12" w:space="0" w:color="636466"/>
            </w:tcBorders>
            <w:vAlign w:val="center"/>
          </w:tcPr>
          <w:p>
            <w:pPr>
              <w:pStyle w:val="TableContents"/>
              <w:bidi w:val="0"/>
              <w:spacing w:before="0" w:after="283"/>
              <w:jc w:val="right"/>
              <w:rPr/>
            </w:pPr>
            <w:r>
              <w:rPr/>
              <w:t>$35,662,570</w:t>
            </w:r>
          </w:p>
        </w:tc>
      </w:tr>
      <w:tr>
        <w:trPr/>
        <w:tc>
          <w:tcPr>
            <w:tcW w:w="2132" w:type="dxa"/>
            <w:tcBorders>
              <w:bottom w:val="single" w:sz="12" w:space="0" w:color="636466"/>
            </w:tcBorders>
            <w:shd w:fill="EDEDEE" w:val="clear"/>
            <w:vAlign w:val="center"/>
          </w:tcPr>
          <w:p>
            <w:pPr>
              <w:pStyle w:val="TableContents"/>
              <w:bidi w:val="0"/>
              <w:spacing w:before="0" w:after="283"/>
              <w:jc w:val="left"/>
              <w:rPr>
                <w:b/>
              </w:rPr>
            </w:pPr>
            <w:r>
              <w:rPr>
                <w:b/>
              </w:rPr>
              <w:t>Total</w:t>
            </w:r>
          </w:p>
        </w:tc>
        <w:tc>
          <w:tcPr>
            <w:tcW w:w="300" w:type="dxa"/>
            <w:tcBorders>
              <w:bottom w:val="single" w:sz="12" w:space="0" w:color="636466"/>
            </w:tcBorders>
            <w:shd w:fill="EDEDEE" w:val="clear"/>
            <w:vAlign w:val="center"/>
          </w:tcPr>
          <w:p>
            <w:pPr>
              <w:pStyle w:val="TableContents"/>
              <w:bidi w:val="0"/>
              <w:spacing w:before="0" w:after="283"/>
              <w:jc w:val="left"/>
              <w:rPr/>
            </w:pPr>
            <w:r>
              <w:rPr/>
              <w:t> </w:t>
            </w:r>
          </w:p>
        </w:tc>
        <w:tc>
          <w:tcPr>
            <w:tcW w:w="1730" w:type="dxa"/>
            <w:tcBorders>
              <w:bottom w:val="single" w:sz="12" w:space="0" w:color="636466"/>
            </w:tcBorders>
            <w:shd w:fill="EDEDEE" w:val="clear"/>
            <w:vAlign w:val="center"/>
          </w:tcPr>
          <w:p>
            <w:pPr>
              <w:pStyle w:val="TableContents"/>
              <w:bidi w:val="0"/>
              <w:spacing w:before="0" w:after="283"/>
              <w:jc w:val="right"/>
              <w:rPr>
                <w:b/>
              </w:rPr>
            </w:pPr>
            <w:r>
              <w:rPr>
                <w:b/>
              </w:rPr>
              <w:t>$0</w:t>
            </w:r>
          </w:p>
        </w:tc>
        <w:tc>
          <w:tcPr>
            <w:tcW w:w="300" w:type="dxa"/>
            <w:tcBorders>
              <w:bottom w:val="single" w:sz="12" w:space="0" w:color="636466"/>
            </w:tcBorders>
            <w:shd w:fill="EDEDEE" w:val="clear"/>
            <w:vAlign w:val="center"/>
          </w:tcPr>
          <w:p>
            <w:pPr>
              <w:pStyle w:val="TableContents"/>
              <w:bidi w:val="0"/>
              <w:spacing w:before="0" w:after="283"/>
              <w:jc w:val="left"/>
              <w:rPr/>
            </w:pPr>
            <w:r>
              <w:rPr/>
              <w:t> </w:t>
            </w:r>
          </w:p>
        </w:tc>
        <w:tc>
          <w:tcPr>
            <w:tcW w:w="1730" w:type="dxa"/>
            <w:tcBorders>
              <w:bottom w:val="single" w:sz="12" w:space="0" w:color="636466"/>
            </w:tcBorders>
            <w:shd w:fill="EDEDEE" w:val="clear"/>
            <w:vAlign w:val="center"/>
          </w:tcPr>
          <w:p>
            <w:pPr>
              <w:pStyle w:val="TableContents"/>
              <w:bidi w:val="0"/>
              <w:spacing w:before="0" w:after="283"/>
              <w:jc w:val="right"/>
              <w:rPr>
                <w:b/>
              </w:rPr>
            </w:pPr>
            <w:r>
              <w:rPr>
                <w:b/>
              </w:rPr>
              <w:t>$33,301,399</w:t>
            </w:r>
          </w:p>
        </w:tc>
        <w:tc>
          <w:tcPr>
            <w:tcW w:w="300" w:type="dxa"/>
            <w:tcBorders>
              <w:bottom w:val="single" w:sz="12" w:space="0" w:color="636466"/>
            </w:tcBorders>
            <w:shd w:fill="EDEDEE" w:val="clear"/>
            <w:vAlign w:val="center"/>
          </w:tcPr>
          <w:p>
            <w:pPr>
              <w:pStyle w:val="TableContents"/>
              <w:bidi w:val="0"/>
              <w:spacing w:before="0" w:after="283"/>
              <w:jc w:val="left"/>
              <w:rPr/>
            </w:pPr>
            <w:r>
              <w:rPr/>
              <w:t> </w:t>
            </w:r>
          </w:p>
        </w:tc>
        <w:tc>
          <w:tcPr>
            <w:tcW w:w="1259" w:type="dxa"/>
            <w:tcBorders>
              <w:bottom w:val="single" w:sz="12" w:space="0" w:color="636466"/>
            </w:tcBorders>
            <w:shd w:fill="EDEDEE" w:val="clear"/>
            <w:vAlign w:val="center"/>
          </w:tcPr>
          <w:p>
            <w:pPr>
              <w:pStyle w:val="TableContents"/>
              <w:bidi w:val="0"/>
              <w:spacing w:before="0" w:after="283"/>
              <w:jc w:val="right"/>
              <w:rPr>
                <w:b/>
              </w:rPr>
            </w:pPr>
            <w:r>
              <w:rPr>
                <w:b/>
              </w:rPr>
              <w:t>$0</w:t>
            </w:r>
          </w:p>
        </w:tc>
        <w:tc>
          <w:tcPr>
            <w:tcW w:w="300" w:type="dxa"/>
            <w:tcBorders>
              <w:bottom w:val="single" w:sz="12" w:space="0" w:color="636466"/>
            </w:tcBorders>
            <w:shd w:fill="EDEDEE" w:val="clear"/>
            <w:vAlign w:val="center"/>
          </w:tcPr>
          <w:p>
            <w:pPr>
              <w:pStyle w:val="TableContents"/>
              <w:bidi w:val="0"/>
              <w:spacing w:before="0" w:after="283"/>
              <w:jc w:val="left"/>
              <w:rPr/>
            </w:pPr>
            <w:r>
              <w:rPr/>
              <w:t> </w:t>
            </w:r>
          </w:p>
        </w:tc>
        <w:tc>
          <w:tcPr>
            <w:tcW w:w="2154" w:type="dxa"/>
            <w:tcBorders>
              <w:bottom w:val="single" w:sz="12" w:space="0" w:color="636466"/>
            </w:tcBorders>
            <w:shd w:fill="EDEDEE" w:val="clear"/>
            <w:vAlign w:val="center"/>
          </w:tcPr>
          <w:p>
            <w:pPr>
              <w:pStyle w:val="TableContents"/>
              <w:bidi w:val="0"/>
              <w:spacing w:before="0" w:after="283"/>
              <w:jc w:val="right"/>
              <w:rPr>
                <w:b/>
              </w:rPr>
            </w:pPr>
            <w:r>
              <w:rPr>
                <w:b/>
              </w:rPr>
              <w:t>$56,815,135</w:t>
            </w:r>
          </w:p>
        </w:tc>
      </w:tr>
    </w:tbl>
    <w:tbl>
      <w:tblPr>
        <w:tblW w:w="10205" w:type="dxa"/>
        <w:jc w:val="left"/>
        <w:tblInd w:w="0" w:type="dxa"/>
        <w:tblLayout w:type="fixed"/>
        <w:tblCellMar>
          <w:top w:w="0" w:type="dxa"/>
          <w:left w:w="0" w:type="dxa"/>
          <w:bottom w:w="0" w:type="dxa"/>
          <w:right w:w="0" w:type="dxa"/>
        </w:tblCellMar>
      </w:tblPr>
      <w:tblGrid>
        <w:gridCol w:w="237"/>
        <w:gridCol w:w="9968"/>
      </w:tblGrid>
      <w:tr>
        <w:trPr/>
        <w:tc>
          <w:tcPr>
            <w:tcW w:w="237" w:type="dxa"/>
            <w:tcBorders/>
            <w:vAlign w:val="center"/>
          </w:tcPr>
          <w:p>
            <w:pPr>
              <w:pStyle w:val="TableContents"/>
              <w:bidi w:val="0"/>
              <w:spacing w:before="0" w:after="283"/>
              <w:jc w:val="left"/>
              <w:rPr/>
            </w:pPr>
            <w:r>
              <w:rPr/>
              <w:t>(1)</w:t>
            </w:r>
          </w:p>
        </w:tc>
        <w:tc>
          <w:tcPr>
            <w:tcW w:w="9968" w:type="dxa"/>
            <w:tcBorders/>
            <w:vAlign w:val="center"/>
          </w:tcPr>
          <w:p>
            <w:pPr>
              <w:pStyle w:val="TableContents"/>
              <w:bidi w:val="0"/>
              <w:spacing w:before="0" w:after="283"/>
              <w:jc w:val="left"/>
              <w:rPr/>
            </w:pPr>
            <w:r>
              <w:rPr/>
              <w:t>Outstanding LTI awards would be forfeited upon an involuntary separation for cause. </w:t>
            </w:r>
          </w:p>
        </w:tc>
      </w:tr>
      <w:tr>
        <w:trPr/>
        <w:tc>
          <w:tcPr>
            <w:tcW w:w="237" w:type="dxa"/>
            <w:tcBorders/>
            <w:vAlign w:val="center"/>
          </w:tcPr>
          <w:p>
            <w:pPr>
              <w:pStyle w:val="TableContents"/>
              <w:bidi w:val="0"/>
              <w:spacing w:before="0" w:after="283"/>
              <w:jc w:val="left"/>
              <w:rPr/>
            </w:pPr>
            <w:r>
              <w:rPr/>
              <w:t>(2)</w:t>
            </w:r>
          </w:p>
        </w:tc>
        <w:tc>
          <w:tcPr>
            <w:tcW w:w="9968" w:type="dxa"/>
            <w:tcBorders/>
            <w:vAlign w:val="center"/>
          </w:tcPr>
          <w:p>
            <w:pPr>
              <w:pStyle w:val="TableContents"/>
              <w:bidi w:val="0"/>
              <w:spacing w:before="0" w:after="283"/>
              <w:jc w:val="left"/>
              <w:rPr/>
            </w:pPr>
            <w:r>
              <w:rPr/>
              <w:t>As of December 31, 2025, Mr. Mitchill had not attained retirement eligibility status under the terms of the RTX LTIP. As a result, in the event of an involuntary separation (without cause), his annual LTI awards, if outstanding for more than one year, would be treated as follows: (i) SARs would vest on a pro-rata basis; and (ii) a pro-rata portion of PSUs would remain eligible to vest on the original vesting date, subject to the achievement of Company performance goals and his execution of a release of claims in favor of the Company. An involuntary (without cause) separation would constitute a qualifying separation under the terms of the ELG RSU awards and as a result, those RSUs would vest. Annual LTI awards outstanding for less than one year, and the pro-rata portion of annual LTI awards (held for more than one year) that do not vest or remain eligible to vest, would be forfeited.</w:t>
            </w:r>
          </w:p>
        </w:tc>
      </w:tr>
      <w:tr>
        <w:trPr/>
        <w:tc>
          <w:tcPr>
            <w:tcW w:w="237" w:type="dxa"/>
            <w:tcBorders/>
            <w:vAlign w:val="center"/>
          </w:tcPr>
          <w:p>
            <w:pPr>
              <w:pStyle w:val="TableContents"/>
              <w:bidi w:val="0"/>
              <w:spacing w:before="0" w:after="283"/>
              <w:jc w:val="left"/>
              <w:rPr/>
            </w:pPr>
            <w:r>
              <w:rPr/>
              <w:t>(3)</w:t>
            </w:r>
          </w:p>
        </w:tc>
        <w:tc>
          <w:tcPr>
            <w:tcW w:w="9968" w:type="dxa"/>
            <w:tcBorders/>
            <w:vAlign w:val="center"/>
          </w:tcPr>
          <w:p>
            <w:pPr>
              <w:pStyle w:val="TableContents"/>
              <w:bidi w:val="0"/>
              <w:spacing w:before="0" w:after="283"/>
              <w:jc w:val="left"/>
              <w:rPr/>
            </w:pPr>
            <w:r>
              <w:rPr/>
              <w:t>As of December 31, 2025, Mr. Mitchill had not attained retirement eligibility status under the terms of the RTX LTIP. As a result, in the event of a voluntary separation from the Company, all unvested awards would be forfeited, unless the terms of Mr. Mitchill’s separation were determined to be “mutually agreeable” following three years of service within the ELG. In this case, the Company may elect to vest his ELG RSU award.</w:t>
            </w:r>
          </w:p>
        </w:tc>
      </w:tr>
      <w:tr>
        <w:trPr/>
        <w:tc>
          <w:tcPr>
            <w:tcW w:w="237" w:type="dxa"/>
            <w:tcBorders/>
            <w:vAlign w:val="center"/>
          </w:tcPr>
          <w:p>
            <w:pPr>
              <w:pStyle w:val="TableContents"/>
              <w:bidi w:val="0"/>
              <w:spacing w:before="0" w:after="283"/>
              <w:jc w:val="left"/>
              <w:rPr/>
            </w:pPr>
            <w:r>
              <w:rPr/>
              <w:t>(4)</w:t>
            </w:r>
          </w:p>
        </w:tc>
        <w:tc>
          <w:tcPr>
            <w:tcW w:w="9968" w:type="dxa"/>
            <w:tcBorders/>
            <w:vAlign w:val="center"/>
          </w:tcPr>
          <w:p>
            <w:pPr>
              <w:pStyle w:val="TableContents"/>
              <w:bidi w:val="0"/>
              <w:spacing w:before="0" w:after="283"/>
              <w:jc w:val="left"/>
              <w:rPr/>
            </w:pPr>
            <w:r>
              <w:rPr/>
              <w:t>In the event of a qualifying termination within two years of an RTX change-in-control, all outstanding awards would vest in accordance with the RTX LTIP, including PSUs, which would vest at the greater of actual or target performance.</w:t>
            </w:r>
          </w:p>
        </w:tc>
      </w:tr>
      <w:tr>
        <w:trPr/>
        <w:tc>
          <w:tcPr>
            <w:tcW w:w="237" w:type="dxa"/>
            <w:tcBorders/>
            <w:vAlign w:val="center"/>
          </w:tcPr>
          <w:p>
            <w:pPr>
              <w:pStyle w:val="TableContents"/>
              <w:bidi w:val="0"/>
              <w:spacing w:before="0" w:after="283"/>
              <w:jc w:val="left"/>
              <w:rPr/>
            </w:pPr>
            <w:r>
              <w:rPr/>
              <w:t>(5)</w:t>
            </w:r>
          </w:p>
        </w:tc>
        <w:tc>
          <w:tcPr>
            <w:tcW w:w="9968" w:type="dxa"/>
            <w:tcBorders/>
            <w:vAlign w:val="center"/>
          </w:tcPr>
          <w:p>
            <w:pPr>
              <w:pStyle w:val="TableContents"/>
              <w:bidi w:val="0"/>
              <w:spacing w:before="0" w:after="283"/>
              <w:jc w:val="left"/>
              <w:rPr/>
            </w:pPr>
            <w:r>
              <w:rPr/>
              <w:t>Upon an involuntary separation (without cause) or a qualifying separation following a change-in-control, the Company provides a pro-rata portion of target annual incentive awards for the period of time employed during the plan year. Since this table assumes a December 31, 2025, separation, a full-year 2025 target annual incentive award is shown.</w:t>
            </w:r>
          </w:p>
        </w:tc>
      </w:tr>
      <w:tr>
        <w:trPr/>
        <w:tc>
          <w:tcPr>
            <w:tcW w:w="237" w:type="dxa"/>
            <w:tcBorders/>
            <w:vAlign w:val="center"/>
          </w:tcPr>
          <w:p>
            <w:pPr>
              <w:pStyle w:val="TableContents"/>
              <w:bidi w:val="0"/>
              <w:spacing w:before="0" w:after="283"/>
              <w:jc w:val="left"/>
              <w:rPr/>
            </w:pPr>
            <w:r>
              <w:rPr/>
              <w:t>(6)</w:t>
            </w:r>
          </w:p>
        </w:tc>
        <w:tc>
          <w:tcPr>
            <w:tcW w:w="9968" w:type="dxa"/>
            <w:tcBorders/>
            <w:vAlign w:val="center"/>
          </w:tcPr>
          <w:p>
            <w:pPr>
              <w:pStyle w:val="TableContents"/>
              <w:bidi w:val="0"/>
              <w:spacing w:before="0" w:after="283"/>
              <w:jc w:val="left"/>
              <w:rPr/>
            </w:pPr>
            <w:r>
              <w:rPr/>
              <w:t>Mr. Mitchill does not participate in the Company’s pension plans.</w:t>
            </w:r>
          </w:p>
        </w:tc>
      </w:tr>
      <w:tr>
        <w:trPr/>
        <w:tc>
          <w:tcPr>
            <w:tcW w:w="237" w:type="dxa"/>
            <w:tcBorders/>
            <w:vAlign w:val="center"/>
          </w:tcPr>
          <w:p>
            <w:pPr>
              <w:pStyle w:val="TableContents"/>
              <w:bidi w:val="0"/>
              <w:spacing w:before="0" w:after="283"/>
              <w:jc w:val="left"/>
              <w:rPr/>
            </w:pPr>
            <w:r>
              <w:rPr/>
              <w:t>(7)</w:t>
            </w:r>
          </w:p>
        </w:tc>
        <w:tc>
          <w:tcPr>
            <w:tcW w:w="9968" w:type="dxa"/>
            <w:tcBorders/>
            <w:vAlign w:val="center"/>
          </w:tcPr>
          <w:p>
            <w:pPr>
              <w:pStyle w:val="TableContents"/>
              <w:bidi w:val="0"/>
              <w:spacing w:before="0" w:after="283"/>
              <w:jc w:val="left"/>
              <w:rPr/>
            </w:pPr>
            <w:r>
              <w:rPr/>
              <w:t>Upon an involuntary separation (without cause), or a qualifying separation following a change-in-control, the Company provides one year of continuation of health and welfare benefits. Amounts shown reflect the estimated cost of one year of health and welfare benefit continuation based on elections as of December 31, 2025.</w:t>
            </w:r>
          </w:p>
        </w:tc>
      </w:tr>
      <w:tr>
        <w:trPr/>
        <w:tc>
          <w:tcPr>
            <w:tcW w:w="237" w:type="dxa"/>
            <w:tcBorders/>
            <w:vAlign w:val="center"/>
          </w:tcPr>
          <w:p>
            <w:pPr>
              <w:pStyle w:val="TableContents"/>
              <w:bidi w:val="0"/>
              <w:spacing w:before="0" w:after="283"/>
              <w:jc w:val="left"/>
              <w:rPr/>
            </w:pPr>
            <w:r>
              <w:rPr/>
              <w:t>(8)</w:t>
            </w:r>
          </w:p>
        </w:tc>
        <w:tc>
          <w:tcPr>
            <w:tcW w:w="9968" w:type="dxa"/>
            <w:tcBorders/>
            <w:vAlign w:val="center"/>
          </w:tcPr>
          <w:p>
            <w:pPr>
              <w:pStyle w:val="TableContents"/>
              <w:bidi w:val="0"/>
              <w:spacing w:before="0" w:after="283"/>
              <w:jc w:val="left"/>
              <w:rPr/>
            </w:pPr>
            <w:r>
              <w:rPr/>
              <w:t>Reflects the value of unvested LTI awards that would vest (or remain eligible to vest) following a separation from the Company, calculated using the closing stock price of RTX on the last trading day of 2025 ($183.40). Where included, the 2025 and 2024 PSUs assume maximum-level performance based on estimated performance as of December 31, 2025, and actual performance is used for the 2023 PSUs.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15"/>
        </w:rPr>
      </w:pPr>
      <w:r>
        <w:rPr>
          <w:rFonts w:ascii="Arial;Helvetica;Sans-Serif" w:hAnsi="Arial;Helvetica;Sans-Serif"/>
          <w:b/>
          <w:i w:val="false"/>
          <w:caps w:val="false"/>
          <w:smallCaps w:val="false"/>
          <w:sz w:val="15"/>
        </w:rPr>
        <w:t xml:space="preserve">74    RTX </w:t>
      </w:r>
      <w:r>
        <w:rPr>
          <w:rFonts w:ascii="Arial;Helvetica;Sans-Serif" w:hAnsi="Arial;Helvetica;Sans-Serif"/>
          <w:b w:val="false"/>
          <w:i w:val="false"/>
          <w:caps w:val="false"/>
          <w:smallCaps w:val="false"/>
          <w:sz w:val="15"/>
        </w:rPr>
        <w:t>2026 PROXY STATEMENT</w:t>
      </w:r>
    </w:p>
    <w:p>
      <w:pPr>
        <w:pStyle w:val="HorizontalLine"/>
        <w:pBdr>
          <w:bottom w:val="double" w:sz="2" w:space="0" w:color="808080"/>
        </w:pBdr>
        <w:bidi w:val="0"/>
        <w:spacing w:before="0" w:after="283"/>
        <w:jc w:val="left"/>
        <w:rPr/>
      </w:pPr>
      <w:r>
        <w:rPr/>
      </w:r>
    </w:p>
    <w:p>
      <w:pPr>
        <w:pStyle w:val="TextBody"/>
        <w:bidi w:val="0"/>
        <w:spacing w:before="200" w:after="200"/>
        <w:jc w:val="left"/>
        <w:rPr/>
      </w:pPr>
      <w:hyperlink w:anchor="toc">
        <w:r>
          <w:rPr>
            <w:rStyle w:val="InternetLink"/>
            <w:rFonts w:ascii="Arial;Helvetica;Sans-Serif" w:hAnsi="Arial;Helvetica;Sans-Serif"/>
            <w:b/>
            <w:i w:val="false"/>
            <w:caps w:val="false"/>
            <w:smallCaps w:val="false"/>
            <w:sz w:val="16"/>
          </w:rPr>
          <w:t>Table of Contents</w:t>
        </w:r>
      </w:hyperlink>
    </w:p>
    <w:p>
      <w:pPr>
        <w:pStyle w:val="TextBody"/>
        <w:bidi w:val="0"/>
        <w:spacing w:before="0" w:after="0"/>
        <w:jc w:val="right"/>
        <w:rPr>
          <w:rFonts w:ascii="Arial;Helvetica;Sans-Serif" w:hAnsi="Arial;Helvetica;Sans-Serif"/>
          <w:b/>
          <w:i w:val="false"/>
          <w:caps w:val="false"/>
          <w:smallCaps w:val="false"/>
          <w:color w:val="C12E33"/>
          <w:sz w:val="15"/>
        </w:rPr>
      </w:pPr>
      <w:r>
        <w:rPr>
          <w:rFonts w:ascii="Arial;Helvetica;Sans-Serif" w:hAnsi="Arial;Helvetica;Sans-Serif"/>
          <w:b/>
          <w:i w:val="false"/>
          <w:caps w:val="false"/>
          <w:smallCaps w:val="false"/>
          <w:color w:val="C12E33"/>
          <w:sz w:val="15"/>
        </w:rPr>
        <w:t>COMPENSATION TABLES</w:t>
      </w:r>
    </w:p>
    <w:p>
      <w:pPr>
        <w:pStyle w:val="TextBody"/>
        <w:bidi w:val="0"/>
        <w:spacing w:before="0" w:after="0"/>
        <w:jc w:val="righ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POTENTIAL PAYMENTS UPON TERMINATION OR CHANGE-IN-CONTROL</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PHILIP J. JASPER</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table below shows the estimated value of payments and benefits that Mr. Jasper would have been entitled to receive had his employment terminated on December 31, 2025, under various hypothetical circumstances.</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40" w:type="dxa"/>
          <w:right w:w="0" w:type="dxa"/>
        </w:tblCellMar>
      </w:tblPr>
      <w:tblGrid>
        <w:gridCol w:w="2125"/>
        <w:gridCol w:w="300"/>
        <w:gridCol w:w="1726"/>
        <w:gridCol w:w="300"/>
        <w:gridCol w:w="1726"/>
        <w:gridCol w:w="300"/>
        <w:gridCol w:w="1276"/>
        <w:gridCol w:w="300"/>
        <w:gridCol w:w="2152"/>
      </w:tblGrid>
      <w:tr>
        <w:trPr/>
        <w:tc>
          <w:tcPr>
            <w:tcW w:w="2125" w:type="dxa"/>
            <w:tcBorders>
              <w:bottom w:val="single" w:sz="12" w:space="0" w:color="C12D33"/>
            </w:tcBorders>
            <w:vAlign w:val="center"/>
          </w:tcPr>
          <w:p>
            <w:pPr>
              <w:pStyle w:val="TableContents"/>
              <w:bidi w:val="0"/>
              <w:spacing w:before="0" w:after="283"/>
              <w:jc w:val="left"/>
              <w:rPr/>
            </w:pPr>
            <w:r>
              <w:rPr/>
              <w:t> </w:t>
            </w:r>
          </w:p>
        </w:tc>
        <w:tc>
          <w:tcPr>
            <w:tcW w:w="300" w:type="dxa"/>
            <w:tcBorders>
              <w:bottom w:val="single" w:sz="12" w:space="0" w:color="C12D33"/>
            </w:tcBorders>
            <w:vAlign w:val="center"/>
          </w:tcPr>
          <w:p>
            <w:pPr>
              <w:pStyle w:val="TableContents"/>
              <w:bidi w:val="0"/>
              <w:spacing w:before="0" w:after="283"/>
              <w:jc w:val="left"/>
              <w:rPr/>
            </w:pPr>
            <w:r>
              <w:rPr/>
              <w:t>     </w:t>
            </w:r>
          </w:p>
        </w:tc>
        <w:tc>
          <w:tcPr>
            <w:tcW w:w="1726" w:type="dxa"/>
            <w:tcBorders>
              <w:bottom w:val="single" w:sz="12" w:space="0" w:color="C12D33"/>
            </w:tcBorders>
            <w:vAlign w:val="center"/>
          </w:tcPr>
          <w:p>
            <w:pPr>
              <w:pStyle w:val="TableContents"/>
              <w:bidi w:val="0"/>
              <w:spacing w:before="0" w:after="283"/>
              <w:jc w:val="right"/>
              <w:rPr/>
            </w:pPr>
            <w:r>
              <w:rPr>
                <w:b/>
                <w:color w:val="636466"/>
              </w:rPr>
              <w:t>Involuntary Separation</w:t>
            </w:r>
            <w:r>
              <w:rPr>
                <w:b/>
              </w:rPr>
              <w:br/>
            </w:r>
            <w:r>
              <w:rPr>
                <w:b/>
                <w:color w:val="636466"/>
              </w:rPr>
              <w:t>(for Cause)</w:t>
            </w:r>
            <w:r>
              <w:rPr>
                <w:b/>
                <w:color w:val="636466"/>
                <w:position w:val="8"/>
                <w:sz w:val="19"/>
              </w:rPr>
              <w:t>(1)</w:t>
            </w:r>
          </w:p>
        </w:tc>
        <w:tc>
          <w:tcPr>
            <w:tcW w:w="300" w:type="dxa"/>
            <w:tcBorders>
              <w:bottom w:val="single" w:sz="12" w:space="0" w:color="C12D33"/>
            </w:tcBorders>
            <w:vAlign w:val="center"/>
          </w:tcPr>
          <w:p>
            <w:pPr>
              <w:pStyle w:val="TableContents"/>
              <w:bidi w:val="0"/>
              <w:spacing w:before="0" w:after="283"/>
              <w:jc w:val="left"/>
              <w:rPr/>
            </w:pPr>
            <w:r>
              <w:rPr/>
              <w:t>     </w:t>
            </w:r>
          </w:p>
        </w:tc>
        <w:tc>
          <w:tcPr>
            <w:tcW w:w="1726" w:type="dxa"/>
            <w:tcBorders>
              <w:bottom w:val="single" w:sz="12" w:space="0" w:color="C12D33"/>
            </w:tcBorders>
            <w:vAlign w:val="center"/>
          </w:tcPr>
          <w:p>
            <w:pPr>
              <w:pStyle w:val="TableContents"/>
              <w:bidi w:val="0"/>
              <w:spacing w:before="0" w:after="283"/>
              <w:jc w:val="right"/>
              <w:rPr/>
            </w:pPr>
            <w:r>
              <w:rPr>
                <w:b/>
                <w:color w:val="636466"/>
              </w:rPr>
              <w:t>Involuntary Separation</w:t>
            </w:r>
            <w:r>
              <w:rPr>
                <w:b/>
              </w:rPr>
              <w:br/>
            </w:r>
            <w:r>
              <w:rPr>
                <w:b/>
                <w:color w:val="636466"/>
              </w:rPr>
              <w:t>(without Cause)</w:t>
            </w:r>
            <w:r>
              <w:rPr>
                <w:b/>
                <w:color w:val="636466"/>
                <w:position w:val="8"/>
                <w:sz w:val="19"/>
              </w:rPr>
              <w:t>(2)</w:t>
            </w:r>
          </w:p>
        </w:tc>
        <w:tc>
          <w:tcPr>
            <w:tcW w:w="300" w:type="dxa"/>
            <w:tcBorders>
              <w:bottom w:val="single" w:sz="12" w:space="0" w:color="C12D33"/>
            </w:tcBorders>
            <w:vAlign w:val="center"/>
          </w:tcPr>
          <w:p>
            <w:pPr>
              <w:pStyle w:val="TableContents"/>
              <w:bidi w:val="0"/>
              <w:spacing w:before="0" w:after="283"/>
              <w:jc w:val="left"/>
              <w:rPr/>
            </w:pPr>
            <w:r>
              <w:rPr/>
              <w:t>     </w:t>
            </w:r>
          </w:p>
        </w:tc>
        <w:tc>
          <w:tcPr>
            <w:tcW w:w="1276" w:type="dxa"/>
            <w:tcBorders>
              <w:bottom w:val="single" w:sz="12" w:space="0" w:color="C12D33"/>
            </w:tcBorders>
            <w:vAlign w:val="center"/>
          </w:tcPr>
          <w:p>
            <w:pPr>
              <w:pStyle w:val="TableContents"/>
              <w:bidi w:val="0"/>
              <w:spacing w:before="0" w:after="283"/>
              <w:jc w:val="right"/>
              <w:rPr/>
            </w:pPr>
            <w:r>
              <w:rPr>
                <w:b/>
                <w:color w:val="636466"/>
              </w:rPr>
              <w:t>Voluntary</w:t>
            </w:r>
            <w:r>
              <w:rPr>
                <w:b/>
              </w:rPr>
              <w:br/>
            </w:r>
            <w:r>
              <w:rPr>
                <w:b/>
                <w:color w:val="636466"/>
              </w:rPr>
              <w:t>Separation</w:t>
            </w:r>
            <w:r>
              <w:rPr>
                <w:b/>
                <w:color w:val="636466"/>
                <w:position w:val="8"/>
                <w:sz w:val="19"/>
              </w:rPr>
              <w:t>(3)</w:t>
            </w:r>
          </w:p>
        </w:tc>
        <w:tc>
          <w:tcPr>
            <w:tcW w:w="300" w:type="dxa"/>
            <w:tcBorders>
              <w:bottom w:val="single" w:sz="12" w:space="0" w:color="C12D33"/>
            </w:tcBorders>
            <w:vAlign w:val="center"/>
          </w:tcPr>
          <w:p>
            <w:pPr>
              <w:pStyle w:val="TableContents"/>
              <w:bidi w:val="0"/>
              <w:spacing w:before="0" w:after="283"/>
              <w:jc w:val="left"/>
              <w:rPr/>
            </w:pPr>
            <w:r>
              <w:rPr/>
              <w:t>     </w:t>
            </w:r>
          </w:p>
        </w:tc>
        <w:tc>
          <w:tcPr>
            <w:tcW w:w="2152" w:type="dxa"/>
            <w:tcBorders>
              <w:bottom w:val="single" w:sz="12" w:space="0" w:color="C12D33"/>
            </w:tcBorders>
            <w:vAlign w:val="center"/>
          </w:tcPr>
          <w:p>
            <w:pPr>
              <w:pStyle w:val="TableContents"/>
              <w:bidi w:val="0"/>
              <w:spacing w:before="0" w:after="283"/>
              <w:jc w:val="right"/>
              <w:rPr/>
            </w:pPr>
            <w:r>
              <w:rPr>
                <w:b/>
                <w:color w:val="636466"/>
              </w:rPr>
              <w:t>Separation following a</w:t>
            </w:r>
            <w:r>
              <w:rPr>
                <w:b/>
              </w:rPr>
              <w:br/>
            </w:r>
            <w:r>
              <w:rPr>
                <w:b/>
                <w:color w:val="636466"/>
              </w:rPr>
              <w:t>Change-in-Control</w:t>
            </w:r>
            <w:r>
              <w:rPr>
                <w:b/>
                <w:color w:val="636466"/>
                <w:position w:val="8"/>
                <w:sz w:val="19"/>
              </w:rPr>
              <w:t>(4)</w:t>
            </w:r>
          </w:p>
        </w:tc>
      </w:tr>
      <w:tr>
        <w:trPr/>
        <w:tc>
          <w:tcPr>
            <w:tcW w:w="2125" w:type="dxa"/>
            <w:tcBorders>
              <w:bottom w:val="single" w:sz="2" w:space="0" w:color="000000"/>
            </w:tcBorders>
            <w:vAlign w:val="center"/>
          </w:tcPr>
          <w:p>
            <w:pPr>
              <w:pStyle w:val="TableContents"/>
              <w:bidi w:val="0"/>
              <w:spacing w:before="0" w:after="283"/>
              <w:jc w:val="left"/>
              <w:rPr/>
            </w:pPr>
            <w:r>
              <w:rPr/>
              <w:t>Annual Incentive Award</w:t>
            </w:r>
            <w:r>
              <w:rPr>
                <w:position w:val="8"/>
                <w:sz w:val="19"/>
              </w:rPr>
              <w:t>(5)</w:t>
            </w:r>
          </w:p>
        </w:tc>
        <w:tc>
          <w:tcPr>
            <w:tcW w:w="300" w:type="dxa"/>
            <w:tcBorders>
              <w:bottom w:val="single" w:sz="2" w:space="0" w:color="000000"/>
            </w:tcBorders>
            <w:vAlign w:val="center"/>
          </w:tcPr>
          <w:p>
            <w:pPr>
              <w:pStyle w:val="TableContents"/>
              <w:bidi w:val="0"/>
              <w:spacing w:before="0" w:after="283"/>
              <w:jc w:val="left"/>
              <w:rPr/>
            </w:pPr>
            <w:r>
              <w:rPr/>
              <w:t> </w:t>
            </w:r>
          </w:p>
        </w:tc>
        <w:tc>
          <w:tcPr>
            <w:tcW w:w="1726" w:type="dxa"/>
            <w:tcBorders>
              <w:bottom w:val="single" w:sz="2" w:space="0" w:color="000000"/>
            </w:tcBorders>
            <w:vAlign w:val="center"/>
          </w:tcPr>
          <w:p>
            <w:pPr>
              <w:pStyle w:val="TableContents"/>
              <w:bidi w:val="0"/>
              <w:spacing w:before="0" w:after="283"/>
              <w:jc w:val="right"/>
              <w:rPr/>
            </w:pPr>
            <w:r>
              <w:rPr/>
              <w:t>$0</w:t>
            </w:r>
          </w:p>
        </w:tc>
        <w:tc>
          <w:tcPr>
            <w:tcW w:w="300" w:type="dxa"/>
            <w:tcBorders>
              <w:bottom w:val="single" w:sz="2" w:space="0" w:color="000000"/>
            </w:tcBorders>
            <w:vAlign w:val="center"/>
          </w:tcPr>
          <w:p>
            <w:pPr>
              <w:pStyle w:val="TableContents"/>
              <w:bidi w:val="0"/>
              <w:spacing w:before="0" w:after="283"/>
              <w:jc w:val="left"/>
              <w:rPr/>
            </w:pPr>
            <w:r>
              <w:rPr/>
              <w:t> </w:t>
            </w:r>
          </w:p>
        </w:tc>
        <w:tc>
          <w:tcPr>
            <w:tcW w:w="1726" w:type="dxa"/>
            <w:tcBorders>
              <w:bottom w:val="single" w:sz="2" w:space="0" w:color="000000"/>
            </w:tcBorders>
            <w:vAlign w:val="center"/>
          </w:tcPr>
          <w:p>
            <w:pPr>
              <w:pStyle w:val="TableContents"/>
              <w:bidi w:val="0"/>
              <w:spacing w:before="0" w:after="283"/>
              <w:jc w:val="right"/>
              <w:rPr/>
            </w:pPr>
            <w:r>
              <w:rPr/>
              <w:t>$960,250</w:t>
            </w:r>
          </w:p>
        </w:tc>
        <w:tc>
          <w:tcPr>
            <w:tcW w:w="300" w:type="dxa"/>
            <w:tcBorders>
              <w:bottom w:val="single" w:sz="2" w:space="0" w:color="000000"/>
            </w:tcBorders>
            <w:vAlign w:val="center"/>
          </w:tcPr>
          <w:p>
            <w:pPr>
              <w:pStyle w:val="TableContents"/>
              <w:bidi w:val="0"/>
              <w:spacing w:before="0" w:after="283"/>
              <w:jc w:val="left"/>
              <w:rPr/>
            </w:pPr>
            <w:r>
              <w:rPr/>
              <w:t> </w:t>
            </w:r>
          </w:p>
        </w:tc>
        <w:tc>
          <w:tcPr>
            <w:tcW w:w="1276" w:type="dxa"/>
            <w:tcBorders>
              <w:bottom w:val="single" w:sz="2" w:space="0" w:color="000000"/>
            </w:tcBorders>
            <w:vAlign w:val="center"/>
          </w:tcPr>
          <w:p>
            <w:pPr>
              <w:pStyle w:val="TableContents"/>
              <w:bidi w:val="0"/>
              <w:spacing w:before="0" w:after="283"/>
              <w:jc w:val="right"/>
              <w:rPr/>
            </w:pPr>
            <w:r>
              <w:rPr/>
              <w:t>$0</w:t>
            </w:r>
          </w:p>
        </w:tc>
        <w:tc>
          <w:tcPr>
            <w:tcW w:w="300" w:type="dxa"/>
            <w:tcBorders>
              <w:bottom w:val="single" w:sz="2" w:space="0" w:color="000000"/>
            </w:tcBorders>
            <w:vAlign w:val="center"/>
          </w:tcPr>
          <w:p>
            <w:pPr>
              <w:pStyle w:val="TableContents"/>
              <w:bidi w:val="0"/>
              <w:spacing w:before="0" w:after="283"/>
              <w:jc w:val="left"/>
              <w:rPr/>
            </w:pPr>
            <w:r>
              <w:rPr/>
              <w:t> </w:t>
            </w:r>
          </w:p>
        </w:tc>
        <w:tc>
          <w:tcPr>
            <w:tcW w:w="2152" w:type="dxa"/>
            <w:tcBorders>
              <w:bottom w:val="single" w:sz="2" w:space="0" w:color="000000"/>
            </w:tcBorders>
            <w:vAlign w:val="center"/>
          </w:tcPr>
          <w:p>
            <w:pPr>
              <w:pStyle w:val="TableContents"/>
              <w:bidi w:val="0"/>
              <w:spacing w:before="0" w:after="283"/>
              <w:jc w:val="right"/>
              <w:rPr/>
            </w:pPr>
            <w:r>
              <w:rPr/>
              <w:t>$960,250</w:t>
            </w:r>
          </w:p>
        </w:tc>
      </w:tr>
      <w:tr>
        <w:trPr/>
        <w:tc>
          <w:tcPr>
            <w:tcW w:w="2125" w:type="dxa"/>
            <w:tcBorders>
              <w:bottom w:val="single" w:sz="2" w:space="0" w:color="000000"/>
            </w:tcBorders>
            <w:vAlign w:val="center"/>
          </w:tcPr>
          <w:p>
            <w:pPr>
              <w:pStyle w:val="TableContents"/>
              <w:bidi w:val="0"/>
              <w:spacing w:before="0" w:after="283"/>
              <w:jc w:val="left"/>
              <w:rPr/>
            </w:pPr>
            <w:r>
              <w:rPr/>
              <w:t>Pension</w:t>
            </w:r>
            <w:r>
              <w:rPr>
                <w:position w:val="8"/>
                <w:sz w:val="19"/>
              </w:rPr>
              <w:t>(6)</w:t>
            </w:r>
          </w:p>
        </w:tc>
        <w:tc>
          <w:tcPr>
            <w:tcW w:w="300" w:type="dxa"/>
            <w:tcBorders>
              <w:bottom w:val="single" w:sz="2" w:space="0" w:color="000000"/>
            </w:tcBorders>
            <w:vAlign w:val="center"/>
          </w:tcPr>
          <w:p>
            <w:pPr>
              <w:pStyle w:val="TableContents"/>
              <w:bidi w:val="0"/>
              <w:spacing w:before="0" w:after="283"/>
              <w:jc w:val="left"/>
              <w:rPr/>
            </w:pPr>
            <w:r>
              <w:rPr/>
              <w:t> </w:t>
            </w:r>
          </w:p>
        </w:tc>
        <w:tc>
          <w:tcPr>
            <w:tcW w:w="1726" w:type="dxa"/>
            <w:tcBorders>
              <w:bottom w:val="single" w:sz="2" w:space="0" w:color="000000"/>
            </w:tcBorders>
            <w:vAlign w:val="center"/>
          </w:tcPr>
          <w:p>
            <w:pPr>
              <w:pStyle w:val="TableContents"/>
              <w:bidi w:val="0"/>
              <w:spacing w:before="0" w:after="283"/>
              <w:jc w:val="right"/>
              <w:rPr/>
            </w:pPr>
            <w:r>
              <w:rPr/>
              <w:t>$0</w:t>
            </w:r>
          </w:p>
        </w:tc>
        <w:tc>
          <w:tcPr>
            <w:tcW w:w="300" w:type="dxa"/>
            <w:tcBorders>
              <w:bottom w:val="single" w:sz="2" w:space="0" w:color="000000"/>
            </w:tcBorders>
            <w:vAlign w:val="center"/>
          </w:tcPr>
          <w:p>
            <w:pPr>
              <w:pStyle w:val="TableContents"/>
              <w:bidi w:val="0"/>
              <w:spacing w:before="0" w:after="283"/>
              <w:jc w:val="left"/>
              <w:rPr/>
            </w:pPr>
            <w:r>
              <w:rPr/>
              <w:t> </w:t>
            </w:r>
          </w:p>
        </w:tc>
        <w:tc>
          <w:tcPr>
            <w:tcW w:w="1726" w:type="dxa"/>
            <w:tcBorders>
              <w:bottom w:val="single" w:sz="2" w:space="0" w:color="000000"/>
            </w:tcBorders>
            <w:vAlign w:val="center"/>
          </w:tcPr>
          <w:p>
            <w:pPr>
              <w:pStyle w:val="TableContents"/>
              <w:bidi w:val="0"/>
              <w:spacing w:before="0" w:after="283"/>
              <w:jc w:val="right"/>
              <w:rPr/>
            </w:pPr>
            <w:r>
              <w:rPr/>
              <w:t>$0</w:t>
            </w:r>
          </w:p>
        </w:tc>
        <w:tc>
          <w:tcPr>
            <w:tcW w:w="300" w:type="dxa"/>
            <w:tcBorders>
              <w:bottom w:val="single" w:sz="2" w:space="0" w:color="000000"/>
            </w:tcBorders>
            <w:vAlign w:val="center"/>
          </w:tcPr>
          <w:p>
            <w:pPr>
              <w:pStyle w:val="TableContents"/>
              <w:bidi w:val="0"/>
              <w:spacing w:before="0" w:after="283"/>
              <w:jc w:val="left"/>
              <w:rPr/>
            </w:pPr>
            <w:r>
              <w:rPr/>
              <w:t> </w:t>
            </w:r>
          </w:p>
        </w:tc>
        <w:tc>
          <w:tcPr>
            <w:tcW w:w="1276" w:type="dxa"/>
            <w:tcBorders>
              <w:bottom w:val="single" w:sz="2" w:space="0" w:color="000000"/>
            </w:tcBorders>
            <w:vAlign w:val="center"/>
          </w:tcPr>
          <w:p>
            <w:pPr>
              <w:pStyle w:val="TableContents"/>
              <w:bidi w:val="0"/>
              <w:spacing w:before="0" w:after="283"/>
              <w:jc w:val="right"/>
              <w:rPr/>
            </w:pPr>
            <w:r>
              <w:rPr/>
              <w:t>$0</w:t>
            </w:r>
          </w:p>
        </w:tc>
        <w:tc>
          <w:tcPr>
            <w:tcW w:w="300" w:type="dxa"/>
            <w:tcBorders>
              <w:bottom w:val="single" w:sz="2" w:space="0" w:color="000000"/>
            </w:tcBorders>
            <w:vAlign w:val="center"/>
          </w:tcPr>
          <w:p>
            <w:pPr>
              <w:pStyle w:val="TableContents"/>
              <w:bidi w:val="0"/>
              <w:spacing w:before="0" w:after="283"/>
              <w:jc w:val="left"/>
              <w:rPr/>
            </w:pPr>
            <w:r>
              <w:rPr/>
              <w:t> </w:t>
            </w:r>
          </w:p>
        </w:tc>
        <w:tc>
          <w:tcPr>
            <w:tcW w:w="2152" w:type="dxa"/>
            <w:tcBorders>
              <w:bottom w:val="single" w:sz="2" w:space="0" w:color="000000"/>
            </w:tcBorders>
            <w:vAlign w:val="center"/>
          </w:tcPr>
          <w:p>
            <w:pPr>
              <w:pStyle w:val="TableContents"/>
              <w:bidi w:val="0"/>
              <w:spacing w:before="0" w:after="283"/>
              <w:jc w:val="right"/>
              <w:rPr/>
            </w:pPr>
            <w:r>
              <w:rPr/>
              <w:t>$0</w:t>
            </w:r>
          </w:p>
        </w:tc>
      </w:tr>
      <w:tr>
        <w:trPr/>
        <w:tc>
          <w:tcPr>
            <w:tcW w:w="2125" w:type="dxa"/>
            <w:tcBorders>
              <w:bottom w:val="single" w:sz="2" w:space="0" w:color="000000"/>
            </w:tcBorders>
            <w:vAlign w:val="center"/>
          </w:tcPr>
          <w:p>
            <w:pPr>
              <w:pStyle w:val="TableContents"/>
              <w:bidi w:val="0"/>
              <w:spacing w:before="0" w:after="283"/>
              <w:jc w:val="left"/>
              <w:rPr/>
            </w:pPr>
            <w:r>
              <w:rPr/>
              <w:t>Health &amp; Welfare Continuation</w:t>
            </w:r>
            <w:r>
              <w:rPr>
                <w:position w:val="8"/>
                <w:sz w:val="19"/>
              </w:rPr>
              <w:t>(7)</w:t>
            </w:r>
          </w:p>
        </w:tc>
        <w:tc>
          <w:tcPr>
            <w:tcW w:w="300" w:type="dxa"/>
            <w:tcBorders>
              <w:bottom w:val="single" w:sz="2" w:space="0" w:color="000000"/>
            </w:tcBorders>
            <w:vAlign w:val="center"/>
          </w:tcPr>
          <w:p>
            <w:pPr>
              <w:pStyle w:val="TableContents"/>
              <w:bidi w:val="0"/>
              <w:spacing w:before="0" w:after="283"/>
              <w:jc w:val="left"/>
              <w:rPr/>
            </w:pPr>
            <w:r>
              <w:rPr/>
              <w:t> </w:t>
            </w:r>
          </w:p>
        </w:tc>
        <w:tc>
          <w:tcPr>
            <w:tcW w:w="1726" w:type="dxa"/>
            <w:tcBorders>
              <w:bottom w:val="single" w:sz="2" w:space="0" w:color="000000"/>
            </w:tcBorders>
            <w:vAlign w:val="center"/>
          </w:tcPr>
          <w:p>
            <w:pPr>
              <w:pStyle w:val="TableContents"/>
              <w:bidi w:val="0"/>
              <w:spacing w:before="0" w:after="283"/>
              <w:jc w:val="right"/>
              <w:rPr/>
            </w:pPr>
            <w:r>
              <w:rPr/>
              <w:t>$0</w:t>
            </w:r>
          </w:p>
        </w:tc>
        <w:tc>
          <w:tcPr>
            <w:tcW w:w="300" w:type="dxa"/>
            <w:tcBorders>
              <w:bottom w:val="single" w:sz="2" w:space="0" w:color="000000"/>
            </w:tcBorders>
            <w:vAlign w:val="center"/>
          </w:tcPr>
          <w:p>
            <w:pPr>
              <w:pStyle w:val="TableContents"/>
              <w:bidi w:val="0"/>
              <w:spacing w:before="0" w:after="283"/>
              <w:jc w:val="left"/>
              <w:rPr/>
            </w:pPr>
            <w:r>
              <w:rPr/>
              <w:t> </w:t>
            </w:r>
          </w:p>
        </w:tc>
        <w:tc>
          <w:tcPr>
            <w:tcW w:w="1726" w:type="dxa"/>
            <w:tcBorders>
              <w:bottom w:val="single" w:sz="2" w:space="0" w:color="000000"/>
            </w:tcBorders>
            <w:vAlign w:val="center"/>
          </w:tcPr>
          <w:p>
            <w:pPr>
              <w:pStyle w:val="TableContents"/>
              <w:bidi w:val="0"/>
              <w:spacing w:before="0" w:after="283"/>
              <w:jc w:val="right"/>
              <w:rPr/>
            </w:pPr>
            <w:r>
              <w:rPr/>
              <w:t>$34,279</w:t>
            </w:r>
          </w:p>
        </w:tc>
        <w:tc>
          <w:tcPr>
            <w:tcW w:w="300" w:type="dxa"/>
            <w:tcBorders>
              <w:bottom w:val="single" w:sz="2" w:space="0" w:color="000000"/>
            </w:tcBorders>
            <w:vAlign w:val="center"/>
          </w:tcPr>
          <w:p>
            <w:pPr>
              <w:pStyle w:val="TableContents"/>
              <w:bidi w:val="0"/>
              <w:spacing w:before="0" w:after="283"/>
              <w:jc w:val="left"/>
              <w:rPr/>
            </w:pPr>
            <w:r>
              <w:rPr/>
              <w:t> </w:t>
            </w:r>
          </w:p>
        </w:tc>
        <w:tc>
          <w:tcPr>
            <w:tcW w:w="1276" w:type="dxa"/>
            <w:tcBorders>
              <w:bottom w:val="single" w:sz="2" w:space="0" w:color="000000"/>
            </w:tcBorders>
            <w:vAlign w:val="center"/>
          </w:tcPr>
          <w:p>
            <w:pPr>
              <w:pStyle w:val="TableContents"/>
              <w:bidi w:val="0"/>
              <w:spacing w:before="0" w:after="283"/>
              <w:jc w:val="right"/>
              <w:rPr/>
            </w:pPr>
            <w:r>
              <w:rPr/>
              <w:t>$0</w:t>
            </w:r>
          </w:p>
        </w:tc>
        <w:tc>
          <w:tcPr>
            <w:tcW w:w="300" w:type="dxa"/>
            <w:tcBorders>
              <w:bottom w:val="single" w:sz="2" w:space="0" w:color="000000"/>
            </w:tcBorders>
            <w:vAlign w:val="center"/>
          </w:tcPr>
          <w:p>
            <w:pPr>
              <w:pStyle w:val="TableContents"/>
              <w:bidi w:val="0"/>
              <w:spacing w:before="0" w:after="283"/>
              <w:jc w:val="left"/>
              <w:rPr/>
            </w:pPr>
            <w:r>
              <w:rPr/>
              <w:t> </w:t>
            </w:r>
          </w:p>
        </w:tc>
        <w:tc>
          <w:tcPr>
            <w:tcW w:w="2152" w:type="dxa"/>
            <w:tcBorders>
              <w:bottom w:val="single" w:sz="2" w:space="0" w:color="000000"/>
            </w:tcBorders>
            <w:vAlign w:val="center"/>
          </w:tcPr>
          <w:p>
            <w:pPr>
              <w:pStyle w:val="TableContents"/>
              <w:bidi w:val="0"/>
              <w:spacing w:before="0" w:after="283"/>
              <w:jc w:val="right"/>
              <w:rPr/>
            </w:pPr>
            <w:r>
              <w:rPr/>
              <w:t>$34,279</w:t>
            </w:r>
          </w:p>
        </w:tc>
      </w:tr>
      <w:tr>
        <w:trPr/>
        <w:tc>
          <w:tcPr>
            <w:tcW w:w="2125" w:type="dxa"/>
            <w:tcBorders>
              <w:bottom w:val="single" w:sz="2" w:space="0" w:color="000000"/>
            </w:tcBorders>
            <w:vAlign w:val="center"/>
          </w:tcPr>
          <w:p>
            <w:pPr>
              <w:pStyle w:val="TableContents"/>
              <w:bidi w:val="0"/>
              <w:spacing w:before="0" w:after="283"/>
              <w:jc w:val="left"/>
              <w:rPr/>
            </w:pPr>
            <w:r>
              <w:rPr/>
              <w:t>Accrued Paid Time Off</w:t>
            </w:r>
            <w:r>
              <w:rPr>
                <w:position w:val="8"/>
                <w:sz w:val="19"/>
              </w:rPr>
              <w:t>(8)</w:t>
            </w:r>
          </w:p>
        </w:tc>
        <w:tc>
          <w:tcPr>
            <w:tcW w:w="300" w:type="dxa"/>
            <w:tcBorders>
              <w:bottom w:val="single" w:sz="2" w:space="0" w:color="000000"/>
            </w:tcBorders>
            <w:vAlign w:val="center"/>
          </w:tcPr>
          <w:p>
            <w:pPr>
              <w:pStyle w:val="TableContents"/>
              <w:bidi w:val="0"/>
              <w:spacing w:before="0" w:after="283"/>
              <w:jc w:val="left"/>
              <w:rPr/>
            </w:pPr>
            <w:r>
              <w:rPr/>
              <w:t> </w:t>
            </w:r>
          </w:p>
        </w:tc>
        <w:tc>
          <w:tcPr>
            <w:tcW w:w="1726" w:type="dxa"/>
            <w:tcBorders>
              <w:bottom w:val="single" w:sz="2" w:space="0" w:color="000000"/>
            </w:tcBorders>
            <w:vAlign w:val="center"/>
          </w:tcPr>
          <w:p>
            <w:pPr>
              <w:pStyle w:val="TableContents"/>
              <w:bidi w:val="0"/>
              <w:spacing w:before="0" w:after="283"/>
              <w:jc w:val="right"/>
              <w:rPr/>
            </w:pPr>
            <w:r>
              <w:rPr/>
              <w:t>$17,663</w:t>
            </w:r>
          </w:p>
        </w:tc>
        <w:tc>
          <w:tcPr>
            <w:tcW w:w="300" w:type="dxa"/>
            <w:tcBorders>
              <w:bottom w:val="single" w:sz="2" w:space="0" w:color="000000"/>
            </w:tcBorders>
            <w:vAlign w:val="center"/>
          </w:tcPr>
          <w:p>
            <w:pPr>
              <w:pStyle w:val="TableContents"/>
              <w:bidi w:val="0"/>
              <w:spacing w:before="0" w:after="283"/>
              <w:jc w:val="left"/>
              <w:rPr/>
            </w:pPr>
            <w:r>
              <w:rPr/>
              <w:t> </w:t>
            </w:r>
          </w:p>
        </w:tc>
        <w:tc>
          <w:tcPr>
            <w:tcW w:w="1726" w:type="dxa"/>
            <w:tcBorders>
              <w:bottom w:val="single" w:sz="2" w:space="0" w:color="000000"/>
            </w:tcBorders>
            <w:vAlign w:val="center"/>
          </w:tcPr>
          <w:p>
            <w:pPr>
              <w:pStyle w:val="TableContents"/>
              <w:bidi w:val="0"/>
              <w:spacing w:before="0" w:after="283"/>
              <w:jc w:val="right"/>
              <w:rPr/>
            </w:pPr>
            <w:r>
              <w:rPr/>
              <w:t>$17,663</w:t>
            </w:r>
          </w:p>
        </w:tc>
        <w:tc>
          <w:tcPr>
            <w:tcW w:w="300" w:type="dxa"/>
            <w:tcBorders>
              <w:bottom w:val="single" w:sz="2" w:space="0" w:color="000000"/>
            </w:tcBorders>
            <w:vAlign w:val="center"/>
          </w:tcPr>
          <w:p>
            <w:pPr>
              <w:pStyle w:val="TableContents"/>
              <w:bidi w:val="0"/>
              <w:spacing w:before="0" w:after="283"/>
              <w:jc w:val="left"/>
              <w:rPr/>
            </w:pPr>
            <w:r>
              <w:rPr/>
              <w:t> </w:t>
            </w:r>
          </w:p>
        </w:tc>
        <w:tc>
          <w:tcPr>
            <w:tcW w:w="1276" w:type="dxa"/>
            <w:tcBorders>
              <w:bottom w:val="single" w:sz="2" w:space="0" w:color="000000"/>
            </w:tcBorders>
            <w:vAlign w:val="center"/>
          </w:tcPr>
          <w:p>
            <w:pPr>
              <w:pStyle w:val="TableContents"/>
              <w:bidi w:val="0"/>
              <w:spacing w:before="0" w:after="283"/>
              <w:jc w:val="right"/>
              <w:rPr/>
            </w:pPr>
            <w:r>
              <w:rPr/>
              <w:t>$17,663</w:t>
            </w:r>
          </w:p>
        </w:tc>
        <w:tc>
          <w:tcPr>
            <w:tcW w:w="300" w:type="dxa"/>
            <w:tcBorders>
              <w:bottom w:val="single" w:sz="2" w:space="0" w:color="000000"/>
            </w:tcBorders>
            <w:vAlign w:val="center"/>
          </w:tcPr>
          <w:p>
            <w:pPr>
              <w:pStyle w:val="TableContents"/>
              <w:bidi w:val="0"/>
              <w:spacing w:before="0" w:after="283"/>
              <w:jc w:val="left"/>
              <w:rPr/>
            </w:pPr>
            <w:r>
              <w:rPr/>
              <w:t> </w:t>
            </w:r>
          </w:p>
        </w:tc>
        <w:tc>
          <w:tcPr>
            <w:tcW w:w="2152" w:type="dxa"/>
            <w:tcBorders>
              <w:bottom w:val="single" w:sz="2" w:space="0" w:color="000000"/>
            </w:tcBorders>
            <w:vAlign w:val="center"/>
          </w:tcPr>
          <w:p>
            <w:pPr>
              <w:pStyle w:val="TableContents"/>
              <w:bidi w:val="0"/>
              <w:spacing w:before="0" w:after="283"/>
              <w:jc w:val="right"/>
              <w:rPr/>
            </w:pPr>
            <w:r>
              <w:rPr/>
              <w:t>$17,663</w:t>
            </w:r>
          </w:p>
        </w:tc>
      </w:tr>
      <w:tr>
        <w:trPr/>
        <w:tc>
          <w:tcPr>
            <w:tcW w:w="2125" w:type="dxa"/>
            <w:tcBorders>
              <w:bottom w:val="single" w:sz="2" w:space="0" w:color="000000"/>
            </w:tcBorders>
            <w:vAlign w:val="center"/>
          </w:tcPr>
          <w:p>
            <w:pPr>
              <w:pStyle w:val="TableContents"/>
              <w:bidi w:val="0"/>
              <w:spacing w:before="0" w:after="283"/>
              <w:jc w:val="left"/>
              <w:rPr/>
            </w:pPr>
            <w:r>
              <w:rPr/>
              <w:t>Option Awards</w:t>
            </w:r>
            <w:r>
              <w:rPr>
                <w:position w:val="8"/>
                <w:sz w:val="19"/>
              </w:rPr>
              <w:t>(9)</w:t>
            </w:r>
          </w:p>
        </w:tc>
        <w:tc>
          <w:tcPr>
            <w:tcW w:w="300" w:type="dxa"/>
            <w:tcBorders>
              <w:bottom w:val="single" w:sz="2" w:space="0" w:color="000000"/>
            </w:tcBorders>
            <w:vAlign w:val="center"/>
          </w:tcPr>
          <w:p>
            <w:pPr>
              <w:pStyle w:val="TableContents"/>
              <w:bidi w:val="0"/>
              <w:spacing w:before="0" w:after="283"/>
              <w:jc w:val="left"/>
              <w:rPr/>
            </w:pPr>
            <w:r>
              <w:rPr/>
              <w:t> </w:t>
            </w:r>
          </w:p>
        </w:tc>
        <w:tc>
          <w:tcPr>
            <w:tcW w:w="1726" w:type="dxa"/>
            <w:tcBorders>
              <w:bottom w:val="single" w:sz="2" w:space="0" w:color="000000"/>
            </w:tcBorders>
            <w:vAlign w:val="center"/>
          </w:tcPr>
          <w:p>
            <w:pPr>
              <w:pStyle w:val="TableContents"/>
              <w:bidi w:val="0"/>
              <w:spacing w:before="0" w:after="283"/>
              <w:jc w:val="right"/>
              <w:rPr/>
            </w:pPr>
            <w:r>
              <w:rPr/>
              <w:t>$0</w:t>
            </w:r>
          </w:p>
        </w:tc>
        <w:tc>
          <w:tcPr>
            <w:tcW w:w="300" w:type="dxa"/>
            <w:tcBorders>
              <w:bottom w:val="single" w:sz="2" w:space="0" w:color="000000"/>
            </w:tcBorders>
            <w:vAlign w:val="center"/>
          </w:tcPr>
          <w:p>
            <w:pPr>
              <w:pStyle w:val="TableContents"/>
              <w:bidi w:val="0"/>
              <w:spacing w:before="0" w:after="283"/>
              <w:jc w:val="left"/>
              <w:rPr/>
            </w:pPr>
            <w:r>
              <w:rPr/>
              <w:t> </w:t>
            </w:r>
          </w:p>
        </w:tc>
        <w:tc>
          <w:tcPr>
            <w:tcW w:w="1726" w:type="dxa"/>
            <w:tcBorders>
              <w:bottom w:val="single" w:sz="2" w:space="0" w:color="000000"/>
            </w:tcBorders>
            <w:vAlign w:val="center"/>
          </w:tcPr>
          <w:p>
            <w:pPr>
              <w:pStyle w:val="TableContents"/>
              <w:bidi w:val="0"/>
              <w:spacing w:before="0" w:after="283"/>
              <w:jc w:val="right"/>
              <w:rPr/>
            </w:pPr>
            <w:r>
              <w:rPr/>
              <w:t>$7,373,345</w:t>
            </w:r>
          </w:p>
        </w:tc>
        <w:tc>
          <w:tcPr>
            <w:tcW w:w="300" w:type="dxa"/>
            <w:tcBorders>
              <w:bottom w:val="single" w:sz="2" w:space="0" w:color="000000"/>
            </w:tcBorders>
            <w:vAlign w:val="center"/>
          </w:tcPr>
          <w:p>
            <w:pPr>
              <w:pStyle w:val="TableContents"/>
              <w:bidi w:val="0"/>
              <w:spacing w:before="0" w:after="283"/>
              <w:jc w:val="left"/>
              <w:rPr/>
            </w:pPr>
            <w:r>
              <w:rPr/>
              <w:t> </w:t>
            </w:r>
          </w:p>
        </w:tc>
        <w:tc>
          <w:tcPr>
            <w:tcW w:w="1276" w:type="dxa"/>
            <w:tcBorders>
              <w:bottom w:val="single" w:sz="2" w:space="0" w:color="000000"/>
            </w:tcBorders>
            <w:vAlign w:val="center"/>
          </w:tcPr>
          <w:p>
            <w:pPr>
              <w:pStyle w:val="TableContents"/>
              <w:bidi w:val="0"/>
              <w:spacing w:before="0" w:after="283"/>
              <w:jc w:val="right"/>
              <w:rPr/>
            </w:pPr>
            <w:r>
              <w:rPr/>
              <w:t>$7,373,345</w:t>
            </w:r>
          </w:p>
        </w:tc>
        <w:tc>
          <w:tcPr>
            <w:tcW w:w="300" w:type="dxa"/>
            <w:tcBorders>
              <w:bottom w:val="single" w:sz="2" w:space="0" w:color="000000"/>
            </w:tcBorders>
            <w:vAlign w:val="center"/>
          </w:tcPr>
          <w:p>
            <w:pPr>
              <w:pStyle w:val="TableContents"/>
              <w:bidi w:val="0"/>
              <w:spacing w:before="0" w:after="283"/>
              <w:jc w:val="left"/>
              <w:rPr/>
            </w:pPr>
            <w:r>
              <w:rPr/>
              <w:t> </w:t>
            </w:r>
          </w:p>
        </w:tc>
        <w:tc>
          <w:tcPr>
            <w:tcW w:w="2152" w:type="dxa"/>
            <w:tcBorders>
              <w:bottom w:val="single" w:sz="2" w:space="0" w:color="000000"/>
            </w:tcBorders>
            <w:vAlign w:val="center"/>
          </w:tcPr>
          <w:p>
            <w:pPr>
              <w:pStyle w:val="TableContents"/>
              <w:bidi w:val="0"/>
              <w:spacing w:before="0" w:after="283"/>
              <w:jc w:val="right"/>
              <w:rPr/>
            </w:pPr>
            <w:r>
              <w:rPr/>
              <w:t>$9,738,391</w:t>
            </w:r>
          </w:p>
        </w:tc>
      </w:tr>
      <w:tr>
        <w:trPr/>
        <w:tc>
          <w:tcPr>
            <w:tcW w:w="2125" w:type="dxa"/>
            <w:tcBorders>
              <w:bottom w:val="single" w:sz="12" w:space="0" w:color="636466"/>
            </w:tcBorders>
            <w:vAlign w:val="center"/>
          </w:tcPr>
          <w:p>
            <w:pPr>
              <w:pStyle w:val="TableContents"/>
              <w:bidi w:val="0"/>
              <w:spacing w:before="0" w:after="283"/>
              <w:jc w:val="left"/>
              <w:rPr/>
            </w:pPr>
            <w:r>
              <w:rPr/>
              <w:t>Stock Awards</w:t>
            </w:r>
            <w:r>
              <w:rPr>
                <w:position w:val="8"/>
                <w:sz w:val="19"/>
              </w:rPr>
              <w:t>(9)</w:t>
            </w:r>
          </w:p>
        </w:tc>
        <w:tc>
          <w:tcPr>
            <w:tcW w:w="300" w:type="dxa"/>
            <w:tcBorders>
              <w:bottom w:val="single" w:sz="12" w:space="0" w:color="636466"/>
            </w:tcBorders>
            <w:vAlign w:val="center"/>
          </w:tcPr>
          <w:p>
            <w:pPr>
              <w:pStyle w:val="TableContents"/>
              <w:bidi w:val="0"/>
              <w:spacing w:before="0" w:after="283"/>
              <w:jc w:val="left"/>
              <w:rPr/>
            </w:pPr>
            <w:r>
              <w:rPr/>
              <w:t> </w:t>
            </w:r>
          </w:p>
        </w:tc>
        <w:tc>
          <w:tcPr>
            <w:tcW w:w="1726" w:type="dxa"/>
            <w:tcBorders>
              <w:bottom w:val="single" w:sz="12" w:space="0" w:color="636466"/>
            </w:tcBorders>
            <w:vAlign w:val="center"/>
          </w:tcPr>
          <w:p>
            <w:pPr>
              <w:pStyle w:val="TableContents"/>
              <w:bidi w:val="0"/>
              <w:spacing w:before="0" w:after="283"/>
              <w:jc w:val="right"/>
              <w:rPr/>
            </w:pPr>
            <w:r>
              <w:rPr/>
              <w:t>$0</w:t>
            </w:r>
          </w:p>
        </w:tc>
        <w:tc>
          <w:tcPr>
            <w:tcW w:w="300" w:type="dxa"/>
            <w:tcBorders>
              <w:bottom w:val="single" w:sz="12" w:space="0" w:color="636466"/>
            </w:tcBorders>
            <w:vAlign w:val="center"/>
          </w:tcPr>
          <w:p>
            <w:pPr>
              <w:pStyle w:val="TableContents"/>
              <w:bidi w:val="0"/>
              <w:spacing w:before="0" w:after="283"/>
              <w:jc w:val="left"/>
              <w:rPr/>
            </w:pPr>
            <w:r>
              <w:rPr/>
              <w:t> </w:t>
            </w:r>
          </w:p>
        </w:tc>
        <w:tc>
          <w:tcPr>
            <w:tcW w:w="1726" w:type="dxa"/>
            <w:tcBorders>
              <w:bottom w:val="single" w:sz="12" w:space="0" w:color="636466"/>
            </w:tcBorders>
            <w:vAlign w:val="center"/>
          </w:tcPr>
          <w:p>
            <w:pPr>
              <w:pStyle w:val="TableContents"/>
              <w:bidi w:val="0"/>
              <w:spacing w:before="0" w:after="283"/>
              <w:jc w:val="right"/>
              <w:rPr/>
            </w:pPr>
            <w:r>
              <w:rPr/>
              <w:t>$12,183,225</w:t>
            </w:r>
          </w:p>
        </w:tc>
        <w:tc>
          <w:tcPr>
            <w:tcW w:w="300" w:type="dxa"/>
            <w:tcBorders>
              <w:bottom w:val="single" w:sz="12" w:space="0" w:color="636466"/>
            </w:tcBorders>
            <w:vAlign w:val="center"/>
          </w:tcPr>
          <w:p>
            <w:pPr>
              <w:pStyle w:val="TableContents"/>
              <w:bidi w:val="0"/>
              <w:spacing w:before="0" w:after="283"/>
              <w:jc w:val="left"/>
              <w:rPr/>
            </w:pPr>
            <w:r>
              <w:rPr/>
              <w:t> </w:t>
            </w:r>
          </w:p>
        </w:tc>
        <w:tc>
          <w:tcPr>
            <w:tcW w:w="1276" w:type="dxa"/>
            <w:tcBorders>
              <w:bottom w:val="single" w:sz="12" w:space="0" w:color="636466"/>
            </w:tcBorders>
            <w:vAlign w:val="center"/>
          </w:tcPr>
          <w:p>
            <w:pPr>
              <w:pStyle w:val="TableContents"/>
              <w:bidi w:val="0"/>
              <w:spacing w:before="0" w:after="283"/>
              <w:jc w:val="right"/>
              <w:rPr/>
            </w:pPr>
            <w:r>
              <w:rPr/>
              <w:t>$9,856,980</w:t>
            </w:r>
          </w:p>
        </w:tc>
        <w:tc>
          <w:tcPr>
            <w:tcW w:w="300" w:type="dxa"/>
            <w:tcBorders>
              <w:bottom w:val="single" w:sz="12" w:space="0" w:color="636466"/>
            </w:tcBorders>
            <w:vAlign w:val="center"/>
          </w:tcPr>
          <w:p>
            <w:pPr>
              <w:pStyle w:val="TableContents"/>
              <w:bidi w:val="0"/>
              <w:spacing w:before="0" w:after="283"/>
              <w:jc w:val="left"/>
              <w:rPr/>
            </w:pPr>
            <w:r>
              <w:rPr/>
              <w:t> </w:t>
            </w:r>
          </w:p>
        </w:tc>
        <w:tc>
          <w:tcPr>
            <w:tcW w:w="2152" w:type="dxa"/>
            <w:tcBorders>
              <w:bottom w:val="single" w:sz="12" w:space="0" w:color="636466"/>
            </w:tcBorders>
            <w:vAlign w:val="center"/>
          </w:tcPr>
          <w:p>
            <w:pPr>
              <w:pStyle w:val="TableContents"/>
              <w:bidi w:val="0"/>
              <w:spacing w:before="0" w:after="283"/>
              <w:jc w:val="right"/>
              <w:rPr/>
            </w:pPr>
            <w:r>
              <w:rPr/>
              <w:t>$19,020,377</w:t>
            </w:r>
          </w:p>
        </w:tc>
      </w:tr>
      <w:tr>
        <w:trPr/>
        <w:tc>
          <w:tcPr>
            <w:tcW w:w="2125" w:type="dxa"/>
            <w:tcBorders>
              <w:bottom w:val="single" w:sz="12" w:space="0" w:color="636466"/>
            </w:tcBorders>
            <w:shd w:fill="EDEDEE" w:val="clear"/>
            <w:vAlign w:val="center"/>
          </w:tcPr>
          <w:p>
            <w:pPr>
              <w:pStyle w:val="TableContents"/>
              <w:bidi w:val="0"/>
              <w:spacing w:before="0" w:after="283"/>
              <w:jc w:val="left"/>
              <w:rPr>
                <w:b/>
              </w:rPr>
            </w:pPr>
            <w:r>
              <w:rPr>
                <w:b/>
              </w:rPr>
              <w:t>Total</w:t>
            </w:r>
          </w:p>
        </w:tc>
        <w:tc>
          <w:tcPr>
            <w:tcW w:w="300" w:type="dxa"/>
            <w:tcBorders>
              <w:bottom w:val="single" w:sz="12" w:space="0" w:color="636466"/>
            </w:tcBorders>
            <w:shd w:fill="EDEDEE" w:val="clear"/>
            <w:vAlign w:val="center"/>
          </w:tcPr>
          <w:p>
            <w:pPr>
              <w:pStyle w:val="TableContents"/>
              <w:bidi w:val="0"/>
              <w:spacing w:before="0" w:after="283"/>
              <w:jc w:val="left"/>
              <w:rPr/>
            </w:pPr>
            <w:r>
              <w:rPr/>
              <w:t> </w:t>
            </w:r>
          </w:p>
        </w:tc>
        <w:tc>
          <w:tcPr>
            <w:tcW w:w="1726" w:type="dxa"/>
            <w:tcBorders>
              <w:bottom w:val="single" w:sz="12" w:space="0" w:color="636466"/>
            </w:tcBorders>
            <w:shd w:fill="EDEDEE" w:val="clear"/>
            <w:vAlign w:val="center"/>
          </w:tcPr>
          <w:p>
            <w:pPr>
              <w:pStyle w:val="TableContents"/>
              <w:bidi w:val="0"/>
              <w:spacing w:before="0" w:after="283"/>
              <w:jc w:val="right"/>
              <w:rPr>
                <w:b/>
              </w:rPr>
            </w:pPr>
            <w:r>
              <w:rPr>
                <w:b/>
              </w:rPr>
              <w:t>$17,663</w:t>
            </w:r>
          </w:p>
        </w:tc>
        <w:tc>
          <w:tcPr>
            <w:tcW w:w="300" w:type="dxa"/>
            <w:tcBorders>
              <w:bottom w:val="single" w:sz="12" w:space="0" w:color="636466"/>
            </w:tcBorders>
            <w:shd w:fill="EDEDEE" w:val="clear"/>
            <w:vAlign w:val="center"/>
          </w:tcPr>
          <w:p>
            <w:pPr>
              <w:pStyle w:val="TableContents"/>
              <w:bidi w:val="0"/>
              <w:spacing w:before="0" w:after="283"/>
              <w:jc w:val="left"/>
              <w:rPr/>
            </w:pPr>
            <w:r>
              <w:rPr/>
              <w:t> </w:t>
            </w:r>
          </w:p>
        </w:tc>
        <w:tc>
          <w:tcPr>
            <w:tcW w:w="1726" w:type="dxa"/>
            <w:tcBorders>
              <w:bottom w:val="single" w:sz="12" w:space="0" w:color="636466"/>
            </w:tcBorders>
            <w:shd w:fill="EDEDEE" w:val="clear"/>
            <w:vAlign w:val="center"/>
          </w:tcPr>
          <w:p>
            <w:pPr>
              <w:pStyle w:val="TableContents"/>
              <w:bidi w:val="0"/>
              <w:spacing w:before="0" w:after="283"/>
              <w:jc w:val="right"/>
              <w:rPr>
                <w:b/>
              </w:rPr>
            </w:pPr>
            <w:r>
              <w:rPr>
                <w:b/>
              </w:rPr>
              <w:t>$20,568,762</w:t>
            </w:r>
          </w:p>
        </w:tc>
        <w:tc>
          <w:tcPr>
            <w:tcW w:w="300" w:type="dxa"/>
            <w:tcBorders>
              <w:bottom w:val="single" w:sz="12" w:space="0" w:color="636466"/>
            </w:tcBorders>
            <w:shd w:fill="EDEDEE" w:val="clear"/>
            <w:vAlign w:val="center"/>
          </w:tcPr>
          <w:p>
            <w:pPr>
              <w:pStyle w:val="TableContents"/>
              <w:bidi w:val="0"/>
              <w:spacing w:before="0" w:after="283"/>
              <w:jc w:val="left"/>
              <w:rPr/>
            </w:pPr>
            <w:r>
              <w:rPr/>
              <w:t> </w:t>
            </w:r>
          </w:p>
        </w:tc>
        <w:tc>
          <w:tcPr>
            <w:tcW w:w="1276" w:type="dxa"/>
            <w:tcBorders>
              <w:bottom w:val="single" w:sz="12" w:space="0" w:color="636466"/>
            </w:tcBorders>
            <w:shd w:fill="EDEDEE" w:val="clear"/>
            <w:vAlign w:val="center"/>
          </w:tcPr>
          <w:p>
            <w:pPr>
              <w:pStyle w:val="TableContents"/>
              <w:bidi w:val="0"/>
              <w:spacing w:before="0" w:after="283"/>
              <w:jc w:val="right"/>
              <w:rPr>
                <w:b/>
              </w:rPr>
            </w:pPr>
            <w:r>
              <w:rPr>
                <w:b/>
              </w:rPr>
              <w:t>$17,247,988</w:t>
            </w:r>
          </w:p>
        </w:tc>
        <w:tc>
          <w:tcPr>
            <w:tcW w:w="300" w:type="dxa"/>
            <w:tcBorders>
              <w:bottom w:val="single" w:sz="12" w:space="0" w:color="636466"/>
            </w:tcBorders>
            <w:shd w:fill="EDEDEE" w:val="clear"/>
            <w:vAlign w:val="center"/>
          </w:tcPr>
          <w:p>
            <w:pPr>
              <w:pStyle w:val="TableContents"/>
              <w:bidi w:val="0"/>
              <w:spacing w:before="0" w:after="283"/>
              <w:jc w:val="left"/>
              <w:rPr/>
            </w:pPr>
            <w:r>
              <w:rPr/>
              <w:t> </w:t>
            </w:r>
          </w:p>
        </w:tc>
        <w:tc>
          <w:tcPr>
            <w:tcW w:w="2152" w:type="dxa"/>
            <w:tcBorders>
              <w:bottom w:val="single" w:sz="12" w:space="0" w:color="636466"/>
            </w:tcBorders>
            <w:shd w:fill="EDEDEE" w:val="clear"/>
            <w:vAlign w:val="center"/>
          </w:tcPr>
          <w:p>
            <w:pPr>
              <w:pStyle w:val="TableContents"/>
              <w:bidi w:val="0"/>
              <w:spacing w:before="0" w:after="283"/>
              <w:jc w:val="right"/>
              <w:rPr>
                <w:b/>
              </w:rPr>
            </w:pPr>
            <w:r>
              <w:rPr>
                <w:b/>
              </w:rPr>
              <w:t>$29,770,960</w:t>
            </w:r>
          </w:p>
        </w:tc>
      </w:tr>
    </w:tbl>
    <w:tbl>
      <w:tblPr>
        <w:tblW w:w="10205" w:type="dxa"/>
        <w:jc w:val="left"/>
        <w:tblInd w:w="0" w:type="dxa"/>
        <w:tblLayout w:type="fixed"/>
        <w:tblCellMar>
          <w:top w:w="0" w:type="dxa"/>
          <w:left w:w="0" w:type="dxa"/>
          <w:bottom w:w="0" w:type="dxa"/>
          <w:right w:w="0" w:type="dxa"/>
        </w:tblCellMar>
      </w:tblPr>
      <w:tblGrid>
        <w:gridCol w:w="237"/>
        <w:gridCol w:w="9968"/>
      </w:tblGrid>
      <w:tr>
        <w:trPr/>
        <w:tc>
          <w:tcPr>
            <w:tcW w:w="237" w:type="dxa"/>
            <w:tcBorders/>
            <w:vAlign w:val="center"/>
          </w:tcPr>
          <w:p>
            <w:pPr>
              <w:pStyle w:val="TableContents"/>
              <w:bidi w:val="0"/>
              <w:spacing w:before="0" w:after="283"/>
              <w:jc w:val="left"/>
              <w:rPr/>
            </w:pPr>
            <w:r>
              <w:rPr/>
              <w:t>(1)</w:t>
            </w:r>
          </w:p>
        </w:tc>
        <w:tc>
          <w:tcPr>
            <w:tcW w:w="9968" w:type="dxa"/>
            <w:tcBorders/>
            <w:vAlign w:val="center"/>
          </w:tcPr>
          <w:p>
            <w:pPr>
              <w:pStyle w:val="TableContents"/>
              <w:bidi w:val="0"/>
              <w:spacing w:before="0" w:after="283"/>
              <w:jc w:val="left"/>
              <w:rPr/>
            </w:pPr>
            <w:r>
              <w:rPr/>
              <w:t>Outstanding LTI awards would be forfeited upon an involuntary separation for cause.</w:t>
            </w:r>
          </w:p>
        </w:tc>
      </w:tr>
      <w:tr>
        <w:trPr/>
        <w:tc>
          <w:tcPr>
            <w:tcW w:w="237" w:type="dxa"/>
            <w:tcBorders/>
            <w:vAlign w:val="center"/>
          </w:tcPr>
          <w:p>
            <w:pPr>
              <w:pStyle w:val="TableContents"/>
              <w:bidi w:val="0"/>
              <w:spacing w:before="0" w:after="283"/>
              <w:jc w:val="left"/>
              <w:rPr/>
            </w:pPr>
            <w:r>
              <w:rPr/>
              <w:t>(2)</w:t>
            </w:r>
          </w:p>
        </w:tc>
        <w:tc>
          <w:tcPr>
            <w:tcW w:w="9968" w:type="dxa"/>
            <w:tcBorders/>
            <w:vAlign w:val="center"/>
          </w:tcPr>
          <w:p>
            <w:pPr>
              <w:pStyle w:val="TableContents"/>
              <w:bidi w:val="0"/>
              <w:spacing w:before="0" w:after="283"/>
              <w:jc w:val="left"/>
              <w:rPr/>
            </w:pPr>
            <w:r>
              <w:rPr/>
              <w:t>As of December 31, 2025, Mr. Jasper had attained retirement eligibility status under the terms of the RTX LTIP. As a result, in the event of an involuntary separation (without cause), his annual LTI awards would receive the beneficial treatment reserved for retirement-eligible employees. These awards, if outstanding for more than one year, would be treated as follows: (i) SARs and RSUs would vest; and (ii) PSUs would remain eligible to vest on the original vesting date, subject to the achievement of Company performance goals. An involuntary (without cause) separation would constitute a qualifying separation under the terms of the ELG RSU awards and as a result, those RSUs would vest. Annual LTI awards outstanding for less than one year would be forfeited.  </w:t>
            </w:r>
          </w:p>
        </w:tc>
      </w:tr>
      <w:tr>
        <w:trPr/>
        <w:tc>
          <w:tcPr>
            <w:tcW w:w="237" w:type="dxa"/>
            <w:tcBorders/>
            <w:vAlign w:val="center"/>
          </w:tcPr>
          <w:p>
            <w:pPr>
              <w:pStyle w:val="TableContents"/>
              <w:bidi w:val="0"/>
              <w:spacing w:before="0" w:after="283"/>
              <w:jc w:val="left"/>
              <w:rPr/>
            </w:pPr>
            <w:r>
              <w:rPr/>
              <w:t>(3)</w:t>
            </w:r>
          </w:p>
        </w:tc>
        <w:tc>
          <w:tcPr>
            <w:tcW w:w="9968" w:type="dxa"/>
            <w:tcBorders/>
            <w:vAlign w:val="center"/>
          </w:tcPr>
          <w:p>
            <w:pPr>
              <w:pStyle w:val="TableContents"/>
              <w:bidi w:val="0"/>
              <w:spacing w:before="0" w:after="283"/>
              <w:jc w:val="left"/>
              <w:rPr/>
            </w:pPr>
            <w:r>
              <w:rPr/>
              <w:t>As of December 31, 2025, Mr. Jasper had attained retirement eligibility status under the terms of the RTX LTIP. As a result, in the event of a voluntary separation, his annual LTI awards would have received the beneficial treatment reserved for retirement-eligible employees. These awards, if outstanding for more than one year, would be treated as follows: (i) SARs and RSUs would vest; and (ii) PSUs would remain eligible to vest on the original vesting date, subject to the achievement of Company performance goals. Annual LTI awards outstanding for less than one year and his ELG RSU award, which does not carry beneficial retirement treatment, would be forfeited in the case of a voluntary separation from the Company, unless the terms of Mr. Jasper’s separation were determined to be “mutually agreeable” following three years of service within the ELG. In this case, the Company may elect to vest his ELG RSU award.</w:t>
            </w:r>
          </w:p>
        </w:tc>
      </w:tr>
      <w:tr>
        <w:trPr/>
        <w:tc>
          <w:tcPr>
            <w:tcW w:w="237" w:type="dxa"/>
            <w:tcBorders/>
            <w:vAlign w:val="center"/>
          </w:tcPr>
          <w:p>
            <w:pPr>
              <w:pStyle w:val="TableContents"/>
              <w:bidi w:val="0"/>
              <w:spacing w:before="0" w:after="283"/>
              <w:jc w:val="left"/>
              <w:rPr/>
            </w:pPr>
            <w:r>
              <w:rPr/>
              <w:t>(4)</w:t>
            </w:r>
          </w:p>
        </w:tc>
        <w:tc>
          <w:tcPr>
            <w:tcW w:w="9968" w:type="dxa"/>
            <w:tcBorders/>
            <w:vAlign w:val="center"/>
          </w:tcPr>
          <w:p>
            <w:pPr>
              <w:pStyle w:val="TableContents"/>
              <w:bidi w:val="0"/>
              <w:spacing w:before="0" w:after="283"/>
              <w:jc w:val="left"/>
              <w:rPr/>
            </w:pPr>
            <w:r>
              <w:rPr/>
              <w:t>In the event of a qualifying termination within two years of an RTX change-in-control, all outstanding awards would vest in accordance with the RTX LTIP, including PSUs, which would vest at the greater of actual or target performance.</w:t>
            </w:r>
          </w:p>
        </w:tc>
      </w:tr>
      <w:tr>
        <w:trPr/>
        <w:tc>
          <w:tcPr>
            <w:tcW w:w="237" w:type="dxa"/>
            <w:tcBorders/>
            <w:vAlign w:val="center"/>
          </w:tcPr>
          <w:p>
            <w:pPr>
              <w:pStyle w:val="TableContents"/>
              <w:bidi w:val="0"/>
              <w:spacing w:before="0" w:after="283"/>
              <w:jc w:val="left"/>
              <w:rPr/>
            </w:pPr>
            <w:r>
              <w:rPr/>
              <w:t>(5)</w:t>
            </w:r>
          </w:p>
        </w:tc>
        <w:tc>
          <w:tcPr>
            <w:tcW w:w="9968" w:type="dxa"/>
            <w:tcBorders/>
            <w:vAlign w:val="center"/>
          </w:tcPr>
          <w:p>
            <w:pPr>
              <w:pStyle w:val="TableContents"/>
              <w:bidi w:val="0"/>
              <w:spacing w:before="0" w:after="283"/>
              <w:jc w:val="left"/>
              <w:rPr/>
            </w:pPr>
            <w:r>
              <w:rPr/>
              <w:t>Upon an involuntary separation (without cause) or a qualifying separation following a change-in-control, the Company provides a pro-rata portion of target annual incentive awards for the period of time employed during the plan year. Since this table assumes a December 31, 2025, separation, a full-year 2025 target annual incentive award is shown.</w:t>
            </w:r>
          </w:p>
        </w:tc>
      </w:tr>
      <w:tr>
        <w:trPr/>
        <w:tc>
          <w:tcPr>
            <w:tcW w:w="237" w:type="dxa"/>
            <w:tcBorders/>
            <w:vAlign w:val="center"/>
          </w:tcPr>
          <w:p>
            <w:pPr>
              <w:pStyle w:val="TableContents"/>
              <w:bidi w:val="0"/>
              <w:spacing w:before="0" w:after="283"/>
              <w:jc w:val="left"/>
              <w:rPr/>
            </w:pPr>
            <w:r>
              <w:rPr/>
              <w:t>(6)</w:t>
            </w:r>
          </w:p>
        </w:tc>
        <w:tc>
          <w:tcPr>
            <w:tcW w:w="9968" w:type="dxa"/>
            <w:tcBorders/>
            <w:vAlign w:val="center"/>
          </w:tcPr>
          <w:p>
            <w:pPr>
              <w:pStyle w:val="TableContents"/>
              <w:bidi w:val="0"/>
              <w:spacing w:before="0" w:after="283"/>
              <w:jc w:val="left"/>
              <w:rPr/>
            </w:pPr>
            <w:r>
              <w:rPr/>
              <w:t>An estimated lump-sum present value of the qualified and nonqualified pension benefits payable to Mr. Jasper upon separation from the Company can be found in the Pension Benefits table on page 70. </w:t>
            </w:r>
          </w:p>
        </w:tc>
      </w:tr>
      <w:tr>
        <w:trPr/>
        <w:tc>
          <w:tcPr>
            <w:tcW w:w="237" w:type="dxa"/>
            <w:tcBorders/>
            <w:vAlign w:val="center"/>
          </w:tcPr>
          <w:p>
            <w:pPr>
              <w:pStyle w:val="TableContents"/>
              <w:bidi w:val="0"/>
              <w:spacing w:before="0" w:after="283"/>
              <w:jc w:val="left"/>
              <w:rPr/>
            </w:pPr>
            <w:r>
              <w:rPr/>
              <w:t>(7)</w:t>
            </w:r>
          </w:p>
        </w:tc>
        <w:tc>
          <w:tcPr>
            <w:tcW w:w="9968" w:type="dxa"/>
            <w:tcBorders/>
            <w:vAlign w:val="center"/>
          </w:tcPr>
          <w:p>
            <w:pPr>
              <w:pStyle w:val="TableContents"/>
              <w:bidi w:val="0"/>
              <w:spacing w:before="0" w:after="283"/>
              <w:jc w:val="left"/>
              <w:rPr/>
            </w:pPr>
            <w:r>
              <w:rPr/>
              <w:t>Upon an involuntary separation (without cause), or a qualifying separation following a change-in-control, the Company provides one year of continuation of health and welfare benefits. Amounts shown reflect the estimated cost of one year of health and welfare benefit continuation based on elections as of December 31, 2025.</w:t>
            </w:r>
          </w:p>
        </w:tc>
      </w:tr>
      <w:tr>
        <w:trPr/>
        <w:tc>
          <w:tcPr>
            <w:tcW w:w="237" w:type="dxa"/>
            <w:tcBorders/>
            <w:vAlign w:val="center"/>
          </w:tcPr>
          <w:p>
            <w:pPr>
              <w:pStyle w:val="TableContents"/>
              <w:bidi w:val="0"/>
              <w:spacing w:before="0" w:after="283"/>
              <w:jc w:val="left"/>
              <w:rPr/>
            </w:pPr>
            <w:r>
              <w:rPr/>
              <w:t>(8)</w:t>
            </w:r>
          </w:p>
        </w:tc>
        <w:tc>
          <w:tcPr>
            <w:tcW w:w="9968" w:type="dxa"/>
            <w:tcBorders/>
            <w:vAlign w:val="center"/>
          </w:tcPr>
          <w:p>
            <w:pPr>
              <w:pStyle w:val="TableContents"/>
              <w:bidi w:val="0"/>
              <w:spacing w:before="0" w:after="283"/>
              <w:jc w:val="left"/>
              <w:rPr/>
            </w:pPr>
            <w:r>
              <w:rPr/>
              <w:t>Reflects the value of accrued (and unused) paid time off that would be paid to Mr. Jasper upon his separation from the Company.</w:t>
            </w:r>
          </w:p>
        </w:tc>
      </w:tr>
      <w:tr>
        <w:trPr/>
        <w:tc>
          <w:tcPr>
            <w:tcW w:w="237" w:type="dxa"/>
            <w:tcBorders/>
            <w:vAlign w:val="center"/>
          </w:tcPr>
          <w:p>
            <w:pPr>
              <w:pStyle w:val="TableContents"/>
              <w:bidi w:val="0"/>
              <w:spacing w:before="0" w:after="283"/>
              <w:jc w:val="left"/>
              <w:rPr/>
            </w:pPr>
            <w:r>
              <w:rPr/>
              <w:t>(9)</w:t>
            </w:r>
          </w:p>
        </w:tc>
        <w:tc>
          <w:tcPr>
            <w:tcW w:w="9968" w:type="dxa"/>
            <w:tcBorders/>
            <w:vAlign w:val="center"/>
          </w:tcPr>
          <w:p>
            <w:pPr>
              <w:pStyle w:val="TableContents"/>
              <w:bidi w:val="0"/>
              <w:spacing w:before="0" w:after="283"/>
              <w:jc w:val="left"/>
              <w:rPr/>
            </w:pPr>
            <w:r>
              <w:rPr/>
              <w:t>Reflects the value of unvested LTI awards that would vest (or remain eligible to vest) following a separation from the Company, calculated using the closing stock price of RTX on the last trading day of 2025 ($183.40). Where included, the 2025 and 2024 PSUs assume maximum-level performance based on estimated performance as of December 31, 2025, and actual performance is used for the 2023 PSUs.</w:t>
            </w:r>
          </w:p>
        </w:tc>
      </w:tr>
    </w:tbl>
    <w:p>
      <w:pPr>
        <w:pStyle w:val="TextBody"/>
        <w:bidi w:val="0"/>
        <w:spacing w:before="0" w:after="0"/>
        <w:jc w:val="right"/>
        <w:rPr>
          <w:caps w:val="false"/>
          <w:smallCaps w:val="false"/>
        </w:rPr>
      </w:pPr>
      <w:r>
        <w:rPr>
          <w:caps w:val="false"/>
          <w:smallCaps w:val="false"/>
        </w:rPr>
        <w:t> </w:t>
      </w:r>
    </w:p>
    <w:p>
      <w:pPr>
        <w:pStyle w:val="TextBody"/>
        <w:bidi w:val="0"/>
        <w:spacing w:before="0" w:after="0"/>
        <w:jc w:val="right"/>
        <w:rPr>
          <w:rFonts w:ascii="Arial;Helvetica;Sans-Serif" w:hAnsi="Arial;Helvetica;Sans-Serif"/>
          <w:b w:val="false"/>
          <w:i w:val="false"/>
          <w:caps w:val="false"/>
          <w:smallCaps w:val="false"/>
          <w:sz w:val="15"/>
        </w:rPr>
      </w:pPr>
      <w:r>
        <w:rPr>
          <w:rFonts w:ascii="Arial;Helvetica;Sans-Serif" w:hAnsi="Arial;Helvetica;Sans-Serif"/>
          <w:b/>
          <w:i w:val="false"/>
          <w:caps w:val="false"/>
          <w:smallCaps w:val="false"/>
          <w:sz w:val="15"/>
        </w:rPr>
        <w:t xml:space="preserve">RTX </w:t>
      </w:r>
      <w:r>
        <w:rPr>
          <w:rFonts w:ascii="Arial;Helvetica;Sans-Serif" w:hAnsi="Arial;Helvetica;Sans-Serif"/>
          <w:b w:val="false"/>
          <w:i w:val="false"/>
          <w:caps w:val="false"/>
          <w:smallCaps w:val="false"/>
          <w:sz w:val="15"/>
        </w:rPr>
        <w:t>2026 PROXY STATEMENT    </w:t>
      </w:r>
      <w:r>
        <w:rPr>
          <w:rFonts w:ascii="Arial;Helvetica;Sans-Serif" w:hAnsi="Arial;Helvetica;Sans-Serif"/>
          <w:b/>
          <w:i w:val="false"/>
          <w:caps w:val="false"/>
          <w:smallCaps w:val="false"/>
          <w:sz w:val="15"/>
        </w:rPr>
        <w:t>75</w:t>
      </w:r>
    </w:p>
    <w:p>
      <w:pPr>
        <w:pStyle w:val="HorizontalLine"/>
        <w:pBdr>
          <w:bottom w:val="double" w:sz="2" w:space="0" w:color="808080"/>
        </w:pBdr>
        <w:bidi w:val="0"/>
        <w:spacing w:before="0" w:after="283"/>
        <w:jc w:val="left"/>
        <w:rPr/>
      </w:pPr>
      <w:r>
        <w:rPr/>
      </w:r>
    </w:p>
    <w:p>
      <w:pPr>
        <w:pStyle w:val="TextBody"/>
        <w:bidi w:val="0"/>
        <w:spacing w:before="200" w:after="200"/>
        <w:jc w:val="left"/>
        <w:rPr/>
      </w:pPr>
      <w:hyperlink w:anchor="toc">
        <w:r>
          <w:rPr>
            <w:rStyle w:val="InternetLink"/>
            <w:rFonts w:ascii="Arial;Helvetica;Sans-Serif" w:hAnsi="Arial;Helvetica;Sans-Serif"/>
            <w:b/>
            <w:i w:val="false"/>
            <w:caps w:val="false"/>
            <w:smallCaps w:val="false"/>
            <w:sz w:val="16"/>
          </w:rPr>
          <w:t>Table of Contents</w:t>
        </w:r>
      </w:hyperlink>
    </w:p>
    <w:p>
      <w:pPr>
        <w:pStyle w:val="TextBody"/>
        <w:bidi w:val="0"/>
        <w:spacing w:before="0" w:after="0"/>
        <w:jc w:val="left"/>
        <w:rPr>
          <w:rFonts w:ascii="Arial;Helvetica;Sans-Serif" w:hAnsi="Arial;Helvetica;Sans-Serif"/>
          <w:b/>
          <w:i w:val="false"/>
          <w:caps w:val="false"/>
          <w:smallCaps w:val="false"/>
          <w:color w:val="C12E33"/>
          <w:sz w:val="15"/>
        </w:rPr>
      </w:pPr>
      <w:r>
        <w:rPr>
          <w:rFonts w:ascii="Arial;Helvetica;Sans-Serif" w:hAnsi="Arial;Helvetica;Sans-Serif"/>
          <w:b/>
          <w:i w:val="false"/>
          <w:caps w:val="false"/>
          <w:smallCaps w:val="false"/>
          <w:color w:val="C12E33"/>
          <w:sz w:val="15"/>
        </w:rPr>
        <w:t>COMPENSATION TABLES</w:t>
      </w:r>
    </w:p>
    <w:p>
      <w:pPr>
        <w:pStyle w:val="TextBody"/>
        <w:bidi w:val="0"/>
        <w:spacing w:before="0" w:after="0"/>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POTENTIAL PAYMENTS UPON TERMINATION OR CHANGE-IN-CONTROL</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SHANE G. EDDY</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table below shows the estimated value of payments and benefits that Mr. Eddy would have been entitled to receive had his employment terminated on December 31, 2025, under various hypothetical circumstances.</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40" w:type="dxa"/>
          <w:right w:w="0" w:type="dxa"/>
        </w:tblCellMar>
      </w:tblPr>
      <w:tblGrid>
        <w:gridCol w:w="2125"/>
        <w:gridCol w:w="300"/>
        <w:gridCol w:w="1726"/>
        <w:gridCol w:w="300"/>
        <w:gridCol w:w="1726"/>
        <w:gridCol w:w="300"/>
        <w:gridCol w:w="1276"/>
        <w:gridCol w:w="300"/>
        <w:gridCol w:w="2152"/>
      </w:tblGrid>
      <w:tr>
        <w:trPr/>
        <w:tc>
          <w:tcPr>
            <w:tcW w:w="2125" w:type="dxa"/>
            <w:tcBorders>
              <w:bottom w:val="single" w:sz="12" w:space="0" w:color="C12D33"/>
            </w:tcBorders>
            <w:vAlign w:val="center"/>
          </w:tcPr>
          <w:p>
            <w:pPr>
              <w:pStyle w:val="TableContents"/>
              <w:bidi w:val="0"/>
              <w:spacing w:before="0" w:after="283"/>
              <w:jc w:val="left"/>
              <w:rPr/>
            </w:pPr>
            <w:r>
              <w:rPr/>
              <w:t> </w:t>
            </w:r>
          </w:p>
        </w:tc>
        <w:tc>
          <w:tcPr>
            <w:tcW w:w="300" w:type="dxa"/>
            <w:tcBorders>
              <w:bottom w:val="single" w:sz="12" w:space="0" w:color="C12D33"/>
            </w:tcBorders>
            <w:vAlign w:val="center"/>
          </w:tcPr>
          <w:p>
            <w:pPr>
              <w:pStyle w:val="TableContents"/>
              <w:bidi w:val="0"/>
              <w:spacing w:before="0" w:after="283"/>
              <w:jc w:val="left"/>
              <w:rPr/>
            </w:pPr>
            <w:r>
              <w:rPr/>
              <w:t>     </w:t>
            </w:r>
          </w:p>
        </w:tc>
        <w:tc>
          <w:tcPr>
            <w:tcW w:w="1726" w:type="dxa"/>
            <w:tcBorders>
              <w:bottom w:val="single" w:sz="12" w:space="0" w:color="C12D33"/>
            </w:tcBorders>
            <w:vAlign w:val="center"/>
          </w:tcPr>
          <w:p>
            <w:pPr>
              <w:pStyle w:val="TableContents"/>
              <w:bidi w:val="0"/>
              <w:spacing w:before="0" w:after="283"/>
              <w:jc w:val="right"/>
              <w:rPr/>
            </w:pPr>
            <w:r>
              <w:rPr>
                <w:b/>
                <w:color w:val="636466"/>
              </w:rPr>
              <w:t>Involuntary Separation</w:t>
            </w:r>
            <w:r>
              <w:rPr>
                <w:b/>
              </w:rPr>
              <w:br/>
            </w:r>
            <w:r>
              <w:rPr>
                <w:b/>
                <w:color w:val="636466"/>
              </w:rPr>
              <w:t>(for Cause)</w:t>
            </w:r>
            <w:r>
              <w:rPr>
                <w:b/>
                <w:color w:val="636466"/>
                <w:position w:val="8"/>
                <w:sz w:val="19"/>
              </w:rPr>
              <w:t>(1)</w:t>
            </w:r>
          </w:p>
        </w:tc>
        <w:tc>
          <w:tcPr>
            <w:tcW w:w="300" w:type="dxa"/>
            <w:tcBorders>
              <w:bottom w:val="single" w:sz="12" w:space="0" w:color="C12D33"/>
            </w:tcBorders>
            <w:vAlign w:val="center"/>
          </w:tcPr>
          <w:p>
            <w:pPr>
              <w:pStyle w:val="TableContents"/>
              <w:bidi w:val="0"/>
              <w:spacing w:before="0" w:after="283"/>
              <w:jc w:val="left"/>
              <w:rPr/>
            </w:pPr>
            <w:r>
              <w:rPr/>
              <w:t>     </w:t>
            </w:r>
          </w:p>
        </w:tc>
        <w:tc>
          <w:tcPr>
            <w:tcW w:w="1726" w:type="dxa"/>
            <w:tcBorders>
              <w:bottom w:val="single" w:sz="12" w:space="0" w:color="C12D33"/>
            </w:tcBorders>
            <w:vAlign w:val="center"/>
          </w:tcPr>
          <w:p>
            <w:pPr>
              <w:pStyle w:val="TableContents"/>
              <w:bidi w:val="0"/>
              <w:spacing w:before="0" w:after="283"/>
              <w:jc w:val="right"/>
              <w:rPr/>
            </w:pPr>
            <w:r>
              <w:rPr>
                <w:b/>
                <w:color w:val="636466"/>
              </w:rPr>
              <w:t>Involuntary Separation</w:t>
            </w:r>
            <w:r>
              <w:rPr>
                <w:b/>
              </w:rPr>
              <w:br/>
            </w:r>
            <w:r>
              <w:rPr>
                <w:b/>
                <w:color w:val="636466"/>
              </w:rPr>
              <w:t>(without Cause)</w:t>
            </w:r>
            <w:r>
              <w:rPr>
                <w:b/>
                <w:color w:val="636466"/>
                <w:position w:val="8"/>
                <w:sz w:val="19"/>
              </w:rPr>
              <w:t>(2)</w:t>
            </w:r>
          </w:p>
        </w:tc>
        <w:tc>
          <w:tcPr>
            <w:tcW w:w="300" w:type="dxa"/>
            <w:tcBorders>
              <w:bottom w:val="single" w:sz="12" w:space="0" w:color="C12D33"/>
            </w:tcBorders>
            <w:vAlign w:val="center"/>
          </w:tcPr>
          <w:p>
            <w:pPr>
              <w:pStyle w:val="TableContents"/>
              <w:bidi w:val="0"/>
              <w:spacing w:before="0" w:after="283"/>
              <w:jc w:val="left"/>
              <w:rPr/>
            </w:pPr>
            <w:r>
              <w:rPr/>
              <w:t>     </w:t>
            </w:r>
          </w:p>
        </w:tc>
        <w:tc>
          <w:tcPr>
            <w:tcW w:w="1276" w:type="dxa"/>
            <w:tcBorders>
              <w:bottom w:val="single" w:sz="12" w:space="0" w:color="C12D33"/>
            </w:tcBorders>
            <w:vAlign w:val="center"/>
          </w:tcPr>
          <w:p>
            <w:pPr>
              <w:pStyle w:val="TableContents"/>
              <w:bidi w:val="0"/>
              <w:spacing w:before="0" w:after="283"/>
              <w:jc w:val="right"/>
              <w:rPr/>
            </w:pPr>
            <w:r>
              <w:rPr>
                <w:b/>
                <w:color w:val="636466"/>
              </w:rPr>
              <w:t>Voluntary</w:t>
            </w:r>
            <w:r>
              <w:rPr>
                <w:b/>
              </w:rPr>
              <w:br/>
            </w:r>
            <w:r>
              <w:rPr>
                <w:b/>
                <w:color w:val="636466"/>
              </w:rPr>
              <w:t>Separation</w:t>
            </w:r>
            <w:r>
              <w:rPr>
                <w:b/>
                <w:color w:val="636466"/>
                <w:position w:val="8"/>
                <w:sz w:val="19"/>
              </w:rPr>
              <w:t>(3)</w:t>
            </w:r>
          </w:p>
        </w:tc>
        <w:tc>
          <w:tcPr>
            <w:tcW w:w="300" w:type="dxa"/>
            <w:tcBorders>
              <w:bottom w:val="single" w:sz="12" w:space="0" w:color="C12D33"/>
            </w:tcBorders>
            <w:vAlign w:val="center"/>
          </w:tcPr>
          <w:p>
            <w:pPr>
              <w:pStyle w:val="TableContents"/>
              <w:bidi w:val="0"/>
              <w:spacing w:before="0" w:after="283"/>
              <w:jc w:val="left"/>
              <w:rPr/>
            </w:pPr>
            <w:r>
              <w:rPr/>
              <w:t>     </w:t>
            </w:r>
          </w:p>
        </w:tc>
        <w:tc>
          <w:tcPr>
            <w:tcW w:w="2152" w:type="dxa"/>
            <w:tcBorders>
              <w:bottom w:val="single" w:sz="12" w:space="0" w:color="C12D33"/>
            </w:tcBorders>
            <w:vAlign w:val="center"/>
          </w:tcPr>
          <w:p>
            <w:pPr>
              <w:pStyle w:val="TableContents"/>
              <w:bidi w:val="0"/>
              <w:spacing w:before="0" w:after="283"/>
              <w:jc w:val="right"/>
              <w:rPr/>
            </w:pPr>
            <w:r>
              <w:rPr>
                <w:b/>
                <w:color w:val="636466"/>
              </w:rPr>
              <w:t>Separation following a</w:t>
            </w:r>
            <w:r>
              <w:rPr>
                <w:b/>
              </w:rPr>
              <w:br/>
            </w:r>
            <w:r>
              <w:rPr>
                <w:b/>
                <w:color w:val="636466"/>
              </w:rPr>
              <w:t>Change-in-Control</w:t>
            </w:r>
            <w:r>
              <w:rPr>
                <w:b/>
                <w:color w:val="636466"/>
                <w:position w:val="8"/>
                <w:sz w:val="19"/>
              </w:rPr>
              <w:t>(4)</w:t>
            </w:r>
          </w:p>
        </w:tc>
      </w:tr>
      <w:tr>
        <w:trPr/>
        <w:tc>
          <w:tcPr>
            <w:tcW w:w="2125" w:type="dxa"/>
            <w:tcBorders>
              <w:bottom w:val="single" w:sz="2" w:space="0" w:color="000000"/>
            </w:tcBorders>
            <w:vAlign w:val="center"/>
          </w:tcPr>
          <w:p>
            <w:pPr>
              <w:pStyle w:val="TableContents"/>
              <w:bidi w:val="0"/>
              <w:spacing w:before="0" w:after="283"/>
              <w:jc w:val="left"/>
              <w:rPr/>
            </w:pPr>
            <w:r>
              <w:rPr/>
              <w:t>Annual Incentive Award</w:t>
            </w:r>
            <w:r>
              <w:rPr>
                <w:position w:val="8"/>
                <w:sz w:val="19"/>
              </w:rPr>
              <w:t>(5)</w:t>
            </w:r>
          </w:p>
        </w:tc>
        <w:tc>
          <w:tcPr>
            <w:tcW w:w="300" w:type="dxa"/>
            <w:tcBorders>
              <w:bottom w:val="single" w:sz="2" w:space="0" w:color="000000"/>
            </w:tcBorders>
            <w:vAlign w:val="center"/>
          </w:tcPr>
          <w:p>
            <w:pPr>
              <w:pStyle w:val="TableContents"/>
              <w:bidi w:val="0"/>
              <w:spacing w:before="0" w:after="283"/>
              <w:jc w:val="left"/>
              <w:rPr/>
            </w:pPr>
            <w:r>
              <w:rPr/>
              <w:t> </w:t>
            </w:r>
          </w:p>
        </w:tc>
        <w:tc>
          <w:tcPr>
            <w:tcW w:w="1726" w:type="dxa"/>
            <w:tcBorders>
              <w:bottom w:val="single" w:sz="2" w:space="0" w:color="000000"/>
            </w:tcBorders>
            <w:vAlign w:val="center"/>
          </w:tcPr>
          <w:p>
            <w:pPr>
              <w:pStyle w:val="TableContents"/>
              <w:bidi w:val="0"/>
              <w:spacing w:before="0" w:after="283"/>
              <w:jc w:val="right"/>
              <w:rPr/>
            </w:pPr>
            <w:r>
              <w:rPr/>
              <w:t>$0</w:t>
            </w:r>
          </w:p>
        </w:tc>
        <w:tc>
          <w:tcPr>
            <w:tcW w:w="300" w:type="dxa"/>
            <w:tcBorders>
              <w:bottom w:val="single" w:sz="2" w:space="0" w:color="000000"/>
            </w:tcBorders>
            <w:vAlign w:val="center"/>
          </w:tcPr>
          <w:p>
            <w:pPr>
              <w:pStyle w:val="TableContents"/>
              <w:bidi w:val="0"/>
              <w:spacing w:before="0" w:after="283"/>
              <w:jc w:val="left"/>
              <w:rPr/>
            </w:pPr>
            <w:r>
              <w:rPr/>
              <w:t> </w:t>
            </w:r>
          </w:p>
        </w:tc>
        <w:tc>
          <w:tcPr>
            <w:tcW w:w="1726" w:type="dxa"/>
            <w:tcBorders>
              <w:bottom w:val="single" w:sz="2" w:space="0" w:color="000000"/>
            </w:tcBorders>
            <w:vAlign w:val="center"/>
          </w:tcPr>
          <w:p>
            <w:pPr>
              <w:pStyle w:val="TableContents"/>
              <w:bidi w:val="0"/>
              <w:spacing w:before="0" w:after="283"/>
              <w:jc w:val="right"/>
              <w:rPr/>
            </w:pPr>
            <w:r>
              <w:rPr/>
              <w:t>$966,000</w:t>
            </w:r>
          </w:p>
        </w:tc>
        <w:tc>
          <w:tcPr>
            <w:tcW w:w="300" w:type="dxa"/>
            <w:tcBorders>
              <w:bottom w:val="single" w:sz="2" w:space="0" w:color="000000"/>
            </w:tcBorders>
            <w:vAlign w:val="center"/>
          </w:tcPr>
          <w:p>
            <w:pPr>
              <w:pStyle w:val="TableContents"/>
              <w:bidi w:val="0"/>
              <w:spacing w:before="0" w:after="283"/>
              <w:jc w:val="left"/>
              <w:rPr/>
            </w:pPr>
            <w:r>
              <w:rPr/>
              <w:t> </w:t>
            </w:r>
          </w:p>
        </w:tc>
        <w:tc>
          <w:tcPr>
            <w:tcW w:w="1276" w:type="dxa"/>
            <w:tcBorders>
              <w:bottom w:val="single" w:sz="2" w:space="0" w:color="000000"/>
            </w:tcBorders>
            <w:vAlign w:val="center"/>
          </w:tcPr>
          <w:p>
            <w:pPr>
              <w:pStyle w:val="TableContents"/>
              <w:bidi w:val="0"/>
              <w:spacing w:before="0" w:after="283"/>
              <w:jc w:val="right"/>
              <w:rPr/>
            </w:pPr>
            <w:r>
              <w:rPr/>
              <w:t>$0</w:t>
            </w:r>
          </w:p>
        </w:tc>
        <w:tc>
          <w:tcPr>
            <w:tcW w:w="300" w:type="dxa"/>
            <w:tcBorders>
              <w:bottom w:val="single" w:sz="2" w:space="0" w:color="000000"/>
            </w:tcBorders>
            <w:vAlign w:val="center"/>
          </w:tcPr>
          <w:p>
            <w:pPr>
              <w:pStyle w:val="TableContents"/>
              <w:bidi w:val="0"/>
              <w:spacing w:before="0" w:after="283"/>
              <w:jc w:val="left"/>
              <w:rPr/>
            </w:pPr>
            <w:r>
              <w:rPr/>
              <w:t> </w:t>
            </w:r>
          </w:p>
        </w:tc>
        <w:tc>
          <w:tcPr>
            <w:tcW w:w="2152" w:type="dxa"/>
            <w:tcBorders>
              <w:bottom w:val="single" w:sz="2" w:space="0" w:color="000000"/>
            </w:tcBorders>
            <w:vAlign w:val="center"/>
          </w:tcPr>
          <w:p>
            <w:pPr>
              <w:pStyle w:val="TableContents"/>
              <w:bidi w:val="0"/>
              <w:spacing w:before="0" w:after="283"/>
              <w:jc w:val="right"/>
              <w:rPr/>
            </w:pPr>
            <w:r>
              <w:rPr/>
              <w:t>$966,000</w:t>
            </w:r>
          </w:p>
        </w:tc>
      </w:tr>
      <w:tr>
        <w:trPr/>
        <w:tc>
          <w:tcPr>
            <w:tcW w:w="2125" w:type="dxa"/>
            <w:tcBorders>
              <w:bottom w:val="single" w:sz="2" w:space="0" w:color="000000"/>
            </w:tcBorders>
            <w:vAlign w:val="center"/>
          </w:tcPr>
          <w:p>
            <w:pPr>
              <w:pStyle w:val="TableContents"/>
              <w:bidi w:val="0"/>
              <w:spacing w:before="0" w:after="283"/>
              <w:jc w:val="left"/>
              <w:rPr/>
            </w:pPr>
            <w:r>
              <w:rPr/>
              <w:t>Pension</w:t>
            </w:r>
            <w:r>
              <w:rPr>
                <w:position w:val="8"/>
                <w:sz w:val="19"/>
              </w:rPr>
              <w:t>(6)</w:t>
            </w:r>
          </w:p>
        </w:tc>
        <w:tc>
          <w:tcPr>
            <w:tcW w:w="300" w:type="dxa"/>
            <w:tcBorders>
              <w:bottom w:val="single" w:sz="2" w:space="0" w:color="000000"/>
            </w:tcBorders>
            <w:vAlign w:val="center"/>
          </w:tcPr>
          <w:p>
            <w:pPr>
              <w:pStyle w:val="TableContents"/>
              <w:bidi w:val="0"/>
              <w:spacing w:before="0" w:after="283"/>
              <w:jc w:val="left"/>
              <w:rPr/>
            </w:pPr>
            <w:r>
              <w:rPr/>
              <w:t> </w:t>
            </w:r>
          </w:p>
        </w:tc>
        <w:tc>
          <w:tcPr>
            <w:tcW w:w="1726" w:type="dxa"/>
            <w:tcBorders>
              <w:bottom w:val="single" w:sz="2" w:space="0" w:color="000000"/>
            </w:tcBorders>
            <w:vAlign w:val="center"/>
          </w:tcPr>
          <w:p>
            <w:pPr>
              <w:pStyle w:val="TableContents"/>
              <w:bidi w:val="0"/>
              <w:spacing w:before="0" w:after="283"/>
              <w:jc w:val="right"/>
              <w:rPr/>
            </w:pPr>
            <w:r>
              <w:rPr/>
              <w:t>$0</w:t>
            </w:r>
          </w:p>
        </w:tc>
        <w:tc>
          <w:tcPr>
            <w:tcW w:w="300" w:type="dxa"/>
            <w:tcBorders>
              <w:bottom w:val="single" w:sz="2" w:space="0" w:color="000000"/>
            </w:tcBorders>
            <w:vAlign w:val="center"/>
          </w:tcPr>
          <w:p>
            <w:pPr>
              <w:pStyle w:val="TableContents"/>
              <w:bidi w:val="0"/>
              <w:spacing w:before="0" w:after="283"/>
              <w:jc w:val="left"/>
              <w:rPr/>
            </w:pPr>
            <w:r>
              <w:rPr/>
              <w:t> </w:t>
            </w:r>
          </w:p>
        </w:tc>
        <w:tc>
          <w:tcPr>
            <w:tcW w:w="1726" w:type="dxa"/>
            <w:tcBorders>
              <w:bottom w:val="single" w:sz="2" w:space="0" w:color="000000"/>
            </w:tcBorders>
            <w:vAlign w:val="center"/>
          </w:tcPr>
          <w:p>
            <w:pPr>
              <w:pStyle w:val="TableContents"/>
              <w:bidi w:val="0"/>
              <w:spacing w:before="0" w:after="283"/>
              <w:jc w:val="right"/>
              <w:rPr/>
            </w:pPr>
            <w:r>
              <w:rPr/>
              <w:t>$0</w:t>
            </w:r>
          </w:p>
        </w:tc>
        <w:tc>
          <w:tcPr>
            <w:tcW w:w="300" w:type="dxa"/>
            <w:tcBorders>
              <w:bottom w:val="single" w:sz="2" w:space="0" w:color="000000"/>
            </w:tcBorders>
            <w:vAlign w:val="center"/>
          </w:tcPr>
          <w:p>
            <w:pPr>
              <w:pStyle w:val="TableContents"/>
              <w:bidi w:val="0"/>
              <w:spacing w:before="0" w:after="283"/>
              <w:jc w:val="left"/>
              <w:rPr/>
            </w:pPr>
            <w:r>
              <w:rPr/>
              <w:t> </w:t>
            </w:r>
          </w:p>
        </w:tc>
        <w:tc>
          <w:tcPr>
            <w:tcW w:w="1276" w:type="dxa"/>
            <w:tcBorders>
              <w:bottom w:val="single" w:sz="2" w:space="0" w:color="000000"/>
            </w:tcBorders>
            <w:vAlign w:val="center"/>
          </w:tcPr>
          <w:p>
            <w:pPr>
              <w:pStyle w:val="TableContents"/>
              <w:bidi w:val="0"/>
              <w:spacing w:before="0" w:after="283"/>
              <w:jc w:val="right"/>
              <w:rPr/>
            </w:pPr>
            <w:r>
              <w:rPr/>
              <w:t>$0</w:t>
            </w:r>
          </w:p>
        </w:tc>
        <w:tc>
          <w:tcPr>
            <w:tcW w:w="300" w:type="dxa"/>
            <w:tcBorders>
              <w:bottom w:val="single" w:sz="2" w:space="0" w:color="000000"/>
            </w:tcBorders>
            <w:vAlign w:val="center"/>
          </w:tcPr>
          <w:p>
            <w:pPr>
              <w:pStyle w:val="TableContents"/>
              <w:bidi w:val="0"/>
              <w:spacing w:before="0" w:after="283"/>
              <w:jc w:val="left"/>
              <w:rPr/>
            </w:pPr>
            <w:r>
              <w:rPr/>
              <w:t> </w:t>
            </w:r>
          </w:p>
        </w:tc>
        <w:tc>
          <w:tcPr>
            <w:tcW w:w="2152" w:type="dxa"/>
            <w:tcBorders>
              <w:bottom w:val="single" w:sz="2" w:space="0" w:color="000000"/>
            </w:tcBorders>
            <w:vAlign w:val="center"/>
          </w:tcPr>
          <w:p>
            <w:pPr>
              <w:pStyle w:val="TableContents"/>
              <w:bidi w:val="0"/>
              <w:spacing w:before="0" w:after="283"/>
              <w:jc w:val="right"/>
              <w:rPr/>
            </w:pPr>
            <w:r>
              <w:rPr/>
              <w:t>$0</w:t>
            </w:r>
          </w:p>
        </w:tc>
      </w:tr>
      <w:tr>
        <w:trPr/>
        <w:tc>
          <w:tcPr>
            <w:tcW w:w="2125" w:type="dxa"/>
            <w:tcBorders>
              <w:bottom w:val="single" w:sz="2" w:space="0" w:color="000000"/>
            </w:tcBorders>
            <w:vAlign w:val="center"/>
          </w:tcPr>
          <w:p>
            <w:pPr>
              <w:pStyle w:val="TableContents"/>
              <w:bidi w:val="0"/>
              <w:spacing w:before="0" w:after="283"/>
              <w:jc w:val="left"/>
              <w:rPr/>
            </w:pPr>
            <w:r>
              <w:rPr/>
              <w:t>Health &amp; Welfare Continuation</w:t>
            </w:r>
            <w:r>
              <w:rPr>
                <w:position w:val="8"/>
                <w:sz w:val="19"/>
              </w:rPr>
              <w:t>(7)</w:t>
            </w:r>
          </w:p>
        </w:tc>
        <w:tc>
          <w:tcPr>
            <w:tcW w:w="300" w:type="dxa"/>
            <w:tcBorders>
              <w:bottom w:val="single" w:sz="2" w:space="0" w:color="000000"/>
            </w:tcBorders>
            <w:vAlign w:val="center"/>
          </w:tcPr>
          <w:p>
            <w:pPr>
              <w:pStyle w:val="TableContents"/>
              <w:bidi w:val="0"/>
              <w:spacing w:before="0" w:after="283"/>
              <w:jc w:val="left"/>
              <w:rPr/>
            </w:pPr>
            <w:r>
              <w:rPr/>
              <w:t> </w:t>
            </w:r>
          </w:p>
        </w:tc>
        <w:tc>
          <w:tcPr>
            <w:tcW w:w="1726" w:type="dxa"/>
            <w:tcBorders>
              <w:bottom w:val="single" w:sz="2" w:space="0" w:color="000000"/>
            </w:tcBorders>
            <w:vAlign w:val="center"/>
          </w:tcPr>
          <w:p>
            <w:pPr>
              <w:pStyle w:val="TableContents"/>
              <w:bidi w:val="0"/>
              <w:spacing w:before="0" w:after="283"/>
              <w:jc w:val="right"/>
              <w:rPr/>
            </w:pPr>
            <w:r>
              <w:rPr/>
              <w:t>$0</w:t>
            </w:r>
          </w:p>
        </w:tc>
        <w:tc>
          <w:tcPr>
            <w:tcW w:w="300" w:type="dxa"/>
            <w:tcBorders>
              <w:bottom w:val="single" w:sz="2" w:space="0" w:color="000000"/>
            </w:tcBorders>
            <w:vAlign w:val="center"/>
          </w:tcPr>
          <w:p>
            <w:pPr>
              <w:pStyle w:val="TableContents"/>
              <w:bidi w:val="0"/>
              <w:spacing w:before="0" w:after="283"/>
              <w:jc w:val="left"/>
              <w:rPr/>
            </w:pPr>
            <w:r>
              <w:rPr/>
              <w:t> </w:t>
            </w:r>
          </w:p>
        </w:tc>
        <w:tc>
          <w:tcPr>
            <w:tcW w:w="1726" w:type="dxa"/>
            <w:tcBorders>
              <w:bottom w:val="single" w:sz="2" w:space="0" w:color="000000"/>
            </w:tcBorders>
            <w:vAlign w:val="center"/>
          </w:tcPr>
          <w:p>
            <w:pPr>
              <w:pStyle w:val="TableContents"/>
              <w:bidi w:val="0"/>
              <w:spacing w:before="0" w:after="283"/>
              <w:jc w:val="right"/>
              <w:rPr/>
            </w:pPr>
            <w:r>
              <w:rPr/>
              <w:t>$27,904</w:t>
            </w:r>
          </w:p>
        </w:tc>
        <w:tc>
          <w:tcPr>
            <w:tcW w:w="300" w:type="dxa"/>
            <w:tcBorders>
              <w:bottom w:val="single" w:sz="2" w:space="0" w:color="000000"/>
            </w:tcBorders>
            <w:vAlign w:val="center"/>
          </w:tcPr>
          <w:p>
            <w:pPr>
              <w:pStyle w:val="TableContents"/>
              <w:bidi w:val="0"/>
              <w:spacing w:before="0" w:after="283"/>
              <w:jc w:val="left"/>
              <w:rPr/>
            </w:pPr>
            <w:r>
              <w:rPr/>
              <w:t> </w:t>
            </w:r>
          </w:p>
        </w:tc>
        <w:tc>
          <w:tcPr>
            <w:tcW w:w="1276" w:type="dxa"/>
            <w:tcBorders>
              <w:bottom w:val="single" w:sz="2" w:space="0" w:color="000000"/>
            </w:tcBorders>
            <w:vAlign w:val="center"/>
          </w:tcPr>
          <w:p>
            <w:pPr>
              <w:pStyle w:val="TableContents"/>
              <w:bidi w:val="0"/>
              <w:spacing w:before="0" w:after="283"/>
              <w:jc w:val="right"/>
              <w:rPr/>
            </w:pPr>
            <w:r>
              <w:rPr/>
              <w:t>$0</w:t>
            </w:r>
          </w:p>
        </w:tc>
        <w:tc>
          <w:tcPr>
            <w:tcW w:w="300" w:type="dxa"/>
            <w:tcBorders>
              <w:bottom w:val="single" w:sz="2" w:space="0" w:color="000000"/>
            </w:tcBorders>
            <w:vAlign w:val="center"/>
          </w:tcPr>
          <w:p>
            <w:pPr>
              <w:pStyle w:val="TableContents"/>
              <w:bidi w:val="0"/>
              <w:spacing w:before="0" w:after="283"/>
              <w:jc w:val="left"/>
              <w:rPr/>
            </w:pPr>
            <w:r>
              <w:rPr/>
              <w:t> </w:t>
            </w:r>
          </w:p>
        </w:tc>
        <w:tc>
          <w:tcPr>
            <w:tcW w:w="2152" w:type="dxa"/>
            <w:tcBorders>
              <w:bottom w:val="single" w:sz="2" w:space="0" w:color="000000"/>
            </w:tcBorders>
            <w:vAlign w:val="center"/>
          </w:tcPr>
          <w:p>
            <w:pPr>
              <w:pStyle w:val="TableContents"/>
              <w:bidi w:val="0"/>
              <w:spacing w:before="0" w:after="283"/>
              <w:jc w:val="right"/>
              <w:rPr/>
            </w:pPr>
            <w:r>
              <w:rPr/>
              <w:t>$27,904</w:t>
            </w:r>
          </w:p>
        </w:tc>
      </w:tr>
      <w:tr>
        <w:trPr/>
        <w:tc>
          <w:tcPr>
            <w:tcW w:w="2125" w:type="dxa"/>
            <w:tcBorders>
              <w:bottom w:val="single" w:sz="2" w:space="0" w:color="000000"/>
            </w:tcBorders>
            <w:vAlign w:val="center"/>
          </w:tcPr>
          <w:p>
            <w:pPr>
              <w:pStyle w:val="TableContents"/>
              <w:bidi w:val="0"/>
              <w:spacing w:before="0" w:after="283"/>
              <w:jc w:val="left"/>
              <w:rPr/>
            </w:pPr>
            <w:r>
              <w:rPr/>
              <w:t>Accrued Paid Time Off</w:t>
            </w:r>
          </w:p>
        </w:tc>
        <w:tc>
          <w:tcPr>
            <w:tcW w:w="300" w:type="dxa"/>
            <w:tcBorders>
              <w:bottom w:val="single" w:sz="2" w:space="0" w:color="000000"/>
            </w:tcBorders>
            <w:vAlign w:val="center"/>
          </w:tcPr>
          <w:p>
            <w:pPr>
              <w:pStyle w:val="TableContents"/>
              <w:bidi w:val="0"/>
              <w:spacing w:before="0" w:after="283"/>
              <w:jc w:val="left"/>
              <w:rPr/>
            </w:pPr>
            <w:r>
              <w:rPr/>
              <w:t> </w:t>
            </w:r>
          </w:p>
        </w:tc>
        <w:tc>
          <w:tcPr>
            <w:tcW w:w="1726" w:type="dxa"/>
            <w:tcBorders>
              <w:bottom w:val="single" w:sz="2" w:space="0" w:color="000000"/>
            </w:tcBorders>
            <w:vAlign w:val="center"/>
          </w:tcPr>
          <w:p>
            <w:pPr>
              <w:pStyle w:val="TableContents"/>
              <w:bidi w:val="0"/>
              <w:spacing w:before="0" w:after="283"/>
              <w:jc w:val="right"/>
              <w:rPr/>
            </w:pPr>
            <w:r>
              <w:rPr/>
              <w:t>$0</w:t>
            </w:r>
          </w:p>
        </w:tc>
        <w:tc>
          <w:tcPr>
            <w:tcW w:w="300" w:type="dxa"/>
            <w:tcBorders>
              <w:bottom w:val="single" w:sz="2" w:space="0" w:color="000000"/>
            </w:tcBorders>
            <w:vAlign w:val="center"/>
          </w:tcPr>
          <w:p>
            <w:pPr>
              <w:pStyle w:val="TableContents"/>
              <w:bidi w:val="0"/>
              <w:spacing w:before="0" w:after="283"/>
              <w:jc w:val="left"/>
              <w:rPr/>
            </w:pPr>
            <w:r>
              <w:rPr/>
              <w:t> </w:t>
            </w:r>
          </w:p>
        </w:tc>
        <w:tc>
          <w:tcPr>
            <w:tcW w:w="1726" w:type="dxa"/>
            <w:tcBorders>
              <w:bottom w:val="single" w:sz="2" w:space="0" w:color="000000"/>
            </w:tcBorders>
            <w:vAlign w:val="center"/>
          </w:tcPr>
          <w:p>
            <w:pPr>
              <w:pStyle w:val="TableContents"/>
              <w:bidi w:val="0"/>
              <w:spacing w:before="0" w:after="283"/>
              <w:jc w:val="right"/>
              <w:rPr/>
            </w:pPr>
            <w:r>
              <w:rPr/>
              <w:t>$0</w:t>
            </w:r>
          </w:p>
        </w:tc>
        <w:tc>
          <w:tcPr>
            <w:tcW w:w="300" w:type="dxa"/>
            <w:tcBorders>
              <w:bottom w:val="single" w:sz="2" w:space="0" w:color="000000"/>
            </w:tcBorders>
            <w:vAlign w:val="center"/>
          </w:tcPr>
          <w:p>
            <w:pPr>
              <w:pStyle w:val="TableContents"/>
              <w:bidi w:val="0"/>
              <w:spacing w:before="0" w:after="283"/>
              <w:jc w:val="left"/>
              <w:rPr/>
            </w:pPr>
            <w:r>
              <w:rPr/>
              <w:t> </w:t>
            </w:r>
          </w:p>
        </w:tc>
        <w:tc>
          <w:tcPr>
            <w:tcW w:w="1276" w:type="dxa"/>
            <w:tcBorders>
              <w:bottom w:val="single" w:sz="2" w:space="0" w:color="000000"/>
            </w:tcBorders>
            <w:vAlign w:val="center"/>
          </w:tcPr>
          <w:p>
            <w:pPr>
              <w:pStyle w:val="TableContents"/>
              <w:bidi w:val="0"/>
              <w:spacing w:before="0" w:after="283"/>
              <w:jc w:val="right"/>
              <w:rPr/>
            </w:pPr>
            <w:r>
              <w:rPr/>
              <w:t>$0</w:t>
            </w:r>
          </w:p>
        </w:tc>
        <w:tc>
          <w:tcPr>
            <w:tcW w:w="300" w:type="dxa"/>
            <w:tcBorders>
              <w:bottom w:val="single" w:sz="2" w:space="0" w:color="000000"/>
            </w:tcBorders>
            <w:vAlign w:val="center"/>
          </w:tcPr>
          <w:p>
            <w:pPr>
              <w:pStyle w:val="TableContents"/>
              <w:bidi w:val="0"/>
              <w:spacing w:before="0" w:after="283"/>
              <w:jc w:val="left"/>
              <w:rPr/>
            </w:pPr>
            <w:r>
              <w:rPr/>
              <w:t> </w:t>
            </w:r>
          </w:p>
        </w:tc>
        <w:tc>
          <w:tcPr>
            <w:tcW w:w="2152" w:type="dxa"/>
            <w:tcBorders>
              <w:bottom w:val="single" w:sz="2" w:space="0" w:color="000000"/>
            </w:tcBorders>
            <w:vAlign w:val="center"/>
          </w:tcPr>
          <w:p>
            <w:pPr>
              <w:pStyle w:val="TableContents"/>
              <w:bidi w:val="0"/>
              <w:spacing w:before="0" w:after="283"/>
              <w:jc w:val="right"/>
              <w:rPr/>
            </w:pPr>
            <w:r>
              <w:rPr/>
              <w:t>$0</w:t>
            </w:r>
          </w:p>
        </w:tc>
      </w:tr>
      <w:tr>
        <w:trPr/>
        <w:tc>
          <w:tcPr>
            <w:tcW w:w="2125" w:type="dxa"/>
            <w:tcBorders>
              <w:bottom w:val="single" w:sz="2" w:space="0" w:color="000000"/>
            </w:tcBorders>
            <w:vAlign w:val="center"/>
          </w:tcPr>
          <w:p>
            <w:pPr>
              <w:pStyle w:val="TableContents"/>
              <w:bidi w:val="0"/>
              <w:spacing w:before="0" w:after="283"/>
              <w:jc w:val="left"/>
              <w:rPr/>
            </w:pPr>
            <w:r>
              <w:rPr/>
              <w:t>Option Awards</w:t>
            </w:r>
            <w:r>
              <w:rPr>
                <w:position w:val="8"/>
                <w:sz w:val="19"/>
              </w:rPr>
              <w:t>(8)</w:t>
            </w:r>
          </w:p>
        </w:tc>
        <w:tc>
          <w:tcPr>
            <w:tcW w:w="300" w:type="dxa"/>
            <w:tcBorders>
              <w:bottom w:val="single" w:sz="2" w:space="0" w:color="000000"/>
            </w:tcBorders>
            <w:vAlign w:val="center"/>
          </w:tcPr>
          <w:p>
            <w:pPr>
              <w:pStyle w:val="TableContents"/>
              <w:bidi w:val="0"/>
              <w:spacing w:before="0" w:after="283"/>
              <w:jc w:val="left"/>
              <w:rPr/>
            </w:pPr>
            <w:r>
              <w:rPr/>
              <w:t> </w:t>
            </w:r>
          </w:p>
        </w:tc>
        <w:tc>
          <w:tcPr>
            <w:tcW w:w="1726" w:type="dxa"/>
            <w:tcBorders>
              <w:bottom w:val="single" w:sz="2" w:space="0" w:color="000000"/>
            </w:tcBorders>
            <w:vAlign w:val="center"/>
          </w:tcPr>
          <w:p>
            <w:pPr>
              <w:pStyle w:val="TableContents"/>
              <w:bidi w:val="0"/>
              <w:spacing w:before="0" w:after="283"/>
              <w:jc w:val="right"/>
              <w:rPr/>
            </w:pPr>
            <w:r>
              <w:rPr/>
              <w:t>$0</w:t>
            </w:r>
          </w:p>
        </w:tc>
        <w:tc>
          <w:tcPr>
            <w:tcW w:w="300" w:type="dxa"/>
            <w:tcBorders>
              <w:bottom w:val="single" w:sz="2" w:space="0" w:color="000000"/>
            </w:tcBorders>
            <w:vAlign w:val="center"/>
          </w:tcPr>
          <w:p>
            <w:pPr>
              <w:pStyle w:val="TableContents"/>
              <w:bidi w:val="0"/>
              <w:spacing w:before="0" w:after="283"/>
              <w:jc w:val="left"/>
              <w:rPr/>
            </w:pPr>
            <w:r>
              <w:rPr/>
              <w:t> </w:t>
            </w:r>
          </w:p>
        </w:tc>
        <w:tc>
          <w:tcPr>
            <w:tcW w:w="1726" w:type="dxa"/>
            <w:tcBorders>
              <w:bottom w:val="single" w:sz="2" w:space="0" w:color="000000"/>
            </w:tcBorders>
            <w:vAlign w:val="center"/>
          </w:tcPr>
          <w:p>
            <w:pPr>
              <w:pStyle w:val="TableContents"/>
              <w:bidi w:val="0"/>
              <w:spacing w:before="0" w:after="283"/>
              <w:jc w:val="right"/>
              <w:rPr/>
            </w:pPr>
            <w:r>
              <w:rPr/>
              <w:t>$10,782,301</w:t>
            </w:r>
          </w:p>
        </w:tc>
        <w:tc>
          <w:tcPr>
            <w:tcW w:w="300" w:type="dxa"/>
            <w:tcBorders>
              <w:bottom w:val="single" w:sz="2" w:space="0" w:color="000000"/>
            </w:tcBorders>
            <w:vAlign w:val="center"/>
          </w:tcPr>
          <w:p>
            <w:pPr>
              <w:pStyle w:val="TableContents"/>
              <w:bidi w:val="0"/>
              <w:spacing w:before="0" w:after="283"/>
              <w:jc w:val="left"/>
              <w:rPr/>
            </w:pPr>
            <w:r>
              <w:rPr/>
              <w:t> </w:t>
            </w:r>
          </w:p>
        </w:tc>
        <w:tc>
          <w:tcPr>
            <w:tcW w:w="1276" w:type="dxa"/>
            <w:tcBorders>
              <w:bottom w:val="single" w:sz="2" w:space="0" w:color="000000"/>
            </w:tcBorders>
            <w:vAlign w:val="center"/>
          </w:tcPr>
          <w:p>
            <w:pPr>
              <w:pStyle w:val="TableContents"/>
              <w:bidi w:val="0"/>
              <w:spacing w:before="0" w:after="283"/>
              <w:jc w:val="right"/>
              <w:rPr/>
            </w:pPr>
            <w:r>
              <w:rPr/>
              <w:t>$10,782,301</w:t>
            </w:r>
          </w:p>
        </w:tc>
        <w:tc>
          <w:tcPr>
            <w:tcW w:w="300" w:type="dxa"/>
            <w:tcBorders>
              <w:bottom w:val="single" w:sz="2" w:space="0" w:color="000000"/>
            </w:tcBorders>
            <w:vAlign w:val="center"/>
          </w:tcPr>
          <w:p>
            <w:pPr>
              <w:pStyle w:val="TableContents"/>
              <w:bidi w:val="0"/>
              <w:spacing w:before="0" w:after="283"/>
              <w:jc w:val="left"/>
              <w:rPr/>
            </w:pPr>
            <w:r>
              <w:rPr/>
              <w:t> </w:t>
            </w:r>
          </w:p>
        </w:tc>
        <w:tc>
          <w:tcPr>
            <w:tcW w:w="2152" w:type="dxa"/>
            <w:tcBorders>
              <w:bottom w:val="single" w:sz="2" w:space="0" w:color="000000"/>
            </w:tcBorders>
            <w:vAlign w:val="center"/>
          </w:tcPr>
          <w:p>
            <w:pPr>
              <w:pStyle w:val="TableContents"/>
              <w:bidi w:val="0"/>
              <w:spacing w:before="0" w:after="283"/>
              <w:jc w:val="right"/>
              <w:rPr/>
            </w:pPr>
            <w:r>
              <w:rPr/>
              <w:t>$13,147,347</w:t>
            </w:r>
          </w:p>
        </w:tc>
      </w:tr>
      <w:tr>
        <w:trPr/>
        <w:tc>
          <w:tcPr>
            <w:tcW w:w="2125" w:type="dxa"/>
            <w:tcBorders>
              <w:bottom w:val="single" w:sz="12" w:space="0" w:color="636466"/>
            </w:tcBorders>
            <w:vAlign w:val="center"/>
          </w:tcPr>
          <w:p>
            <w:pPr>
              <w:pStyle w:val="TableContents"/>
              <w:bidi w:val="0"/>
              <w:spacing w:before="0" w:after="283"/>
              <w:jc w:val="left"/>
              <w:rPr/>
            </w:pPr>
            <w:r>
              <w:rPr/>
              <w:t>Stock Awards</w:t>
            </w:r>
            <w:r>
              <w:rPr>
                <w:position w:val="8"/>
                <w:sz w:val="19"/>
              </w:rPr>
              <w:t>(8)</w:t>
            </w:r>
          </w:p>
        </w:tc>
        <w:tc>
          <w:tcPr>
            <w:tcW w:w="300" w:type="dxa"/>
            <w:tcBorders>
              <w:bottom w:val="single" w:sz="12" w:space="0" w:color="636466"/>
            </w:tcBorders>
            <w:vAlign w:val="center"/>
          </w:tcPr>
          <w:p>
            <w:pPr>
              <w:pStyle w:val="TableContents"/>
              <w:bidi w:val="0"/>
              <w:spacing w:before="0" w:after="283"/>
              <w:jc w:val="left"/>
              <w:rPr/>
            </w:pPr>
            <w:r>
              <w:rPr/>
              <w:t> </w:t>
            </w:r>
          </w:p>
        </w:tc>
        <w:tc>
          <w:tcPr>
            <w:tcW w:w="1726" w:type="dxa"/>
            <w:tcBorders>
              <w:bottom w:val="single" w:sz="12" w:space="0" w:color="636466"/>
            </w:tcBorders>
            <w:vAlign w:val="center"/>
          </w:tcPr>
          <w:p>
            <w:pPr>
              <w:pStyle w:val="TableContents"/>
              <w:bidi w:val="0"/>
              <w:spacing w:before="0" w:after="283"/>
              <w:jc w:val="right"/>
              <w:rPr/>
            </w:pPr>
            <w:r>
              <w:rPr/>
              <w:t>$0</w:t>
            </w:r>
          </w:p>
        </w:tc>
        <w:tc>
          <w:tcPr>
            <w:tcW w:w="300" w:type="dxa"/>
            <w:tcBorders>
              <w:bottom w:val="single" w:sz="12" w:space="0" w:color="636466"/>
            </w:tcBorders>
            <w:vAlign w:val="center"/>
          </w:tcPr>
          <w:p>
            <w:pPr>
              <w:pStyle w:val="TableContents"/>
              <w:bidi w:val="0"/>
              <w:spacing w:before="0" w:after="283"/>
              <w:jc w:val="left"/>
              <w:rPr/>
            </w:pPr>
            <w:r>
              <w:rPr/>
              <w:t> </w:t>
            </w:r>
          </w:p>
        </w:tc>
        <w:tc>
          <w:tcPr>
            <w:tcW w:w="1726" w:type="dxa"/>
            <w:tcBorders>
              <w:bottom w:val="single" w:sz="12" w:space="0" w:color="636466"/>
            </w:tcBorders>
            <w:vAlign w:val="center"/>
          </w:tcPr>
          <w:p>
            <w:pPr>
              <w:pStyle w:val="TableContents"/>
              <w:bidi w:val="0"/>
              <w:spacing w:before="0" w:after="283"/>
              <w:jc w:val="right"/>
              <w:rPr/>
            </w:pPr>
            <w:r>
              <w:rPr/>
              <w:t>$19,861,780</w:t>
            </w:r>
          </w:p>
        </w:tc>
        <w:tc>
          <w:tcPr>
            <w:tcW w:w="300" w:type="dxa"/>
            <w:tcBorders>
              <w:bottom w:val="single" w:sz="12" w:space="0" w:color="636466"/>
            </w:tcBorders>
            <w:vAlign w:val="center"/>
          </w:tcPr>
          <w:p>
            <w:pPr>
              <w:pStyle w:val="TableContents"/>
              <w:bidi w:val="0"/>
              <w:spacing w:before="0" w:after="283"/>
              <w:jc w:val="left"/>
              <w:rPr/>
            </w:pPr>
            <w:r>
              <w:rPr/>
              <w:t> </w:t>
            </w:r>
          </w:p>
        </w:tc>
        <w:tc>
          <w:tcPr>
            <w:tcW w:w="1276" w:type="dxa"/>
            <w:tcBorders>
              <w:bottom w:val="single" w:sz="12" w:space="0" w:color="636466"/>
            </w:tcBorders>
            <w:vAlign w:val="center"/>
          </w:tcPr>
          <w:p>
            <w:pPr>
              <w:pStyle w:val="TableContents"/>
              <w:bidi w:val="0"/>
              <w:spacing w:before="0" w:after="283"/>
              <w:jc w:val="right"/>
              <w:rPr/>
            </w:pPr>
            <w:r>
              <w:rPr/>
              <w:t>$14,221,680</w:t>
            </w:r>
          </w:p>
        </w:tc>
        <w:tc>
          <w:tcPr>
            <w:tcW w:w="300" w:type="dxa"/>
            <w:tcBorders>
              <w:bottom w:val="single" w:sz="12" w:space="0" w:color="636466"/>
            </w:tcBorders>
            <w:vAlign w:val="center"/>
          </w:tcPr>
          <w:p>
            <w:pPr>
              <w:pStyle w:val="TableContents"/>
              <w:bidi w:val="0"/>
              <w:spacing w:before="0" w:after="283"/>
              <w:jc w:val="left"/>
              <w:rPr/>
            </w:pPr>
            <w:r>
              <w:rPr/>
              <w:t> </w:t>
            </w:r>
          </w:p>
        </w:tc>
        <w:tc>
          <w:tcPr>
            <w:tcW w:w="2152" w:type="dxa"/>
            <w:tcBorders>
              <w:bottom w:val="single" w:sz="12" w:space="0" w:color="636466"/>
            </w:tcBorders>
            <w:vAlign w:val="center"/>
          </w:tcPr>
          <w:p>
            <w:pPr>
              <w:pStyle w:val="TableContents"/>
              <w:bidi w:val="0"/>
              <w:spacing w:before="0" w:after="283"/>
              <w:jc w:val="right"/>
              <w:rPr/>
            </w:pPr>
            <w:r>
              <w:rPr/>
              <w:t>$26,698,932</w:t>
            </w:r>
          </w:p>
        </w:tc>
      </w:tr>
      <w:tr>
        <w:trPr/>
        <w:tc>
          <w:tcPr>
            <w:tcW w:w="2125" w:type="dxa"/>
            <w:tcBorders>
              <w:bottom w:val="single" w:sz="12" w:space="0" w:color="636466"/>
            </w:tcBorders>
            <w:shd w:fill="EDEDEE" w:val="clear"/>
            <w:vAlign w:val="center"/>
          </w:tcPr>
          <w:p>
            <w:pPr>
              <w:pStyle w:val="TableContents"/>
              <w:bidi w:val="0"/>
              <w:spacing w:before="0" w:after="283"/>
              <w:jc w:val="left"/>
              <w:rPr>
                <w:b/>
              </w:rPr>
            </w:pPr>
            <w:r>
              <w:rPr>
                <w:b/>
              </w:rPr>
              <w:t>Total</w:t>
            </w:r>
          </w:p>
        </w:tc>
        <w:tc>
          <w:tcPr>
            <w:tcW w:w="300" w:type="dxa"/>
            <w:tcBorders>
              <w:bottom w:val="single" w:sz="12" w:space="0" w:color="636466"/>
            </w:tcBorders>
            <w:shd w:fill="EDEDEE" w:val="clear"/>
            <w:vAlign w:val="center"/>
          </w:tcPr>
          <w:p>
            <w:pPr>
              <w:pStyle w:val="TableContents"/>
              <w:bidi w:val="0"/>
              <w:spacing w:before="0" w:after="283"/>
              <w:jc w:val="left"/>
              <w:rPr/>
            </w:pPr>
            <w:r>
              <w:rPr/>
              <w:t> </w:t>
            </w:r>
          </w:p>
        </w:tc>
        <w:tc>
          <w:tcPr>
            <w:tcW w:w="1726" w:type="dxa"/>
            <w:tcBorders>
              <w:bottom w:val="single" w:sz="12" w:space="0" w:color="636466"/>
            </w:tcBorders>
            <w:shd w:fill="EDEDEE" w:val="clear"/>
            <w:vAlign w:val="center"/>
          </w:tcPr>
          <w:p>
            <w:pPr>
              <w:pStyle w:val="TableContents"/>
              <w:bidi w:val="0"/>
              <w:spacing w:before="0" w:after="283"/>
              <w:jc w:val="right"/>
              <w:rPr>
                <w:b/>
              </w:rPr>
            </w:pPr>
            <w:r>
              <w:rPr>
                <w:b/>
              </w:rPr>
              <w:t>$0</w:t>
            </w:r>
          </w:p>
        </w:tc>
        <w:tc>
          <w:tcPr>
            <w:tcW w:w="300" w:type="dxa"/>
            <w:tcBorders>
              <w:bottom w:val="single" w:sz="12" w:space="0" w:color="636466"/>
            </w:tcBorders>
            <w:shd w:fill="EDEDEE" w:val="clear"/>
            <w:vAlign w:val="center"/>
          </w:tcPr>
          <w:p>
            <w:pPr>
              <w:pStyle w:val="TableContents"/>
              <w:bidi w:val="0"/>
              <w:spacing w:before="0" w:after="283"/>
              <w:jc w:val="left"/>
              <w:rPr/>
            </w:pPr>
            <w:r>
              <w:rPr/>
              <w:t> </w:t>
            </w:r>
          </w:p>
        </w:tc>
        <w:tc>
          <w:tcPr>
            <w:tcW w:w="1726" w:type="dxa"/>
            <w:tcBorders>
              <w:bottom w:val="single" w:sz="12" w:space="0" w:color="636466"/>
            </w:tcBorders>
            <w:shd w:fill="EDEDEE" w:val="clear"/>
            <w:vAlign w:val="center"/>
          </w:tcPr>
          <w:p>
            <w:pPr>
              <w:pStyle w:val="TableContents"/>
              <w:bidi w:val="0"/>
              <w:spacing w:before="0" w:after="283"/>
              <w:jc w:val="right"/>
              <w:rPr>
                <w:b/>
              </w:rPr>
            </w:pPr>
            <w:r>
              <w:rPr>
                <w:b/>
              </w:rPr>
              <w:t>$31,637,985</w:t>
            </w:r>
          </w:p>
        </w:tc>
        <w:tc>
          <w:tcPr>
            <w:tcW w:w="300" w:type="dxa"/>
            <w:tcBorders>
              <w:bottom w:val="single" w:sz="12" w:space="0" w:color="636466"/>
            </w:tcBorders>
            <w:shd w:fill="EDEDEE" w:val="clear"/>
            <w:vAlign w:val="center"/>
          </w:tcPr>
          <w:p>
            <w:pPr>
              <w:pStyle w:val="TableContents"/>
              <w:bidi w:val="0"/>
              <w:spacing w:before="0" w:after="283"/>
              <w:jc w:val="left"/>
              <w:rPr/>
            </w:pPr>
            <w:r>
              <w:rPr/>
              <w:t> </w:t>
            </w:r>
          </w:p>
        </w:tc>
        <w:tc>
          <w:tcPr>
            <w:tcW w:w="1276" w:type="dxa"/>
            <w:tcBorders>
              <w:bottom w:val="single" w:sz="12" w:space="0" w:color="636466"/>
            </w:tcBorders>
            <w:shd w:fill="EDEDEE" w:val="clear"/>
            <w:vAlign w:val="center"/>
          </w:tcPr>
          <w:p>
            <w:pPr>
              <w:pStyle w:val="TableContents"/>
              <w:bidi w:val="0"/>
              <w:spacing w:before="0" w:after="283"/>
              <w:jc w:val="right"/>
              <w:rPr>
                <w:b/>
              </w:rPr>
            </w:pPr>
            <w:r>
              <w:rPr>
                <w:b/>
              </w:rPr>
              <w:t>$25,003,981</w:t>
            </w:r>
          </w:p>
        </w:tc>
        <w:tc>
          <w:tcPr>
            <w:tcW w:w="300" w:type="dxa"/>
            <w:tcBorders>
              <w:bottom w:val="single" w:sz="12" w:space="0" w:color="636466"/>
            </w:tcBorders>
            <w:shd w:fill="EDEDEE" w:val="clear"/>
            <w:vAlign w:val="center"/>
          </w:tcPr>
          <w:p>
            <w:pPr>
              <w:pStyle w:val="TableContents"/>
              <w:bidi w:val="0"/>
              <w:spacing w:before="0" w:after="283"/>
              <w:jc w:val="left"/>
              <w:rPr/>
            </w:pPr>
            <w:r>
              <w:rPr/>
              <w:t> </w:t>
            </w:r>
          </w:p>
        </w:tc>
        <w:tc>
          <w:tcPr>
            <w:tcW w:w="2152" w:type="dxa"/>
            <w:tcBorders>
              <w:bottom w:val="single" w:sz="12" w:space="0" w:color="636466"/>
            </w:tcBorders>
            <w:shd w:fill="EDEDEE" w:val="clear"/>
            <w:vAlign w:val="center"/>
          </w:tcPr>
          <w:p>
            <w:pPr>
              <w:pStyle w:val="TableContents"/>
              <w:bidi w:val="0"/>
              <w:spacing w:before="0" w:after="283"/>
              <w:jc w:val="right"/>
              <w:rPr>
                <w:b/>
              </w:rPr>
            </w:pPr>
            <w:r>
              <w:rPr>
                <w:b/>
              </w:rPr>
              <w:t>$40,840,183</w:t>
            </w:r>
          </w:p>
        </w:tc>
      </w:tr>
    </w:tbl>
    <w:tbl>
      <w:tblPr>
        <w:tblW w:w="10205" w:type="dxa"/>
        <w:jc w:val="left"/>
        <w:tblInd w:w="0" w:type="dxa"/>
        <w:tblLayout w:type="fixed"/>
        <w:tblCellMar>
          <w:top w:w="0" w:type="dxa"/>
          <w:left w:w="0" w:type="dxa"/>
          <w:bottom w:w="0" w:type="dxa"/>
          <w:right w:w="0" w:type="dxa"/>
        </w:tblCellMar>
      </w:tblPr>
      <w:tblGrid>
        <w:gridCol w:w="237"/>
        <w:gridCol w:w="9968"/>
      </w:tblGrid>
      <w:tr>
        <w:trPr/>
        <w:tc>
          <w:tcPr>
            <w:tcW w:w="237" w:type="dxa"/>
            <w:tcBorders/>
            <w:vAlign w:val="center"/>
          </w:tcPr>
          <w:p>
            <w:pPr>
              <w:pStyle w:val="TableContents"/>
              <w:bidi w:val="0"/>
              <w:spacing w:before="0" w:after="283"/>
              <w:jc w:val="left"/>
              <w:rPr/>
            </w:pPr>
            <w:r>
              <w:rPr/>
              <w:t>(1)</w:t>
            </w:r>
          </w:p>
        </w:tc>
        <w:tc>
          <w:tcPr>
            <w:tcW w:w="9968" w:type="dxa"/>
            <w:tcBorders/>
            <w:vAlign w:val="center"/>
          </w:tcPr>
          <w:p>
            <w:pPr>
              <w:pStyle w:val="TableContents"/>
              <w:bidi w:val="0"/>
              <w:spacing w:before="0" w:after="283"/>
              <w:jc w:val="left"/>
              <w:rPr/>
            </w:pPr>
            <w:r>
              <w:rPr/>
              <w:t>Outstanding LTI awards would be forfeited upon an involuntary separation for cause.</w:t>
            </w:r>
          </w:p>
        </w:tc>
      </w:tr>
      <w:tr>
        <w:trPr/>
        <w:tc>
          <w:tcPr>
            <w:tcW w:w="237" w:type="dxa"/>
            <w:tcBorders/>
            <w:vAlign w:val="center"/>
          </w:tcPr>
          <w:p>
            <w:pPr>
              <w:pStyle w:val="TableContents"/>
              <w:bidi w:val="0"/>
              <w:spacing w:before="0" w:after="283"/>
              <w:jc w:val="left"/>
              <w:rPr/>
            </w:pPr>
            <w:r>
              <w:rPr/>
              <w:t>(2)</w:t>
            </w:r>
          </w:p>
        </w:tc>
        <w:tc>
          <w:tcPr>
            <w:tcW w:w="9968" w:type="dxa"/>
            <w:tcBorders/>
            <w:vAlign w:val="center"/>
          </w:tcPr>
          <w:p>
            <w:pPr>
              <w:pStyle w:val="TableContents"/>
              <w:bidi w:val="0"/>
              <w:spacing w:before="0" w:after="283"/>
              <w:jc w:val="left"/>
              <w:rPr/>
            </w:pPr>
            <w:r>
              <w:rPr/>
              <w:t>As of December 31, 2025, Mr. Eddy had attained retirement eligibility status under the terms of the RTX LTIP. As a result, in the event of an involuntary separation (without cause), his annual LTI awards would receive the beneficial treatment reserved for retirement-eligible employees. These awards, if outstanding for more than one year, would be treated as follows: (i) SARs would vest; and (ii) PSUs would remain eligible to vest on the original vesting date, subject to the achievement of Company performance goals. An involuntary (without cause) separation would constitute a qualifying separation under the terms of the ELG RSU awards and as a result, those RSUs would vest. Annual LTI awards outstanding for less than one year would be forfeited.</w:t>
            </w:r>
          </w:p>
        </w:tc>
      </w:tr>
      <w:tr>
        <w:trPr/>
        <w:tc>
          <w:tcPr>
            <w:tcW w:w="237" w:type="dxa"/>
            <w:tcBorders/>
            <w:vAlign w:val="center"/>
          </w:tcPr>
          <w:p>
            <w:pPr>
              <w:pStyle w:val="TableContents"/>
              <w:bidi w:val="0"/>
              <w:spacing w:before="0" w:after="283"/>
              <w:jc w:val="left"/>
              <w:rPr/>
            </w:pPr>
            <w:r>
              <w:rPr/>
              <w:t>(3)</w:t>
            </w:r>
          </w:p>
        </w:tc>
        <w:tc>
          <w:tcPr>
            <w:tcW w:w="9968" w:type="dxa"/>
            <w:tcBorders/>
            <w:vAlign w:val="center"/>
          </w:tcPr>
          <w:p>
            <w:pPr>
              <w:pStyle w:val="TableContents"/>
              <w:bidi w:val="0"/>
              <w:spacing w:before="0" w:after="283"/>
              <w:jc w:val="left"/>
              <w:rPr/>
            </w:pPr>
            <w:r>
              <w:rPr/>
              <w:t>As of December 31, 2025, Mr. Eddy had attained retirement eligibility status under the terms of the RTX LTIP. As a result, in the event of a voluntary separation, his annual LTI awards would have received the beneficial treatment reserved for retirement-eligible employees. These awards, if outstanding for more than one year, would be treated as follows: (i) SARs would vest; and (ii) PSUs would remain eligible to vest on the original vesting date, subject to the achievement of Company performance goals. Annual LTI awards outstanding for less than one year and his ELG RSU award, which does not carry beneficial retirement treatment, would be forfeited in the case of a voluntary separation from the Company, unless the terms of Mr. Eddy’s separation were determined to be “mutually agreeable” following three years of service within the ELG. In this case, the Company may elect to vest his ELG RSU award.</w:t>
            </w:r>
          </w:p>
        </w:tc>
      </w:tr>
      <w:tr>
        <w:trPr/>
        <w:tc>
          <w:tcPr>
            <w:tcW w:w="237" w:type="dxa"/>
            <w:tcBorders/>
            <w:vAlign w:val="center"/>
          </w:tcPr>
          <w:p>
            <w:pPr>
              <w:pStyle w:val="TableContents"/>
              <w:bidi w:val="0"/>
              <w:spacing w:before="0" w:after="283"/>
              <w:jc w:val="left"/>
              <w:rPr/>
            </w:pPr>
            <w:r>
              <w:rPr/>
              <w:t>(4)</w:t>
            </w:r>
          </w:p>
        </w:tc>
        <w:tc>
          <w:tcPr>
            <w:tcW w:w="9968" w:type="dxa"/>
            <w:tcBorders/>
            <w:vAlign w:val="center"/>
          </w:tcPr>
          <w:p>
            <w:pPr>
              <w:pStyle w:val="TableContents"/>
              <w:bidi w:val="0"/>
              <w:spacing w:before="0" w:after="283"/>
              <w:jc w:val="left"/>
              <w:rPr/>
            </w:pPr>
            <w:r>
              <w:rPr/>
              <w:t>In the event of a qualifying termination within two years of an RTX change-in-control, all outstanding awards would vest in accordance with the RTX LTIP, including PSUs, which would vest at the greater of actual or target performance.</w:t>
            </w:r>
          </w:p>
        </w:tc>
      </w:tr>
      <w:tr>
        <w:trPr/>
        <w:tc>
          <w:tcPr>
            <w:tcW w:w="237" w:type="dxa"/>
            <w:tcBorders/>
            <w:vAlign w:val="center"/>
          </w:tcPr>
          <w:p>
            <w:pPr>
              <w:pStyle w:val="TableContents"/>
              <w:bidi w:val="0"/>
              <w:spacing w:before="0" w:after="283"/>
              <w:jc w:val="left"/>
              <w:rPr/>
            </w:pPr>
            <w:r>
              <w:rPr/>
              <w:t>(5)</w:t>
            </w:r>
          </w:p>
        </w:tc>
        <w:tc>
          <w:tcPr>
            <w:tcW w:w="9968" w:type="dxa"/>
            <w:tcBorders/>
            <w:vAlign w:val="center"/>
          </w:tcPr>
          <w:p>
            <w:pPr>
              <w:pStyle w:val="TableContents"/>
              <w:bidi w:val="0"/>
              <w:spacing w:before="0" w:after="283"/>
              <w:jc w:val="left"/>
              <w:rPr/>
            </w:pPr>
            <w:r>
              <w:rPr/>
              <w:t>Upon an involuntary separation (without cause) or a qualifying separation following a change-in-control, the Company provides a pro-rata portion of target annual incentive awards for the period of time employed during the plan year. Since this table assumes a December 31, 2025, separation, a full-year 2025 target annual incentive award is shown.</w:t>
            </w:r>
          </w:p>
        </w:tc>
      </w:tr>
      <w:tr>
        <w:trPr/>
        <w:tc>
          <w:tcPr>
            <w:tcW w:w="237" w:type="dxa"/>
            <w:tcBorders/>
            <w:vAlign w:val="center"/>
          </w:tcPr>
          <w:p>
            <w:pPr>
              <w:pStyle w:val="TableContents"/>
              <w:bidi w:val="0"/>
              <w:spacing w:before="0" w:after="283"/>
              <w:jc w:val="left"/>
              <w:rPr/>
            </w:pPr>
            <w:r>
              <w:rPr/>
              <w:t>(6)</w:t>
            </w:r>
          </w:p>
        </w:tc>
        <w:tc>
          <w:tcPr>
            <w:tcW w:w="9968" w:type="dxa"/>
            <w:tcBorders/>
            <w:vAlign w:val="center"/>
          </w:tcPr>
          <w:p>
            <w:pPr>
              <w:pStyle w:val="TableContents"/>
              <w:bidi w:val="0"/>
              <w:spacing w:before="0" w:after="283"/>
              <w:jc w:val="left"/>
              <w:rPr/>
            </w:pPr>
            <w:r>
              <w:rPr/>
              <w:t>An estimated lump-sum present value of the qualified pension benefits payable to Mr. Eddy upon separation from the Company can be found in the Pension Benefits table on page 70. </w:t>
            </w:r>
          </w:p>
        </w:tc>
      </w:tr>
      <w:tr>
        <w:trPr/>
        <w:tc>
          <w:tcPr>
            <w:tcW w:w="237" w:type="dxa"/>
            <w:tcBorders/>
            <w:vAlign w:val="center"/>
          </w:tcPr>
          <w:p>
            <w:pPr>
              <w:pStyle w:val="TableContents"/>
              <w:bidi w:val="0"/>
              <w:spacing w:before="0" w:after="283"/>
              <w:jc w:val="left"/>
              <w:rPr/>
            </w:pPr>
            <w:r>
              <w:rPr/>
              <w:t>(7)</w:t>
            </w:r>
          </w:p>
        </w:tc>
        <w:tc>
          <w:tcPr>
            <w:tcW w:w="9968" w:type="dxa"/>
            <w:tcBorders/>
            <w:vAlign w:val="center"/>
          </w:tcPr>
          <w:p>
            <w:pPr>
              <w:pStyle w:val="TableContents"/>
              <w:bidi w:val="0"/>
              <w:spacing w:before="0" w:after="283"/>
              <w:jc w:val="left"/>
              <w:rPr/>
            </w:pPr>
            <w:r>
              <w:rPr/>
              <w:t>Upon an involuntary separation (without cause), or a qualifying separation following a change-in-control, the Company provides one year of continuation of health and welfare benefits. Amounts shown reflect the estimated cost of one year of health and welfare benefit continuation based on elections as of December 31, 2025.</w:t>
            </w:r>
          </w:p>
        </w:tc>
      </w:tr>
      <w:tr>
        <w:trPr/>
        <w:tc>
          <w:tcPr>
            <w:tcW w:w="237" w:type="dxa"/>
            <w:tcBorders/>
            <w:vAlign w:val="center"/>
          </w:tcPr>
          <w:p>
            <w:pPr>
              <w:pStyle w:val="TableContents"/>
              <w:bidi w:val="0"/>
              <w:spacing w:before="0" w:after="283"/>
              <w:jc w:val="left"/>
              <w:rPr/>
            </w:pPr>
            <w:r>
              <w:rPr/>
              <w:t>(8)</w:t>
            </w:r>
          </w:p>
        </w:tc>
        <w:tc>
          <w:tcPr>
            <w:tcW w:w="9968" w:type="dxa"/>
            <w:tcBorders/>
            <w:vAlign w:val="center"/>
          </w:tcPr>
          <w:p>
            <w:pPr>
              <w:pStyle w:val="TableContents"/>
              <w:bidi w:val="0"/>
              <w:spacing w:before="0" w:after="283"/>
              <w:jc w:val="left"/>
              <w:rPr/>
            </w:pPr>
            <w:r>
              <w:rPr/>
              <w:t xml:space="preserve">Reflects the value of unvested LTI awards that would vest (or remain eligible to vest) following a separation from the Company, calculated using the closing stock price of RTX on the last trading day of 2025 ($183.40). Where included, the 2025 and 2024 PSUs assume maximum-level performance based on estimated performance as of December 31, 2025, and actual performance is used for the 2023 PSUs.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15"/>
        </w:rPr>
      </w:pPr>
      <w:r>
        <w:rPr>
          <w:rFonts w:ascii="Arial;Helvetica;Sans-Serif" w:hAnsi="Arial;Helvetica;Sans-Serif"/>
          <w:b/>
          <w:i w:val="false"/>
          <w:caps w:val="false"/>
          <w:smallCaps w:val="false"/>
          <w:sz w:val="15"/>
        </w:rPr>
        <w:t xml:space="preserve">76    RTX </w:t>
      </w:r>
      <w:r>
        <w:rPr>
          <w:rFonts w:ascii="Arial;Helvetica;Sans-Serif" w:hAnsi="Arial;Helvetica;Sans-Serif"/>
          <w:b w:val="false"/>
          <w:i w:val="false"/>
          <w:caps w:val="false"/>
          <w:smallCaps w:val="false"/>
          <w:sz w:val="15"/>
        </w:rPr>
        <w:t>2026 PROXY STATEMENT</w:t>
      </w:r>
    </w:p>
    <w:p>
      <w:pPr>
        <w:pStyle w:val="HorizontalLine"/>
        <w:pBdr>
          <w:bottom w:val="double" w:sz="2" w:space="0" w:color="808080"/>
        </w:pBdr>
        <w:bidi w:val="0"/>
        <w:spacing w:before="0" w:after="283"/>
        <w:jc w:val="left"/>
        <w:rPr/>
      </w:pPr>
      <w:r>
        <w:rPr/>
      </w:r>
    </w:p>
    <w:p>
      <w:pPr>
        <w:pStyle w:val="TextBody"/>
        <w:bidi w:val="0"/>
        <w:spacing w:before="200" w:after="200"/>
        <w:jc w:val="left"/>
        <w:rPr/>
      </w:pPr>
      <w:hyperlink w:anchor="toc">
        <w:r>
          <w:rPr>
            <w:rStyle w:val="InternetLink"/>
            <w:rFonts w:ascii="Arial;Helvetica;Sans-Serif" w:hAnsi="Arial;Helvetica;Sans-Serif"/>
            <w:b/>
            <w:i w:val="false"/>
            <w:caps w:val="false"/>
            <w:smallCaps w:val="false"/>
            <w:sz w:val="16"/>
          </w:rPr>
          <w:t>Table of Contents</w:t>
        </w:r>
      </w:hyperlink>
    </w:p>
    <w:p>
      <w:pPr>
        <w:pStyle w:val="TextBody"/>
        <w:bidi w:val="0"/>
        <w:spacing w:before="0" w:after="0"/>
        <w:jc w:val="right"/>
        <w:rPr>
          <w:rFonts w:ascii="Arial;Helvetica;Sans-Serif" w:hAnsi="Arial;Helvetica;Sans-Serif"/>
          <w:b/>
          <w:i w:val="false"/>
          <w:caps w:val="false"/>
          <w:smallCaps w:val="false"/>
          <w:color w:val="C12E33"/>
          <w:sz w:val="15"/>
        </w:rPr>
      </w:pPr>
      <w:r>
        <w:rPr>
          <w:rFonts w:ascii="Arial;Helvetica;Sans-Serif" w:hAnsi="Arial;Helvetica;Sans-Serif"/>
          <w:b/>
          <w:i w:val="false"/>
          <w:caps w:val="false"/>
          <w:smallCaps w:val="false"/>
          <w:color w:val="C12E33"/>
          <w:sz w:val="15"/>
        </w:rPr>
        <w:t>COMPENSATION TABLES</w:t>
      </w:r>
    </w:p>
    <w:p>
      <w:pPr>
        <w:pStyle w:val="TextBody"/>
        <w:bidi w:val="0"/>
        <w:spacing w:before="0" w:after="0"/>
        <w:jc w:val="righ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POTENTIAL PAYMENTS UPON TERMINATION OR CHANGE-IN-CONTROL</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TROY D. BRUNK</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table below shows the estimated value of payments and benefits that Mr. Brunk would have been entitled to receive had his employment terminated on December 31, 2025, under various hypothetical circumstances.</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40" w:type="dxa"/>
          <w:right w:w="0" w:type="dxa"/>
        </w:tblCellMar>
      </w:tblPr>
      <w:tblGrid>
        <w:gridCol w:w="2132"/>
        <w:gridCol w:w="300"/>
        <w:gridCol w:w="1730"/>
        <w:gridCol w:w="300"/>
        <w:gridCol w:w="1730"/>
        <w:gridCol w:w="300"/>
        <w:gridCol w:w="1259"/>
        <w:gridCol w:w="300"/>
        <w:gridCol w:w="2154"/>
      </w:tblGrid>
      <w:tr>
        <w:trPr/>
        <w:tc>
          <w:tcPr>
            <w:tcW w:w="2132" w:type="dxa"/>
            <w:tcBorders>
              <w:bottom w:val="single" w:sz="12" w:space="0" w:color="C12D33"/>
            </w:tcBorders>
            <w:vAlign w:val="center"/>
          </w:tcPr>
          <w:p>
            <w:pPr>
              <w:pStyle w:val="TableContents"/>
              <w:bidi w:val="0"/>
              <w:spacing w:before="0" w:after="283"/>
              <w:jc w:val="left"/>
              <w:rPr/>
            </w:pPr>
            <w:r>
              <w:rPr/>
              <w:t> </w:t>
            </w:r>
          </w:p>
        </w:tc>
        <w:tc>
          <w:tcPr>
            <w:tcW w:w="300" w:type="dxa"/>
            <w:tcBorders>
              <w:bottom w:val="single" w:sz="12" w:space="0" w:color="C12D33"/>
            </w:tcBorders>
            <w:vAlign w:val="center"/>
          </w:tcPr>
          <w:p>
            <w:pPr>
              <w:pStyle w:val="TableContents"/>
              <w:bidi w:val="0"/>
              <w:spacing w:before="0" w:after="283"/>
              <w:jc w:val="left"/>
              <w:rPr/>
            </w:pPr>
            <w:r>
              <w:rPr/>
              <w:t>     </w:t>
            </w:r>
          </w:p>
        </w:tc>
        <w:tc>
          <w:tcPr>
            <w:tcW w:w="1730" w:type="dxa"/>
            <w:tcBorders>
              <w:bottom w:val="single" w:sz="12" w:space="0" w:color="C12D33"/>
            </w:tcBorders>
            <w:vAlign w:val="center"/>
          </w:tcPr>
          <w:p>
            <w:pPr>
              <w:pStyle w:val="TableContents"/>
              <w:bidi w:val="0"/>
              <w:spacing w:before="0" w:after="283"/>
              <w:jc w:val="right"/>
              <w:rPr/>
            </w:pPr>
            <w:r>
              <w:rPr>
                <w:b/>
                <w:color w:val="636466"/>
              </w:rPr>
              <w:t>Involuntary Separation</w:t>
            </w:r>
            <w:r>
              <w:rPr>
                <w:b/>
              </w:rPr>
              <w:br/>
            </w:r>
            <w:r>
              <w:rPr>
                <w:b/>
                <w:color w:val="636466"/>
              </w:rPr>
              <w:t>(for Cause)</w:t>
            </w:r>
            <w:r>
              <w:rPr>
                <w:b/>
                <w:color w:val="636466"/>
                <w:position w:val="8"/>
                <w:sz w:val="19"/>
              </w:rPr>
              <w:t>(1)</w:t>
            </w:r>
          </w:p>
        </w:tc>
        <w:tc>
          <w:tcPr>
            <w:tcW w:w="300" w:type="dxa"/>
            <w:tcBorders>
              <w:bottom w:val="single" w:sz="12" w:space="0" w:color="C12D33"/>
            </w:tcBorders>
            <w:vAlign w:val="center"/>
          </w:tcPr>
          <w:p>
            <w:pPr>
              <w:pStyle w:val="TableContents"/>
              <w:bidi w:val="0"/>
              <w:spacing w:before="0" w:after="283"/>
              <w:jc w:val="left"/>
              <w:rPr/>
            </w:pPr>
            <w:r>
              <w:rPr/>
              <w:t>     </w:t>
            </w:r>
          </w:p>
        </w:tc>
        <w:tc>
          <w:tcPr>
            <w:tcW w:w="1730" w:type="dxa"/>
            <w:tcBorders>
              <w:bottom w:val="single" w:sz="12" w:space="0" w:color="C12D33"/>
            </w:tcBorders>
            <w:vAlign w:val="center"/>
          </w:tcPr>
          <w:p>
            <w:pPr>
              <w:pStyle w:val="TableContents"/>
              <w:bidi w:val="0"/>
              <w:spacing w:before="0" w:after="283"/>
              <w:jc w:val="right"/>
              <w:rPr/>
            </w:pPr>
            <w:r>
              <w:rPr>
                <w:b/>
                <w:color w:val="636466"/>
              </w:rPr>
              <w:t>Involuntary Separation</w:t>
            </w:r>
            <w:r>
              <w:rPr>
                <w:b/>
              </w:rPr>
              <w:br/>
            </w:r>
            <w:r>
              <w:rPr>
                <w:b/>
                <w:color w:val="636466"/>
              </w:rPr>
              <w:t>(without Cause)</w:t>
            </w:r>
            <w:r>
              <w:rPr>
                <w:b/>
                <w:color w:val="636466"/>
                <w:position w:val="8"/>
                <w:sz w:val="19"/>
              </w:rPr>
              <w:t>(2)</w:t>
            </w:r>
          </w:p>
        </w:tc>
        <w:tc>
          <w:tcPr>
            <w:tcW w:w="300" w:type="dxa"/>
            <w:tcBorders>
              <w:bottom w:val="single" w:sz="12" w:space="0" w:color="C12D33"/>
            </w:tcBorders>
            <w:vAlign w:val="center"/>
          </w:tcPr>
          <w:p>
            <w:pPr>
              <w:pStyle w:val="TableContents"/>
              <w:bidi w:val="0"/>
              <w:spacing w:before="0" w:after="283"/>
              <w:jc w:val="left"/>
              <w:rPr/>
            </w:pPr>
            <w:r>
              <w:rPr/>
              <w:t>     </w:t>
            </w:r>
          </w:p>
        </w:tc>
        <w:tc>
          <w:tcPr>
            <w:tcW w:w="1259" w:type="dxa"/>
            <w:tcBorders>
              <w:bottom w:val="single" w:sz="12" w:space="0" w:color="C12D33"/>
            </w:tcBorders>
            <w:vAlign w:val="center"/>
          </w:tcPr>
          <w:p>
            <w:pPr>
              <w:pStyle w:val="TableContents"/>
              <w:bidi w:val="0"/>
              <w:spacing w:before="0" w:after="283"/>
              <w:jc w:val="right"/>
              <w:rPr/>
            </w:pPr>
            <w:r>
              <w:rPr>
                <w:b/>
                <w:color w:val="636466"/>
              </w:rPr>
              <w:t>Voluntary</w:t>
            </w:r>
            <w:r>
              <w:rPr>
                <w:b/>
              </w:rPr>
              <w:br/>
            </w:r>
            <w:r>
              <w:rPr>
                <w:b/>
                <w:color w:val="636466"/>
              </w:rPr>
              <w:t>Separation</w:t>
            </w:r>
            <w:r>
              <w:rPr>
                <w:b/>
                <w:color w:val="636466"/>
                <w:position w:val="8"/>
                <w:sz w:val="19"/>
              </w:rPr>
              <w:t>(3)</w:t>
            </w:r>
          </w:p>
        </w:tc>
        <w:tc>
          <w:tcPr>
            <w:tcW w:w="300" w:type="dxa"/>
            <w:tcBorders>
              <w:bottom w:val="single" w:sz="12" w:space="0" w:color="C12D33"/>
            </w:tcBorders>
            <w:vAlign w:val="center"/>
          </w:tcPr>
          <w:p>
            <w:pPr>
              <w:pStyle w:val="TableContents"/>
              <w:bidi w:val="0"/>
              <w:spacing w:before="0" w:after="283"/>
              <w:jc w:val="left"/>
              <w:rPr/>
            </w:pPr>
            <w:r>
              <w:rPr/>
              <w:t>     </w:t>
            </w:r>
          </w:p>
        </w:tc>
        <w:tc>
          <w:tcPr>
            <w:tcW w:w="2154" w:type="dxa"/>
            <w:tcBorders>
              <w:bottom w:val="single" w:sz="12" w:space="0" w:color="C12D33"/>
            </w:tcBorders>
            <w:vAlign w:val="center"/>
          </w:tcPr>
          <w:p>
            <w:pPr>
              <w:pStyle w:val="TableContents"/>
              <w:bidi w:val="0"/>
              <w:spacing w:before="0" w:after="283"/>
              <w:jc w:val="right"/>
              <w:rPr/>
            </w:pPr>
            <w:r>
              <w:rPr>
                <w:b/>
                <w:color w:val="636466"/>
              </w:rPr>
              <w:t>Separation following a</w:t>
            </w:r>
            <w:r>
              <w:rPr>
                <w:b/>
              </w:rPr>
              <w:br/>
            </w:r>
            <w:r>
              <w:rPr>
                <w:b/>
                <w:color w:val="636466"/>
              </w:rPr>
              <w:t>Change-in-Control</w:t>
            </w:r>
            <w:r>
              <w:rPr>
                <w:b/>
                <w:color w:val="636466"/>
                <w:position w:val="8"/>
                <w:sz w:val="19"/>
              </w:rPr>
              <w:t>(4)</w:t>
            </w:r>
          </w:p>
        </w:tc>
      </w:tr>
      <w:tr>
        <w:trPr/>
        <w:tc>
          <w:tcPr>
            <w:tcW w:w="2132" w:type="dxa"/>
            <w:tcBorders>
              <w:bottom w:val="single" w:sz="2" w:space="0" w:color="000000"/>
            </w:tcBorders>
            <w:vAlign w:val="center"/>
          </w:tcPr>
          <w:p>
            <w:pPr>
              <w:pStyle w:val="TableContents"/>
              <w:bidi w:val="0"/>
              <w:spacing w:before="0" w:after="283"/>
              <w:jc w:val="left"/>
              <w:rPr/>
            </w:pPr>
            <w:r>
              <w:rPr/>
              <w:t>Annual Incentive Award</w:t>
            </w:r>
            <w:r>
              <w:rPr>
                <w:position w:val="8"/>
                <w:sz w:val="19"/>
              </w:rPr>
              <w:t>(5)</w:t>
            </w:r>
          </w:p>
        </w:tc>
        <w:tc>
          <w:tcPr>
            <w:tcW w:w="300" w:type="dxa"/>
            <w:tcBorders>
              <w:bottom w:val="single" w:sz="2" w:space="0" w:color="000000"/>
            </w:tcBorders>
            <w:vAlign w:val="center"/>
          </w:tcPr>
          <w:p>
            <w:pPr>
              <w:pStyle w:val="TableContents"/>
              <w:bidi w:val="0"/>
              <w:spacing w:before="0" w:after="283"/>
              <w:jc w:val="left"/>
              <w:rPr/>
            </w:pPr>
            <w:r>
              <w:rPr/>
              <w:t> </w:t>
            </w:r>
          </w:p>
        </w:tc>
        <w:tc>
          <w:tcPr>
            <w:tcW w:w="1730" w:type="dxa"/>
            <w:tcBorders>
              <w:bottom w:val="single" w:sz="2" w:space="0" w:color="000000"/>
            </w:tcBorders>
            <w:vAlign w:val="center"/>
          </w:tcPr>
          <w:p>
            <w:pPr>
              <w:pStyle w:val="TableContents"/>
              <w:bidi w:val="0"/>
              <w:spacing w:before="0" w:after="283"/>
              <w:jc w:val="right"/>
              <w:rPr/>
            </w:pPr>
            <w:r>
              <w:rPr/>
              <w:t>$0</w:t>
            </w:r>
          </w:p>
        </w:tc>
        <w:tc>
          <w:tcPr>
            <w:tcW w:w="300" w:type="dxa"/>
            <w:tcBorders>
              <w:bottom w:val="single" w:sz="2" w:space="0" w:color="000000"/>
            </w:tcBorders>
            <w:vAlign w:val="center"/>
          </w:tcPr>
          <w:p>
            <w:pPr>
              <w:pStyle w:val="TableContents"/>
              <w:bidi w:val="0"/>
              <w:spacing w:before="0" w:after="283"/>
              <w:jc w:val="left"/>
              <w:rPr/>
            </w:pPr>
            <w:r>
              <w:rPr/>
              <w:t> </w:t>
            </w:r>
          </w:p>
        </w:tc>
        <w:tc>
          <w:tcPr>
            <w:tcW w:w="1730" w:type="dxa"/>
            <w:tcBorders>
              <w:bottom w:val="single" w:sz="2" w:space="0" w:color="000000"/>
            </w:tcBorders>
            <w:vAlign w:val="center"/>
          </w:tcPr>
          <w:p>
            <w:pPr>
              <w:pStyle w:val="TableContents"/>
              <w:bidi w:val="0"/>
              <w:spacing w:before="0" w:after="283"/>
              <w:jc w:val="right"/>
              <w:rPr/>
            </w:pPr>
            <w:r>
              <w:rPr/>
              <w:t>$908,500</w:t>
            </w:r>
          </w:p>
        </w:tc>
        <w:tc>
          <w:tcPr>
            <w:tcW w:w="300" w:type="dxa"/>
            <w:tcBorders>
              <w:bottom w:val="single" w:sz="2" w:space="0" w:color="000000"/>
            </w:tcBorders>
            <w:vAlign w:val="center"/>
          </w:tcPr>
          <w:p>
            <w:pPr>
              <w:pStyle w:val="TableContents"/>
              <w:bidi w:val="0"/>
              <w:spacing w:before="0" w:after="283"/>
              <w:jc w:val="left"/>
              <w:rPr/>
            </w:pPr>
            <w:r>
              <w:rPr/>
              <w:t> </w:t>
            </w:r>
          </w:p>
        </w:tc>
        <w:tc>
          <w:tcPr>
            <w:tcW w:w="1259" w:type="dxa"/>
            <w:tcBorders>
              <w:bottom w:val="single" w:sz="2" w:space="0" w:color="000000"/>
            </w:tcBorders>
            <w:vAlign w:val="center"/>
          </w:tcPr>
          <w:p>
            <w:pPr>
              <w:pStyle w:val="TableContents"/>
              <w:bidi w:val="0"/>
              <w:spacing w:before="0" w:after="283"/>
              <w:jc w:val="right"/>
              <w:rPr/>
            </w:pPr>
            <w:r>
              <w:rPr/>
              <w:t>$0</w:t>
            </w:r>
          </w:p>
        </w:tc>
        <w:tc>
          <w:tcPr>
            <w:tcW w:w="300" w:type="dxa"/>
            <w:tcBorders>
              <w:bottom w:val="single" w:sz="2" w:space="0" w:color="000000"/>
            </w:tcBorders>
            <w:vAlign w:val="center"/>
          </w:tcPr>
          <w:p>
            <w:pPr>
              <w:pStyle w:val="TableContents"/>
              <w:bidi w:val="0"/>
              <w:spacing w:before="0" w:after="283"/>
              <w:jc w:val="left"/>
              <w:rPr/>
            </w:pPr>
            <w:r>
              <w:rPr/>
              <w:t> </w:t>
            </w:r>
          </w:p>
        </w:tc>
        <w:tc>
          <w:tcPr>
            <w:tcW w:w="2154" w:type="dxa"/>
            <w:tcBorders>
              <w:bottom w:val="single" w:sz="2" w:space="0" w:color="000000"/>
            </w:tcBorders>
            <w:vAlign w:val="center"/>
          </w:tcPr>
          <w:p>
            <w:pPr>
              <w:pStyle w:val="TableContents"/>
              <w:bidi w:val="0"/>
              <w:spacing w:before="0" w:after="283"/>
              <w:jc w:val="right"/>
              <w:rPr/>
            </w:pPr>
            <w:r>
              <w:rPr/>
              <w:t>$908,500</w:t>
            </w:r>
          </w:p>
        </w:tc>
      </w:tr>
      <w:tr>
        <w:trPr/>
        <w:tc>
          <w:tcPr>
            <w:tcW w:w="2132" w:type="dxa"/>
            <w:tcBorders>
              <w:bottom w:val="single" w:sz="2" w:space="0" w:color="000000"/>
            </w:tcBorders>
            <w:vAlign w:val="center"/>
          </w:tcPr>
          <w:p>
            <w:pPr>
              <w:pStyle w:val="TableContents"/>
              <w:bidi w:val="0"/>
              <w:spacing w:before="0" w:after="283"/>
              <w:jc w:val="left"/>
              <w:rPr/>
            </w:pPr>
            <w:r>
              <w:rPr/>
              <w:t>Pension</w:t>
            </w:r>
            <w:r>
              <w:rPr>
                <w:position w:val="8"/>
                <w:sz w:val="19"/>
              </w:rPr>
              <w:t>(6)</w:t>
            </w:r>
          </w:p>
        </w:tc>
        <w:tc>
          <w:tcPr>
            <w:tcW w:w="300" w:type="dxa"/>
            <w:tcBorders>
              <w:bottom w:val="single" w:sz="2" w:space="0" w:color="000000"/>
            </w:tcBorders>
            <w:vAlign w:val="center"/>
          </w:tcPr>
          <w:p>
            <w:pPr>
              <w:pStyle w:val="TableContents"/>
              <w:bidi w:val="0"/>
              <w:spacing w:before="0" w:after="283"/>
              <w:jc w:val="left"/>
              <w:rPr/>
            </w:pPr>
            <w:r>
              <w:rPr/>
              <w:t> </w:t>
            </w:r>
          </w:p>
        </w:tc>
        <w:tc>
          <w:tcPr>
            <w:tcW w:w="1730" w:type="dxa"/>
            <w:tcBorders>
              <w:bottom w:val="single" w:sz="2" w:space="0" w:color="000000"/>
            </w:tcBorders>
            <w:vAlign w:val="center"/>
          </w:tcPr>
          <w:p>
            <w:pPr>
              <w:pStyle w:val="TableContents"/>
              <w:bidi w:val="0"/>
              <w:spacing w:before="0" w:after="283"/>
              <w:jc w:val="right"/>
              <w:rPr/>
            </w:pPr>
            <w:r>
              <w:rPr/>
              <w:t>$0</w:t>
            </w:r>
          </w:p>
        </w:tc>
        <w:tc>
          <w:tcPr>
            <w:tcW w:w="300" w:type="dxa"/>
            <w:tcBorders>
              <w:bottom w:val="single" w:sz="2" w:space="0" w:color="000000"/>
            </w:tcBorders>
            <w:vAlign w:val="center"/>
          </w:tcPr>
          <w:p>
            <w:pPr>
              <w:pStyle w:val="TableContents"/>
              <w:bidi w:val="0"/>
              <w:spacing w:before="0" w:after="283"/>
              <w:jc w:val="left"/>
              <w:rPr/>
            </w:pPr>
            <w:r>
              <w:rPr/>
              <w:t> </w:t>
            </w:r>
          </w:p>
        </w:tc>
        <w:tc>
          <w:tcPr>
            <w:tcW w:w="1730" w:type="dxa"/>
            <w:tcBorders>
              <w:bottom w:val="single" w:sz="2" w:space="0" w:color="000000"/>
            </w:tcBorders>
            <w:vAlign w:val="center"/>
          </w:tcPr>
          <w:p>
            <w:pPr>
              <w:pStyle w:val="TableContents"/>
              <w:bidi w:val="0"/>
              <w:spacing w:before="0" w:after="283"/>
              <w:jc w:val="right"/>
              <w:rPr/>
            </w:pPr>
            <w:r>
              <w:rPr/>
              <w:t>$0</w:t>
            </w:r>
          </w:p>
        </w:tc>
        <w:tc>
          <w:tcPr>
            <w:tcW w:w="300" w:type="dxa"/>
            <w:tcBorders>
              <w:bottom w:val="single" w:sz="2" w:space="0" w:color="000000"/>
            </w:tcBorders>
            <w:vAlign w:val="center"/>
          </w:tcPr>
          <w:p>
            <w:pPr>
              <w:pStyle w:val="TableContents"/>
              <w:bidi w:val="0"/>
              <w:spacing w:before="0" w:after="283"/>
              <w:jc w:val="left"/>
              <w:rPr/>
            </w:pPr>
            <w:r>
              <w:rPr/>
              <w:t> </w:t>
            </w:r>
          </w:p>
        </w:tc>
        <w:tc>
          <w:tcPr>
            <w:tcW w:w="1259" w:type="dxa"/>
            <w:tcBorders>
              <w:bottom w:val="single" w:sz="2" w:space="0" w:color="000000"/>
            </w:tcBorders>
            <w:vAlign w:val="center"/>
          </w:tcPr>
          <w:p>
            <w:pPr>
              <w:pStyle w:val="TableContents"/>
              <w:bidi w:val="0"/>
              <w:spacing w:before="0" w:after="283"/>
              <w:jc w:val="right"/>
              <w:rPr/>
            </w:pPr>
            <w:r>
              <w:rPr/>
              <w:t>$0</w:t>
            </w:r>
          </w:p>
        </w:tc>
        <w:tc>
          <w:tcPr>
            <w:tcW w:w="300" w:type="dxa"/>
            <w:tcBorders>
              <w:bottom w:val="single" w:sz="2" w:space="0" w:color="000000"/>
            </w:tcBorders>
            <w:vAlign w:val="center"/>
          </w:tcPr>
          <w:p>
            <w:pPr>
              <w:pStyle w:val="TableContents"/>
              <w:bidi w:val="0"/>
              <w:spacing w:before="0" w:after="283"/>
              <w:jc w:val="left"/>
              <w:rPr/>
            </w:pPr>
            <w:r>
              <w:rPr/>
              <w:t> </w:t>
            </w:r>
          </w:p>
        </w:tc>
        <w:tc>
          <w:tcPr>
            <w:tcW w:w="2154" w:type="dxa"/>
            <w:tcBorders>
              <w:bottom w:val="single" w:sz="2" w:space="0" w:color="000000"/>
            </w:tcBorders>
            <w:vAlign w:val="center"/>
          </w:tcPr>
          <w:p>
            <w:pPr>
              <w:pStyle w:val="TableContents"/>
              <w:bidi w:val="0"/>
              <w:spacing w:before="0" w:after="283"/>
              <w:jc w:val="right"/>
              <w:rPr/>
            </w:pPr>
            <w:r>
              <w:rPr/>
              <w:t>$0</w:t>
            </w:r>
          </w:p>
        </w:tc>
      </w:tr>
      <w:tr>
        <w:trPr/>
        <w:tc>
          <w:tcPr>
            <w:tcW w:w="2132" w:type="dxa"/>
            <w:tcBorders>
              <w:bottom w:val="single" w:sz="2" w:space="0" w:color="000000"/>
            </w:tcBorders>
            <w:vAlign w:val="center"/>
          </w:tcPr>
          <w:p>
            <w:pPr>
              <w:pStyle w:val="TableContents"/>
              <w:bidi w:val="0"/>
              <w:spacing w:before="0" w:after="283"/>
              <w:jc w:val="left"/>
              <w:rPr/>
            </w:pPr>
            <w:r>
              <w:rPr/>
              <w:t>Health &amp; Welfare Continuation</w:t>
            </w:r>
            <w:r>
              <w:rPr>
                <w:position w:val="8"/>
                <w:sz w:val="19"/>
              </w:rPr>
              <w:t>(7)</w:t>
            </w:r>
          </w:p>
        </w:tc>
        <w:tc>
          <w:tcPr>
            <w:tcW w:w="300" w:type="dxa"/>
            <w:tcBorders>
              <w:bottom w:val="single" w:sz="2" w:space="0" w:color="000000"/>
            </w:tcBorders>
            <w:vAlign w:val="center"/>
          </w:tcPr>
          <w:p>
            <w:pPr>
              <w:pStyle w:val="TableContents"/>
              <w:bidi w:val="0"/>
              <w:spacing w:before="0" w:after="283"/>
              <w:jc w:val="left"/>
              <w:rPr/>
            </w:pPr>
            <w:r>
              <w:rPr/>
              <w:t> </w:t>
            </w:r>
          </w:p>
        </w:tc>
        <w:tc>
          <w:tcPr>
            <w:tcW w:w="1730" w:type="dxa"/>
            <w:tcBorders>
              <w:bottom w:val="single" w:sz="2" w:space="0" w:color="000000"/>
            </w:tcBorders>
            <w:vAlign w:val="center"/>
          </w:tcPr>
          <w:p>
            <w:pPr>
              <w:pStyle w:val="TableContents"/>
              <w:bidi w:val="0"/>
              <w:spacing w:before="0" w:after="283"/>
              <w:jc w:val="right"/>
              <w:rPr/>
            </w:pPr>
            <w:r>
              <w:rPr/>
              <w:t>$0</w:t>
            </w:r>
          </w:p>
        </w:tc>
        <w:tc>
          <w:tcPr>
            <w:tcW w:w="300" w:type="dxa"/>
            <w:tcBorders>
              <w:bottom w:val="single" w:sz="2" w:space="0" w:color="000000"/>
            </w:tcBorders>
            <w:vAlign w:val="center"/>
          </w:tcPr>
          <w:p>
            <w:pPr>
              <w:pStyle w:val="TableContents"/>
              <w:bidi w:val="0"/>
              <w:spacing w:before="0" w:after="283"/>
              <w:jc w:val="left"/>
              <w:rPr/>
            </w:pPr>
            <w:r>
              <w:rPr/>
              <w:t> </w:t>
            </w:r>
          </w:p>
        </w:tc>
        <w:tc>
          <w:tcPr>
            <w:tcW w:w="1730" w:type="dxa"/>
            <w:tcBorders>
              <w:bottom w:val="single" w:sz="2" w:space="0" w:color="000000"/>
            </w:tcBorders>
            <w:vAlign w:val="center"/>
          </w:tcPr>
          <w:p>
            <w:pPr>
              <w:pStyle w:val="TableContents"/>
              <w:bidi w:val="0"/>
              <w:spacing w:before="0" w:after="283"/>
              <w:jc w:val="right"/>
              <w:rPr/>
            </w:pPr>
            <w:r>
              <w:rPr/>
              <w:t>$26,283</w:t>
            </w:r>
          </w:p>
        </w:tc>
        <w:tc>
          <w:tcPr>
            <w:tcW w:w="300" w:type="dxa"/>
            <w:tcBorders>
              <w:bottom w:val="single" w:sz="2" w:space="0" w:color="000000"/>
            </w:tcBorders>
            <w:vAlign w:val="center"/>
          </w:tcPr>
          <w:p>
            <w:pPr>
              <w:pStyle w:val="TableContents"/>
              <w:bidi w:val="0"/>
              <w:spacing w:before="0" w:after="283"/>
              <w:jc w:val="left"/>
              <w:rPr/>
            </w:pPr>
            <w:r>
              <w:rPr/>
              <w:t> </w:t>
            </w:r>
          </w:p>
        </w:tc>
        <w:tc>
          <w:tcPr>
            <w:tcW w:w="1259" w:type="dxa"/>
            <w:tcBorders>
              <w:bottom w:val="single" w:sz="2" w:space="0" w:color="000000"/>
            </w:tcBorders>
            <w:vAlign w:val="center"/>
          </w:tcPr>
          <w:p>
            <w:pPr>
              <w:pStyle w:val="TableContents"/>
              <w:bidi w:val="0"/>
              <w:spacing w:before="0" w:after="283"/>
              <w:jc w:val="right"/>
              <w:rPr/>
            </w:pPr>
            <w:r>
              <w:rPr/>
              <w:t>$0</w:t>
            </w:r>
          </w:p>
        </w:tc>
        <w:tc>
          <w:tcPr>
            <w:tcW w:w="300" w:type="dxa"/>
            <w:tcBorders>
              <w:bottom w:val="single" w:sz="2" w:space="0" w:color="000000"/>
            </w:tcBorders>
            <w:vAlign w:val="center"/>
          </w:tcPr>
          <w:p>
            <w:pPr>
              <w:pStyle w:val="TableContents"/>
              <w:bidi w:val="0"/>
              <w:spacing w:before="0" w:after="283"/>
              <w:jc w:val="left"/>
              <w:rPr/>
            </w:pPr>
            <w:r>
              <w:rPr/>
              <w:t> </w:t>
            </w:r>
          </w:p>
        </w:tc>
        <w:tc>
          <w:tcPr>
            <w:tcW w:w="2154" w:type="dxa"/>
            <w:tcBorders>
              <w:bottom w:val="single" w:sz="2" w:space="0" w:color="000000"/>
            </w:tcBorders>
            <w:vAlign w:val="center"/>
          </w:tcPr>
          <w:p>
            <w:pPr>
              <w:pStyle w:val="TableContents"/>
              <w:bidi w:val="0"/>
              <w:spacing w:before="0" w:after="283"/>
              <w:jc w:val="right"/>
              <w:rPr/>
            </w:pPr>
            <w:r>
              <w:rPr/>
              <w:t>$26,283</w:t>
            </w:r>
          </w:p>
        </w:tc>
      </w:tr>
      <w:tr>
        <w:trPr/>
        <w:tc>
          <w:tcPr>
            <w:tcW w:w="2132" w:type="dxa"/>
            <w:tcBorders>
              <w:bottom w:val="single" w:sz="2" w:space="0" w:color="000000"/>
            </w:tcBorders>
            <w:vAlign w:val="center"/>
          </w:tcPr>
          <w:p>
            <w:pPr>
              <w:pStyle w:val="TableContents"/>
              <w:bidi w:val="0"/>
              <w:spacing w:before="0" w:after="283"/>
              <w:jc w:val="left"/>
              <w:rPr/>
            </w:pPr>
            <w:r>
              <w:rPr/>
              <w:t>Accrued Paid Time Off</w:t>
            </w:r>
          </w:p>
        </w:tc>
        <w:tc>
          <w:tcPr>
            <w:tcW w:w="300" w:type="dxa"/>
            <w:tcBorders>
              <w:bottom w:val="single" w:sz="2" w:space="0" w:color="000000"/>
            </w:tcBorders>
            <w:vAlign w:val="center"/>
          </w:tcPr>
          <w:p>
            <w:pPr>
              <w:pStyle w:val="TableContents"/>
              <w:bidi w:val="0"/>
              <w:spacing w:before="0" w:after="283"/>
              <w:jc w:val="left"/>
              <w:rPr/>
            </w:pPr>
            <w:r>
              <w:rPr/>
              <w:t> </w:t>
            </w:r>
          </w:p>
        </w:tc>
        <w:tc>
          <w:tcPr>
            <w:tcW w:w="1730" w:type="dxa"/>
            <w:tcBorders>
              <w:bottom w:val="single" w:sz="2" w:space="0" w:color="000000"/>
            </w:tcBorders>
            <w:vAlign w:val="center"/>
          </w:tcPr>
          <w:p>
            <w:pPr>
              <w:pStyle w:val="TableContents"/>
              <w:bidi w:val="0"/>
              <w:spacing w:before="0" w:after="283"/>
              <w:jc w:val="right"/>
              <w:rPr/>
            </w:pPr>
            <w:r>
              <w:rPr/>
              <w:t>$0</w:t>
            </w:r>
          </w:p>
        </w:tc>
        <w:tc>
          <w:tcPr>
            <w:tcW w:w="300" w:type="dxa"/>
            <w:tcBorders>
              <w:bottom w:val="single" w:sz="2" w:space="0" w:color="000000"/>
            </w:tcBorders>
            <w:vAlign w:val="center"/>
          </w:tcPr>
          <w:p>
            <w:pPr>
              <w:pStyle w:val="TableContents"/>
              <w:bidi w:val="0"/>
              <w:spacing w:before="0" w:after="283"/>
              <w:jc w:val="left"/>
              <w:rPr/>
            </w:pPr>
            <w:r>
              <w:rPr/>
              <w:t> </w:t>
            </w:r>
          </w:p>
        </w:tc>
        <w:tc>
          <w:tcPr>
            <w:tcW w:w="1730" w:type="dxa"/>
            <w:tcBorders>
              <w:bottom w:val="single" w:sz="2" w:space="0" w:color="000000"/>
            </w:tcBorders>
            <w:vAlign w:val="center"/>
          </w:tcPr>
          <w:p>
            <w:pPr>
              <w:pStyle w:val="TableContents"/>
              <w:bidi w:val="0"/>
              <w:spacing w:before="0" w:after="283"/>
              <w:jc w:val="right"/>
              <w:rPr/>
            </w:pPr>
            <w:r>
              <w:rPr/>
              <w:t>$0</w:t>
            </w:r>
          </w:p>
        </w:tc>
        <w:tc>
          <w:tcPr>
            <w:tcW w:w="300" w:type="dxa"/>
            <w:tcBorders>
              <w:bottom w:val="single" w:sz="2" w:space="0" w:color="000000"/>
            </w:tcBorders>
            <w:vAlign w:val="center"/>
          </w:tcPr>
          <w:p>
            <w:pPr>
              <w:pStyle w:val="TableContents"/>
              <w:bidi w:val="0"/>
              <w:spacing w:before="0" w:after="283"/>
              <w:jc w:val="left"/>
              <w:rPr/>
            </w:pPr>
            <w:r>
              <w:rPr/>
              <w:t> </w:t>
            </w:r>
          </w:p>
        </w:tc>
        <w:tc>
          <w:tcPr>
            <w:tcW w:w="1259" w:type="dxa"/>
            <w:tcBorders>
              <w:bottom w:val="single" w:sz="2" w:space="0" w:color="000000"/>
            </w:tcBorders>
            <w:vAlign w:val="center"/>
          </w:tcPr>
          <w:p>
            <w:pPr>
              <w:pStyle w:val="TableContents"/>
              <w:bidi w:val="0"/>
              <w:spacing w:before="0" w:after="283"/>
              <w:jc w:val="right"/>
              <w:rPr/>
            </w:pPr>
            <w:r>
              <w:rPr/>
              <w:t>$0</w:t>
            </w:r>
          </w:p>
        </w:tc>
        <w:tc>
          <w:tcPr>
            <w:tcW w:w="300" w:type="dxa"/>
            <w:tcBorders>
              <w:bottom w:val="single" w:sz="2" w:space="0" w:color="000000"/>
            </w:tcBorders>
            <w:vAlign w:val="center"/>
          </w:tcPr>
          <w:p>
            <w:pPr>
              <w:pStyle w:val="TableContents"/>
              <w:bidi w:val="0"/>
              <w:spacing w:before="0" w:after="283"/>
              <w:jc w:val="left"/>
              <w:rPr/>
            </w:pPr>
            <w:r>
              <w:rPr/>
              <w:t> </w:t>
            </w:r>
          </w:p>
        </w:tc>
        <w:tc>
          <w:tcPr>
            <w:tcW w:w="2154" w:type="dxa"/>
            <w:tcBorders>
              <w:bottom w:val="single" w:sz="2" w:space="0" w:color="000000"/>
            </w:tcBorders>
            <w:vAlign w:val="center"/>
          </w:tcPr>
          <w:p>
            <w:pPr>
              <w:pStyle w:val="TableContents"/>
              <w:bidi w:val="0"/>
              <w:spacing w:before="0" w:after="283"/>
              <w:jc w:val="right"/>
              <w:rPr/>
            </w:pPr>
            <w:r>
              <w:rPr/>
              <w:t>$0</w:t>
            </w:r>
          </w:p>
        </w:tc>
      </w:tr>
      <w:tr>
        <w:trPr/>
        <w:tc>
          <w:tcPr>
            <w:tcW w:w="2132" w:type="dxa"/>
            <w:tcBorders>
              <w:bottom w:val="single" w:sz="2" w:space="0" w:color="000000"/>
            </w:tcBorders>
            <w:vAlign w:val="center"/>
          </w:tcPr>
          <w:p>
            <w:pPr>
              <w:pStyle w:val="TableContents"/>
              <w:bidi w:val="0"/>
              <w:spacing w:before="0" w:after="283"/>
              <w:jc w:val="left"/>
              <w:rPr/>
            </w:pPr>
            <w:r>
              <w:rPr/>
              <w:t>Option Awards</w:t>
            </w:r>
            <w:r>
              <w:rPr>
                <w:position w:val="8"/>
                <w:sz w:val="19"/>
              </w:rPr>
              <w:t>(8)</w:t>
            </w:r>
          </w:p>
        </w:tc>
        <w:tc>
          <w:tcPr>
            <w:tcW w:w="300" w:type="dxa"/>
            <w:tcBorders>
              <w:bottom w:val="single" w:sz="2" w:space="0" w:color="000000"/>
            </w:tcBorders>
            <w:vAlign w:val="center"/>
          </w:tcPr>
          <w:p>
            <w:pPr>
              <w:pStyle w:val="TableContents"/>
              <w:bidi w:val="0"/>
              <w:spacing w:before="0" w:after="283"/>
              <w:jc w:val="left"/>
              <w:rPr/>
            </w:pPr>
            <w:r>
              <w:rPr/>
              <w:t> </w:t>
            </w:r>
          </w:p>
        </w:tc>
        <w:tc>
          <w:tcPr>
            <w:tcW w:w="1730" w:type="dxa"/>
            <w:tcBorders>
              <w:bottom w:val="single" w:sz="2" w:space="0" w:color="000000"/>
            </w:tcBorders>
            <w:vAlign w:val="center"/>
          </w:tcPr>
          <w:p>
            <w:pPr>
              <w:pStyle w:val="TableContents"/>
              <w:bidi w:val="0"/>
              <w:spacing w:before="0" w:after="283"/>
              <w:jc w:val="right"/>
              <w:rPr/>
            </w:pPr>
            <w:r>
              <w:rPr/>
              <w:t>$0</w:t>
            </w:r>
          </w:p>
        </w:tc>
        <w:tc>
          <w:tcPr>
            <w:tcW w:w="300" w:type="dxa"/>
            <w:tcBorders>
              <w:bottom w:val="single" w:sz="2" w:space="0" w:color="000000"/>
            </w:tcBorders>
            <w:vAlign w:val="center"/>
          </w:tcPr>
          <w:p>
            <w:pPr>
              <w:pStyle w:val="TableContents"/>
              <w:bidi w:val="0"/>
              <w:spacing w:before="0" w:after="283"/>
              <w:jc w:val="left"/>
              <w:rPr/>
            </w:pPr>
            <w:r>
              <w:rPr/>
              <w:t> </w:t>
            </w:r>
          </w:p>
        </w:tc>
        <w:tc>
          <w:tcPr>
            <w:tcW w:w="1730" w:type="dxa"/>
            <w:tcBorders>
              <w:bottom w:val="single" w:sz="2" w:space="0" w:color="000000"/>
            </w:tcBorders>
            <w:vAlign w:val="center"/>
          </w:tcPr>
          <w:p>
            <w:pPr>
              <w:pStyle w:val="TableContents"/>
              <w:bidi w:val="0"/>
              <w:spacing w:before="0" w:after="283"/>
              <w:jc w:val="right"/>
              <w:rPr/>
            </w:pPr>
            <w:r>
              <w:rPr/>
              <w:t>$2,779,874</w:t>
            </w:r>
          </w:p>
        </w:tc>
        <w:tc>
          <w:tcPr>
            <w:tcW w:w="300" w:type="dxa"/>
            <w:tcBorders>
              <w:bottom w:val="single" w:sz="2" w:space="0" w:color="000000"/>
            </w:tcBorders>
            <w:vAlign w:val="center"/>
          </w:tcPr>
          <w:p>
            <w:pPr>
              <w:pStyle w:val="TableContents"/>
              <w:bidi w:val="0"/>
              <w:spacing w:before="0" w:after="283"/>
              <w:jc w:val="left"/>
              <w:rPr/>
            </w:pPr>
            <w:r>
              <w:rPr/>
              <w:t> </w:t>
            </w:r>
          </w:p>
        </w:tc>
        <w:tc>
          <w:tcPr>
            <w:tcW w:w="1259" w:type="dxa"/>
            <w:tcBorders>
              <w:bottom w:val="single" w:sz="2" w:space="0" w:color="000000"/>
            </w:tcBorders>
            <w:vAlign w:val="center"/>
          </w:tcPr>
          <w:p>
            <w:pPr>
              <w:pStyle w:val="TableContents"/>
              <w:bidi w:val="0"/>
              <w:spacing w:before="0" w:after="283"/>
              <w:jc w:val="right"/>
              <w:rPr/>
            </w:pPr>
            <w:r>
              <w:rPr/>
              <w:t>$2,779,874</w:t>
            </w:r>
          </w:p>
        </w:tc>
        <w:tc>
          <w:tcPr>
            <w:tcW w:w="300" w:type="dxa"/>
            <w:tcBorders>
              <w:bottom w:val="single" w:sz="2" w:space="0" w:color="000000"/>
            </w:tcBorders>
            <w:vAlign w:val="center"/>
          </w:tcPr>
          <w:p>
            <w:pPr>
              <w:pStyle w:val="TableContents"/>
              <w:bidi w:val="0"/>
              <w:spacing w:before="0" w:after="283"/>
              <w:jc w:val="left"/>
              <w:rPr/>
            </w:pPr>
            <w:r>
              <w:rPr/>
              <w:t> </w:t>
            </w:r>
          </w:p>
        </w:tc>
        <w:tc>
          <w:tcPr>
            <w:tcW w:w="2154" w:type="dxa"/>
            <w:tcBorders>
              <w:bottom w:val="single" w:sz="2" w:space="0" w:color="000000"/>
            </w:tcBorders>
            <w:vAlign w:val="center"/>
          </w:tcPr>
          <w:p>
            <w:pPr>
              <w:pStyle w:val="TableContents"/>
              <w:bidi w:val="0"/>
              <w:spacing w:before="0" w:after="283"/>
              <w:jc w:val="right"/>
              <w:rPr/>
            </w:pPr>
            <w:r>
              <w:rPr/>
              <w:t>$4,849,972</w:t>
            </w:r>
          </w:p>
        </w:tc>
      </w:tr>
      <w:tr>
        <w:trPr/>
        <w:tc>
          <w:tcPr>
            <w:tcW w:w="2132" w:type="dxa"/>
            <w:tcBorders>
              <w:bottom w:val="single" w:sz="12" w:space="0" w:color="636466"/>
            </w:tcBorders>
            <w:vAlign w:val="center"/>
          </w:tcPr>
          <w:p>
            <w:pPr>
              <w:pStyle w:val="TableContents"/>
              <w:bidi w:val="0"/>
              <w:spacing w:before="0" w:after="283"/>
              <w:jc w:val="left"/>
              <w:rPr/>
            </w:pPr>
            <w:r>
              <w:rPr/>
              <w:t>Stock Awards</w:t>
            </w:r>
            <w:r>
              <w:rPr>
                <w:position w:val="8"/>
                <w:sz w:val="19"/>
              </w:rPr>
              <w:t>(8)</w:t>
            </w:r>
          </w:p>
        </w:tc>
        <w:tc>
          <w:tcPr>
            <w:tcW w:w="300" w:type="dxa"/>
            <w:tcBorders>
              <w:bottom w:val="single" w:sz="12" w:space="0" w:color="636466"/>
            </w:tcBorders>
            <w:vAlign w:val="center"/>
          </w:tcPr>
          <w:p>
            <w:pPr>
              <w:pStyle w:val="TableContents"/>
              <w:bidi w:val="0"/>
              <w:spacing w:before="0" w:after="283"/>
              <w:jc w:val="left"/>
              <w:rPr/>
            </w:pPr>
            <w:r>
              <w:rPr/>
              <w:t> </w:t>
            </w:r>
          </w:p>
        </w:tc>
        <w:tc>
          <w:tcPr>
            <w:tcW w:w="1730" w:type="dxa"/>
            <w:tcBorders>
              <w:bottom w:val="single" w:sz="12" w:space="0" w:color="636466"/>
            </w:tcBorders>
            <w:vAlign w:val="center"/>
          </w:tcPr>
          <w:p>
            <w:pPr>
              <w:pStyle w:val="TableContents"/>
              <w:bidi w:val="0"/>
              <w:spacing w:before="0" w:after="283"/>
              <w:jc w:val="right"/>
              <w:rPr/>
            </w:pPr>
            <w:r>
              <w:rPr/>
              <w:t>$0</w:t>
            </w:r>
          </w:p>
        </w:tc>
        <w:tc>
          <w:tcPr>
            <w:tcW w:w="300" w:type="dxa"/>
            <w:tcBorders>
              <w:bottom w:val="single" w:sz="12" w:space="0" w:color="636466"/>
            </w:tcBorders>
            <w:vAlign w:val="center"/>
          </w:tcPr>
          <w:p>
            <w:pPr>
              <w:pStyle w:val="TableContents"/>
              <w:bidi w:val="0"/>
              <w:spacing w:before="0" w:after="283"/>
              <w:jc w:val="left"/>
              <w:rPr/>
            </w:pPr>
            <w:r>
              <w:rPr/>
              <w:t> </w:t>
            </w:r>
          </w:p>
        </w:tc>
        <w:tc>
          <w:tcPr>
            <w:tcW w:w="1730" w:type="dxa"/>
            <w:tcBorders>
              <w:bottom w:val="single" w:sz="12" w:space="0" w:color="636466"/>
            </w:tcBorders>
            <w:vAlign w:val="center"/>
          </w:tcPr>
          <w:p>
            <w:pPr>
              <w:pStyle w:val="TableContents"/>
              <w:bidi w:val="0"/>
              <w:spacing w:before="0" w:after="283"/>
              <w:jc w:val="right"/>
              <w:rPr/>
            </w:pPr>
            <w:r>
              <w:rPr/>
              <w:t>$3,101,863</w:t>
            </w:r>
          </w:p>
        </w:tc>
        <w:tc>
          <w:tcPr>
            <w:tcW w:w="300" w:type="dxa"/>
            <w:tcBorders>
              <w:bottom w:val="single" w:sz="12" w:space="0" w:color="636466"/>
            </w:tcBorders>
            <w:vAlign w:val="center"/>
          </w:tcPr>
          <w:p>
            <w:pPr>
              <w:pStyle w:val="TableContents"/>
              <w:bidi w:val="0"/>
              <w:spacing w:before="0" w:after="283"/>
              <w:jc w:val="left"/>
              <w:rPr/>
            </w:pPr>
            <w:r>
              <w:rPr/>
              <w:t> </w:t>
            </w:r>
          </w:p>
        </w:tc>
        <w:tc>
          <w:tcPr>
            <w:tcW w:w="1259" w:type="dxa"/>
            <w:tcBorders>
              <w:bottom w:val="single" w:sz="12" w:space="0" w:color="636466"/>
            </w:tcBorders>
            <w:vAlign w:val="center"/>
          </w:tcPr>
          <w:p>
            <w:pPr>
              <w:pStyle w:val="TableContents"/>
              <w:bidi w:val="0"/>
              <w:spacing w:before="0" w:after="283"/>
              <w:jc w:val="right"/>
              <w:rPr/>
            </w:pPr>
            <w:r>
              <w:rPr/>
              <w:t>$3,101,863</w:t>
            </w:r>
          </w:p>
        </w:tc>
        <w:tc>
          <w:tcPr>
            <w:tcW w:w="300" w:type="dxa"/>
            <w:tcBorders>
              <w:bottom w:val="single" w:sz="12" w:space="0" w:color="636466"/>
            </w:tcBorders>
            <w:vAlign w:val="center"/>
          </w:tcPr>
          <w:p>
            <w:pPr>
              <w:pStyle w:val="TableContents"/>
              <w:bidi w:val="0"/>
              <w:spacing w:before="0" w:after="283"/>
              <w:jc w:val="left"/>
              <w:rPr/>
            </w:pPr>
            <w:r>
              <w:rPr/>
              <w:t> </w:t>
            </w:r>
          </w:p>
        </w:tc>
        <w:tc>
          <w:tcPr>
            <w:tcW w:w="2154" w:type="dxa"/>
            <w:tcBorders>
              <w:bottom w:val="single" w:sz="12" w:space="0" w:color="636466"/>
            </w:tcBorders>
            <w:vAlign w:val="center"/>
          </w:tcPr>
          <w:p>
            <w:pPr>
              <w:pStyle w:val="TableContents"/>
              <w:bidi w:val="0"/>
              <w:spacing w:before="0" w:after="283"/>
              <w:jc w:val="right"/>
              <w:rPr/>
            </w:pPr>
            <w:r>
              <w:rPr/>
              <w:t>$14,461,108</w:t>
            </w:r>
          </w:p>
        </w:tc>
      </w:tr>
      <w:tr>
        <w:trPr/>
        <w:tc>
          <w:tcPr>
            <w:tcW w:w="2132" w:type="dxa"/>
            <w:tcBorders>
              <w:bottom w:val="single" w:sz="12" w:space="0" w:color="636466"/>
            </w:tcBorders>
            <w:shd w:fill="EDEDEE" w:val="clear"/>
            <w:vAlign w:val="center"/>
          </w:tcPr>
          <w:p>
            <w:pPr>
              <w:pStyle w:val="TableContents"/>
              <w:bidi w:val="0"/>
              <w:spacing w:before="0" w:after="283"/>
              <w:jc w:val="left"/>
              <w:rPr>
                <w:b/>
              </w:rPr>
            </w:pPr>
            <w:r>
              <w:rPr>
                <w:b/>
              </w:rPr>
              <w:t>Total</w:t>
            </w:r>
          </w:p>
        </w:tc>
        <w:tc>
          <w:tcPr>
            <w:tcW w:w="300" w:type="dxa"/>
            <w:tcBorders>
              <w:bottom w:val="single" w:sz="12" w:space="0" w:color="636466"/>
            </w:tcBorders>
            <w:shd w:fill="EDEDEE" w:val="clear"/>
            <w:vAlign w:val="center"/>
          </w:tcPr>
          <w:p>
            <w:pPr>
              <w:pStyle w:val="TableContents"/>
              <w:bidi w:val="0"/>
              <w:spacing w:before="0" w:after="283"/>
              <w:jc w:val="left"/>
              <w:rPr/>
            </w:pPr>
            <w:r>
              <w:rPr/>
              <w:t> </w:t>
            </w:r>
          </w:p>
        </w:tc>
        <w:tc>
          <w:tcPr>
            <w:tcW w:w="1730" w:type="dxa"/>
            <w:tcBorders>
              <w:bottom w:val="single" w:sz="12" w:space="0" w:color="636466"/>
            </w:tcBorders>
            <w:shd w:fill="EDEDEE" w:val="clear"/>
            <w:vAlign w:val="center"/>
          </w:tcPr>
          <w:p>
            <w:pPr>
              <w:pStyle w:val="TableContents"/>
              <w:bidi w:val="0"/>
              <w:spacing w:before="0" w:after="283"/>
              <w:jc w:val="right"/>
              <w:rPr>
                <w:b/>
              </w:rPr>
            </w:pPr>
            <w:r>
              <w:rPr>
                <w:b/>
              </w:rPr>
              <w:t>$0</w:t>
            </w:r>
          </w:p>
        </w:tc>
        <w:tc>
          <w:tcPr>
            <w:tcW w:w="300" w:type="dxa"/>
            <w:tcBorders>
              <w:bottom w:val="single" w:sz="12" w:space="0" w:color="636466"/>
            </w:tcBorders>
            <w:shd w:fill="EDEDEE" w:val="clear"/>
            <w:vAlign w:val="center"/>
          </w:tcPr>
          <w:p>
            <w:pPr>
              <w:pStyle w:val="TableContents"/>
              <w:bidi w:val="0"/>
              <w:spacing w:before="0" w:after="283"/>
              <w:jc w:val="left"/>
              <w:rPr/>
            </w:pPr>
            <w:r>
              <w:rPr/>
              <w:t> </w:t>
            </w:r>
          </w:p>
        </w:tc>
        <w:tc>
          <w:tcPr>
            <w:tcW w:w="1730" w:type="dxa"/>
            <w:tcBorders>
              <w:bottom w:val="single" w:sz="12" w:space="0" w:color="636466"/>
            </w:tcBorders>
            <w:shd w:fill="EDEDEE" w:val="clear"/>
            <w:vAlign w:val="center"/>
          </w:tcPr>
          <w:p>
            <w:pPr>
              <w:pStyle w:val="TableContents"/>
              <w:bidi w:val="0"/>
              <w:spacing w:before="0" w:after="283"/>
              <w:jc w:val="right"/>
              <w:rPr>
                <w:b/>
              </w:rPr>
            </w:pPr>
            <w:r>
              <w:rPr>
                <w:b/>
              </w:rPr>
              <w:t>$6,816,520</w:t>
            </w:r>
          </w:p>
        </w:tc>
        <w:tc>
          <w:tcPr>
            <w:tcW w:w="300" w:type="dxa"/>
            <w:tcBorders>
              <w:bottom w:val="single" w:sz="12" w:space="0" w:color="636466"/>
            </w:tcBorders>
            <w:shd w:fill="EDEDEE" w:val="clear"/>
            <w:vAlign w:val="center"/>
          </w:tcPr>
          <w:p>
            <w:pPr>
              <w:pStyle w:val="TableContents"/>
              <w:bidi w:val="0"/>
              <w:spacing w:before="0" w:after="283"/>
              <w:jc w:val="left"/>
              <w:rPr/>
            </w:pPr>
            <w:r>
              <w:rPr/>
              <w:t> </w:t>
            </w:r>
          </w:p>
        </w:tc>
        <w:tc>
          <w:tcPr>
            <w:tcW w:w="1259" w:type="dxa"/>
            <w:tcBorders>
              <w:bottom w:val="single" w:sz="12" w:space="0" w:color="636466"/>
            </w:tcBorders>
            <w:shd w:fill="EDEDEE" w:val="clear"/>
            <w:vAlign w:val="center"/>
          </w:tcPr>
          <w:p>
            <w:pPr>
              <w:pStyle w:val="TableContents"/>
              <w:bidi w:val="0"/>
              <w:spacing w:before="0" w:after="283"/>
              <w:jc w:val="right"/>
              <w:rPr>
                <w:b/>
              </w:rPr>
            </w:pPr>
            <w:r>
              <w:rPr>
                <w:b/>
              </w:rPr>
              <w:t>$5,881,737</w:t>
            </w:r>
          </w:p>
        </w:tc>
        <w:tc>
          <w:tcPr>
            <w:tcW w:w="300" w:type="dxa"/>
            <w:tcBorders>
              <w:bottom w:val="single" w:sz="12" w:space="0" w:color="636466"/>
            </w:tcBorders>
            <w:shd w:fill="EDEDEE" w:val="clear"/>
            <w:vAlign w:val="center"/>
          </w:tcPr>
          <w:p>
            <w:pPr>
              <w:pStyle w:val="TableContents"/>
              <w:bidi w:val="0"/>
              <w:spacing w:before="0" w:after="283"/>
              <w:jc w:val="left"/>
              <w:rPr/>
            </w:pPr>
            <w:r>
              <w:rPr/>
              <w:t> </w:t>
            </w:r>
          </w:p>
        </w:tc>
        <w:tc>
          <w:tcPr>
            <w:tcW w:w="2154" w:type="dxa"/>
            <w:tcBorders>
              <w:bottom w:val="single" w:sz="12" w:space="0" w:color="636466"/>
            </w:tcBorders>
            <w:shd w:fill="EDEDEE" w:val="clear"/>
            <w:vAlign w:val="center"/>
          </w:tcPr>
          <w:p>
            <w:pPr>
              <w:pStyle w:val="TableContents"/>
              <w:bidi w:val="0"/>
              <w:spacing w:before="0" w:after="283"/>
              <w:jc w:val="right"/>
              <w:rPr>
                <w:b/>
              </w:rPr>
            </w:pPr>
            <w:r>
              <w:rPr>
                <w:b/>
              </w:rPr>
              <w:t>$20,245,863</w:t>
            </w:r>
          </w:p>
        </w:tc>
      </w:tr>
    </w:tbl>
    <w:tbl>
      <w:tblPr>
        <w:tblW w:w="10205" w:type="dxa"/>
        <w:jc w:val="left"/>
        <w:tblInd w:w="0" w:type="dxa"/>
        <w:tblLayout w:type="fixed"/>
        <w:tblCellMar>
          <w:top w:w="0" w:type="dxa"/>
          <w:left w:w="0" w:type="dxa"/>
          <w:bottom w:w="0" w:type="dxa"/>
          <w:right w:w="0" w:type="dxa"/>
        </w:tblCellMar>
      </w:tblPr>
      <w:tblGrid>
        <w:gridCol w:w="236"/>
        <w:gridCol w:w="9969"/>
      </w:tblGrid>
      <w:tr>
        <w:trPr/>
        <w:tc>
          <w:tcPr>
            <w:tcW w:w="236" w:type="dxa"/>
            <w:tcBorders/>
            <w:vAlign w:val="center"/>
          </w:tcPr>
          <w:p>
            <w:pPr>
              <w:pStyle w:val="TableContents"/>
              <w:bidi w:val="0"/>
              <w:spacing w:before="0" w:after="283"/>
              <w:jc w:val="left"/>
              <w:rPr/>
            </w:pPr>
            <w:r>
              <w:rPr/>
              <w:t>(1)</w:t>
            </w:r>
          </w:p>
        </w:tc>
        <w:tc>
          <w:tcPr>
            <w:tcW w:w="9969" w:type="dxa"/>
            <w:tcBorders/>
            <w:vAlign w:val="center"/>
          </w:tcPr>
          <w:p>
            <w:pPr>
              <w:pStyle w:val="TableContents"/>
              <w:bidi w:val="0"/>
              <w:spacing w:before="0" w:after="283"/>
              <w:jc w:val="left"/>
              <w:rPr/>
            </w:pPr>
            <w:r>
              <w:rPr/>
              <w:t>Outstanding LTI awards would be forfeited upon an involuntary separation for cause.</w:t>
            </w:r>
          </w:p>
        </w:tc>
      </w:tr>
      <w:tr>
        <w:trPr/>
        <w:tc>
          <w:tcPr>
            <w:tcW w:w="236" w:type="dxa"/>
            <w:tcBorders/>
            <w:vAlign w:val="center"/>
          </w:tcPr>
          <w:p>
            <w:pPr>
              <w:pStyle w:val="TableContents"/>
              <w:bidi w:val="0"/>
              <w:spacing w:before="0" w:after="283"/>
              <w:jc w:val="left"/>
              <w:rPr/>
            </w:pPr>
            <w:r>
              <w:rPr/>
              <w:t>(2)</w:t>
            </w:r>
          </w:p>
        </w:tc>
        <w:tc>
          <w:tcPr>
            <w:tcW w:w="9969" w:type="dxa"/>
            <w:tcBorders/>
            <w:vAlign w:val="center"/>
          </w:tcPr>
          <w:p>
            <w:pPr>
              <w:pStyle w:val="TableContents"/>
              <w:bidi w:val="0"/>
              <w:spacing w:before="0" w:after="283"/>
              <w:jc w:val="left"/>
              <w:rPr/>
            </w:pPr>
            <w:r>
              <w:rPr/>
              <w:t>As of December 31, 2025, Mr. Brunk had attained retirement eligibility status under the terms of the RTX LTIP. As a result, in the event of an involuntary separation (without cause), his annual LTI awards would receive the beneficial treatment reserved for retirement-eligible employees. These awards, if outstanding for more than one year, would be treated as follows: (i) SARs and RSUs would vest; and (ii) PSUs would remain eligible to vest on the original vesting date, subject to the achievement of Company performance goals. An involuntary (without cause) separation would constitute a qualifying separation under the terms of the ELG RSU awards. However, as of December 31, 2025, Mr. Brunk had not been a member of the ELG for three or more years and as a result, his ELG RSU awards would be forfeited upon an involuntary (not for cause) separation. Annual LTI awards outstanding for less than one year would also be forfeited.</w:t>
            </w:r>
          </w:p>
        </w:tc>
      </w:tr>
      <w:tr>
        <w:trPr/>
        <w:tc>
          <w:tcPr>
            <w:tcW w:w="236" w:type="dxa"/>
            <w:tcBorders/>
            <w:vAlign w:val="center"/>
          </w:tcPr>
          <w:p>
            <w:pPr>
              <w:pStyle w:val="TableContents"/>
              <w:bidi w:val="0"/>
              <w:spacing w:before="0" w:after="283"/>
              <w:jc w:val="left"/>
              <w:rPr/>
            </w:pPr>
            <w:r>
              <w:rPr/>
              <w:t>(3)</w:t>
            </w:r>
          </w:p>
        </w:tc>
        <w:tc>
          <w:tcPr>
            <w:tcW w:w="9969" w:type="dxa"/>
            <w:tcBorders/>
            <w:vAlign w:val="center"/>
          </w:tcPr>
          <w:p>
            <w:pPr>
              <w:pStyle w:val="TableContents"/>
              <w:bidi w:val="0"/>
              <w:spacing w:before="0" w:after="283"/>
              <w:jc w:val="left"/>
              <w:rPr/>
            </w:pPr>
            <w:r>
              <w:rPr/>
              <w:t>As of December 31, 2025, Mr. Brunk had attained retirement eligibility status under the terms of the RTX LTIP. As a result, in the event of a voluntary separation, his annual LTI awards would have received the beneficial treatment reserved for retirement-eligible employees. These awards, if outstanding for more than one year, would be treated as follows: (i) SARs and RSUs would vest; and (ii) PSUs would remain eligible to vest on the original vesting date, subject to the achievement of Company performance goals. Annual LTI awards outstanding for less than one year and his ELG RSU award, which does not carry beneficial retirement treatment, would be forfeited in the case of a voluntary separation from the Company, unless the terms of Mr. Brunk’s separation were determined to be “mutually agreeable” following three years of service within the ELG. However, as of December 31, 2025, Mr. Brunk had not been in the ELG for three or more years, and therefore would not have been eligible to vest in his ELG award upon a mutually agreeable separation from the Company. </w:t>
            </w:r>
          </w:p>
        </w:tc>
      </w:tr>
      <w:tr>
        <w:trPr/>
        <w:tc>
          <w:tcPr>
            <w:tcW w:w="236" w:type="dxa"/>
            <w:tcBorders/>
            <w:vAlign w:val="center"/>
          </w:tcPr>
          <w:p>
            <w:pPr>
              <w:pStyle w:val="TableContents"/>
              <w:bidi w:val="0"/>
              <w:spacing w:before="0" w:after="283"/>
              <w:jc w:val="left"/>
              <w:rPr/>
            </w:pPr>
            <w:r>
              <w:rPr/>
              <w:t>(4)</w:t>
            </w:r>
          </w:p>
        </w:tc>
        <w:tc>
          <w:tcPr>
            <w:tcW w:w="9969" w:type="dxa"/>
            <w:tcBorders/>
            <w:vAlign w:val="center"/>
          </w:tcPr>
          <w:p>
            <w:pPr>
              <w:pStyle w:val="TableContents"/>
              <w:bidi w:val="0"/>
              <w:spacing w:before="0" w:after="283"/>
              <w:jc w:val="left"/>
              <w:rPr/>
            </w:pPr>
            <w:r>
              <w:rPr/>
              <w:t>In the event of a qualifying termination within two years of an RTX change-in-control, all outstanding awards would vest in accordance with the RTX LTIP, including PSUs, which would vest at the greater of actual or target performance.</w:t>
            </w:r>
          </w:p>
        </w:tc>
      </w:tr>
      <w:tr>
        <w:trPr/>
        <w:tc>
          <w:tcPr>
            <w:tcW w:w="236" w:type="dxa"/>
            <w:tcBorders/>
            <w:vAlign w:val="center"/>
          </w:tcPr>
          <w:p>
            <w:pPr>
              <w:pStyle w:val="TableContents"/>
              <w:bidi w:val="0"/>
              <w:spacing w:before="0" w:after="283"/>
              <w:jc w:val="left"/>
              <w:rPr/>
            </w:pPr>
            <w:r>
              <w:rPr/>
              <w:t>(5)</w:t>
            </w:r>
          </w:p>
        </w:tc>
        <w:tc>
          <w:tcPr>
            <w:tcW w:w="9969" w:type="dxa"/>
            <w:tcBorders/>
            <w:vAlign w:val="center"/>
          </w:tcPr>
          <w:p>
            <w:pPr>
              <w:pStyle w:val="TableContents"/>
              <w:bidi w:val="0"/>
              <w:spacing w:before="0" w:after="283"/>
              <w:jc w:val="left"/>
              <w:rPr/>
            </w:pPr>
            <w:r>
              <w:rPr/>
              <w:t>Upon an involuntary separation (without cause) or a qualifying separation following a change-in-control, the Company provides a pro-rata portion of target annual incentive awards for the period of time employed during the plan year. Since this table assumes a December 31, 2025, separation, a full-year 2025 target annual incentive award is shown.</w:t>
            </w:r>
          </w:p>
        </w:tc>
      </w:tr>
      <w:tr>
        <w:trPr/>
        <w:tc>
          <w:tcPr>
            <w:tcW w:w="236" w:type="dxa"/>
            <w:tcBorders/>
            <w:vAlign w:val="center"/>
          </w:tcPr>
          <w:p>
            <w:pPr>
              <w:pStyle w:val="TableContents"/>
              <w:bidi w:val="0"/>
              <w:spacing w:before="0" w:after="283"/>
              <w:jc w:val="left"/>
              <w:rPr/>
            </w:pPr>
            <w:r>
              <w:rPr/>
              <w:t>(6)</w:t>
            </w:r>
          </w:p>
        </w:tc>
        <w:tc>
          <w:tcPr>
            <w:tcW w:w="9969" w:type="dxa"/>
            <w:tcBorders/>
            <w:vAlign w:val="center"/>
          </w:tcPr>
          <w:p>
            <w:pPr>
              <w:pStyle w:val="TableContents"/>
              <w:bidi w:val="0"/>
              <w:spacing w:before="0" w:after="283"/>
              <w:jc w:val="left"/>
              <w:rPr/>
            </w:pPr>
            <w:r>
              <w:rPr/>
              <w:t>An estimated lump-sum present value of the qualified pension benefits payable to Mr. Brunk upon separation from the Company can be found in the Pension Benefits table on page 70. </w:t>
            </w:r>
          </w:p>
        </w:tc>
      </w:tr>
      <w:tr>
        <w:trPr/>
        <w:tc>
          <w:tcPr>
            <w:tcW w:w="236" w:type="dxa"/>
            <w:tcBorders/>
            <w:vAlign w:val="center"/>
          </w:tcPr>
          <w:p>
            <w:pPr>
              <w:pStyle w:val="TableContents"/>
              <w:bidi w:val="0"/>
              <w:spacing w:before="0" w:after="283"/>
              <w:jc w:val="left"/>
              <w:rPr/>
            </w:pPr>
            <w:r>
              <w:rPr/>
              <w:t>(7)</w:t>
            </w:r>
          </w:p>
        </w:tc>
        <w:tc>
          <w:tcPr>
            <w:tcW w:w="9969" w:type="dxa"/>
            <w:tcBorders/>
            <w:vAlign w:val="center"/>
          </w:tcPr>
          <w:p>
            <w:pPr>
              <w:pStyle w:val="TableContents"/>
              <w:bidi w:val="0"/>
              <w:spacing w:before="0" w:after="283"/>
              <w:jc w:val="left"/>
              <w:rPr/>
            </w:pPr>
            <w:r>
              <w:rPr/>
              <w:t>Upon an involuntary separation (without cause), or a qualifying separation following a change-in-control, the Company provides one year of continuation of health and welfare benefits. Amounts shown reflect the estimated cost of one year of health and welfare benefit continuation based on elections as of December 31, 2025.</w:t>
            </w:r>
          </w:p>
        </w:tc>
      </w:tr>
      <w:tr>
        <w:trPr/>
        <w:tc>
          <w:tcPr>
            <w:tcW w:w="236" w:type="dxa"/>
            <w:tcBorders/>
            <w:vAlign w:val="center"/>
          </w:tcPr>
          <w:p>
            <w:pPr>
              <w:pStyle w:val="TableContents"/>
              <w:bidi w:val="0"/>
              <w:spacing w:before="0" w:after="283"/>
              <w:jc w:val="left"/>
              <w:rPr/>
            </w:pPr>
            <w:r>
              <w:rPr/>
              <w:t>(8)</w:t>
            </w:r>
          </w:p>
        </w:tc>
        <w:tc>
          <w:tcPr>
            <w:tcW w:w="9969" w:type="dxa"/>
            <w:tcBorders/>
            <w:vAlign w:val="center"/>
          </w:tcPr>
          <w:p>
            <w:pPr>
              <w:pStyle w:val="TableContents"/>
              <w:bidi w:val="0"/>
              <w:spacing w:before="0" w:after="283"/>
              <w:jc w:val="left"/>
              <w:rPr/>
            </w:pPr>
            <w:r>
              <w:rPr/>
              <w:t xml:space="preserve">Reflects the value of unvested LTI awards that would vest (or remain eligible to vest) following a separation from the Company, calculated using the closing stock price of RTX on the last trading day of 2025 ($183.40). Where included, the 2025 and 2024 PSUs assume maximum-level performance based on estimated performance as of December 31, 2025, and actual performance is used for the 2023 PSUs. </w:t>
            </w:r>
          </w:p>
        </w:tc>
      </w:tr>
    </w:tbl>
    <w:p>
      <w:pPr>
        <w:pStyle w:val="TextBody"/>
        <w:bidi w:val="0"/>
        <w:spacing w:before="0" w:after="0"/>
        <w:jc w:val="right"/>
        <w:rPr>
          <w:caps w:val="false"/>
          <w:smallCaps w:val="false"/>
        </w:rPr>
      </w:pPr>
      <w:r>
        <w:rPr>
          <w:caps w:val="false"/>
          <w:smallCaps w:val="false"/>
        </w:rPr>
        <w:t> </w:t>
      </w:r>
    </w:p>
    <w:p>
      <w:pPr>
        <w:pStyle w:val="TextBody"/>
        <w:bidi w:val="0"/>
        <w:spacing w:before="0" w:after="0"/>
        <w:jc w:val="right"/>
        <w:rPr>
          <w:rFonts w:ascii="Arial;Helvetica;Sans-Serif" w:hAnsi="Arial;Helvetica;Sans-Serif"/>
          <w:b w:val="false"/>
          <w:i w:val="false"/>
          <w:caps w:val="false"/>
          <w:smallCaps w:val="false"/>
          <w:sz w:val="15"/>
        </w:rPr>
      </w:pPr>
      <w:r>
        <w:rPr>
          <w:rFonts w:ascii="Arial;Helvetica;Sans-Serif" w:hAnsi="Arial;Helvetica;Sans-Serif"/>
          <w:b/>
          <w:i w:val="false"/>
          <w:caps w:val="false"/>
          <w:smallCaps w:val="false"/>
          <w:sz w:val="15"/>
        </w:rPr>
        <w:t xml:space="preserve">RTX </w:t>
      </w:r>
      <w:r>
        <w:rPr>
          <w:rFonts w:ascii="Arial;Helvetica;Sans-Serif" w:hAnsi="Arial;Helvetica;Sans-Serif"/>
          <w:b w:val="false"/>
          <w:i w:val="false"/>
          <w:caps w:val="false"/>
          <w:smallCaps w:val="false"/>
          <w:sz w:val="15"/>
        </w:rPr>
        <w:t>2026 PROXY STATEMENT    </w:t>
      </w:r>
      <w:r>
        <w:rPr>
          <w:rFonts w:ascii="Arial;Helvetica;Sans-Serif" w:hAnsi="Arial;Helvetica;Sans-Serif"/>
          <w:b/>
          <w:i w:val="false"/>
          <w:caps w:val="false"/>
          <w:smallCaps w:val="false"/>
          <w:sz w:val="15"/>
        </w:rPr>
        <w:t>77</w:t>
      </w:r>
    </w:p>
    <w:p>
      <w:pPr>
        <w:pStyle w:val="HorizontalLine"/>
        <w:pBdr>
          <w:bottom w:val="double" w:sz="2" w:space="0" w:color="808080"/>
        </w:pBdr>
        <w:bidi w:val="0"/>
        <w:spacing w:before="0" w:after="283"/>
        <w:jc w:val="left"/>
        <w:rPr/>
      </w:pPr>
      <w:r>
        <w:rPr/>
      </w:r>
    </w:p>
    <w:p>
      <w:pPr>
        <w:pStyle w:val="TextBody"/>
        <w:bidi w:val="0"/>
        <w:spacing w:before="200" w:after="200"/>
        <w:jc w:val="left"/>
        <w:rPr/>
      </w:pPr>
      <w:hyperlink w:anchor="toc">
        <w:r>
          <w:rPr>
            <w:rStyle w:val="InternetLink"/>
            <w:rFonts w:ascii="Arial;Helvetica;Sans-Serif" w:hAnsi="Arial;Helvetica;Sans-Serif"/>
            <w:b/>
            <w:i w:val="false"/>
            <w:caps w:val="false"/>
            <w:smallCaps w:val="false"/>
            <w:sz w:val="16"/>
          </w:rPr>
          <w:t>Table of Contents</w:t>
        </w:r>
      </w:hyperlink>
    </w:p>
    <w:p>
      <w:pPr>
        <w:pStyle w:val="TextBody"/>
        <w:bidi w:val="0"/>
        <w:spacing w:before="0" w:after="0"/>
        <w:ind w:left="0" w:right="0" w:hanging="0"/>
        <w:jc w:val="left"/>
        <w:rPr>
          <w:rFonts w:ascii="Arial;Helvetica;Sans-Serif" w:hAnsi="Arial;Helvetica;Sans-Serif"/>
          <w:b/>
          <w:i w:val="false"/>
          <w:caps w:val="false"/>
          <w:smallCaps w:val="false"/>
          <w:sz w:val="56"/>
        </w:rPr>
      </w:pPr>
      <w:bookmarkStart w:id="52" w:name="rtx014050a019"/>
      <w:bookmarkEnd w:id="52"/>
      <w:r>
        <w:rPr>
          <w:rFonts w:ascii="Arial;Helvetica;Sans-Serif" w:hAnsi="Arial;Helvetica;Sans-Serif"/>
          <w:b/>
          <w:i w:val="false"/>
          <w:caps w:val="false"/>
          <w:smallCaps w:val="false"/>
          <w:sz w:val="56"/>
        </w:rPr>
        <w:t>CEO Pay Ratio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34"/>
          <w:bdr w:val="single" w:sz="12" w:space="10" w:color="C12E33"/>
          <w:shd w:fill="EDEDEE" w:val="clear"/>
        </w:rPr>
      </w:pPr>
      <w:r>
        <w:rPr>
          <w:rFonts w:ascii="Arial;Helvetica;Sans-Serif" w:hAnsi="Arial;Helvetica;Sans-Serif"/>
          <w:b/>
          <w:i w:val="false"/>
          <w:caps w:val="false"/>
          <w:smallCaps w:val="false"/>
          <w:sz w:val="34"/>
          <w:bdr w:val="single" w:sz="12" w:space="10" w:color="C12E33"/>
          <w:shd w:fill="EDEDEE" w:val="clear"/>
        </w:rPr>
        <w:t>Background</w:t>
      </w:r>
    </w:p>
    <w:p>
      <w:pPr>
        <w:pStyle w:val="TextBody"/>
        <w:bidi w:val="0"/>
        <w:spacing w:before="0" w:after="0"/>
        <w:ind w:left="0" w:right="0" w:hanging="0"/>
        <w:jc w:val="left"/>
        <w:rPr>
          <w:caps w:val="false"/>
          <w:smallCaps w:val="false"/>
          <w:bdr w:val="single" w:sz="12" w:space="10" w:color="C12E33"/>
          <w:shd w:fill="EDEDEE" w:val="clear"/>
        </w:rPr>
      </w:pPr>
      <w:r>
        <w:rPr>
          <w:caps w:val="false"/>
          <w:smallCaps w:val="false"/>
          <w:bdr w:val="single" w:sz="12" w:space="10" w:color="C12E33"/>
          <w:shd w:fill="EDEDEE" w:val="clear"/>
        </w:rPr>
        <w:t> </w:t>
      </w:r>
    </w:p>
    <w:p>
      <w:pPr>
        <w:pStyle w:val="TextBody"/>
        <w:bidi w:val="0"/>
        <w:spacing w:before="0" w:after="0"/>
        <w:ind w:left="0" w:right="0" w:hanging="0"/>
        <w:jc w:val="left"/>
        <w:rPr>
          <w:rFonts w:ascii="Arial;Helvetica;Sans-Serif" w:hAnsi="Arial;Helvetica;Sans-Serif"/>
          <w:b w:val="false"/>
          <w:i w:val="false"/>
          <w:caps w:val="false"/>
          <w:smallCaps w:val="false"/>
          <w:sz w:val="20"/>
          <w:bdr w:val="single" w:sz="12" w:space="10" w:color="C12E33"/>
          <w:shd w:fill="EDEDEE" w:val="clear"/>
        </w:rPr>
      </w:pPr>
      <w:r>
        <w:rPr>
          <w:rFonts w:ascii="Arial;Helvetica;Sans-Serif" w:hAnsi="Arial;Helvetica;Sans-Serif"/>
          <w:b w:val="false"/>
          <w:i w:val="false"/>
          <w:caps w:val="false"/>
          <w:smallCaps w:val="false"/>
          <w:sz w:val="20"/>
          <w:bdr w:val="single" w:sz="12" w:space="10" w:color="C12E33"/>
          <w:shd w:fill="EDEDEE" w:val="clear"/>
        </w:rPr>
        <w:t>The following section discloses the ratio of our median employee’s total annual compensation to the total annual compensation of the CEO. Below we explain the methodology that we used, in accordance with SEC rules, to identify the median employee and to calculate the 2025 ratio.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34"/>
        </w:rPr>
      </w:pPr>
      <w:r>
        <w:rPr>
          <w:rFonts w:ascii="Arial;Helvetica;Sans-Serif" w:hAnsi="Arial;Helvetica;Sans-Serif"/>
          <w:b/>
          <w:i w:val="false"/>
          <w:caps w:val="false"/>
          <w:smallCaps w:val="false"/>
          <w:sz w:val="34"/>
        </w:rPr>
        <w:t>Identifying the Median Employee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Company used the following parameters to identify the employee whose pay was at the median of all RTX employees globally.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COMPENSATION MEASURE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identified the median employee on October 1, 2025, by assessing gross cash compensation paid to employees from October 1, 2024, to September 30, 2025. Gross cash compensation varies by country and is based on local pay practices, but generally includes:</w:t>
      </w:r>
    </w:p>
    <w:p>
      <w:pPr>
        <w:pStyle w:val="TextBody"/>
        <w:bidi w:val="0"/>
        <w:spacing w:before="0" w:after="0"/>
        <w:ind w:left="0" w:right="0" w:hanging="0"/>
        <w:jc w:val="left"/>
        <w:rPr>
          <w:caps w:val="false"/>
          <w:smallCaps w:val="false"/>
        </w:rPr>
      </w:pPr>
      <w:r>
        <w:rPr>
          <w:caps w:val="false"/>
          <w:smallCaps w:val="false"/>
        </w:rPr>
        <w:t> </w:t>
      </w:r>
    </w:p>
    <w:tbl>
      <w:tblPr>
        <w:tblW w:w="8635" w:type="dxa"/>
        <w:jc w:val="left"/>
        <w:tblInd w:w="0" w:type="dxa"/>
        <w:tblLayout w:type="fixed"/>
        <w:tblCellMar>
          <w:top w:w="0" w:type="dxa"/>
          <w:left w:w="0" w:type="dxa"/>
          <w:bottom w:w="0" w:type="dxa"/>
          <w:right w:w="0" w:type="dxa"/>
        </w:tblCellMar>
      </w:tblPr>
      <w:tblGrid>
        <w:gridCol w:w="185"/>
        <w:gridCol w:w="8450"/>
      </w:tblGrid>
      <w:tr>
        <w:trPr/>
        <w:tc>
          <w:tcPr>
            <w:tcW w:w="185" w:type="dxa"/>
            <w:tcBorders/>
            <w:vAlign w:val="center"/>
          </w:tcPr>
          <w:p>
            <w:pPr>
              <w:pStyle w:val="TableContents"/>
              <w:bidi w:val="0"/>
              <w:spacing w:before="0" w:after="283"/>
              <w:jc w:val="left"/>
              <w:rPr/>
            </w:pPr>
            <w:r>
              <w:rPr/>
              <w:t>●</w:t>
            </w:r>
          </w:p>
        </w:tc>
        <w:tc>
          <w:tcPr>
            <w:tcW w:w="8450" w:type="dxa"/>
            <w:tcBorders/>
            <w:vAlign w:val="center"/>
          </w:tcPr>
          <w:p>
            <w:pPr>
              <w:pStyle w:val="TableContents"/>
              <w:bidi w:val="0"/>
              <w:spacing w:before="0" w:after="283"/>
              <w:jc w:val="left"/>
              <w:rPr/>
            </w:pPr>
            <w:r>
              <w:rPr/>
              <w:t>Base salary (including any local allowances)</w:t>
            </w:r>
          </w:p>
        </w:tc>
      </w:tr>
      <w:tr>
        <w:trPr/>
        <w:tc>
          <w:tcPr>
            <w:tcW w:w="185" w:type="dxa"/>
            <w:tcBorders/>
            <w:vAlign w:val="center"/>
          </w:tcPr>
          <w:p>
            <w:pPr>
              <w:pStyle w:val="TableContents"/>
              <w:bidi w:val="0"/>
              <w:spacing w:before="0" w:after="283"/>
              <w:jc w:val="left"/>
              <w:rPr/>
            </w:pPr>
            <w:r>
              <w:rPr/>
              <w:t>●</w:t>
            </w:r>
          </w:p>
        </w:tc>
        <w:tc>
          <w:tcPr>
            <w:tcW w:w="8450" w:type="dxa"/>
            <w:tcBorders/>
            <w:vAlign w:val="center"/>
          </w:tcPr>
          <w:p>
            <w:pPr>
              <w:pStyle w:val="TableContents"/>
              <w:bidi w:val="0"/>
              <w:spacing w:before="0" w:after="283"/>
              <w:jc w:val="left"/>
              <w:rPr/>
            </w:pPr>
            <w:r>
              <w:rPr/>
              <w:t xml:space="preserve">Incentive pay (including cash bonuses, sales incentives and other variable pay programs) </w:t>
            </w:r>
          </w:p>
        </w:tc>
      </w:tr>
      <w:tr>
        <w:trPr/>
        <w:tc>
          <w:tcPr>
            <w:tcW w:w="185" w:type="dxa"/>
            <w:tcBorders/>
            <w:vAlign w:val="center"/>
          </w:tcPr>
          <w:p>
            <w:pPr>
              <w:pStyle w:val="TableContents"/>
              <w:bidi w:val="0"/>
              <w:spacing w:before="0" w:after="283"/>
              <w:jc w:val="left"/>
              <w:rPr/>
            </w:pPr>
            <w:r>
              <w:rPr/>
              <w:t>●</w:t>
            </w:r>
          </w:p>
        </w:tc>
        <w:tc>
          <w:tcPr>
            <w:tcW w:w="8450" w:type="dxa"/>
            <w:tcBorders/>
            <w:vAlign w:val="center"/>
          </w:tcPr>
          <w:p>
            <w:pPr>
              <w:pStyle w:val="TableContents"/>
              <w:bidi w:val="0"/>
              <w:spacing w:before="0" w:after="283"/>
              <w:jc w:val="left"/>
              <w:rPr/>
            </w:pPr>
            <w:r>
              <w:rPr/>
              <w:t>Any other cash awards or payments</w:t>
            </w:r>
            <w:r>
              <w:rPr>
                <w:position w:val="8"/>
                <w:sz w:val="19"/>
              </w:rPr>
              <w:t>(1)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 xml:space="preserve">Annualized pay. </w:t>
      </w:r>
      <w:r>
        <w:rPr>
          <w:rFonts w:ascii="Arial;Helvetica;Sans-Serif" w:hAnsi="Arial;Helvetica;Sans-Serif"/>
          <w:b w:val="false"/>
          <w:i w:val="false"/>
          <w:caps w:val="false"/>
          <w:smallCaps w:val="false"/>
          <w:sz w:val="20"/>
        </w:rPr>
        <w:t>Pay was annualized for employees who worked a partial year between October 1, 2024, and September 30, 2025. Partial-year employees may include midyear hires, employees on paid or unpaid leave, and employees on active military duty.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Foreign exchange rates. </w:t>
      </w:r>
      <w:r>
        <w:rPr>
          <w:rFonts w:ascii="Arial;Helvetica;Sans-Serif" w:hAnsi="Arial;Helvetica;Sans-Serif"/>
          <w:b w:val="false"/>
          <w:i w:val="false"/>
          <w:caps w:val="false"/>
          <w:smallCaps w:val="false"/>
          <w:sz w:val="20"/>
        </w:rPr>
        <w:t>Foreign currencies were converted into U.S. dollars as of October 1, 2025, based on the average daily spot rates during September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EMPLOYEES INCLUDED AND EXCLUDED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For the purposes of identifying the median employee, we included all active RTX employees (excluding the Chairman &amp; CEO) on October 1, 2025, located in 10 countries in which RTX has operations. RTX’s employee population in these 10 countries represents approximately 95% (or 171,485) of our 179,282 active employees on that date. As of October 1, 2025, our global population consisted of 124,562 U.S. employees and 54,720 non-U.S. employees.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excluded 7,797 employees from 42 countries under the SEC’s de minimis exemption.</w:t>
      </w:r>
      <w:r>
        <w:rPr>
          <w:rFonts w:ascii="Arial;Helvetica;Sans-Serif" w:hAnsi="Arial;Helvetica;Sans-Serif"/>
          <w:b w:val="false"/>
          <w:i w:val="false"/>
          <w:caps w:val="false"/>
          <w:smallCaps w:val="false"/>
          <w:position w:val="7"/>
          <w:sz w:val="16"/>
          <w:sz w:val="20"/>
        </w:rPr>
        <w:t xml:space="preserve">(2) </w:t>
      </w:r>
      <w:r>
        <w:rPr>
          <w:rFonts w:ascii="Arial;Helvetica;Sans-Serif" w:hAnsi="Arial;Helvetica;Sans-Serif"/>
          <w:b w:val="false"/>
          <w:i w:val="false"/>
          <w:caps w:val="false"/>
          <w:smallCaps w:val="false"/>
          <w:sz w:val="20"/>
        </w:rPr>
        <w:t>No employees of recently acquired entities were excluded from the calculation in 2025.</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7"/>
        <w:gridCol w:w="10028"/>
      </w:tblGrid>
      <w:tr>
        <w:trPr/>
        <w:tc>
          <w:tcPr>
            <w:tcW w:w="177" w:type="dxa"/>
            <w:tcBorders/>
            <w:vAlign w:val="center"/>
          </w:tcPr>
          <w:p>
            <w:pPr>
              <w:pStyle w:val="TableContents"/>
              <w:bidi w:val="0"/>
              <w:spacing w:before="0" w:after="283"/>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(1)</w:t>
            </w:r>
          </w:p>
        </w:tc>
        <w:tc>
          <w:tcPr>
            <w:tcW w:w="10028" w:type="dxa"/>
            <w:tcBorders/>
            <w:vAlign w:val="center"/>
          </w:tcPr>
          <w:p>
            <w:pPr>
              <w:pStyle w:val="TableContents"/>
              <w:bidi w:val="0"/>
              <w:spacing w:before="0" w:after="283"/>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In some countries, due to differences in payroll systems and local laws and regulations, gains realized on the vesting and/or exercise of LTI awards, as well as Company contributions to government-sponsored benefit plans, may be included.</w:t>
            </w:r>
          </w:p>
        </w:tc>
      </w:tr>
      <w:tr>
        <w:trPr/>
        <w:tc>
          <w:tcPr>
            <w:tcW w:w="177" w:type="dxa"/>
            <w:tcBorders/>
            <w:vAlign w:val="center"/>
          </w:tcPr>
          <w:p>
            <w:pPr>
              <w:pStyle w:val="TableContents"/>
              <w:bidi w:val="0"/>
              <w:spacing w:before="0" w:after="283"/>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(2)</w:t>
            </w:r>
          </w:p>
        </w:tc>
        <w:tc>
          <w:tcPr>
            <w:tcW w:w="10028" w:type="dxa"/>
            <w:tcBorders/>
            <w:vAlign w:val="center"/>
          </w:tcPr>
          <w:p>
            <w:pPr>
              <w:pStyle w:val="TableContents"/>
              <w:bidi w:val="0"/>
              <w:spacing w:before="0" w:after="283"/>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The countries and approximate number of RTX employees excluded from the calculation are as follows: Algeria (1), Australia (1,421), Belgium (14), Brazil (107), Cayman Islands (1), Chile (20), China (including Hong Kong) (2,155), Colombia (23), Costa Rica (2), Denmark (1), Dominican Republic (2), Egypt (8), El Salvador (1), Greece (5), Hungary (2), Indonesia (7), Ireland (237), Israel (997), Italy (63), Japan (137), Kenya (11), Korea (33), Latvia (1), Luxembourg (1), Malaysia (147), Morocco (257), Netherlands (311), New Zealand (479), Norway (3), Oman (5), Qatar (37), Saudi Arabia (198), South Africa (4), Spain (31), Sweden (3), Switzerland (33), Taiwan (81), Tanzania (14), Thailand (4), Turkey (642), United Arab Emirates (284) and Vietnam (14).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15"/>
        </w:rPr>
      </w:pPr>
      <w:r>
        <w:rPr>
          <w:rFonts w:ascii="Arial;Helvetica;Sans-Serif" w:hAnsi="Arial;Helvetica;Sans-Serif"/>
          <w:b/>
          <w:i w:val="false"/>
          <w:caps w:val="false"/>
          <w:smallCaps w:val="false"/>
          <w:sz w:val="15"/>
        </w:rPr>
        <w:t xml:space="preserve">78    RTX </w:t>
      </w:r>
      <w:r>
        <w:rPr>
          <w:rFonts w:ascii="Arial;Helvetica;Sans-Serif" w:hAnsi="Arial;Helvetica;Sans-Serif"/>
          <w:b w:val="false"/>
          <w:i w:val="false"/>
          <w:caps w:val="false"/>
          <w:smallCaps w:val="false"/>
          <w:sz w:val="15"/>
        </w:rPr>
        <w:t>2026 PROXY STATEMENT</w:t>
      </w:r>
    </w:p>
    <w:p>
      <w:pPr>
        <w:pStyle w:val="HorizontalLine"/>
        <w:pBdr>
          <w:bottom w:val="double" w:sz="2" w:space="0" w:color="808080"/>
        </w:pBdr>
        <w:bidi w:val="0"/>
        <w:spacing w:before="0" w:after="283"/>
        <w:jc w:val="left"/>
        <w:rPr/>
      </w:pPr>
      <w:r>
        <w:rPr/>
      </w:r>
    </w:p>
    <w:p>
      <w:pPr>
        <w:pStyle w:val="TextBody"/>
        <w:bidi w:val="0"/>
        <w:spacing w:before="200" w:after="200"/>
        <w:jc w:val="left"/>
        <w:rPr/>
      </w:pPr>
      <w:hyperlink w:anchor="toc">
        <w:r>
          <w:rPr>
            <w:rStyle w:val="InternetLink"/>
            <w:rFonts w:ascii="Arial;Helvetica;Sans-Serif" w:hAnsi="Arial;Helvetica;Sans-Serif"/>
            <w:b/>
            <w:i w:val="false"/>
            <w:caps w:val="false"/>
            <w:smallCaps w:val="false"/>
            <w:sz w:val="16"/>
          </w:rPr>
          <w:t>Table of Contents</w:t>
        </w:r>
      </w:hyperlink>
    </w:p>
    <w:p>
      <w:pPr>
        <w:pStyle w:val="TextBody"/>
        <w:bidi w:val="0"/>
        <w:spacing w:before="0" w:after="0"/>
        <w:ind w:left="0" w:right="0" w:hanging="0"/>
        <w:jc w:val="right"/>
        <w:rPr>
          <w:rFonts w:ascii="Arial;Helvetica;Sans-Serif" w:hAnsi="Arial;Helvetica;Sans-Serif"/>
          <w:b/>
          <w:i w:val="false"/>
          <w:caps w:val="false"/>
          <w:smallCaps w:val="false"/>
          <w:color w:val="C12E33"/>
          <w:sz w:val="15"/>
        </w:rPr>
      </w:pPr>
      <w:r>
        <w:rPr>
          <w:rFonts w:ascii="Arial;Helvetica;Sans-Serif" w:hAnsi="Arial;Helvetica;Sans-Serif"/>
          <w:b/>
          <w:i w:val="false"/>
          <w:caps w:val="false"/>
          <w:smallCaps w:val="false"/>
          <w:color w:val="C12E33"/>
          <w:sz w:val="15"/>
        </w:rPr>
        <w:t>CEO PAY RATIO</w:t>
      </w:r>
    </w:p>
    <w:p>
      <w:pPr>
        <w:pStyle w:val="TextBody"/>
        <w:bidi w:val="0"/>
        <w:spacing w:before="0" w:after="0"/>
        <w:ind w:left="0" w:right="0" w:hanging="0"/>
        <w:jc w:val="righ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CALCULATING THE RATIO</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34"/>
        </w:rPr>
      </w:pPr>
      <w:r>
        <w:rPr>
          <w:rFonts w:ascii="Arial;Helvetica;Sans-Serif" w:hAnsi="Arial;Helvetica;Sans-Serif"/>
          <w:b/>
          <w:i w:val="false"/>
          <w:caps w:val="false"/>
          <w:smallCaps w:val="false"/>
          <w:sz w:val="34"/>
        </w:rPr>
        <w:t>Calculating the Ratio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METHODOLOGY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Once we identified the median employee using gross cash compensation as our compensation measure, we then calculated 2025 total compensation for our CEO and for the median employee for the full calendar year, using the same methodology outlined by the SEC for reporting in the Summary Compensation Table (see page 64). Under this methodology, compensation includes employee fringe benefits, such as Company contributions to healthcare and retirement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2025 total annual compensation value for Mr. Calio was $24,846,826 and for RTX’s global median employee (as of October 1, 2025), it was $120,092, resulting in a ratio of 207:1.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With approximately 31% of our employees located outside the U.S., RTX has operations around the world. We believe paying competitive wages applicable for the local labor markets within our industry is essential to ensuring a productive, engaged workforce and a sustainable business. Consequently, a global ratio may not be particularly informative without any context for foreign labor markets and the diverse roles of RTX’s employees around the world.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34"/>
        </w:rPr>
      </w:pPr>
      <w:r>
        <w:rPr>
          <w:rFonts w:ascii="Arial;Helvetica;Sans-Serif" w:hAnsi="Arial;Helvetica;Sans-Serif"/>
          <w:b/>
          <w:i w:val="false"/>
          <w:caps w:val="false"/>
          <w:smallCaps w:val="false"/>
          <w:sz w:val="34"/>
        </w:rPr>
        <w:t>Comparing RTX’s Ratio to Other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 number of factors unrelated to compensation significantly impact this calculation and are particularly important when comparing RTX’s ratio to ratios at other companies. These factors include industry-specific pay differentials, company and organizational structure (e.g., outsourcing versus insourcing), and the geographic location of employee populations.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Arial;Helvetica;Sans-Serif" w:hAnsi="Arial;Helvetica;Sans-Serif"/>
          <w:b w:val="false"/>
          <w:i w:val="false"/>
          <w:caps w:val="false"/>
          <w:smallCaps w:val="false"/>
          <w:sz w:val="15"/>
        </w:rPr>
      </w:pPr>
      <w:r>
        <w:rPr>
          <w:rFonts w:ascii="Arial;Helvetica;Sans-Serif" w:hAnsi="Arial;Helvetica;Sans-Serif"/>
          <w:b/>
          <w:i w:val="false"/>
          <w:caps w:val="false"/>
          <w:smallCaps w:val="false"/>
          <w:sz w:val="15"/>
        </w:rPr>
        <w:t xml:space="preserve">RTX </w:t>
      </w:r>
      <w:r>
        <w:rPr>
          <w:rFonts w:ascii="Arial;Helvetica;Sans-Serif" w:hAnsi="Arial;Helvetica;Sans-Serif"/>
          <w:b w:val="false"/>
          <w:i w:val="false"/>
          <w:caps w:val="false"/>
          <w:smallCaps w:val="false"/>
          <w:sz w:val="15"/>
        </w:rPr>
        <w:t>2026 PROXY STATEMENT    </w:t>
      </w:r>
      <w:r>
        <w:rPr>
          <w:rFonts w:ascii="Arial;Helvetica;Sans-Serif" w:hAnsi="Arial;Helvetica;Sans-Serif"/>
          <w:b/>
          <w:i w:val="false"/>
          <w:caps w:val="false"/>
          <w:smallCaps w:val="false"/>
          <w:sz w:val="15"/>
        </w:rPr>
        <w:t>79</w:t>
      </w:r>
    </w:p>
    <w:p>
      <w:pPr>
        <w:pStyle w:val="HorizontalLine"/>
        <w:pBdr>
          <w:bottom w:val="double" w:sz="2" w:space="0" w:color="808080"/>
        </w:pBdr>
        <w:bidi w:val="0"/>
        <w:spacing w:before="0" w:after="283"/>
        <w:jc w:val="left"/>
        <w:rPr/>
      </w:pPr>
      <w:r>
        <w:rPr/>
      </w:r>
    </w:p>
    <w:p>
      <w:pPr>
        <w:pStyle w:val="TextBody"/>
        <w:bidi w:val="0"/>
        <w:spacing w:before="200" w:after="200"/>
        <w:jc w:val="left"/>
        <w:rPr/>
      </w:pPr>
      <w:hyperlink w:anchor="toc">
        <w:r>
          <w:rPr>
            <w:rStyle w:val="InternetLink"/>
            <w:rFonts w:ascii="Arial;Helvetica;Sans-Serif" w:hAnsi="Arial;Helvetica;Sans-Serif"/>
            <w:b/>
            <w:i w:val="false"/>
            <w:caps w:val="false"/>
            <w:smallCaps w:val="false"/>
            <w:sz w:val="16"/>
          </w:rPr>
          <w:t>Table of Contents</w:t>
        </w:r>
      </w:hyperlink>
    </w:p>
    <w:p>
      <w:pPr>
        <w:pStyle w:val="TextBody"/>
        <w:bidi w:val="0"/>
        <w:spacing w:before="0" w:after="0"/>
        <w:ind w:left="0" w:right="0" w:hanging="0"/>
        <w:jc w:val="left"/>
        <w:rPr>
          <w:rFonts w:ascii="Arial;Helvetica;Sans-Serif" w:hAnsi="Arial;Helvetica;Sans-Serif"/>
          <w:b/>
          <w:i w:val="false"/>
          <w:caps w:val="false"/>
          <w:smallCaps w:val="false"/>
          <w:sz w:val="56"/>
        </w:rPr>
      </w:pPr>
      <w:bookmarkStart w:id="53" w:name="rtx014050a020"/>
      <w:bookmarkEnd w:id="53"/>
      <w:r>
        <w:rPr>
          <w:rFonts w:ascii="Arial;Helvetica;Sans-Serif" w:hAnsi="Arial;Helvetica;Sans-Serif"/>
          <w:b/>
          <w:i w:val="false"/>
          <w:caps w:val="false"/>
          <w:smallCaps w:val="false"/>
          <w:sz w:val="56"/>
        </w:rPr>
        <w:t>Pay versus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34"/>
          <w:bdr w:val="single" w:sz="12" w:space="10" w:color="C12E33"/>
          <w:shd w:fill="EDEDEE" w:val="clear"/>
        </w:rPr>
      </w:pPr>
      <w:r>
        <w:rPr>
          <w:rFonts w:ascii="Arial;Helvetica;Sans-Serif" w:hAnsi="Arial;Helvetica;Sans-Serif"/>
          <w:b/>
          <w:i w:val="false"/>
          <w:caps w:val="false"/>
          <w:smallCaps w:val="false"/>
          <w:sz w:val="34"/>
          <w:bdr w:val="single" w:sz="12" w:space="10" w:color="C12E33"/>
          <w:shd w:fill="EDEDEE" w:val="clear"/>
        </w:rPr>
        <w:t>Background</w:t>
      </w:r>
    </w:p>
    <w:p>
      <w:pPr>
        <w:pStyle w:val="TextBody"/>
        <w:bidi w:val="0"/>
        <w:spacing w:before="0" w:after="0"/>
        <w:ind w:left="0" w:right="0" w:hanging="0"/>
        <w:jc w:val="left"/>
        <w:rPr>
          <w:caps w:val="false"/>
          <w:smallCaps w:val="false"/>
          <w:bdr w:val="single" w:sz="12" w:space="10" w:color="C12E33"/>
          <w:shd w:fill="EDEDEE" w:val="clear"/>
        </w:rPr>
      </w:pPr>
      <w:r>
        <w:rPr>
          <w:caps w:val="false"/>
          <w:smallCaps w:val="false"/>
          <w:bdr w:val="single" w:sz="12" w:space="10" w:color="C12E33"/>
          <w:shd w:fill="EDEDEE" w:val="clear"/>
        </w:rPr>
        <w:t> </w:t>
      </w:r>
    </w:p>
    <w:p>
      <w:pPr>
        <w:pStyle w:val="TextBody"/>
        <w:bidi w:val="0"/>
        <w:spacing w:before="0" w:after="0"/>
        <w:ind w:left="0" w:right="0" w:hanging="0"/>
        <w:jc w:val="left"/>
        <w:rPr>
          <w:rFonts w:ascii="Arial;Helvetica;Sans-Serif" w:hAnsi="Arial;Helvetica;Sans-Serif"/>
          <w:b w:val="false"/>
          <w:i w:val="false"/>
          <w:caps w:val="false"/>
          <w:smallCaps w:val="false"/>
          <w:sz w:val="20"/>
          <w:bdr w:val="single" w:sz="12" w:space="10" w:color="C12E33"/>
          <w:shd w:fill="EDEDEE" w:val="clear"/>
        </w:rPr>
      </w:pPr>
      <w:r>
        <w:rPr>
          <w:rFonts w:ascii="Arial;Helvetica;Sans-Serif" w:hAnsi="Arial;Helvetica;Sans-Serif"/>
          <w:b w:val="false"/>
          <w:i w:val="false"/>
          <w:caps w:val="false"/>
          <w:smallCaps w:val="false"/>
          <w:sz w:val="20"/>
          <w:bdr w:val="single" w:sz="12" w:space="10" w:color="C12E33"/>
          <w:shd w:fill="EDEDEE" w:val="clear"/>
        </w:rPr>
        <w:t>The following section provides information regarding executive pay and performance in accordance with the SEC’s pay versus performance (“PvP”) disclosure rules. These rules require disclosure of compensation paid to our NEOs using a measure called Compensation Actually Paid (“CAP”), as well as disclosure of certain aspects of Company performance.</w:t>
      </w:r>
    </w:p>
    <w:p>
      <w:pPr>
        <w:pStyle w:val="TextBody"/>
        <w:bidi w:val="0"/>
        <w:spacing w:before="0" w:after="0"/>
        <w:ind w:left="0" w:right="0" w:hanging="0"/>
        <w:jc w:val="left"/>
        <w:rPr>
          <w:caps w:val="false"/>
          <w:smallCaps w:val="false"/>
          <w:bdr w:val="single" w:sz="12" w:space="10" w:color="C12E33"/>
          <w:shd w:fill="EDEDEE" w:val="clear"/>
        </w:rPr>
      </w:pPr>
      <w:r>
        <w:rPr>
          <w:caps w:val="false"/>
          <w:smallCaps w:val="false"/>
          <w:bdr w:val="single" w:sz="12" w:space="10" w:color="C12E33"/>
          <w:shd w:fill="EDEDEE" w:val="clear"/>
        </w:rPr>
        <w:t> </w:t>
      </w:r>
    </w:p>
    <w:p>
      <w:pPr>
        <w:pStyle w:val="TextBody"/>
        <w:bidi w:val="0"/>
        <w:spacing w:before="0" w:after="0"/>
        <w:ind w:left="0" w:right="0" w:hanging="0"/>
        <w:jc w:val="left"/>
        <w:rPr>
          <w:rFonts w:ascii="Arial;Helvetica;Sans-Serif" w:hAnsi="Arial;Helvetica;Sans-Serif"/>
          <w:b w:val="false"/>
          <w:i w:val="false"/>
          <w:caps w:val="false"/>
          <w:smallCaps w:val="false"/>
          <w:sz w:val="20"/>
          <w:bdr w:val="single" w:sz="12" w:space="10" w:color="C12E33"/>
          <w:shd w:fill="EDEDEE" w:val="clear"/>
        </w:rPr>
      </w:pPr>
      <w:r>
        <w:rPr>
          <w:rFonts w:ascii="Arial;Helvetica;Sans-Serif" w:hAnsi="Arial;Helvetica;Sans-Serif"/>
          <w:b w:val="false"/>
          <w:i w:val="false"/>
          <w:caps w:val="false"/>
          <w:smallCaps w:val="false"/>
          <w:sz w:val="20"/>
          <w:bdr w:val="single" w:sz="12" w:space="10" w:color="C12E33"/>
          <w:shd w:fill="EDEDEE" w:val="clear"/>
        </w:rPr>
        <w:t>This section does not reflect how the Human Capital &amp; Compensation Committee (the “HCC Committee”) makes executive compensation decisions. In addition, this section generally uses different metrics from those used in our compensation plans, as discussed below. Refer to page 4 for additional details on how we align pay with performance, and page 42 for the Guiding Principles that underpin how the HCC Committee approaches executive compensation program design.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34"/>
        </w:rPr>
      </w:pPr>
      <w:r>
        <w:rPr>
          <w:rFonts w:ascii="Arial;Helvetica;Sans-Serif" w:hAnsi="Arial;Helvetica;Sans-Serif"/>
          <w:b/>
          <w:i w:val="false"/>
          <w:caps w:val="false"/>
          <w:smallCaps w:val="false"/>
          <w:sz w:val="34"/>
        </w:rPr>
        <w:t>Our Most Important Metrics Used for Linking Pay and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most important metrics the HCC Committee used to link pay to performance for 2025 are listed below. Performance relative to these metrics determines our annual incentive pool funding and PSU vesting payouts.</w:t>
      </w:r>
    </w:p>
    <w:p>
      <w:pPr>
        <w:pStyle w:val="TextBody"/>
        <w:bidi w:val="0"/>
        <w:spacing w:before="0" w:after="0"/>
        <w:ind w:left="0" w:right="0" w:hanging="0"/>
        <w:jc w:val="left"/>
        <w:rPr>
          <w:caps w:val="false"/>
          <w:smallCaps w:val="false"/>
        </w:rPr>
      </w:pPr>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10205" w:type="dxa"/>
        <w:jc w:val="left"/>
        <w:tblInd w:w="0" w:type="dxa"/>
        <w:tblLayout w:type="fixed"/>
        <w:tblCellMar>
          <w:top w:w="40" w:type="dxa"/>
          <w:left w:w="0" w:type="dxa"/>
          <w:bottom w:w="40" w:type="dxa"/>
          <w:right w:w="0" w:type="dxa"/>
        </w:tblCellMar>
      </w:tblPr>
      <w:tblGrid>
        <w:gridCol w:w="1579"/>
        <w:gridCol w:w="360"/>
        <w:gridCol w:w="8266"/>
      </w:tblGrid>
      <w:tr>
        <w:trPr/>
        <w:tc>
          <w:tcPr>
            <w:tcW w:w="1579" w:type="dxa"/>
            <w:tcBorders>
              <w:top w:val="single" w:sz="12" w:space="0" w:color="C12E33"/>
              <w:bottom w:val="single" w:sz="2" w:space="0" w:color="000000"/>
            </w:tcBorders>
            <w:vAlign w:val="center"/>
          </w:tcPr>
          <w:p>
            <w:pPr>
              <w:pStyle w:val="TableContents"/>
              <w:bidi w:val="0"/>
              <w:spacing w:before="0" w:after="283"/>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Annual Incentive Plan</w:t>
            </w:r>
          </w:p>
        </w:tc>
        <w:tc>
          <w:tcPr>
            <w:tcW w:w="360" w:type="dxa"/>
            <w:tcBorders>
              <w:top w:val="single" w:sz="12" w:space="0" w:color="C12E33"/>
              <w:bottom w:val="single" w:sz="2"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8266" w:type="dxa"/>
            <w:tcBorders>
              <w:top w:val="single" w:sz="12" w:space="0" w:color="C12E33"/>
              <w:bottom w:val="single" w:sz="2" w:space="0" w:color="000000"/>
            </w:tcBorders>
            <w:vAlign w:val="center"/>
          </w:tcPr>
          <w:p>
            <w:pPr>
              <w:pStyle w:val="TableContents"/>
              <w:bidi w:val="0"/>
              <w:spacing w:before="0" w:after="0"/>
              <w:ind w:left="360" w:right="0" w:hanging="360"/>
              <w:jc w:val="left"/>
              <w:rPr>
                <w:caps w:val="false"/>
                <w:smallCaps w:val="false"/>
              </w:rPr>
            </w:pPr>
            <w:r>
              <w:rPr>
                <w:caps w:val="false"/>
                <w:smallCaps w:val="false"/>
              </w:rPr>
              <w:t>●</w:t>
            </w:r>
          </w:p>
          <w:p>
            <w:pPr>
              <w:pStyle w:val="TableContents"/>
              <w:bidi w:val="0"/>
              <w:spacing w:before="0" w:after="0"/>
              <w:ind w:left="200" w:right="0" w:hanging="0"/>
              <w:jc w:val="left"/>
              <w:rPr>
                <w:rFonts w:ascii="Arial;Helvetica;Sans-Serif" w:hAnsi="Arial;Helvetica;Sans-Serif"/>
                <w:b w:val="false"/>
                <w:i w:val="false"/>
                <w:caps w:val="false"/>
                <w:smallCaps w:val="false"/>
                <w:sz w:val="20"/>
              </w:rPr>
            </w:pPr>
            <w:bookmarkStart w:id="54" w:name="xdx_90E_eecd--MeasureName_c20250101__202"/>
            <w:bookmarkEnd w:id="54"/>
            <w:r>
              <w:rPr>
                <w:rFonts w:ascii="Arial;Helvetica;Sans-Serif" w:hAnsi="Arial;Helvetica;Sans-Serif"/>
                <w:b/>
                <w:i w:val="false"/>
                <w:caps w:val="false"/>
                <w:smallCaps w:val="false"/>
                <w:sz w:val="20"/>
              </w:rPr>
              <w:t xml:space="preserve">Earnings </w:t>
            </w:r>
            <w:r>
              <w:rPr>
                <w:rFonts w:ascii="Arial;Helvetica;Sans-Serif" w:hAnsi="Arial;Helvetica;Sans-Serif"/>
                <w:b w:val="false"/>
                <w:i w:val="false"/>
                <w:caps w:val="false"/>
                <w:smallCaps w:val="false"/>
                <w:sz w:val="20"/>
              </w:rPr>
              <w:t>measure the immediate impact of operating decisions on the Company’s annual performance. For our Corporate executives, we use adjusted net income as our RTX-wide earnings metric, and for our business units, we use adjusted segment operating income.</w:t>
            </w:r>
          </w:p>
          <w:p>
            <w:pPr>
              <w:pStyle w:val="TableContents"/>
              <w:bidi w:val="0"/>
              <w:spacing w:before="0" w:after="0"/>
              <w:ind w:left="360" w:right="0" w:hanging="360"/>
              <w:jc w:val="left"/>
              <w:rPr>
                <w:caps w:val="false"/>
                <w:smallCaps w:val="false"/>
              </w:rPr>
            </w:pPr>
            <w:r>
              <w:rPr>
                <w:caps w:val="false"/>
                <w:smallCaps w:val="false"/>
              </w:rPr>
              <w:t> </w:t>
            </w:r>
          </w:p>
          <w:p>
            <w:pPr>
              <w:pStyle w:val="TableContents"/>
              <w:bidi w:val="0"/>
              <w:spacing w:before="0" w:after="0"/>
              <w:ind w:left="360" w:right="0" w:hanging="360"/>
              <w:jc w:val="left"/>
              <w:rPr>
                <w:caps w:val="false"/>
                <w:smallCaps w:val="false"/>
              </w:rPr>
            </w:pPr>
            <w:r>
              <w:rPr>
                <w:caps w:val="false"/>
                <w:smallCaps w:val="false"/>
              </w:rPr>
              <w:t>●</w:t>
            </w:r>
          </w:p>
          <w:p>
            <w:pPr>
              <w:pStyle w:val="TableContents"/>
              <w:bidi w:val="0"/>
              <w:spacing w:before="0" w:after="0"/>
              <w:ind w:left="200" w:right="0" w:hanging="0"/>
              <w:jc w:val="left"/>
              <w:rPr>
                <w:rFonts w:ascii="Arial;Helvetica;Sans-Serif" w:hAnsi="Arial;Helvetica;Sans-Serif"/>
                <w:b w:val="false"/>
                <w:i w:val="false"/>
                <w:caps w:val="false"/>
                <w:smallCaps w:val="false"/>
                <w:sz w:val="20"/>
              </w:rPr>
            </w:pPr>
            <w:bookmarkStart w:id="55" w:name="xdx_901_eecd--MeasureName_c20250101__202"/>
            <w:bookmarkEnd w:id="55"/>
            <w:r>
              <w:rPr>
                <w:rFonts w:ascii="Arial;Helvetica;Sans-Serif" w:hAnsi="Arial;Helvetica;Sans-Serif"/>
                <w:b/>
                <w:i w:val="false"/>
                <w:caps w:val="false"/>
                <w:smallCaps w:val="false"/>
                <w:sz w:val="20"/>
              </w:rPr>
              <w:t xml:space="preserve">Free Cash Flow </w:t>
            </w:r>
            <w:r>
              <w:rPr>
                <w:rFonts w:ascii="Arial;Helvetica;Sans-Serif" w:hAnsi="Arial;Helvetica;Sans-Serif"/>
                <w:b w:val="false"/>
                <w:i w:val="false"/>
                <w:caps w:val="false"/>
                <w:smallCaps w:val="false"/>
                <w:sz w:val="20"/>
              </w:rPr>
              <w:t>measures our ability to generate cash to fund our operations and key business investments—whether that means funding critical research and development, strategic acquisitions, paying down debt or distributing earnings to our shareowners.</w:t>
            </w:r>
          </w:p>
        </w:tc>
      </w:tr>
      <w:tr>
        <w:trPr/>
        <w:tc>
          <w:tcPr>
            <w:tcW w:w="1579" w:type="dxa"/>
            <w:tcBorders>
              <w:bottom w:val="single" w:sz="12" w:space="0" w:color="636466"/>
            </w:tcBorders>
            <w:tcMar>
              <w:top w:w="0" w:type="dxa"/>
            </w:tcMar>
            <w:vAlign w:val="center"/>
          </w:tcPr>
          <w:p>
            <w:pPr>
              <w:pStyle w:val="TableContents"/>
              <w:bidi w:val="0"/>
              <w:spacing w:before="0" w:after="283"/>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Performance Share Units</w:t>
            </w:r>
          </w:p>
        </w:tc>
        <w:tc>
          <w:tcPr>
            <w:tcW w:w="360" w:type="dxa"/>
            <w:tcBorders>
              <w:bottom w:val="single" w:sz="12" w:space="0" w:color="636466"/>
            </w:tcBorders>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8266" w:type="dxa"/>
            <w:tcBorders>
              <w:bottom w:val="single" w:sz="12" w:space="0" w:color="636466"/>
            </w:tcBorders>
            <w:tcMar>
              <w:top w:w="0" w:type="dxa"/>
            </w:tcMar>
            <w:vAlign w:val="center"/>
          </w:tcPr>
          <w:p>
            <w:pPr>
              <w:pStyle w:val="TableContents"/>
              <w:bidi w:val="0"/>
              <w:spacing w:before="0" w:after="0"/>
              <w:ind w:left="360" w:right="0" w:hanging="360"/>
              <w:jc w:val="left"/>
              <w:rPr>
                <w:caps w:val="false"/>
                <w:smallCaps w:val="false"/>
              </w:rPr>
            </w:pPr>
            <w:r>
              <w:rPr>
                <w:caps w:val="false"/>
                <w:smallCaps w:val="false"/>
              </w:rPr>
              <w:t>●</w:t>
            </w:r>
          </w:p>
          <w:p>
            <w:pPr>
              <w:pStyle w:val="TableContents"/>
              <w:bidi w:val="0"/>
              <w:spacing w:before="0" w:after="0"/>
              <w:ind w:left="200" w:right="0" w:hanging="0"/>
              <w:jc w:val="left"/>
              <w:rPr>
                <w:rFonts w:ascii="Arial;Helvetica;Sans-Serif" w:hAnsi="Arial;Helvetica;Sans-Serif"/>
                <w:b w:val="false"/>
                <w:i w:val="false"/>
                <w:caps w:val="false"/>
                <w:smallCaps w:val="false"/>
                <w:sz w:val="20"/>
              </w:rPr>
            </w:pPr>
            <w:bookmarkStart w:id="56" w:name="xdx_902_eecd--MeasureName_c20250101__202"/>
            <w:bookmarkEnd w:id="56"/>
            <w:r>
              <w:rPr>
                <w:rFonts w:ascii="Arial;Helvetica;Sans-Serif" w:hAnsi="Arial;Helvetica;Sans-Serif"/>
                <w:b/>
                <w:i w:val="false"/>
                <w:caps w:val="false"/>
                <w:smallCaps w:val="false"/>
                <w:sz w:val="20"/>
              </w:rPr>
              <w:t xml:space="preserve">Adjusted Earnings Per Share </w:t>
            </w:r>
            <w:r>
              <w:rPr>
                <w:rFonts w:ascii="Arial;Helvetica;Sans-Serif" w:hAnsi="Arial;Helvetica;Sans-Serif"/>
                <w:b w:val="false"/>
                <w:i w:val="false"/>
                <w:caps w:val="false"/>
                <w:smallCaps w:val="false"/>
                <w:sz w:val="20"/>
              </w:rPr>
              <w:t>measures the Company’s ability to create long-term, sustainable earnings that will ultimately drive total shareowner return.</w:t>
            </w:r>
          </w:p>
          <w:p>
            <w:pPr>
              <w:pStyle w:val="TableContents"/>
              <w:bidi w:val="0"/>
              <w:spacing w:before="0" w:after="0"/>
              <w:ind w:left="360" w:right="0" w:hanging="360"/>
              <w:jc w:val="left"/>
              <w:rPr>
                <w:caps w:val="false"/>
                <w:smallCaps w:val="false"/>
              </w:rPr>
            </w:pPr>
            <w:r>
              <w:rPr>
                <w:caps w:val="false"/>
                <w:smallCaps w:val="false"/>
              </w:rPr>
              <w:t> </w:t>
            </w:r>
          </w:p>
          <w:p>
            <w:pPr>
              <w:pStyle w:val="TableContents"/>
              <w:bidi w:val="0"/>
              <w:spacing w:before="0" w:after="0"/>
              <w:ind w:left="360" w:right="0" w:hanging="360"/>
              <w:jc w:val="left"/>
              <w:rPr>
                <w:caps w:val="false"/>
                <w:smallCaps w:val="false"/>
              </w:rPr>
            </w:pPr>
            <w:r>
              <w:rPr>
                <w:caps w:val="false"/>
                <w:smallCaps w:val="false"/>
              </w:rPr>
              <w:t>●</w:t>
            </w:r>
          </w:p>
          <w:p>
            <w:pPr>
              <w:pStyle w:val="TableContents"/>
              <w:bidi w:val="0"/>
              <w:spacing w:before="0" w:after="0"/>
              <w:ind w:left="200" w:right="0" w:hanging="0"/>
              <w:jc w:val="left"/>
              <w:rPr>
                <w:rFonts w:ascii="Arial;Helvetica;Sans-Serif" w:hAnsi="Arial;Helvetica;Sans-Serif"/>
                <w:b w:val="false"/>
                <w:i w:val="false"/>
                <w:caps w:val="false"/>
                <w:smallCaps w:val="false"/>
                <w:sz w:val="20"/>
              </w:rPr>
            </w:pPr>
            <w:bookmarkStart w:id="57" w:name="xdx_906_eecd--MeasureName_c20250101__202"/>
            <w:bookmarkEnd w:id="57"/>
            <w:r>
              <w:rPr>
                <w:rFonts w:ascii="Arial;Helvetica;Sans-Serif" w:hAnsi="Arial;Helvetica;Sans-Serif"/>
                <w:b/>
                <w:i w:val="false"/>
                <w:caps w:val="false"/>
                <w:smallCaps w:val="false"/>
                <w:sz w:val="20"/>
              </w:rPr>
              <w:t xml:space="preserve">Return on Invested Capital </w:t>
            </w:r>
            <w:r>
              <w:rPr>
                <w:rFonts w:ascii="Arial;Helvetica;Sans-Serif" w:hAnsi="Arial;Helvetica;Sans-Serif"/>
                <w:b w:val="false"/>
                <w:i w:val="false"/>
                <w:caps w:val="false"/>
                <w:smallCaps w:val="false"/>
                <w:sz w:val="20"/>
              </w:rPr>
              <w:t>measures the efficiency with which we allocate capital resources, considering not just the quantity of earnings but also the quality of earnings and investments that drive sustainable growth.</w:t>
            </w:r>
          </w:p>
          <w:p>
            <w:pPr>
              <w:pStyle w:val="TableContents"/>
              <w:bidi w:val="0"/>
              <w:spacing w:before="0" w:after="0"/>
              <w:ind w:left="360" w:right="0" w:hanging="360"/>
              <w:jc w:val="left"/>
              <w:rPr>
                <w:caps w:val="false"/>
                <w:smallCaps w:val="false"/>
              </w:rPr>
            </w:pPr>
            <w:r>
              <w:rPr>
                <w:caps w:val="false"/>
                <w:smallCaps w:val="false"/>
              </w:rPr>
              <w:t> </w:t>
            </w:r>
          </w:p>
          <w:p>
            <w:pPr>
              <w:pStyle w:val="TableContents"/>
              <w:bidi w:val="0"/>
              <w:spacing w:before="0" w:after="0"/>
              <w:ind w:left="360" w:right="0" w:hanging="360"/>
              <w:jc w:val="left"/>
              <w:rPr>
                <w:caps w:val="false"/>
                <w:smallCaps w:val="false"/>
              </w:rPr>
            </w:pPr>
            <w:r>
              <w:rPr>
                <w:caps w:val="false"/>
                <w:smallCaps w:val="false"/>
              </w:rPr>
              <w:t>●</w:t>
            </w:r>
          </w:p>
          <w:p>
            <w:pPr>
              <w:pStyle w:val="TableContents"/>
              <w:bidi w:val="0"/>
              <w:spacing w:before="0" w:after="0"/>
              <w:ind w:left="200" w:right="0" w:hanging="0"/>
              <w:jc w:val="left"/>
              <w:rPr>
                <w:rFonts w:ascii="Arial;Helvetica;Sans-Serif" w:hAnsi="Arial;Helvetica;Sans-Serif"/>
                <w:b w:val="false"/>
                <w:i w:val="false"/>
                <w:caps w:val="false"/>
                <w:smallCaps w:val="false"/>
                <w:sz w:val="20"/>
              </w:rPr>
            </w:pPr>
            <w:bookmarkStart w:id="58" w:name="xdx_90B_eecd--MeasureName_c20250101__202"/>
            <w:bookmarkEnd w:id="58"/>
            <w:r>
              <w:rPr>
                <w:rFonts w:ascii="Arial;Helvetica;Sans-Serif" w:hAnsi="Arial;Helvetica;Sans-Serif"/>
                <w:b/>
                <w:i w:val="false"/>
                <w:caps w:val="false"/>
                <w:smallCaps w:val="false"/>
                <w:sz w:val="20"/>
              </w:rPr>
              <w:t xml:space="preserve">Total Shareowner Return vs. our Core A&amp;D Peers and the companies in the S&amp;P 500 Index </w:t>
            </w:r>
            <w:r>
              <w:rPr>
                <w:rFonts w:ascii="Arial;Helvetica;Sans-Serif" w:hAnsi="Arial;Helvetica;Sans-Serif"/>
                <w:b w:val="false"/>
                <w:i w:val="false"/>
                <w:caps w:val="false"/>
                <w:smallCaps w:val="false"/>
                <w:sz w:val="20"/>
              </w:rPr>
              <w:t>measures our ability to return value to our shareowners compared to our Core A&amp;D Peers and a broad index investment opportunity.</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INDIVIDUAL PERFORMANCE CONSIDERATIONS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Each NEO’s total direct compensation (as defined on page 53) is also based on rigorous individual performance assessments by the HCC Committee, and on individual and job-specific factors, typically including job scope and responsibilities, tenure, experience, external market positioning, sustained performance and retention risk. See pages 52-57 for additional details on the individual performance considerations used to determine 2025 total direct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15"/>
        </w:rPr>
      </w:pPr>
      <w:r>
        <w:rPr>
          <w:rFonts w:ascii="Arial;Helvetica;Sans-Serif" w:hAnsi="Arial;Helvetica;Sans-Serif"/>
          <w:b/>
          <w:i w:val="false"/>
          <w:caps w:val="false"/>
          <w:smallCaps w:val="false"/>
          <w:sz w:val="15"/>
        </w:rPr>
        <w:t xml:space="preserve">80    RTX </w:t>
      </w:r>
      <w:r>
        <w:rPr>
          <w:rFonts w:ascii="Arial;Helvetica;Sans-Serif" w:hAnsi="Arial;Helvetica;Sans-Serif"/>
          <w:b w:val="false"/>
          <w:i w:val="false"/>
          <w:caps w:val="false"/>
          <w:smallCaps w:val="false"/>
          <w:sz w:val="15"/>
        </w:rPr>
        <w:t>2026 PROXY STATEMENT</w:t>
      </w:r>
    </w:p>
    <w:p>
      <w:pPr>
        <w:pStyle w:val="HorizontalLine"/>
        <w:pBdr>
          <w:bottom w:val="double" w:sz="2" w:space="0" w:color="808080"/>
        </w:pBdr>
        <w:bidi w:val="0"/>
        <w:spacing w:before="0" w:after="283"/>
        <w:jc w:val="left"/>
        <w:rPr/>
      </w:pPr>
      <w:r>
        <w:rPr/>
      </w:r>
    </w:p>
    <w:p>
      <w:pPr>
        <w:pStyle w:val="TextBody"/>
        <w:bidi w:val="0"/>
        <w:spacing w:before="200" w:after="200"/>
        <w:jc w:val="left"/>
        <w:rPr/>
      </w:pPr>
      <w:hyperlink w:anchor="toc">
        <w:r>
          <w:rPr>
            <w:rStyle w:val="InternetLink"/>
            <w:rFonts w:ascii="Arial;Helvetica;Sans-Serif" w:hAnsi="Arial;Helvetica;Sans-Serif"/>
            <w:b/>
            <w:i w:val="false"/>
            <w:caps w:val="false"/>
            <w:smallCaps w:val="false"/>
            <w:sz w:val="16"/>
          </w:rPr>
          <w:t>Table of Contents</w:t>
        </w:r>
      </w:hyperlink>
    </w:p>
    <w:p>
      <w:pPr>
        <w:pStyle w:val="TextBody"/>
        <w:bidi w:val="0"/>
        <w:spacing w:before="0" w:after="0"/>
        <w:ind w:left="0" w:right="0" w:hanging="0"/>
        <w:jc w:val="right"/>
        <w:rPr>
          <w:rFonts w:ascii="Arial;Helvetica;Sans-Serif" w:hAnsi="Arial;Helvetica;Sans-Serif"/>
          <w:b/>
          <w:i w:val="false"/>
          <w:caps w:val="false"/>
          <w:smallCaps w:val="false"/>
          <w:color w:val="C12E33"/>
          <w:sz w:val="15"/>
        </w:rPr>
      </w:pPr>
      <w:r>
        <w:rPr>
          <w:rFonts w:ascii="Arial;Helvetica;Sans-Serif" w:hAnsi="Arial;Helvetica;Sans-Serif"/>
          <w:b/>
          <w:i w:val="false"/>
          <w:caps w:val="false"/>
          <w:smallCaps w:val="false"/>
          <w:color w:val="C12E33"/>
          <w:sz w:val="15"/>
        </w:rPr>
        <w:t>PAY VERSUS PERFORMANCE</w:t>
      </w:r>
    </w:p>
    <w:p>
      <w:pPr>
        <w:pStyle w:val="TextBody"/>
        <w:bidi w:val="0"/>
        <w:spacing w:before="0" w:after="0"/>
        <w:ind w:left="0" w:right="0" w:hanging="0"/>
        <w:jc w:val="righ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PAY VERSUS PERFORMANCE TABLE—COMPENSATION DEFINITIONS</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34"/>
        </w:rPr>
      </w:pPr>
      <w:r>
        <w:rPr>
          <w:rFonts w:ascii="Arial;Helvetica;Sans-Serif" w:hAnsi="Arial;Helvetica;Sans-Serif"/>
          <w:b/>
          <w:i w:val="false"/>
          <w:caps w:val="false"/>
          <w:smallCaps w:val="false"/>
          <w:sz w:val="34"/>
        </w:rPr>
        <w:t>Pay versus Performance Table—Compensation Definitions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table below outlines the differences between the values reported in the Summary Compensation Table on page 64 and the SEC-mandated CAP calculation: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40" w:type="dxa"/>
          <w:left w:w="0" w:type="dxa"/>
          <w:bottom w:w="0" w:type="dxa"/>
          <w:right w:w="0" w:type="dxa"/>
        </w:tblCellMar>
      </w:tblPr>
      <w:tblGrid>
        <w:gridCol w:w="1770"/>
        <w:gridCol w:w="300"/>
        <w:gridCol w:w="1135"/>
        <w:gridCol w:w="300"/>
        <w:gridCol w:w="6700"/>
      </w:tblGrid>
      <w:tr>
        <w:trPr/>
        <w:tc>
          <w:tcPr>
            <w:tcW w:w="1770" w:type="dxa"/>
            <w:tcBorders>
              <w:top w:val="single" w:sz="12" w:space="0" w:color="C12E33"/>
            </w:tcBorders>
            <w:vAlign w:val="center"/>
          </w:tcPr>
          <w:p>
            <w:pPr>
              <w:pStyle w:val="TableContents"/>
              <w:bidi w:val="0"/>
              <w:spacing w:before="0" w:after="283"/>
              <w:jc w:val="left"/>
              <w:rPr>
                <w:b/>
              </w:rPr>
            </w:pPr>
            <w:r>
              <w:rPr>
                <w:b/>
              </w:rPr>
              <w:t>Summary Compensation Table (“SCT”)</w:t>
            </w:r>
          </w:p>
        </w:tc>
        <w:tc>
          <w:tcPr>
            <w:tcW w:w="300" w:type="dxa"/>
            <w:tcBorders>
              <w:top w:val="single" w:sz="12" w:space="0" w:color="C12E33"/>
            </w:tcBorders>
            <w:vAlign w:val="center"/>
          </w:tcPr>
          <w:p>
            <w:pPr>
              <w:pStyle w:val="TableContents"/>
              <w:bidi w:val="0"/>
              <w:spacing w:before="0" w:after="283"/>
              <w:jc w:val="left"/>
              <w:rPr/>
            </w:pPr>
            <w:r>
              <w:rPr/>
              <w:t>     </w:t>
            </w:r>
          </w:p>
        </w:tc>
        <w:tc>
          <w:tcPr>
            <w:tcW w:w="1135" w:type="dxa"/>
            <w:tcBorders>
              <w:top w:val="single" w:sz="12" w:space="0" w:color="C12E33"/>
              <w:bottom w:val="single" w:sz="2" w:space="0" w:color="000000"/>
            </w:tcBorders>
            <w:tcMar>
              <w:bottom w:w="40" w:type="dxa"/>
            </w:tcMar>
            <w:vAlign w:val="center"/>
          </w:tcPr>
          <w:p>
            <w:pPr>
              <w:pStyle w:val="TableContents"/>
              <w:bidi w:val="0"/>
              <w:spacing w:before="0" w:after="283"/>
              <w:jc w:val="left"/>
              <w:rPr>
                <w:b/>
              </w:rPr>
            </w:pPr>
            <w:r>
              <w:rPr>
                <w:b/>
              </w:rPr>
              <w:t>Basic</w:t>
            </w:r>
            <w:r>
              <w:rPr>
                <w:b/>
                <w:position w:val="8"/>
                <w:sz w:val="19"/>
              </w:rPr>
              <w:t xml:space="preserve"> </w:t>
            </w:r>
            <w:r>
              <w:rPr>
                <w:b/>
              </w:rPr>
              <w:t>concept</w:t>
            </w:r>
          </w:p>
        </w:tc>
        <w:tc>
          <w:tcPr>
            <w:tcW w:w="300" w:type="dxa"/>
            <w:tcBorders>
              <w:top w:val="single" w:sz="12" w:space="0" w:color="C12E33"/>
              <w:bottom w:val="single" w:sz="2" w:space="0" w:color="000000"/>
            </w:tcBorders>
            <w:tcMar>
              <w:bottom w:w="40" w:type="dxa"/>
            </w:tcMar>
            <w:vAlign w:val="center"/>
          </w:tcPr>
          <w:p>
            <w:pPr>
              <w:pStyle w:val="TableContents"/>
              <w:bidi w:val="0"/>
              <w:spacing w:before="0" w:after="283"/>
              <w:jc w:val="left"/>
              <w:rPr/>
            </w:pPr>
            <w:r>
              <w:rPr/>
              <w:t>     </w:t>
            </w:r>
          </w:p>
        </w:tc>
        <w:tc>
          <w:tcPr>
            <w:tcW w:w="6700" w:type="dxa"/>
            <w:tcBorders>
              <w:top w:val="single" w:sz="12" w:space="0" w:color="C12E33"/>
              <w:bottom w:val="single" w:sz="2" w:space="0" w:color="000000"/>
            </w:tcBorders>
            <w:tcMar>
              <w:bottom w:w="40" w:type="dxa"/>
            </w:tcMar>
            <w:vAlign w:val="center"/>
          </w:tcPr>
          <w:p>
            <w:pPr>
              <w:pStyle w:val="TableContents"/>
              <w:bidi w:val="0"/>
              <w:spacing w:before="0" w:after="0"/>
              <w:ind w:left="360" w:right="0" w:hanging="360"/>
              <w:jc w:val="left"/>
              <w:rPr/>
            </w:pPr>
            <w:r>
              <w:rPr/>
              <w:t>●</w:t>
            </w:r>
          </w:p>
          <w:p>
            <w:pPr>
              <w:pStyle w:val="TableContents"/>
              <w:bidi w:val="0"/>
              <w:spacing w:before="0" w:after="0"/>
              <w:ind w:left="200" w:right="0" w:hanging="0"/>
              <w:jc w:val="left"/>
              <w:rPr/>
            </w:pPr>
            <w:r>
              <w:rPr/>
              <w:t>Includes a mix of compensation earned during the year (e.g., base salary and annual incentives) and estimated future pay opportunities (e.g., LTI and pension benefits).</w:t>
            </w:r>
          </w:p>
          <w:p>
            <w:pPr>
              <w:pStyle w:val="TableContents"/>
              <w:bidi w:val="0"/>
              <w:spacing w:before="0" w:after="0"/>
              <w:ind w:left="360" w:right="0" w:hanging="360"/>
              <w:jc w:val="left"/>
              <w:rPr/>
            </w:pPr>
            <w:r>
              <w:rPr/>
              <w:t>●</w:t>
            </w:r>
          </w:p>
          <w:p>
            <w:pPr>
              <w:pStyle w:val="TableContents"/>
              <w:bidi w:val="0"/>
              <w:spacing w:before="0" w:after="0"/>
              <w:ind w:left="200" w:right="0" w:hanging="0"/>
              <w:jc w:val="left"/>
              <w:rPr/>
            </w:pPr>
            <w:r>
              <w:rPr/>
              <w:t>Uses accounting conventions to estimate the fair value of LTI awards on the grant date, which can significantly differ from the value ultimately realized by the NEO.</w:t>
            </w:r>
          </w:p>
          <w:p>
            <w:pPr>
              <w:pStyle w:val="TableContents"/>
              <w:bidi w:val="0"/>
              <w:spacing w:before="0" w:after="0"/>
              <w:ind w:left="360" w:right="0" w:hanging="360"/>
              <w:jc w:val="left"/>
              <w:rPr/>
            </w:pPr>
            <w:r>
              <w:rPr/>
              <w:t>●</w:t>
            </w:r>
          </w:p>
          <w:p>
            <w:pPr>
              <w:pStyle w:val="TableContents"/>
              <w:bidi w:val="0"/>
              <w:spacing w:before="0" w:after="0"/>
              <w:ind w:left="200" w:right="0" w:hanging="0"/>
              <w:jc w:val="left"/>
              <w:rPr/>
            </w:pPr>
            <w:r>
              <w:rPr/>
              <w:t>Includes aggregate change in the actuarial present value of pension benefits, which is impacted by various economic actuarial assumptions that do not necessarily represent the additional benefit earned by the NEO during the year.</w:t>
            </w:r>
          </w:p>
        </w:tc>
      </w:tr>
      <w:tr>
        <w:trPr/>
        <w:tc>
          <w:tcPr>
            <w:tcW w:w="1770" w:type="dxa"/>
            <w:tcBorders/>
            <w:tcMar>
              <w:top w:w="0" w:type="dxa"/>
            </w:tcMar>
            <w:vAlign w:val="center"/>
          </w:tcPr>
          <w:p>
            <w:pPr>
              <w:pStyle w:val="TableContents"/>
              <w:bidi w:val="0"/>
              <w:spacing w:before="0" w:after="283"/>
              <w:jc w:val="left"/>
              <w:rPr/>
            </w:pPr>
            <w:r>
              <w:rPr/>
              <w:t> </w:t>
            </w:r>
          </w:p>
        </w:tc>
        <w:tc>
          <w:tcPr>
            <w:tcW w:w="300" w:type="dxa"/>
            <w:tcBorders/>
            <w:tcMar>
              <w:top w:w="0" w:type="dxa"/>
            </w:tcMar>
            <w:vAlign w:val="center"/>
          </w:tcPr>
          <w:p>
            <w:pPr>
              <w:pStyle w:val="TableContents"/>
              <w:bidi w:val="0"/>
              <w:spacing w:before="0" w:after="283"/>
              <w:jc w:val="left"/>
              <w:rPr/>
            </w:pPr>
            <w:r>
              <w:rPr/>
              <w:t> </w:t>
            </w:r>
          </w:p>
        </w:tc>
        <w:tc>
          <w:tcPr>
            <w:tcW w:w="1135" w:type="dxa"/>
            <w:tcBorders/>
            <w:tcMar>
              <w:top w:w="0" w:type="dxa"/>
            </w:tcMar>
            <w:vAlign w:val="center"/>
          </w:tcPr>
          <w:p>
            <w:pPr>
              <w:pStyle w:val="TableContents"/>
              <w:bidi w:val="0"/>
              <w:spacing w:before="0" w:after="283"/>
              <w:jc w:val="left"/>
              <w:rPr>
                <w:b/>
              </w:rPr>
            </w:pPr>
            <w:r>
              <w:rPr>
                <w:b/>
              </w:rPr>
              <w:t>How it is calculated</w:t>
            </w:r>
          </w:p>
        </w:tc>
        <w:tc>
          <w:tcPr>
            <w:tcW w:w="300" w:type="dxa"/>
            <w:tcBorders/>
            <w:tcMar>
              <w:top w:w="0" w:type="dxa"/>
            </w:tcMar>
            <w:vAlign w:val="center"/>
          </w:tcPr>
          <w:p>
            <w:pPr>
              <w:pStyle w:val="TableContents"/>
              <w:bidi w:val="0"/>
              <w:spacing w:before="0" w:after="283"/>
              <w:jc w:val="left"/>
              <w:rPr/>
            </w:pPr>
            <w:r>
              <w:rPr/>
              <w:t> </w:t>
            </w:r>
          </w:p>
        </w:tc>
        <w:tc>
          <w:tcPr>
            <w:tcW w:w="6700" w:type="dxa"/>
            <w:tcBorders/>
            <w:tcMar>
              <w:top w:w="0" w:type="dxa"/>
            </w:tcMar>
            <w:vAlign w:val="center"/>
          </w:tcPr>
          <w:p>
            <w:pPr>
              <w:pStyle w:val="TableContents"/>
              <w:bidi w:val="0"/>
              <w:spacing w:before="0" w:after="0"/>
              <w:ind w:left="360" w:right="0" w:hanging="360"/>
              <w:jc w:val="left"/>
              <w:rPr/>
            </w:pPr>
            <w:r>
              <w:rPr/>
              <w:t>●</w:t>
            </w:r>
          </w:p>
          <w:p>
            <w:pPr>
              <w:pStyle w:val="TableContents"/>
              <w:bidi w:val="0"/>
              <w:spacing w:before="0" w:after="0"/>
              <w:ind w:left="200" w:right="0" w:hanging="0"/>
              <w:jc w:val="left"/>
              <w:rPr/>
            </w:pPr>
            <w:r>
              <w:rPr>
                <w:b/>
              </w:rPr>
              <w:t xml:space="preserve">Base salary </w:t>
            </w:r>
            <w:r>
              <w:rPr/>
              <w:t>paid during the year</w:t>
            </w:r>
          </w:p>
          <w:p>
            <w:pPr>
              <w:pStyle w:val="TableContents"/>
              <w:bidi w:val="0"/>
              <w:spacing w:before="0" w:after="0"/>
              <w:ind w:left="360" w:right="0" w:hanging="360"/>
              <w:jc w:val="left"/>
              <w:rPr/>
            </w:pPr>
            <w:r>
              <w:rPr/>
              <w:t>●</w:t>
            </w:r>
          </w:p>
          <w:p>
            <w:pPr>
              <w:pStyle w:val="TableContents"/>
              <w:bidi w:val="0"/>
              <w:spacing w:before="0" w:after="0"/>
              <w:ind w:left="200" w:right="0" w:hanging="0"/>
              <w:jc w:val="left"/>
              <w:rPr/>
            </w:pPr>
            <w:r>
              <w:rPr>
                <w:b/>
              </w:rPr>
              <w:t>Annual incentives </w:t>
            </w:r>
            <w:r>
              <w:rPr/>
              <w:t>earned for the applicable year’s performance</w:t>
            </w:r>
          </w:p>
          <w:p>
            <w:pPr>
              <w:pStyle w:val="TableContents"/>
              <w:bidi w:val="0"/>
              <w:spacing w:before="0" w:after="0"/>
              <w:ind w:left="360" w:right="0" w:hanging="360"/>
              <w:jc w:val="left"/>
              <w:rPr/>
            </w:pPr>
            <w:r>
              <w:rPr/>
              <w:t>●</w:t>
            </w:r>
          </w:p>
          <w:p>
            <w:pPr>
              <w:pStyle w:val="TableContents"/>
              <w:bidi w:val="0"/>
              <w:spacing w:before="0" w:after="0"/>
              <w:ind w:left="200" w:right="0" w:hanging="0"/>
              <w:jc w:val="left"/>
              <w:rPr/>
            </w:pPr>
            <w:r>
              <w:rPr>
                <w:b/>
              </w:rPr>
              <w:t xml:space="preserve">Grant date accounting fair value of LTI awards </w:t>
            </w:r>
            <w:r>
              <w:rPr/>
              <w:t>granted during the year, which reflects the HCC Committee’s evaluation of the prior year’s performance</w:t>
            </w:r>
          </w:p>
          <w:p>
            <w:pPr>
              <w:pStyle w:val="TableContents"/>
              <w:bidi w:val="0"/>
              <w:spacing w:before="0" w:after="0"/>
              <w:ind w:left="360" w:right="0" w:hanging="360"/>
              <w:jc w:val="left"/>
              <w:rPr/>
            </w:pPr>
            <w:r>
              <w:rPr/>
              <w:t>●</w:t>
            </w:r>
          </w:p>
          <w:p>
            <w:pPr>
              <w:pStyle w:val="TableContents"/>
              <w:bidi w:val="0"/>
              <w:spacing w:before="0" w:after="0"/>
              <w:ind w:left="200" w:right="0" w:hanging="0"/>
              <w:jc w:val="left"/>
              <w:rPr/>
            </w:pPr>
            <w:r>
              <w:rPr>
                <w:b/>
              </w:rPr>
              <w:t>Change in the actuarial present value of pension benefits</w:t>
            </w:r>
            <w:r>
              <w:rPr/>
              <w:t>, plus above-market earnings on nonqualified </w:t>
            </w:r>
            <w:r>
              <w:rPr>
                <w:b/>
              </w:rPr>
              <w:t>deferred compensation</w:t>
            </w:r>
          </w:p>
          <w:p>
            <w:pPr>
              <w:pStyle w:val="TableContents"/>
              <w:bidi w:val="0"/>
              <w:spacing w:before="0" w:after="0"/>
              <w:ind w:left="360" w:right="0" w:hanging="360"/>
              <w:jc w:val="left"/>
              <w:rPr/>
            </w:pPr>
            <w:r>
              <w:rPr/>
              <w:t>●</w:t>
            </w:r>
          </w:p>
          <w:p>
            <w:pPr>
              <w:pStyle w:val="TableContents"/>
              <w:bidi w:val="0"/>
              <w:spacing w:before="0" w:after="0"/>
              <w:ind w:left="200" w:right="0" w:hanging="0"/>
              <w:jc w:val="left"/>
              <w:rPr>
                <w:b/>
              </w:rPr>
            </w:pPr>
            <w:r>
              <w:rPr>
                <w:b/>
              </w:rPr>
              <w:t>All other compensation</w:t>
            </w:r>
          </w:p>
        </w:tc>
      </w:tr>
      <w:tr>
        <w:trPr/>
        <w:tc>
          <w:tcPr>
            <w:tcW w:w="1770" w:type="dxa"/>
            <w:tcBorders>
              <w:top w:val="single" w:sz="12" w:space="0" w:color="C12E33"/>
            </w:tcBorders>
            <w:vAlign w:val="center"/>
          </w:tcPr>
          <w:p>
            <w:pPr>
              <w:pStyle w:val="TableContents"/>
              <w:bidi w:val="0"/>
              <w:spacing w:before="0" w:after="283"/>
              <w:jc w:val="left"/>
              <w:rPr>
                <w:b/>
              </w:rPr>
            </w:pPr>
            <w:r>
              <w:rPr>
                <w:b/>
              </w:rPr>
              <w:t>Compensation Actually Paid</w:t>
            </w:r>
          </w:p>
        </w:tc>
        <w:tc>
          <w:tcPr>
            <w:tcW w:w="300" w:type="dxa"/>
            <w:tcBorders>
              <w:top w:val="single" w:sz="12" w:space="0" w:color="C12E33"/>
            </w:tcBorders>
            <w:vAlign w:val="center"/>
          </w:tcPr>
          <w:p>
            <w:pPr>
              <w:pStyle w:val="TableContents"/>
              <w:bidi w:val="0"/>
              <w:spacing w:before="0" w:after="283"/>
              <w:jc w:val="left"/>
              <w:rPr/>
            </w:pPr>
            <w:r>
              <w:rPr/>
              <w:t> </w:t>
            </w:r>
          </w:p>
        </w:tc>
        <w:tc>
          <w:tcPr>
            <w:tcW w:w="1135" w:type="dxa"/>
            <w:tcBorders>
              <w:top w:val="single" w:sz="12" w:space="0" w:color="C12E33"/>
              <w:bottom w:val="single" w:sz="2" w:space="0" w:color="000000"/>
            </w:tcBorders>
            <w:tcMar>
              <w:bottom w:w="40" w:type="dxa"/>
            </w:tcMar>
            <w:vAlign w:val="center"/>
          </w:tcPr>
          <w:p>
            <w:pPr>
              <w:pStyle w:val="TableContents"/>
              <w:bidi w:val="0"/>
              <w:spacing w:before="0" w:after="283"/>
              <w:jc w:val="left"/>
              <w:rPr>
                <w:b/>
              </w:rPr>
            </w:pPr>
            <w:r>
              <w:rPr>
                <w:b/>
              </w:rPr>
              <w:t>Basic concept</w:t>
            </w:r>
          </w:p>
        </w:tc>
        <w:tc>
          <w:tcPr>
            <w:tcW w:w="300" w:type="dxa"/>
            <w:tcBorders>
              <w:top w:val="single" w:sz="12" w:space="0" w:color="C12E33"/>
              <w:bottom w:val="single" w:sz="2" w:space="0" w:color="000000"/>
            </w:tcBorders>
            <w:tcMar>
              <w:bottom w:w="40" w:type="dxa"/>
            </w:tcMar>
            <w:vAlign w:val="center"/>
          </w:tcPr>
          <w:p>
            <w:pPr>
              <w:pStyle w:val="TableContents"/>
              <w:bidi w:val="0"/>
              <w:spacing w:before="0" w:after="283"/>
              <w:jc w:val="left"/>
              <w:rPr/>
            </w:pPr>
            <w:r>
              <w:rPr/>
              <w:t> </w:t>
            </w:r>
          </w:p>
        </w:tc>
        <w:tc>
          <w:tcPr>
            <w:tcW w:w="6700" w:type="dxa"/>
            <w:tcBorders>
              <w:top w:val="single" w:sz="12" w:space="0" w:color="C12E33"/>
              <w:bottom w:val="single" w:sz="2" w:space="0" w:color="000000"/>
            </w:tcBorders>
            <w:tcMar>
              <w:bottom w:w="40" w:type="dxa"/>
            </w:tcMar>
            <w:vAlign w:val="center"/>
          </w:tcPr>
          <w:p>
            <w:pPr>
              <w:pStyle w:val="TableContents"/>
              <w:bidi w:val="0"/>
              <w:spacing w:before="0" w:after="0"/>
              <w:ind w:left="360" w:right="0" w:hanging="360"/>
              <w:jc w:val="left"/>
              <w:rPr/>
            </w:pPr>
            <w:r>
              <w:rPr/>
              <w:t>●</w:t>
            </w:r>
          </w:p>
          <w:p>
            <w:pPr>
              <w:pStyle w:val="TableContents"/>
              <w:bidi w:val="0"/>
              <w:spacing w:before="0" w:after="0"/>
              <w:ind w:left="200" w:right="0" w:hanging="0"/>
              <w:jc w:val="left"/>
              <w:rPr/>
            </w:pPr>
            <w:r>
              <w:rPr/>
              <w:t>Like the SCT, includes a mix of compensation earned during the year (e.g., base salary and annual incentives) and estimated future pay opportunities (e.g., LTI and pension benefits).</w:t>
            </w:r>
          </w:p>
          <w:p>
            <w:pPr>
              <w:pStyle w:val="TableContents"/>
              <w:bidi w:val="0"/>
              <w:spacing w:before="0" w:after="0"/>
              <w:ind w:left="360" w:right="0" w:hanging="360"/>
              <w:jc w:val="left"/>
              <w:rPr/>
            </w:pPr>
            <w:r>
              <w:rPr/>
              <w:t>●</w:t>
            </w:r>
          </w:p>
          <w:p>
            <w:pPr>
              <w:pStyle w:val="TableContents"/>
              <w:bidi w:val="0"/>
              <w:spacing w:before="0" w:after="0"/>
              <w:ind w:left="200" w:right="0" w:hanging="0"/>
              <w:jc w:val="left"/>
              <w:rPr/>
            </w:pPr>
            <w:r>
              <w:rPr/>
              <w:t>Uses the same accounting conventions as the SCT to estimate the value of LTI. However, the CAP LTI values represent a year-over-year change in the accounting values of unvested LTI awards and LTI awards that vested or forfeited during the year, as well as the year-end valuation for LTI awards granted during the year. For SARs, this accounting value at vesting does not represent the actual value realized by the NEO, which will ultimately be determined when the NEO exercises vested SARs.</w:t>
            </w:r>
          </w:p>
          <w:p>
            <w:pPr>
              <w:pStyle w:val="TableContents"/>
              <w:bidi w:val="0"/>
              <w:spacing w:before="0" w:after="0"/>
              <w:ind w:left="360" w:right="0" w:hanging="360"/>
              <w:jc w:val="left"/>
              <w:rPr/>
            </w:pPr>
            <w:r>
              <w:rPr/>
              <w:t>●</w:t>
            </w:r>
          </w:p>
          <w:p>
            <w:pPr>
              <w:pStyle w:val="TableContents"/>
              <w:bidi w:val="0"/>
              <w:spacing w:before="0" w:after="0"/>
              <w:ind w:left="200" w:right="0" w:hanging="0"/>
              <w:jc w:val="left"/>
              <w:rPr/>
            </w:pPr>
            <w:r>
              <w:rPr/>
              <w:t>Includes the pension benefit service cost for the year, which seeks to neutralize the effect of certain economic actuarial assumptions and more closely estimates the amount actually earned by the NEO during the relevant year.</w:t>
            </w:r>
          </w:p>
        </w:tc>
      </w:tr>
      <w:tr>
        <w:trPr/>
        <w:tc>
          <w:tcPr>
            <w:tcW w:w="1770" w:type="dxa"/>
            <w:tcBorders>
              <w:bottom w:val="single" w:sz="12" w:space="0" w:color="636466"/>
            </w:tcBorders>
            <w:tcMar>
              <w:top w:w="0" w:type="dxa"/>
              <w:bottom w:w="40" w:type="dxa"/>
            </w:tcMar>
            <w:vAlign w:val="center"/>
          </w:tcPr>
          <w:p>
            <w:pPr>
              <w:pStyle w:val="TableContents"/>
              <w:bidi w:val="0"/>
              <w:spacing w:before="0" w:after="283"/>
              <w:jc w:val="left"/>
              <w:rPr/>
            </w:pPr>
            <w:r>
              <w:rPr/>
              <w:t> </w:t>
            </w:r>
          </w:p>
        </w:tc>
        <w:tc>
          <w:tcPr>
            <w:tcW w:w="300" w:type="dxa"/>
            <w:tcBorders>
              <w:bottom w:val="single" w:sz="12" w:space="0" w:color="636466"/>
            </w:tcBorders>
            <w:tcMar>
              <w:top w:w="0" w:type="dxa"/>
              <w:bottom w:w="40" w:type="dxa"/>
            </w:tcMar>
            <w:vAlign w:val="center"/>
          </w:tcPr>
          <w:p>
            <w:pPr>
              <w:pStyle w:val="TableContents"/>
              <w:bidi w:val="0"/>
              <w:spacing w:before="0" w:after="283"/>
              <w:jc w:val="left"/>
              <w:rPr/>
            </w:pPr>
            <w:r>
              <w:rPr/>
              <w:t> </w:t>
            </w:r>
          </w:p>
        </w:tc>
        <w:tc>
          <w:tcPr>
            <w:tcW w:w="1135" w:type="dxa"/>
            <w:tcBorders>
              <w:bottom w:val="single" w:sz="12" w:space="0" w:color="636466"/>
            </w:tcBorders>
            <w:tcMar>
              <w:top w:w="0" w:type="dxa"/>
              <w:bottom w:w="40" w:type="dxa"/>
            </w:tcMar>
            <w:vAlign w:val="center"/>
          </w:tcPr>
          <w:p>
            <w:pPr>
              <w:pStyle w:val="TableContents"/>
              <w:bidi w:val="0"/>
              <w:spacing w:before="0" w:after="283"/>
              <w:jc w:val="left"/>
              <w:rPr>
                <w:b/>
              </w:rPr>
            </w:pPr>
            <w:r>
              <w:rPr>
                <w:b/>
              </w:rPr>
              <w:t>How it is calculated</w:t>
            </w:r>
          </w:p>
        </w:tc>
        <w:tc>
          <w:tcPr>
            <w:tcW w:w="300" w:type="dxa"/>
            <w:tcBorders>
              <w:bottom w:val="single" w:sz="12" w:space="0" w:color="636466"/>
            </w:tcBorders>
            <w:tcMar>
              <w:top w:w="0" w:type="dxa"/>
              <w:bottom w:w="40" w:type="dxa"/>
            </w:tcMar>
            <w:vAlign w:val="center"/>
          </w:tcPr>
          <w:p>
            <w:pPr>
              <w:pStyle w:val="TableContents"/>
              <w:bidi w:val="0"/>
              <w:spacing w:before="0" w:after="283"/>
              <w:jc w:val="left"/>
              <w:rPr/>
            </w:pPr>
            <w:r>
              <w:rPr/>
              <w:t> </w:t>
            </w:r>
          </w:p>
        </w:tc>
        <w:tc>
          <w:tcPr>
            <w:tcW w:w="6700" w:type="dxa"/>
            <w:tcBorders>
              <w:bottom w:val="single" w:sz="12" w:space="0" w:color="636466"/>
            </w:tcBorders>
            <w:tcMar>
              <w:top w:w="0" w:type="dxa"/>
              <w:bottom w:w="40" w:type="dxa"/>
            </w:tcMar>
            <w:vAlign w:val="center"/>
          </w:tcPr>
          <w:p>
            <w:pPr>
              <w:pStyle w:val="TableContents"/>
              <w:bidi w:val="0"/>
              <w:spacing w:before="0" w:after="0"/>
              <w:ind w:left="360" w:right="0" w:hanging="360"/>
              <w:jc w:val="left"/>
              <w:rPr/>
            </w:pPr>
            <w:r>
              <w:rPr/>
              <w:t>●</w:t>
            </w:r>
          </w:p>
          <w:p>
            <w:pPr>
              <w:pStyle w:val="TableContents"/>
              <w:bidi w:val="0"/>
              <w:spacing w:before="0" w:after="0"/>
              <w:ind w:left="200" w:right="0" w:hanging="0"/>
              <w:jc w:val="left"/>
              <w:rPr/>
            </w:pPr>
            <w:r>
              <w:rPr>
                <w:b/>
              </w:rPr>
              <w:t xml:space="preserve">Base salary </w:t>
            </w:r>
            <w:r>
              <w:rPr/>
              <w:t>paid during the year</w:t>
            </w:r>
          </w:p>
          <w:p>
            <w:pPr>
              <w:pStyle w:val="TableContents"/>
              <w:bidi w:val="0"/>
              <w:spacing w:before="0" w:after="0"/>
              <w:ind w:left="360" w:right="0" w:hanging="360"/>
              <w:jc w:val="left"/>
              <w:rPr/>
            </w:pPr>
            <w:r>
              <w:rPr/>
              <w:t>●</w:t>
            </w:r>
          </w:p>
          <w:p>
            <w:pPr>
              <w:pStyle w:val="TableContents"/>
              <w:bidi w:val="0"/>
              <w:spacing w:before="0" w:after="0"/>
              <w:ind w:left="200" w:right="0" w:hanging="0"/>
              <w:jc w:val="left"/>
              <w:rPr/>
            </w:pPr>
            <w:r>
              <w:rPr>
                <w:b/>
              </w:rPr>
              <w:t xml:space="preserve">Annual incentives </w:t>
            </w:r>
            <w:r>
              <w:rPr/>
              <w:t>earned for the applicable year’s performance</w:t>
            </w:r>
          </w:p>
          <w:p>
            <w:pPr>
              <w:pStyle w:val="TableContents"/>
              <w:bidi w:val="0"/>
              <w:spacing w:before="0" w:after="0"/>
              <w:ind w:left="360" w:right="0" w:hanging="360"/>
              <w:jc w:val="left"/>
              <w:rPr/>
            </w:pPr>
            <w:r>
              <w:rPr/>
              <w:t>●</w:t>
            </w:r>
          </w:p>
          <w:p>
            <w:pPr>
              <w:pStyle w:val="TableContents"/>
              <w:bidi w:val="0"/>
              <w:spacing w:before="0" w:after="0"/>
              <w:ind w:left="200" w:right="0" w:hanging="0"/>
              <w:jc w:val="left"/>
              <w:rPr/>
            </w:pPr>
            <w:r>
              <w:rPr>
                <w:b/>
              </w:rPr>
              <w:t>Change in accounting fair value of LTI awards </w:t>
            </w:r>
            <w:r>
              <w:rPr/>
              <w:t>that are unvested as of year-end and that vested or forfeited during the year (vs. prior year-end values), fair value at year-end of awards granted during the year, plus any cash dividends paid on these awards during the year</w:t>
            </w:r>
          </w:p>
          <w:p>
            <w:pPr>
              <w:pStyle w:val="TableContents"/>
              <w:bidi w:val="0"/>
              <w:spacing w:before="0" w:after="0"/>
              <w:ind w:left="360" w:right="0" w:hanging="360"/>
              <w:jc w:val="left"/>
              <w:rPr/>
            </w:pPr>
            <w:r>
              <w:rPr/>
              <w:t>●</w:t>
            </w:r>
          </w:p>
          <w:p>
            <w:pPr>
              <w:pStyle w:val="TableContents"/>
              <w:bidi w:val="0"/>
              <w:spacing w:before="0" w:after="0"/>
              <w:ind w:left="200" w:right="0" w:hanging="0"/>
              <w:jc w:val="left"/>
              <w:rPr/>
            </w:pPr>
            <w:r>
              <w:rPr/>
              <w:t xml:space="preserve">Current year </w:t>
            </w:r>
            <w:r>
              <w:rPr>
                <w:b/>
              </w:rPr>
              <w:t>service cost of pension benefits</w:t>
            </w:r>
            <w:r>
              <w:rPr/>
              <w:t> and any </w:t>
            </w:r>
            <w:r>
              <w:rPr>
                <w:b/>
              </w:rPr>
              <w:t xml:space="preserve">prior year service cost of pension benefits </w:t>
            </w:r>
            <w:r>
              <w:rPr/>
              <w:t xml:space="preserve">(if a plan amendment occurred during the year), plus above-market earnings on nonqualified </w:t>
            </w:r>
            <w:r>
              <w:rPr>
                <w:b/>
              </w:rPr>
              <w:t>deferred compensation</w:t>
            </w:r>
          </w:p>
          <w:p>
            <w:pPr>
              <w:pStyle w:val="TableContents"/>
              <w:bidi w:val="0"/>
              <w:spacing w:before="0" w:after="0"/>
              <w:ind w:left="360" w:right="0" w:hanging="360"/>
              <w:jc w:val="left"/>
              <w:rPr/>
            </w:pPr>
            <w:r>
              <w:rPr/>
              <w:t>●</w:t>
            </w:r>
          </w:p>
          <w:p>
            <w:pPr>
              <w:pStyle w:val="TableContents"/>
              <w:bidi w:val="0"/>
              <w:spacing w:before="0" w:after="0"/>
              <w:ind w:left="200" w:right="0" w:hanging="0"/>
              <w:jc w:val="left"/>
              <w:rPr>
                <w:b/>
              </w:rPr>
            </w:pPr>
            <w:r>
              <w:rPr>
                <w:b/>
              </w:rPr>
              <w:t>All other compensation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Arial;Helvetica;Sans-Serif" w:hAnsi="Arial;Helvetica;Sans-Serif"/>
          <w:b w:val="false"/>
          <w:i w:val="false"/>
          <w:caps w:val="false"/>
          <w:smallCaps w:val="false"/>
          <w:sz w:val="15"/>
        </w:rPr>
      </w:pPr>
      <w:r>
        <w:rPr>
          <w:rFonts w:ascii="Arial;Helvetica;Sans-Serif" w:hAnsi="Arial;Helvetica;Sans-Serif"/>
          <w:b/>
          <w:i w:val="false"/>
          <w:caps w:val="false"/>
          <w:smallCaps w:val="false"/>
          <w:sz w:val="15"/>
        </w:rPr>
        <w:t xml:space="preserve">RTX </w:t>
      </w:r>
      <w:r>
        <w:rPr>
          <w:rFonts w:ascii="Arial;Helvetica;Sans-Serif" w:hAnsi="Arial;Helvetica;Sans-Serif"/>
          <w:b w:val="false"/>
          <w:i w:val="false"/>
          <w:caps w:val="false"/>
          <w:smallCaps w:val="false"/>
          <w:sz w:val="15"/>
        </w:rPr>
        <w:t>2026 PROXY STATEMENT    </w:t>
      </w:r>
      <w:r>
        <w:rPr>
          <w:rFonts w:ascii="Arial;Helvetica;Sans-Serif" w:hAnsi="Arial;Helvetica;Sans-Serif"/>
          <w:b/>
          <w:i w:val="false"/>
          <w:caps w:val="false"/>
          <w:smallCaps w:val="false"/>
          <w:sz w:val="15"/>
        </w:rPr>
        <w:t>81</w:t>
      </w:r>
    </w:p>
    <w:p>
      <w:pPr>
        <w:pStyle w:val="HorizontalLine"/>
        <w:pBdr>
          <w:bottom w:val="double" w:sz="2" w:space="0" w:color="808080"/>
        </w:pBdr>
        <w:bidi w:val="0"/>
        <w:spacing w:before="0" w:after="283"/>
        <w:jc w:val="left"/>
        <w:rPr/>
      </w:pPr>
      <w:r>
        <w:rPr/>
      </w:r>
    </w:p>
    <w:p>
      <w:pPr>
        <w:pStyle w:val="TextBody"/>
        <w:bidi w:val="0"/>
        <w:spacing w:before="200" w:after="200"/>
        <w:jc w:val="left"/>
        <w:rPr/>
      </w:pPr>
      <w:hyperlink w:anchor="toc">
        <w:r>
          <w:rPr>
            <w:rStyle w:val="InternetLink"/>
            <w:rFonts w:ascii="Arial;Helvetica;Sans-Serif" w:hAnsi="Arial;Helvetica;Sans-Serif"/>
            <w:b/>
            <w:i w:val="false"/>
            <w:caps w:val="false"/>
            <w:smallCaps w:val="false"/>
            <w:sz w:val="16"/>
          </w:rPr>
          <w:t>Table of Contents</w:t>
        </w:r>
      </w:hyperlink>
    </w:p>
    <w:p>
      <w:pPr>
        <w:pStyle w:val="TextBody"/>
        <w:bidi w:val="0"/>
        <w:spacing w:before="0" w:after="0"/>
        <w:ind w:left="0" w:right="0" w:hanging="0"/>
        <w:jc w:val="left"/>
        <w:rPr>
          <w:rFonts w:ascii="Arial;Helvetica;Sans-Serif" w:hAnsi="Arial;Helvetica;Sans-Serif"/>
          <w:b/>
          <w:i w:val="false"/>
          <w:caps w:val="false"/>
          <w:smallCaps w:val="false"/>
          <w:color w:val="C12E33"/>
          <w:sz w:val="15"/>
        </w:rPr>
      </w:pPr>
      <w:r>
        <w:rPr>
          <w:rFonts w:ascii="Arial;Helvetica;Sans-Serif" w:hAnsi="Arial;Helvetica;Sans-Serif"/>
          <w:b/>
          <w:i w:val="false"/>
          <w:caps w:val="false"/>
          <w:smallCaps w:val="false"/>
          <w:color w:val="C12E33"/>
          <w:sz w:val="15"/>
        </w:rPr>
        <w:t>PAY VERSUS PERFORMANCE</w:t>
      </w:r>
    </w:p>
    <w:p>
      <w:pPr>
        <w:pStyle w:val="TextBody"/>
        <w:bidi w:val="0"/>
        <w:spacing w:before="0" w:after="0"/>
        <w:ind w:left="0" w:right="0" w:hanging="0"/>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PAY VERSUS PERFORMANCE TABLE</w:t>
      </w:r>
    </w:p>
    <w:p>
      <w:pPr>
        <w:pStyle w:val="TextBody"/>
        <w:bidi w:val="0"/>
        <w:spacing w:before="0" w:after="0"/>
        <w:ind w:left="0" w:right="0" w:hanging="0"/>
        <w:jc w:val="left"/>
        <w:rPr>
          <w:caps w:val="false"/>
          <w:smallCaps w:val="false"/>
        </w:rPr>
      </w:pPr>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rFonts w:ascii="Arial;Helvetica;Sans-Serif" w:hAnsi="Arial;Helvetica;Sans-Serif"/>
          <w:b/>
          <w:i w:val="false"/>
          <w:caps w:val="false"/>
          <w:smallCaps w:val="false"/>
          <w:sz w:val="34"/>
        </w:rPr>
      </w:pPr>
      <w:r>
        <w:rPr>
          <w:rFonts w:ascii="Arial;Helvetica;Sans-Serif" w:hAnsi="Arial;Helvetica;Sans-Serif"/>
          <w:b/>
          <w:i w:val="false"/>
          <w:caps w:val="false"/>
          <w:smallCaps w:val="false"/>
          <w:sz w:val="34"/>
        </w:rPr>
        <w:t>Pay versus Performance Table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required SEC tabular disclosure for the Company’s Principal Executive Officers (“PEOs”) and average NEOs (excluding the PEOs) is set forth below:</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59" w:name="xdx_30C_zAwbGcrCrjXi"/>
      <w:bookmarkStart w:id="60" w:name="xdx_30C_zAwbGcrCrjXi"/>
      <w:bookmarkEnd w:id="60"/>
    </w:p>
    <w:tbl>
      <w:tblPr>
        <w:tblW w:w="15700" w:type="dxa"/>
        <w:jc w:val="left"/>
        <w:tblInd w:w="0" w:type="dxa"/>
        <w:tblLayout w:type="fixed"/>
        <w:tblCellMar>
          <w:top w:w="0" w:type="dxa"/>
          <w:left w:w="0" w:type="dxa"/>
          <w:bottom w:w="0" w:type="dxa"/>
          <w:right w:w="0" w:type="dxa"/>
        </w:tblCellMar>
      </w:tblPr>
      <w:tblGrid>
        <w:gridCol w:w="605"/>
        <w:gridCol w:w="180"/>
        <w:gridCol w:w="1490"/>
        <w:gridCol w:w="180"/>
        <w:gridCol w:w="1490"/>
        <w:gridCol w:w="180"/>
        <w:gridCol w:w="1490"/>
        <w:gridCol w:w="180"/>
        <w:gridCol w:w="1490"/>
        <w:gridCol w:w="180"/>
        <w:gridCol w:w="1490"/>
        <w:gridCol w:w="180"/>
        <w:gridCol w:w="1490"/>
        <w:gridCol w:w="180"/>
        <w:gridCol w:w="1265"/>
        <w:gridCol w:w="180"/>
        <w:gridCol w:w="1265"/>
        <w:gridCol w:w="180"/>
        <w:gridCol w:w="860"/>
        <w:gridCol w:w="180"/>
        <w:gridCol w:w="965"/>
      </w:tblGrid>
      <w:tr>
        <w:trPr/>
        <w:tc>
          <w:tcPr>
            <w:tcW w:w="605"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bookmarkStart w:id="61" w:name="xdx_483_eecd--PeoTotalCompAmt_d0_hecd--I"/>
            <w:bookmarkEnd w:id="61"/>
          </w:p>
        </w:tc>
        <w:tc>
          <w:tcPr>
            <w:tcW w:w="149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bookmarkStart w:id="62" w:name="xdx_48D_eecd--PeoActuallyPaidCompAmt_d0_"/>
            <w:bookmarkEnd w:id="62"/>
          </w:p>
        </w:tc>
        <w:tc>
          <w:tcPr>
            <w:tcW w:w="149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bookmarkStart w:id="63" w:name="xdx_48D_eecd--PeoTotalCompAmt_d0_hecd--I"/>
            <w:bookmarkEnd w:id="63"/>
          </w:p>
        </w:tc>
        <w:tc>
          <w:tcPr>
            <w:tcW w:w="149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bookmarkStart w:id="64" w:name="xdx_482_eecd--PeoActuallyPaidCompAmt_d0_"/>
            <w:bookmarkEnd w:id="64"/>
          </w:p>
        </w:tc>
        <w:tc>
          <w:tcPr>
            <w:tcW w:w="149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bookmarkStart w:id="65" w:name="xdx_487_eecd--NonPeoNeoAvgTotalCompAmt_z"/>
            <w:bookmarkEnd w:id="65"/>
          </w:p>
        </w:tc>
        <w:tc>
          <w:tcPr>
            <w:tcW w:w="149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bookmarkStart w:id="66" w:name="xdx_489_eecd--NonPeoNeoAvgCompActuallyPa"/>
            <w:bookmarkEnd w:id="66"/>
          </w:p>
        </w:tc>
        <w:tc>
          <w:tcPr>
            <w:tcW w:w="149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color w:val="636466"/>
              </w:rPr>
            </w:pPr>
            <w:r>
              <w:rPr>
                <w:color w:val="636466"/>
              </w:rPr>
              <w:t> </w:t>
            </w:r>
          </w:p>
        </w:tc>
        <w:tc>
          <w:tcPr>
            <w:tcW w:w="1265" w:type="dxa"/>
            <w:tcBorders/>
            <w:vAlign w:val="center"/>
          </w:tcPr>
          <w:p>
            <w:pPr>
              <w:pStyle w:val="TableContents"/>
              <w:bidi w:val="0"/>
              <w:spacing w:before="0" w:after="283"/>
              <w:jc w:val="right"/>
              <w:rPr>
                <w:color w:val="636466"/>
              </w:rPr>
            </w:pPr>
            <w:r>
              <w:rPr>
                <w:color w:val="636466"/>
              </w:rPr>
              <w:t> </w:t>
            </w:r>
          </w:p>
        </w:tc>
        <w:tc>
          <w:tcPr>
            <w:tcW w:w="180" w:type="dxa"/>
            <w:tcBorders/>
            <w:vAlign w:val="center"/>
          </w:tcPr>
          <w:p>
            <w:pPr>
              <w:pStyle w:val="TableContents"/>
              <w:bidi w:val="0"/>
              <w:spacing w:before="0" w:after="283"/>
              <w:jc w:val="right"/>
              <w:rPr>
                <w:color w:val="636466"/>
              </w:rPr>
            </w:pPr>
            <w:r>
              <w:rPr>
                <w:color w:val="636466"/>
              </w:rPr>
              <w:t> </w:t>
            </w:r>
          </w:p>
        </w:tc>
        <w:tc>
          <w:tcPr>
            <w:tcW w:w="1265" w:type="dxa"/>
            <w:tcBorders/>
            <w:vAlign w:val="center"/>
          </w:tcPr>
          <w:p>
            <w:pPr>
              <w:pStyle w:val="TableContents"/>
              <w:bidi w:val="0"/>
              <w:spacing w:before="0" w:after="283"/>
              <w:jc w:val="right"/>
              <w:rPr>
                <w:color w:val="636466"/>
              </w:rPr>
            </w:pPr>
            <w:r>
              <w:rPr>
                <w:color w:val="636466"/>
              </w:rPr>
              <w:t> </w:t>
            </w:r>
          </w:p>
        </w:tc>
        <w:tc>
          <w:tcPr>
            <w:tcW w:w="180" w:type="dxa"/>
            <w:tcBorders/>
            <w:vAlign w:val="center"/>
          </w:tcPr>
          <w:p>
            <w:pPr>
              <w:pStyle w:val="TableContents"/>
              <w:bidi w:val="0"/>
              <w:spacing w:before="0" w:after="283"/>
              <w:jc w:val="left"/>
              <w:rPr/>
            </w:pPr>
            <w:r>
              <w:rPr/>
              <w:t> </w:t>
            </w:r>
            <w:bookmarkStart w:id="67" w:name="xdx_489_eus-gaap--NetIncomeLoss_pdn6_zTF"/>
            <w:bookmarkEnd w:id="67"/>
          </w:p>
        </w:tc>
        <w:tc>
          <w:tcPr>
            <w:tcW w:w="8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bookmarkStart w:id="68" w:name="xdx_480_eecd--CoSelectedMeasureAmt_pp2d_"/>
            <w:bookmarkEnd w:id="68"/>
          </w:p>
        </w:tc>
        <w:tc>
          <w:tcPr>
            <w:tcW w:w="965" w:type="dxa"/>
            <w:tcBorders/>
            <w:vAlign w:val="center"/>
          </w:tcPr>
          <w:p>
            <w:pPr>
              <w:pStyle w:val="TableContents"/>
              <w:bidi w:val="0"/>
              <w:spacing w:before="0" w:after="283"/>
              <w:jc w:val="right"/>
              <w:rPr/>
            </w:pPr>
            <w:r>
              <w:rPr/>
              <w:t> </w:t>
            </w:r>
          </w:p>
        </w:tc>
      </w:tr>
      <w:tr>
        <w:trPr/>
        <w:tc>
          <w:tcPr>
            <w:tcW w:w="605"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color w:val="636466"/>
              </w:rPr>
            </w:pPr>
            <w:r>
              <w:rPr>
                <w:color w:val="636466"/>
              </w:rPr>
              <w:t>   </w:t>
            </w:r>
          </w:p>
        </w:tc>
        <w:tc>
          <w:tcPr>
            <w:tcW w:w="2710" w:type="dxa"/>
            <w:gridSpan w:val="3"/>
            <w:tcBorders>
              <w:bottom w:val="single" w:sz="12" w:space="0" w:color="C12E33"/>
            </w:tcBorders>
            <w:tcMar>
              <w:bottom w:w="40" w:type="dxa"/>
            </w:tcMar>
            <w:vAlign w:val="center"/>
          </w:tcPr>
          <w:p>
            <w:pPr>
              <w:pStyle w:val="TableContents"/>
              <w:bidi w:val="0"/>
              <w:spacing w:before="0" w:after="283"/>
              <w:jc w:val="right"/>
              <w:rPr>
                <w:b/>
                <w:color w:val="636466"/>
              </w:rPr>
            </w:pPr>
            <w:r>
              <w:rPr>
                <w:b/>
                <w:color w:val="636466"/>
              </w:rPr>
              <w:t>Value of Initial Fixed $100</w:t>
              <w:br/>
              <w:t>Investment Based on:</w:t>
            </w:r>
          </w:p>
        </w:tc>
        <w:tc>
          <w:tcPr>
            <w:tcW w:w="18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 </w:t>
            </w:r>
          </w:p>
        </w:tc>
      </w:tr>
      <w:tr>
        <w:trPr/>
        <w:tc>
          <w:tcPr>
            <w:tcW w:w="605" w:type="dxa"/>
            <w:tcBorders>
              <w:bottom w:val="single" w:sz="12" w:space="0" w:color="C12E33"/>
            </w:tcBorders>
            <w:tcMar>
              <w:bottom w:w="40" w:type="dxa"/>
            </w:tcMar>
            <w:vAlign w:val="center"/>
          </w:tcPr>
          <w:p>
            <w:pPr>
              <w:pStyle w:val="TableContents"/>
              <w:bidi w:val="0"/>
              <w:spacing w:before="0" w:after="283"/>
              <w:jc w:val="left"/>
              <w:rPr>
                <w:color w:val="636466"/>
              </w:rPr>
            </w:pPr>
            <w:r>
              <w:rPr>
                <w:b/>
                <w:color w:val="636466"/>
              </w:rPr>
              <w:t>Year</w:t>
            </w:r>
            <w:r>
              <w:rPr>
                <w:b/>
                <w:color w:val="636466"/>
                <w:position w:val="8"/>
                <w:sz w:val="19"/>
              </w:rPr>
              <w:t>(1)</w:t>
            </w:r>
            <w:r>
              <w:rPr>
                <w:b/>
                <w:color w:val="636466"/>
              </w:rPr>
              <w:br/>
              <w:t>(a)</w:t>
            </w:r>
          </w:p>
        </w:tc>
        <w:tc>
          <w:tcPr>
            <w:tcW w:w="180" w:type="dxa"/>
            <w:tcBorders>
              <w:bottom w:val="single" w:sz="12" w:space="0" w:color="C12E33"/>
            </w:tcBorders>
            <w:tcMar>
              <w:bottom w:w="40" w:type="dxa"/>
            </w:tcMar>
            <w:vAlign w:val="center"/>
          </w:tcPr>
          <w:p>
            <w:pPr>
              <w:pStyle w:val="TableContents"/>
              <w:bidi w:val="0"/>
              <w:spacing w:before="0" w:after="283"/>
              <w:jc w:val="left"/>
              <w:rPr/>
            </w:pPr>
            <w:r>
              <w:rPr/>
              <w:t>   </w:t>
            </w:r>
          </w:p>
        </w:tc>
        <w:tc>
          <w:tcPr>
            <w:tcW w:w="1490" w:type="dxa"/>
            <w:tcBorders>
              <w:bottom w:val="single" w:sz="12" w:space="0" w:color="C12E33"/>
            </w:tcBorders>
            <w:tcMar>
              <w:bottom w:w="40" w:type="dxa"/>
            </w:tcMar>
            <w:vAlign w:val="center"/>
          </w:tcPr>
          <w:p>
            <w:pPr>
              <w:pStyle w:val="TableContents"/>
              <w:bidi w:val="0"/>
              <w:spacing w:before="0" w:after="283"/>
              <w:jc w:val="right"/>
              <w:rPr/>
            </w:pPr>
            <w:r>
              <w:rPr>
                <w:b/>
                <w:color w:val="636466"/>
              </w:rPr>
              <w:t xml:space="preserve">Summary </w:t>
            </w:r>
            <w:r>
              <w:rPr/>
              <w:br/>
            </w:r>
            <w:r>
              <w:rPr>
                <w:b/>
                <w:color w:val="636466"/>
              </w:rPr>
              <w:t>Compensation</w:t>
            </w:r>
            <w:r>
              <w:rPr/>
              <w:br/>
            </w:r>
            <w:r>
              <w:rPr>
                <w:b/>
                <w:color w:val="636466"/>
              </w:rPr>
              <w:t>Table Total for</w:t>
            </w:r>
            <w:r>
              <w:rPr/>
              <w:br/>
            </w:r>
            <w:r>
              <w:rPr>
                <w:b/>
                <w:color w:val="636466"/>
              </w:rPr>
              <w:t>PEO (Calio)</w:t>
            </w:r>
            <w:r>
              <w:rPr/>
              <w:br/>
            </w:r>
            <w:r>
              <w:rPr>
                <w:b/>
                <w:color w:val="636466"/>
              </w:rPr>
              <w:t>(b)</w:t>
            </w:r>
          </w:p>
        </w:tc>
        <w:tc>
          <w:tcPr>
            <w:tcW w:w="180" w:type="dxa"/>
            <w:tcBorders>
              <w:bottom w:val="single" w:sz="12" w:space="0" w:color="C12E33"/>
            </w:tcBorders>
            <w:tcMar>
              <w:bottom w:w="40" w:type="dxa"/>
            </w:tcMar>
            <w:vAlign w:val="center"/>
          </w:tcPr>
          <w:p>
            <w:pPr>
              <w:pStyle w:val="TableContents"/>
              <w:bidi w:val="0"/>
              <w:spacing w:before="0" w:after="283"/>
              <w:jc w:val="left"/>
              <w:rPr/>
            </w:pPr>
            <w:r>
              <w:rPr/>
              <w:t> </w:t>
            </w:r>
          </w:p>
        </w:tc>
        <w:tc>
          <w:tcPr>
            <w:tcW w:w="1490" w:type="dxa"/>
            <w:tcBorders>
              <w:bottom w:val="single" w:sz="12" w:space="0" w:color="C12E33"/>
            </w:tcBorders>
            <w:tcMar>
              <w:bottom w:w="40" w:type="dxa"/>
            </w:tcMar>
            <w:vAlign w:val="center"/>
          </w:tcPr>
          <w:p>
            <w:pPr>
              <w:pStyle w:val="TableContents"/>
              <w:bidi w:val="0"/>
              <w:spacing w:before="0" w:after="283"/>
              <w:jc w:val="right"/>
              <w:rPr/>
            </w:pPr>
            <w:r>
              <w:rPr>
                <w:b/>
                <w:color w:val="636466"/>
              </w:rPr>
              <w:t>Compensation</w:t>
            </w:r>
            <w:r>
              <w:rPr/>
              <w:br/>
            </w:r>
            <w:r>
              <w:rPr>
                <w:b/>
                <w:color w:val="636466"/>
              </w:rPr>
              <w:t xml:space="preserve">Actually </w:t>
            </w:r>
            <w:r>
              <w:rPr/>
              <w:br/>
            </w:r>
            <w:r>
              <w:rPr>
                <w:color w:val="636466"/>
              </w:rPr>
              <w:t> </w:t>
            </w:r>
            <w:r>
              <w:rPr>
                <w:b/>
                <w:color w:val="636466"/>
              </w:rPr>
              <w:t>Paid to PEO</w:t>
            </w:r>
            <w:r>
              <w:rPr/>
              <w:br/>
            </w:r>
            <w:r>
              <w:rPr>
                <w:b/>
                <w:color w:val="636466"/>
              </w:rPr>
              <w:t>(Calio)</w:t>
            </w:r>
            <w:r>
              <w:rPr>
                <w:b/>
                <w:color w:val="636466"/>
                <w:position w:val="8"/>
                <w:sz w:val="19"/>
              </w:rPr>
              <w:t xml:space="preserve">(2)(4)(5) </w:t>
            </w:r>
            <w:r>
              <w:rPr/>
              <w:br/>
            </w:r>
            <w:r>
              <w:rPr>
                <w:b/>
                <w:color w:val="636466"/>
              </w:rPr>
              <w:t>(c)</w:t>
            </w:r>
          </w:p>
        </w:tc>
        <w:tc>
          <w:tcPr>
            <w:tcW w:w="180" w:type="dxa"/>
            <w:tcBorders>
              <w:bottom w:val="single" w:sz="12" w:space="0" w:color="C12E33"/>
            </w:tcBorders>
            <w:tcMar>
              <w:bottom w:w="40" w:type="dxa"/>
            </w:tcMar>
            <w:vAlign w:val="center"/>
          </w:tcPr>
          <w:p>
            <w:pPr>
              <w:pStyle w:val="TableContents"/>
              <w:bidi w:val="0"/>
              <w:spacing w:before="0" w:after="283"/>
              <w:jc w:val="left"/>
              <w:rPr>
                <w:color w:val="636466"/>
              </w:rPr>
            </w:pPr>
            <w:r>
              <w:rPr>
                <w:color w:val="636466"/>
              </w:rPr>
              <w:t> </w:t>
            </w:r>
          </w:p>
        </w:tc>
        <w:tc>
          <w:tcPr>
            <w:tcW w:w="1490" w:type="dxa"/>
            <w:tcBorders>
              <w:bottom w:val="single" w:sz="12" w:space="0" w:color="C12E33"/>
            </w:tcBorders>
            <w:tcMar>
              <w:bottom w:w="40" w:type="dxa"/>
            </w:tcMar>
            <w:vAlign w:val="center"/>
          </w:tcPr>
          <w:p>
            <w:pPr>
              <w:pStyle w:val="TableContents"/>
              <w:bidi w:val="0"/>
              <w:spacing w:before="0" w:after="283"/>
              <w:jc w:val="right"/>
              <w:rPr>
                <w:b/>
                <w:color w:val="636466"/>
              </w:rPr>
            </w:pPr>
            <w:r>
              <w:rPr>
                <w:b/>
                <w:color w:val="636466"/>
              </w:rPr>
              <w:t xml:space="preserve">Summary </w:t>
              <w:br/>
              <w:t>Compensation</w:t>
              <w:br/>
              <w:t>Table Total</w:t>
              <w:br/>
              <w:t>for PEO (Hayes)</w:t>
              <w:br/>
              <w:t>(d)</w:t>
            </w:r>
          </w:p>
        </w:tc>
        <w:tc>
          <w:tcPr>
            <w:tcW w:w="180" w:type="dxa"/>
            <w:tcBorders>
              <w:bottom w:val="single" w:sz="12" w:space="0" w:color="C12E33"/>
            </w:tcBorders>
            <w:tcMar>
              <w:bottom w:w="40" w:type="dxa"/>
            </w:tcMar>
            <w:vAlign w:val="center"/>
          </w:tcPr>
          <w:p>
            <w:pPr>
              <w:pStyle w:val="TableContents"/>
              <w:bidi w:val="0"/>
              <w:spacing w:before="0" w:after="283"/>
              <w:jc w:val="left"/>
              <w:rPr/>
            </w:pPr>
            <w:r>
              <w:rPr/>
              <w:t> </w:t>
            </w:r>
          </w:p>
        </w:tc>
        <w:tc>
          <w:tcPr>
            <w:tcW w:w="1490" w:type="dxa"/>
            <w:tcBorders>
              <w:bottom w:val="single" w:sz="12" w:space="0" w:color="C12E33"/>
            </w:tcBorders>
            <w:tcMar>
              <w:bottom w:w="40" w:type="dxa"/>
            </w:tcMar>
            <w:vAlign w:val="center"/>
          </w:tcPr>
          <w:p>
            <w:pPr>
              <w:pStyle w:val="TableContents"/>
              <w:bidi w:val="0"/>
              <w:spacing w:before="0" w:after="283"/>
              <w:jc w:val="right"/>
              <w:rPr/>
            </w:pPr>
            <w:r>
              <w:rPr>
                <w:b/>
                <w:color w:val="636466"/>
              </w:rPr>
              <w:t>Compensation</w:t>
            </w:r>
            <w:r>
              <w:rPr/>
              <w:br/>
            </w:r>
            <w:r>
              <w:rPr>
                <w:b/>
                <w:color w:val="636466"/>
              </w:rPr>
              <w:t xml:space="preserve">Actually </w:t>
            </w:r>
            <w:r>
              <w:rPr/>
              <w:br/>
            </w:r>
            <w:r>
              <w:rPr>
                <w:b/>
                <w:color w:val="636466"/>
              </w:rPr>
              <w:t>Paid to PEO</w:t>
            </w:r>
            <w:r>
              <w:rPr/>
              <w:br/>
            </w:r>
            <w:r>
              <w:rPr>
                <w:b/>
                <w:color w:val="636466"/>
              </w:rPr>
              <w:t>(Hayes)</w:t>
            </w:r>
            <w:r>
              <w:rPr>
                <w:b/>
                <w:color w:val="636466"/>
                <w:position w:val="8"/>
                <w:sz w:val="19"/>
              </w:rPr>
              <w:t>(2)(4)(5)</w:t>
            </w:r>
            <w:r>
              <w:rPr/>
              <w:br/>
            </w:r>
            <w:r>
              <w:rPr>
                <w:b/>
                <w:color w:val="636466"/>
              </w:rPr>
              <w:t>(e)</w:t>
            </w:r>
          </w:p>
        </w:tc>
        <w:tc>
          <w:tcPr>
            <w:tcW w:w="180" w:type="dxa"/>
            <w:tcBorders>
              <w:bottom w:val="single" w:sz="12" w:space="0" w:color="C12E33"/>
            </w:tcBorders>
            <w:tcMar>
              <w:bottom w:w="40" w:type="dxa"/>
            </w:tcMar>
            <w:vAlign w:val="center"/>
          </w:tcPr>
          <w:p>
            <w:pPr>
              <w:pStyle w:val="TableContents"/>
              <w:bidi w:val="0"/>
              <w:spacing w:before="0" w:after="283"/>
              <w:jc w:val="left"/>
              <w:rPr>
                <w:color w:val="636466"/>
              </w:rPr>
            </w:pPr>
            <w:r>
              <w:rPr>
                <w:color w:val="636466"/>
              </w:rPr>
              <w:t> </w:t>
            </w:r>
          </w:p>
        </w:tc>
        <w:tc>
          <w:tcPr>
            <w:tcW w:w="1490" w:type="dxa"/>
            <w:tcBorders>
              <w:bottom w:val="single" w:sz="12" w:space="0" w:color="C12E33"/>
            </w:tcBorders>
            <w:tcMar>
              <w:bottom w:w="40" w:type="dxa"/>
            </w:tcMar>
            <w:vAlign w:val="center"/>
          </w:tcPr>
          <w:p>
            <w:pPr>
              <w:pStyle w:val="TableContents"/>
              <w:bidi w:val="0"/>
              <w:spacing w:before="0" w:after="283"/>
              <w:jc w:val="right"/>
              <w:rPr>
                <w:b/>
                <w:color w:val="636466"/>
              </w:rPr>
            </w:pPr>
            <w:r>
              <w:rPr>
                <w:b/>
                <w:color w:val="636466"/>
              </w:rPr>
              <w:t>Average</w:t>
              <w:br/>
              <w:t>Summary</w:t>
              <w:br/>
              <w:t>Compensation</w:t>
              <w:br/>
              <w:t>Table Total for</w:t>
              <w:br/>
              <w:t>Non-PEO NEOs</w:t>
              <w:br/>
              <w:t>(f)</w:t>
            </w:r>
          </w:p>
        </w:tc>
        <w:tc>
          <w:tcPr>
            <w:tcW w:w="180" w:type="dxa"/>
            <w:tcBorders>
              <w:bottom w:val="single" w:sz="12" w:space="0" w:color="C12E33"/>
            </w:tcBorders>
            <w:tcMar>
              <w:bottom w:w="40" w:type="dxa"/>
            </w:tcMar>
            <w:vAlign w:val="center"/>
          </w:tcPr>
          <w:p>
            <w:pPr>
              <w:pStyle w:val="TableContents"/>
              <w:bidi w:val="0"/>
              <w:spacing w:before="0" w:after="283"/>
              <w:jc w:val="left"/>
              <w:rPr>
                <w:color w:val="636466"/>
              </w:rPr>
            </w:pPr>
            <w:r>
              <w:rPr>
                <w:color w:val="636466"/>
              </w:rPr>
              <w:t> </w:t>
            </w:r>
          </w:p>
        </w:tc>
        <w:tc>
          <w:tcPr>
            <w:tcW w:w="1490" w:type="dxa"/>
            <w:tcBorders>
              <w:bottom w:val="single" w:sz="12" w:space="0" w:color="C12E33"/>
            </w:tcBorders>
            <w:tcMar>
              <w:bottom w:w="40" w:type="dxa"/>
            </w:tcMar>
            <w:vAlign w:val="center"/>
          </w:tcPr>
          <w:p>
            <w:pPr>
              <w:pStyle w:val="TableContents"/>
              <w:bidi w:val="0"/>
              <w:spacing w:before="0" w:after="283"/>
              <w:jc w:val="right"/>
              <w:rPr>
                <w:color w:val="636466"/>
              </w:rPr>
            </w:pPr>
            <w:r>
              <w:rPr>
                <w:b/>
                <w:color w:val="636466"/>
              </w:rPr>
              <w:t>Average</w:t>
              <w:br/>
              <w:t>Compensation</w:t>
              <w:br/>
              <w:t>Actually Paid to</w:t>
              <w:br/>
              <w:t>Non-PEO</w:t>
              <w:br/>
              <w:t>NEOs</w:t>
            </w:r>
            <w:r>
              <w:rPr>
                <w:b/>
                <w:color w:val="636466"/>
                <w:position w:val="8"/>
                <w:sz w:val="19"/>
              </w:rPr>
              <w:t>(3)(4)(5)</w:t>
            </w:r>
            <w:r>
              <w:rPr>
                <w:b/>
                <w:color w:val="636466"/>
              </w:rPr>
              <w:br/>
              <w:t>(g)</w:t>
            </w:r>
          </w:p>
        </w:tc>
        <w:tc>
          <w:tcPr>
            <w:tcW w:w="180" w:type="dxa"/>
            <w:tcBorders>
              <w:bottom w:val="single" w:sz="12" w:space="0" w:color="C12E33"/>
            </w:tcBorders>
            <w:tcMar>
              <w:bottom w:w="40" w:type="dxa"/>
            </w:tcMar>
            <w:vAlign w:val="center"/>
          </w:tcPr>
          <w:p>
            <w:pPr>
              <w:pStyle w:val="TableContents"/>
              <w:bidi w:val="0"/>
              <w:spacing w:before="0" w:after="283"/>
              <w:jc w:val="left"/>
              <w:rPr/>
            </w:pPr>
            <w:r>
              <w:rPr/>
              <w:t> </w:t>
            </w:r>
          </w:p>
        </w:tc>
        <w:tc>
          <w:tcPr>
            <w:tcW w:w="1265" w:type="dxa"/>
            <w:tcBorders>
              <w:bottom w:val="single" w:sz="12" w:space="0" w:color="C12E33"/>
            </w:tcBorders>
            <w:tcMar>
              <w:bottom w:w="40" w:type="dxa"/>
            </w:tcMar>
            <w:vAlign w:val="center"/>
          </w:tcPr>
          <w:p>
            <w:pPr>
              <w:pStyle w:val="TableContents"/>
              <w:bidi w:val="0"/>
              <w:spacing w:before="0" w:after="283"/>
              <w:jc w:val="right"/>
              <w:rPr/>
            </w:pPr>
            <w:r>
              <w:rPr>
                <w:b/>
                <w:color w:val="636466"/>
              </w:rPr>
              <w:t>Total</w:t>
            </w:r>
            <w:r>
              <w:rPr/>
              <w:br/>
            </w:r>
            <w:r>
              <w:rPr>
                <w:b/>
                <w:color w:val="636466"/>
              </w:rPr>
              <w:t>Shareowner</w:t>
            </w:r>
            <w:r>
              <w:rPr/>
              <w:br/>
            </w:r>
            <w:r>
              <w:rPr>
                <w:b/>
                <w:color w:val="636466"/>
              </w:rPr>
              <w:t>Return</w:t>
            </w:r>
            <w:r>
              <w:rPr>
                <w:b/>
                <w:color w:val="636466"/>
                <w:position w:val="8"/>
                <w:sz w:val="19"/>
              </w:rPr>
              <w:t>(6)</w:t>
            </w:r>
            <w:r>
              <w:rPr/>
              <w:br/>
            </w:r>
            <w:r>
              <w:rPr>
                <w:b/>
                <w:color w:val="636466"/>
              </w:rPr>
              <w:t>(h)</w:t>
            </w:r>
          </w:p>
        </w:tc>
        <w:tc>
          <w:tcPr>
            <w:tcW w:w="180" w:type="dxa"/>
            <w:tcBorders>
              <w:bottom w:val="single" w:sz="12" w:space="0" w:color="C12E33"/>
            </w:tcBorders>
            <w:tcMar>
              <w:bottom w:w="40" w:type="dxa"/>
            </w:tcMar>
            <w:vAlign w:val="center"/>
          </w:tcPr>
          <w:p>
            <w:pPr>
              <w:pStyle w:val="TableContents"/>
              <w:bidi w:val="0"/>
              <w:spacing w:before="0" w:after="283"/>
              <w:jc w:val="left"/>
              <w:rPr/>
            </w:pPr>
            <w:r>
              <w:rPr/>
              <w:t>   </w:t>
            </w:r>
          </w:p>
        </w:tc>
        <w:tc>
          <w:tcPr>
            <w:tcW w:w="1265" w:type="dxa"/>
            <w:tcBorders>
              <w:bottom w:val="single" w:sz="12" w:space="0" w:color="C12E33"/>
            </w:tcBorders>
            <w:tcMar>
              <w:bottom w:w="40" w:type="dxa"/>
            </w:tcMar>
            <w:vAlign w:val="center"/>
          </w:tcPr>
          <w:p>
            <w:pPr>
              <w:pStyle w:val="TableContents"/>
              <w:bidi w:val="0"/>
              <w:spacing w:before="0" w:after="283"/>
              <w:jc w:val="right"/>
              <w:rPr/>
            </w:pPr>
            <w:r>
              <w:rPr>
                <w:b/>
                <w:color w:val="636466"/>
              </w:rPr>
              <w:t>Peer Group</w:t>
            </w:r>
            <w:r>
              <w:rPr/>
              <w:br/>
            </w:r>
            <w:r>
              <w:rPr>
                <w:b/>
                <w:color w:val="636466"/>
              </w:rPr>
              <w:t>Total</w:t>
            </w:r>
            <w:r>
              <w:rPr/>
              <w:br/>
            </w:r>
            <w:r>
              <w:rPr>
                <w:b/>
                <w:color w:val="636466"/>
              </w:rPr>
              <w:t xml:space="preserve">Shareowner </w:t>
            </w:r>
            <w:r>
              <w:rPr/>
              <w:br/>
            </w:r>
            <w:r>
              <w:rPr>
                <w:b/>
                <w:color w:val="636466"/>
              </w:rPr>
              <w:t>Return</w:t>
            </w:r>
            <w:r>
              <w:rPr>
                <w:b/>
                <w:color w:val="636466"/>
                <w:position w:val="8"/>
                <w:sz w:val="19"/>
              </w:rPr>
              <w:t>(6)</w:t>
            </w:r>
            <w:r>
              <w:rPr/>
              <w:br/>
            </w:r>
            <w:r>
              <w:rPr>
                <w:b/>
                <w:color w:val="636466"/>
              </w:rPr>
              <w:t>(i)</w:t>
            </w:r>
          </w:p>
        </w:tc>
        <w:tc>
          <w:tcPr>
            <w:tcW w:w="180" w:type="dxa"/>
            <w:tcBorders>
              <w:bottom w:val="single" w:sz="12" w:space="0" w:color="C12E33"/>
            </w:tcBorders>
            <w:tcMar>
              <w:bottom w:w="40" w:type="dxa"/>
            </w:tcMar>
            <w:vAlign w:val="center"/>
          </w:tcPr>
          <w:p>
            <w:pPr>
              <w:pStyle w:val="TableContents"/>
              <w:bidi w:val="0"/>
              <w:spacing w:before="0" w:after="283"/>
              <w:jc w:val="left"/>
              <w:rPr/>
            </w:pPr>
            <w:r>
              <w:rPr/>
              <w:t> </w:t>
            </w:r>
          </w:p>
        </w:tc>
        <w:tc>
          <w:tcPr>
            <w:tcW w:w="860" w:type="dxa"/>
            <w:tcBorders>
              <w:bottom w:val="single" w:sz="12" w:space="0" w:color="C12E33"/>
            </w:tcBorders>
            <w:tcMar>
              <w:bottom w:w="40" w:type="dxa"/>
            </w:tcMar>
            <w:vAlign w:val="center"/>
          </w:tcPr>
          <w:p>
            <w:pPr>
              <w:pStyle w:val="TableContents"/>
              <w:bidi w:val="0"/>
              <w:spacing w:before="0" w:after="283"/>
              <w:jc w:val="right"/>
              <w:rPr/>
            </w:pPr>
            <w:r>
              <w:rPr>
                <w:b/>
                <w:color w:val="636466"/>
              </w:rPr>
              <w:t>Net Income</w:t>
            </w:r>
            <w:r>
              <w:rPr/>
              <w:br/>
            </w:r>
            <w:r>
              <w:rPr>
                <w:b/>
                <w:color w:val="636466"/>
              </w:rPr>
              <w:t>(GAAP)</w:t>
            </w:r>
            <w:r>
              <w:rPr>
                <w:b/>
                <w:color w:val="636466"/>
                <w:position w:val="8"/>
                <w:sz w:val="19"/>
              </w:rPr>
              <w:t xml:space="preserve">(7) </w:t>
            </w:r>
            <w:r>
              <w:rPr/>
              <w:br/>
            </w:r>
            <w:r>
              <w:rPr>
                <w:b/>
                <w:color w:val="636466"/>
              </w:rPr>
              <w:t>(j)</w:t>
            </w:r>
          </w:p>
        </w:tc>
        <w:tc>
          <w:tcPr>
            <w:tcW w:w="180" w:type="dxa"/>
            <w:tcBorders>
              <w:bottom w:val="single" w:sz="12" w:space="0" w:color="C12E33"/>
            </w:tcBorders>
            <w:tcMar>
              <w:bottom w:w="40" w:type="dxa"/>
            </w:tcMar>
            <w:vAlign w:val="center"/>
          </w:tcPr>
          <w:p>
            <w:pPr>
              <w:pStyle w:val="TableContents"/>
              <w:bidi w:val="0"/>
              <w:spacing w:before="0" w:after="283"/>
              <w:jc w:val="left"/>
              <w:rPr/>
            </w:pPr>
            <w:r>
              <w:rPr/>
              <w:t> </w:t>
            </w:r>
          </w:p>
        </w:tc>
        <w:tc>
          <w:tcPr>
            <w:tcW w:w="965" w:type="dxa"/>
            <w:tcBorders>
              <w:bottom w:val="single" w:sz="12" w:space="0" w:color="C12E33"/>
            </w:tcBorders>
            <w:tcMar>
              <w:bottom w:w="40" w:type="dxa"/>
            </w:tcMar>
            <w:vAlign w:val="center"/>
          </w:tcPr>
          <w:p>
            <w:pPr>
              <w:pStyle w:val="TableContents"/>
              <w:bidi w:val="0"/>
              <w:spacing w:before="0" w:after="283"/>
              <w:jc w:val="right"/>
              <w:rPr/>
            </w:pPr>
            <w:r>
              <w:rPr>
                <w:b/>
                <w:color w:val="636466"/>
              </w:rPr>
              <w:t>Adjusted</w:t>
            </w:r>
            <w:r>
              <w:rPr/>
              <w:br/>
            </w:r>
            <w:r>
              <w:rPr>
                <w:b/>
                <w:color w:val="636466"/>
              </w:rPr>
              <w:t>Earnings</w:t>
            </w:r>
            <w:r>
              <w:rPr/>
              <w:br/>
            </w:r>
            <w:r>
              <w:rPr>
                <w:b/>
                <w:color w:val="636466"/>
              </w:rPr>
              <w:t>Per Share</w:t>
            </w:r>
            <w:r>
              <w:rPr>
                <w:b/>
                <w:color w:val="636466"/>
                <w:position w:val="8"/>
                <w:sz w:val="19"/>
              </w:rPr>
              <w:t>(8)</w:t>
            </w:r>
            <w:r>
              <w:rPr/>
              <w:br/>
            </w:r>
            <w:r>
              <w:rPr>
                <w:b/>
                <w:color w:val="636466"/>
              </w:rPr>
              <w:t>(k) </w:t>
            </w:r>
            <w:bookmarkStart w:id="69" w:name="xdx_41F_20250101__20251231_zpYTpyhTHu6l"/>
            <w:bookmarkEnd w:id="69"/>
          </w:p>
        </w:tc>
      </w:tr>
      <w:tr>
        <w:trPr/>
        <w:tc>
          <w:tcPr>
            <w:tcW w:w="605" w:type="dxa"/>
            <w:tcBorders>
              <w:bottom w:val="single" w:sz="2" w:space="0" w:color="000000"/>
            </w:tcBorders>
            <w:tcMar>
              <w:bottom w:w="40" w:type="dxa"/>
            </w:tcMar>
            <w:vAlign w:val="center"/>
          </w:tcPr>
          <w:p>
            <w:pPr>
              <w:pStyle w:val="TableContents"/>
              <w:bidi w:val="0"/>
              <w:spacing w:before="0" w:after="283"/>
              <w:jc w:val="left"/>
              <w:rPr>
                <w:b/>
              </w:rPr>
            </w:pPr>
            <w:r>
              <w:rPr>
                <w:b/>
              </w:rPr>
              <w:t>2025</w:t>
            </w:r>
          </w:p>
        </w:tc>
        <w:tc>
          <w:tcPr>
            <w:tcW w:w="180" w:type="dxa"/>
            <w:tcBorders>
              <w:bottom w:val="single" w:sz="2" w:space="0" w:color="000000"/>
            </w:tcBorders>
            <w:tcMar>
              <w:bottom w:w="40" w:type="dxa"/>
            </w:tcMar>
            <w:vAlign w:val="center"/>
          </w:tcPr>
          <w:p>
            <w:pPr>
              <w:pStyle w:val="TableContents"/>
              <w:bidi w:val="0"/>
              <w:spacing w:before="0" w:after="283"/>
              <w:jc w:val="left"/>
              <w:rPr/>
            </w:pPr>
            <w:r>
              <w:rPr/>
              <w:t> </w:t>
            </w:r>
          </w:p>
        </w:tc>
        <w:tc>
          <w:tcPr>
            <w:tcW w:w="1490" w:type="dxa"/>
            <w:tcBorders>
              <w:bottom w:val="single" w:sz="2" w:space="0" w:color="000000"/>
            </w:tcBorders>
            <w:tcMar>
              <w:bottom w:w="40" w:type="dxa"/>
            </w:tcMar>
            <w:vAlign w:val="center"/>
          </w:tcPr>
          <w:p>
            <w:pPr>
              <w:pStyle w:val="TableContents"/>
              <w:bidi w:val="0"/>
              <w:spacing w:before="0" w:after="283"/>
              <w:jc w:val="right"/>
              <w:rPr/>
            </w:pPr>
            <w:r>
              <w:rPr/>
              <w:t>$24,846,826</w:t>
            </w:r>
          </w:p>
        </w:tc>
        <w:tc>
          <w:tcPr>
            <w:tcW w:w="180" w:type="dxa"/>
            <w:tcBorders>
              <w:bottom w:val="single" w:sz="2" w:space="0" w:color="000000"/>
            </w:tcBorders>
            <w:tcMar>
              <w:bottom w:w="40" w:type="dxa"/>
            </w:tcMar>
            <w:vAlign w:val="center"/>
          </w:tcPr>
          <w:p>
            <w:pPr>
              <w:pStyle w:val="TableContents"/>
              <w:bidi w:val="0"/>
              <w:spacing w:before="0" w:after="283"/>
              <w:jc w:val="left"/>
              <w:rPr/>
            </w:pPr>
            <w:r>
              <w:rPr/>
              <w:t> </w:t>
            </w:r>
          </w:p>
        </w:tc>
        <w:tc>
          <w:tcPr>
            <w:tcW w:w="1490" w:type="dxa"/>
            <w:tcBorders>
              <w:bottom w:val="single" w:sz="2" w:space="0" w:color="000000"/>
            </w:tcBorders>
            <w:tcMar>
              <w:bottom w:w="40" w:type="dxa"/>
            </w:tcMar>
            <w:vAlign w:val="center"/>
          </w:tcPr>
          <w:p>
            <w:pPr>
              <w:pStyle w:val="TableContents"/>
              <w:bidi w:val="0"/>
              <w:spacing w:before="0" w:after="283"/>
              <w:jc w:val="right"/>
              <w:rPr/>
            </w:pPr>
            <w:r>
              <w:rPr/>
              <w:t>$88,622,978</w:t>
            </w:r>
          </w:p>
        </w:tc>
        <w:tc>
          <w:tcPr>
            <w:tcW w:w="180" w:type="dxa"/>
            <w:tcBorders>
              <w:bottom w:val="single" w:sz="2" w:space="0" w:color="000000"/>
            </w:tcBorders>
            <w:tcMar>
              <w:bottom w:w="40" w:type="dxa"/>
            </w:tcMar>
            <w:vAlign w:val="center"/>
          </w:tcPr>
          <w:p>
            <w:pPr>
              <w:pStyle w:val="TableContents"/>
              <w:bidi w:val="0"/>
              <w:spacing w:before="0" w:after="283"/>
              <w:jc w:val="left"/>
              <w:rPr/>
            </w:pPr>
            <w:r>
              <w:rPr/>
              <w:t> </w:t>
            </w:r>
          </w:p>
        </w:tc>
        <w:tc>
          <w:tcPr>
            <w:tcW w:w="1490" w:type="dxa"/>
            <w:tcBorders>
              <w:bottom w:val="single" w:sz="2" w:space="0" w:color="000000"/>
            </w:tcBorders>
            <w:tcMar>
              <w:bottom w:w="40" w:type="dxa"/>
            </w:tcMar>
            <w:vAlign w:val="center"/>
          </w:tcPr>
          <w:p>
            <w:pPr>
              <w:pStyle w:val="TableContents"/>
              <w:bidi w:val="0"/>
              <w:spacing w:before="0" w:after="283"/>
              <w:jc w:val="right"/>
              <w:rPr/>
            </w:pPr>
            <w:r>
              <w:rPr/>
              <w:t>–</w:t>
            </w:r>
          </w:p>
        </w:tc>
        <w:tc>
          <w:tcPr>
            <w:tcW w:w="180" w:type="dxa"/>
            <w:tcBorders>
              <w:bottom w:val="single" w:sz="2" w:space="0" w:color="000000"/>
            </w:tcBorders>
            <w:tcMar>
              <w:bottom w:w="40" w:type="dxa"/>
            </w:tcMar>
            <w:vAlign w:val="center"/>
          </w:tcPr>
          <w:p>
            <w:pPr>
              <w:pStyle w:val="TableContents"/>
              <w:bidi w:val="0"/>
              <w:spacing w:before="0" w:after="283"/>
              <w:jc w:val="left"/>
              <w:rPr/>
            </w:pPr>
            <w:r>
              <w:rPr/>
              <w:t> </w:t>
            </w:r>
          </w:p>
        </w:tc>
        <w:tc>
          <w:tcPr>
            <w:tcW w:w="1490" w:type="dxa"/>
            <w:tcBorders>
              <w:bottom w:val="single" w:sz="2" w:space="0" w:color="000000"/>
            </w:tcBorders>
            <w:tcMar>
              <w:bottom w:w="40" w:type="dxa"/>
            </w:tcMar>
            <w:vAlign w:val="center"/>
          </w:tcPr>
          <w:p>
            <w:pPr>
              <w:pStyle w:val="TableContents"/>
              <w:bidi w:val="0"/>
              <w:spacing w:before="0" w:after="283"/>
              <w:jc w:val="right"/>
              <w:rPr/>
            </w:pPr>
            <w:r>
              <w:rPr/>
              <w:t>–</w:t>
            </w:r>
          </w:p>
        </w:tc>
        <w:tc>
          <w:tcPr>
            <w:tcW w:w="180" w:type="dxa"/>
            <w:tcBorders>
              <w:bottom w:val="single" w:sz="2" w:space="0" w:color="000000"/>
            </w:tcBorders>
            <w:tcMar>
              <w:bottom w:w="40" w:type="dxa"/>
            </w:tcMar>
            <w:vAlign w:val="center"/>
          </w:tcPr>
          <w:p>
            <w:pPr>
              <w:pStyle w:val="TableContents"/>
              <w:bidi w:val="0"/>
              <w:spacing w:before="0" w:after="283"/>
              <w:jc w:val="left"/>
              <w:rPr/>
            </w:pPr>
            <w:r>
              <w:rPr/>
              <w:t> </w:t>
            </w:r>
          </w:p>
        </w:tc>
        <w:tc>
          <w:tcPr>
            <w:tcW w:w="1490" w:type="dxa"/>
            <w:tcBorders>
              <w:bottom w:val="single" w:sz="2" w:space="0" w:color="000000"/>
            </w:tcBorders>
            <w:tcMar>
              <w:bottom w:w="40" w:type="dxa"/>
            </w:tcMar>
            <w:vAlign w:val="center"/>
          </w:tcPr>
          <w:p>
            <w:pPr>
              <w:pStyle w:val="TableContents"/>
              <w:bidi w:val="0"/>
              <w:spacing w:before="0" w:after="283"/>
              <w:jc w:val="right"/>
              <w:rPr/>
            </w:pPr>
            <w:r>
              <w:rPr/>
              <w:t>$7,464,111</w:t>
            </w:r>
          </w:p>
        </w:tc>
        <w:tc>
          <w:tcPr>
            <w:tcW w:w="180" w:type="dxa"/>
            <w:tcBorders>
              <w:bottom w:val="single" w:sz="2" w:space="0" w:color="000000"/>
            </w:tcBorders>
            <w:tcMar>
              <w:bottom w:w="40" w:type="dxa"/>
            </w:tcMar>
            <w:vAlign w:val="center"/>
          </w:tcPr>
          <w:p>
            <w:pPr>
              <w:pStyle w:val="TableContents"/>
              <w:bidi w:val="0"/>
              <w:spacing w:before="0" w:after="283"/>
              <w:jc w:val="left"/>
              <w:rPr/>
            </w:pPr>
            <w:r>
              <w:rPr/>
              <w:t> </w:t>
            </w:r>
          </w:p>
        </w:tc>
        <w:tc>
          <w:tcPr>
            <w:tcW w:w="1490" w:type="dxa"/>
            <w:tcBorders>
              <w:bottom w:val="single" w:sz="2" w:space="0" w:color="000000"/>
            </w:tcBorders>
            <w:tcMar>
              <w:bottom w:w="40" w:type="dxa"/>
            </w:tcMar>
            <w:vAlign w:val="center"/>
          </w:tcPr>
          <w:p>
            <w:pPr>
              <w:pStyle w:val="TableContents"/>
              <w:bidi w:val="0"/>
              <w:spacing w:before="0" w:after="283"/>
              <w:jc w:val="right"/>
              <w:rPr/>
            </w:pPr>
            <w:r>
              <w:rPr/>
              <w:t xml:space="preserve">$24,903,063 </w:t>
            </w:r>
          </w:p>
        </w:tc>
        <w:tc>
          <w:tcPr>
            <w:tcW w:w="180" w:type="dxa"/>
            <w:tcBorders>
              <w:bottom w:val="single" w:sz="2" w:space="0" w:color="000000"/>
            </w:tcBorders>
            <w:tcMar>
              <w:bottom w:w="40" w:type="dxa"/>
            </w:tcMar>
            <w:vAlign w:val="center"/>
          </w:tcPr>
          <w:p>
            <w:pPr>
              <w:pStyle w:val="TableContents"/>
              <w:bidi w:val="0"/>
              <w:spacing w:before="0" w:after="283"/>
              <w:jc w:val="left"/>
              <w:rPr/>
            </w:pPr>
            <w:r>
              <w:rPr/>
              <w:t> </w:t>
            </w:r>
            <w:bookmarkStart w:id="70" w:name="xdx_982_eecd--TotalShareholderRtnAmt_pp2"/>
            <w:bookmarkEnd w:id="70"/>
          </w:p>
        </w:tc>
        <w:tc>
          <w:tcPr>
            <w:tcW w:w="1265" w:type="dxa"/>
            <w:tcBorders>
              <w:bottom w:val="single" w:sz="2" w:space="0" w:color="000000"/>
            </w:tcBorders>
            <w:tcMar>
              <w:bottom w:w="40" w:type="dxa"/>
            </w:tcMar>
            <w:vAlign w:val="center"/>
          </w:tcPr>
          <w:p>
            <w:pPr>
              <w:pStyle w:val="TableContents"/>
              <w:bidi w:val="0"/>
              <w:spacing w:before="0" w:after="283"/>
              <w:jc w:val="right"/>
              <w:rPr/>
            </w:pPr>
            <w:r>
              <w:rPr/>
              <w:t>$287.64</w:t>
            </w:r>
          </w:p>
        </w:tc>
        <w:tc>
          <w:tcPr>
            <w:tcW w:w="180" w:type="dxa"/>
            <w:tcBorders>
              <w:bottom w:val="single" w:sz="2" w:space="0" w:color="000000"/>
            </w:tcBorders>
            <w:tcMar>
              <w:bottom w:w="40" w:type="dxa"/>
            </w:tcMar>
            <w:vAlign w:val="center"/>
          </w:tcPr>
          <w:p>
            <w:pPr>
              <w:pStyle w:val="TableContents"/>
              <w:bidi w:val="0"/>
              <w:spacing w:before="0" w:after="283"/>
              <w:jc w:val="left"/>
              <w:rPr/>
            </w:pPr>
            <w:r>
              <w:rPr/>
              <w:t> </w:t>
            </w:r>
            <w:bookmarkStart w:id="71" w:name="xdx_98E_eecd--PeerGroupTotalShareholderR"/>
            <w:bookmarkEnd w:id="71"/>
          </w:p>
        </w:tc>
        <w:tc>
          <w:tcPr>
            <w:tcW w:w="1265" w:type="dxa"/>
            <w:tcBorders>
              <w:bottom w:val="single" w:sz="2" w:space="0" w:color="000000"/>
            </w:tcBorders>
            <w:tcMar>
              <w:bottom w:w="40" w:type="dxa"/>
            </w:tcMar>
            <w:vAlign w:val="center"/>
          </w:tcPr>
          <w:p>
            <w:pPr>
              <w:pStyle w:val="TableContents"/>
              <w:bidi w:val="0"/>
              <w:spacing w:before="0" w:after="283"/>
              <w:jc w:val="right"/>
              <w:rPr/>
            </w:pPr>
            <w:r>
              <w:rPr/>
              <w:t>$230.45</w:t>
            </w:r>
          </w:p>
        </w:tc>
        <w:tc>
          <w:tcPr>
            <w:tcW w:w="180" w:type="dxa"/>
            <w:tcBorders>
              <w:bottom w:val="single" w:sz="2" w:space="0" w:color="000000"/>
            </w:tcBorders>
            <w:tcMar>
              <w:bottom w:w="40" w:type="dxa"/>
            </w:tcMar>
            <w:vAlign w:val="center"/>
          </w:tcPr>
          <w:p>
            <w:pPr>
              <w:pStyle w:val="TableContents"/>
              <w:bidi w:val="0"/>
              <w:spacing w:before="0" w:after="283"/>
              <w:jc w:val="left"/>
              <w:rPr/>
            </w:pPr>
            <w:r>
              <w:rPr/>
              <w:t> </w:t>
            </w:r>
          </w:p>
        </w:tc>
        <w:tc>
          <w:tcPr>
            <w:tcW w:w="860" w:type="dxa"/>
            <w:tcBorders>
              <w:bottom w:val="single" w:sz="2" w:space="0" w:color="000000"/>
            </w:tcBorders>
            <w:tcMar>
              <w:bottom w:w="40" w:type="dxa"/>
            </w:tcMar>
            <w:vAlign w:val="center"/>
          </w:tcPr>
          <w:p>
            <w:pPr>
              <w:pStyle w:val="TableContents"/>
              <w:bidi w:val="0"/>
              <w:spacing w:before="0" w:after="283"/>
              <w:jc w:val="right"/>
              <w:rPr/>
            </w:pPr>
            <w:r>
              <w:rPr/>
              <w:t>$6,732</w:t>
            </w:r>
          </w:p>
        </w:tc>
        <w:tc>
          <w:tcPr>
            <w:tcW w:w="180" w:type="dxa"/>
            <w:tcBorders>
              <w:bottom w:val="single" w:sz="2" w:space="0" w:color="000000"/>
            </w:tcBorders>
            <w:tcMar>
              <w:bottom w:w="40" w:type="dxa"/>
            </w:tcMar>
            <w:vAlign w:val="center"/>
          </w:tcPr>
          <w:p>
            <w:pPr>
              <w:pStyle w:val="TableContents"/>
              <w:bidi w:val="0"/>
              <w:spacing w:before="0" w:after="283"/>
              <w:jc w:val="left"/>
              <w:rPr/>
            </w:pPr>
            <w:r>
              <w:rPr/>
              <w:t> </w:t>
            </w:r>
          </w:p>
        </w:tc>
        <w:tc>
          <w:tcPr>
            <w:tcW w:w="965" w:type="dxa"/>
            <w:tcBorders>
              <w:bottom w:val="single" w:sz="2" w:space="0" w:color="000000"/>
            </w:tcBorders>
            <w:tcMar>
              <w:bottom w:w="40" w:type="dxa"/>
            </w:tcMar>
            <w:vAlign w:val="center"/>
          </w:tcPr>
          <w:p>
            <w:pPr>
              <w:pStyle w:val="TableContents"/>
              <w:bidi w:val="0"/>
              <w:spacing w:before="0" w:after="283"/>
              <w:jc w:val="right"/>
              <w:rPr/>
            </w:pPr>
            <w:r>
              <w:rPr/>
              <w:t>$6.88</w:t>
            </w:r>
            <w:bookmarkStart w:id="72" w:name="xdx_41D_20240101__20241231_zOZ2R80WR9Dk"/>
            <w:bookmarkEnd w:id="72"/>
          </w:p>
        </w:tc>
      </w:tr>
      <w:tr>
        <w:trPr/>
        <w:tc>
          <w:tcPr>
            <w:tcW w:w="605" w:type="dxa"/>
            <w:tcBorders>
              <w:bottom w:val="single" w:sz="2" w:space="0" w:color="000000"/>
            </w:tcBorders>
            <w:tcMar>
              <w:bottom w:w="40" w:type="dxa"/>
            </w:tcMar>
            <w:vAlign w:val="center"/>
          </w:tcPr>
          <w:p>
            <w:pPr>
              <w:pStyle w:val="TableContents"/>
              <w:bidi w:val="0"/>
              <w:spacing w:before="0" w:after="283"/>
              <w:jc w:val="left"/>
              <w:rPr>
                <w:b/>
              </w:rPr>
            </w:pPr>
            <w:r>
              <w:rPr>
                <w:b/>
              </w:rPr>
              <w:t>2024</w:t>
            </w:r>
          </w:p>
        </w:tc>
        <w:tc>
          <w:tcPr>
            <w:tcW w:w="180" w:type="dxa"/>
            <w:tcBorders>
              <w:bottom w:val="single" w:sz="2" w:space="0" w:color="000000"/>
            </w:tcBorders>
            <w:tcMar>
              <w:bottom w:w="40" w:type="dxa"/>
            </w:tcMar>
            <w:vAlign w:val="center"/>
          </w:tcPr>
          <w:p>
            <w:pPr>
              <w:pStyle w:val="TableContents"/>
              <w:bidi w:val="0"/>
              <w:spacing w:before="0" w:after="283"/>
              <w:jc w:val="left"/>
              <w:rPr/>
            </w:pPr>
            <w:r>
              <w:rPr/>
              <w:t> </w:t>
            </w:r>
          </w:p>
        </w:tc>
        <w:tc>
          <w:tcPr>
            <w:tcW w:w="1490" w:type="dxa"/>
            <w:tcBorders>
              <w:bottom w:val="single" w:sz="2" w:space="0" w:color="000000"/>
            </w:tcBorders>
            <w:tcMar>
              <w:bottom w:w="40" w:type="dxa"/>
            </w:tcMar>
            <w:vAlign w:val="center"/>
          </w:tcPr>
          <w:p>
            <w:pPr>
              <w:pStyle w:val="TableContents"/>
              <w:bidi w:val="0"/>
              <w:spacing w:before="0" w:after="283"/>
              <w:jc w:val="right"/>
              <w:rPr/>
            </w:pPr>
            <w:r>
              <w:rPr/>
              <w:t>$18,004,831</w:t>
            </w:r>
          </w:p>
        </w:tc>
        <w:tc>
          <w:tcPr>
            <w:tcW w:w="180" w:type="dxa"/>
            <w:tcBorders>
              <w:bottom w:val="single" w:sz="2" w:space="0" w:color="000000"/>
            </w:tcBorders>
            <w:tcMar>
              <w:bottom w:w="40" w:type="dxa"/>
            </w:tcMar>
            <w:vAlign w:val="center"/>
          </w:tcPr>
          <w:p>
            <w:pPr>
              <w:pStyle w:val="TableContents"/>
              <w:bidi w:val="0"/>
              <w:spacing w:before="0" w:after="283"/>
              <w:jc w:val="left"/>
              <w:rPr/>
            </w:pPr>
            <w:r>
              <w:rPr/>
              <w:t> </w:t>
            </w:r>
          </w:p>
        </w:tc>
        <w:tc>
          <w:tcPr>
            <w:tcW w:w="1490" w:type="dxa"/>
            <w:tcBorders>
              <w:bottom w:val="single" w:sz="2" w:space="0" w:color="000000"/>
            </w:tcBorders>
            <w:tcMar>
              <w:bottom w:w="40" w:type="dxa"/>
            </w:tcMar>
            <w:vAlign w:val="center"/>
          </w:tcPr>
          <w:p>
            <w:pPr>
              <w:pStyle w:val="TableContents"/>
              <w:bidi w:val="0"/>
              <w:spacing w:before="0" w:after="283"/>
              <w:jc w:val="right"/>
              <w:rPr/>
            </w:pPr>
            <w:r>
              <w:rPr/>
              <w:t>$43,160,374</w:t>
            </w:r>
          </w:p>
        </w:tc>
        <w:tc>
          <w:tcPr>
            <w:tcW w:w="180" w:type="dxa"/>
            <w:tcBorders>
              <w:bottom w:val="single" w:sz="2" w:space="0" w:color="000000"/>
            </w:tcBorders>
            <w:tcMar>
              <w:bottom w:w="40" w:type="dxa"/>
            </w:tcMar>
            <w:vAlign w:val="center"/>
          </w:tcPr>
          <w:p>
            <w:pPr>
              <w:pStyle w:val="TableContents"/>
              <w:bidi w:val="0"/>
              <w:spacing w:before="0" w:after="283"/>
              <w:jc w:val="left"/>
              <w:rPr/>
            </w:pPr>
            <w:r>
              <w:rPr/>
              <w:t> </w:t>
            </w:r>
          </w:p>
        </w:tc>
        <w:tc>
          <w:tcPr>
            <w:tcW w:w="1490" w:type="dxa"/>
            <w:tcBorders>
              <w:bottom w:val="single" w:sz="2" w:space="0" w:color="000000"/>
            </w:tcBorders>
            <w:tcMar>
              <w:bottom w:w="40" w:type="dxa"/>
            </w:tcMar>
            <w:vAlign w:val="center"/>
          </w:tcPr>
          <w:p>
            <w:pPr>
              <w:pStyle w:val="TableContents"/>
              <w:bidi w:val="0"/>
              <w:spacing w:before="0" w:after="283"/>
              <w:jc w:val="right"/>
              <w:rPr/>
            </w:pPr>
            <w:r>
              <w:rPr/>
              <w:t>$14,598,458</w:t>
            </w:r>
          </w:p>
        </w:tc>
        <w:tc>
          <w:tcPr>
            <w:tcW w:w="180" w:type="dxa"/>
            <w:tcBorders>
              <w:bottom w:val="single" w:sz="2" w:space="0" w:color="000000"/>
            </w:tcBorders>
            <w:tcMar>
              <w:bottom w:w="40" w:type="dxa"/>
            </w:tcMar>
            <w:vAlign w:val="center"/>
          </w:tcPr>
          <w:p>
            <w:pPr>
              <w:pStyle w:val="TableContents"/>
              <w:bidi w:val="0"/>
              <w:spacing w:before="0" w:after="283"/>
              <w:jc w:val="left"/>
              <w:rPr/>
            </w:pPr>
            <w:r>
              <w:rPr/>
              <w:t> </w:t>
            </w:r>
          </w:p>
        </w:tc>
        <w:tc>
          <w:tcPr>
            <w:tcW w:w="1490" w:type="dxa"/>
            <w:tcBorders>
              <w:bottom w:val="single" w:sz="2" w:space="0" w:color="000000"/>
            </w:tcBorders>
            <w:tcMar>
              <w:bottom w:w="40" w:type="dxa"/>
            </w:tcMar>
            <w:vAlign w:val="center"/>
          </w:tcPr>
          <w:p>
            <w:pPr>
              <w:pStyle w:val="TableContents"/>
              <w:bidi w:val="0"/>
              <w:spacing w:before="0" w:after="283"/>
              <w:jc w:val="right"/>
              <w:rPr/>
            </w:pPr>
            <w:r>
              <w:rPr/>
              <w:t>$48,639,528</w:t>
            </w:r>
          </w:p>
        </w:tc>
        <w:tc>
          <w:tcPr>
            <w:tcW w:w="180" w:type="dxa"/>
            <w:tcBorders>
              <w:bottom w:val="single" w:sz="2" w:space="0" w:color="000000"/>
            </w:tcBorders>
            <w:tcMar>
              <w:bottom w:w="40" w:type="dxa"/>
            </w:tcMar>
            <w:vAlign w:val="center"/>
          </w:tcPr>
          <w:p>
            <w:pPr>
              <w:pStyle w:val="TableContents"/>
              <w:bidi w:val="0"/>
              <w:spacing w:before="0" w:after="283"/>
              <w:jc w:val="left"/>
              <w:rPr/>
            </w:pPr>
            <w:r>
              <w:rPr/>
              <w:t> </w:t>
            </w:r>
          </w:p>
        </w:tc>
        <w:tc>
          <w:tcPr>
            <w:tcW w:w="1490" w:type="dxa"/>
            <w:tcBorders>
              <w:bottom w:val="single" w:sz="2" w:space="0" w:color="000000"/>
            </w:tcBorders>
            <w:tcMar>
              <w:bottom w:w="40" w:type="dxa"/>
            </w:tcMar>
            <w:vAlign w:val="center"/>
          </w:tcPr>
          <w:p>
            <w:pPr>
              <w:pStyle w:val="TableContents"/>
              <w:bidi w:val="0"/>
              <w:spacing w:before="0" w:after="283"/>
              <w:jc w:val="right"/>
              <w:rPr/>
            </w:pPr>
            <w:r>
              <w:rPr/>
              <w:t>$6,119,056</w:t>
            </w:r>
          </w:p>
        </w:tc>
        <w:tc>
          <w:tcPr>
            <w:tcW w:w="180" w:type="dxa"/>
            <w:tcBorders>
              <w:bottom w:val="single" w:sz="2" w:space="0" w:color="000000"/>
            </w:tcBorders>
            <w:tcMar>
              <w:bottom w:w="40" w:type="dxa"/>
            </w:tcMar>
            <w:vAlign w:val="center"/>
          </w:tcPr>
          <w:p>
            <w:pPr>
              <w:pStyle w:val="TableContents"/>
              <w:bidi w:val="0"/>
              <w:spacing w:before="0" w:after="283"/>
              <w:jc w:val="left"/>
              <w:rPr/>
            </w:pPr>
            <w:r>
              <w:rPr/>
              <w:t> </w:t>
            </w:r>
          </w:p>
        </w:tc>
        <w:tc>
          <w:tcPr>
            <w:tcW w:w="1490" w:type="dxa"/>
            <w:tcBorders>
              <w:bottom w:val="single" w:sz="2" w:space="0" w:color="000000"/>
            </w:tcBorders>
            <w:tcMar>
              <w:bottom w:w="40" w:type="dxa"/>
            </w:tcMar>
            <w:vAlign w:val="center"/>
          </w:tcPr>
          <w:p>
            <w:pPr>
              <w:pStyle w:val="TableContents"/>
              <w:bidi w:val="0"/>
              <w:spacing w:before="0" w:after="283"/>
              <w:jc w:val="right"/>
              <w:rPr/>
            </w:pPr>
            <w:r>
              <w:rPr/>
              <w:t>$14,115,544</w:t>
            </w:r>
          </w:p>
        </w:tc>
        <w:tc>
          <w:tcPr>
            <w:tcW w:w="180" w:type="dxa"/>
            <w:tcBorders>
              <w:bottom w:val="single" w:sz="2" w:space="0" w:color="000000"/>
            </w:tcBorders>
            <w:tcMar>
              <w:bottom w:w="40" w:type="dxa"/>
            </w:tcMar>
            <w:vAlign w:val="center"/>
          </w:tcPr>
          <w:p>
            <w:pPr>
              <w:pStyle w:val="TableContents"/>
              <w:bidi w:val="0"/>
              <w:spacing w:before="0" w:after="283"/>
              <w:jc w:val="left"/>
              <w:rPr/>
            </w:pPr>
            <w:r>
              <w:rPr/>
              <w:t> </w:t>
            </w:r>
            <w:bookmarkStart w:id="73" w:name="xdx_98E_eecd--TotalShareholderRtnAmt_pp2"/>
            <w:bookmarkEnd w:id="73"/>
          </w:p>
        </w:tc>
        <w:tc>
          <w:tcPr>
            <w:tcW w:w="1265" w:type="dxa"/>
            <w:tcBorders>
              <w:bottom w:val="single" w:sz="2" w:space="0" w:color="000000"/>
            </w:tcBorders>
            <w:tcMar>
              <w:bottom w:w="40" w:type="dxa"/>
            </w:tcMar>
            <w:vAlign w:val="center"/>
          </w:tcPr>
          <w:p>
            <w:pPr>
              <w:pStyle w:val="TableContents"/>
              <w:bidi w:val="0"/>
              <w:spacing w:before="0" w:after="283"/>
              <w:jc w:val="right"/>
              <w:rPr/>
            </w:pPr>
            <w:r>
              <w:rPr/>
              <w:t>$178.17</w:t>
            </w:r>
          </w:p>
        </w:tc>
        <w:tc>
          <w:tcPr>
            <w:tcW w:w="180" w:type="dxa"/>
            <w:tcBorders>
              <w:bottom w:val="single" w:sz="2" w:space="0" w:color="000000"/>
            </w:tcBorders>
            <w:tcMar>
              <w:bottom w:w="40" w:type="dxa"/>
            </w:tcMar>
            <w:vAlign w:val="center"/>
          </w:tcPr>
          <w:p>
            <w:pPr>
              <w:pStyle w:val="TableContents"/>
              <w:bidi w:val="0"/>
              <w:spacing w:before="0" w:after="283"/>
              <w:jc w:val="left"/>
              <w:rPr/>
            </w:pPr>
            <w:r>
              <w:rPr/>
              <w:t> </w:t>
            </w:r>
            <w:bookmarkStart w:id="74" w:name="xdx_983_eecd--PeerGroupTotalShareholderR"/>
            <w:bookmarkEnd w:id="74"/>
          </w:p>
        </w:tc>
        <w:tc>
          <w:tcPr>
            <w:tcW w:w="1265" w:type="dxa"/>
            <w:tcBorders>
              <w:bottom w:val="single" w:sz="2" w:space="0" w:color="000000"/>
            </w:tcBorders>
            <w:tcMar>
              <w:bottom w:w="40" w:type="dxa"/>
            </w:tcMar>
            <w:vAlign w:val="center"/>
          </w:tcPr>
          <w:p>
            <w:pPr>
              <w:pStyle w:val="TableContents"/>
              <w:bidi w:val="0"/>
              <w:spacing w:before="0" w:after="283"/>
              <w:jc w:val="right"/>
              <w:rPr/>
            </w:pPr>
            <w:r>
              <w:rPr/>
              <w:t>$162.31</w:t>
            </w:r>
          </w:p>
        </w:tc>
        <w:tc>
          <w:tcPr>
            <w:tcW w:w="180" w:type="dxa"/>
            <w:tcBorders>
              <w:bottom w:val="single" w:sz="2" w:space="0" w:color="000000"/>
            </w:tcBorders>
            <w:tcMar>
              <w:bottom w:w="40" w:type="dxa"/>
            </w:tcMar>
            <w:vAlign w:val="center"/>
          </w:tcPr>
          <w:p>
            <w:pPr>
              <w:pStyle w:val="TableContents"/>
              <w:bidi w:val="0"/>
              <w:spacing w:before="0" w:after="283"/>
              <w:jc w:val="left"/>
              <w:rPr/>
            </w:pPr>
            <w:r>
              <w:rPr/>
              <w:t> </w:t>
            </w:r>
          </w:p>
        </w:tc>
        <w:tc>
          <w:tcPr>
            <w:tcW w:w="860" w:type="dxa"/>
            <w:tcBorders>
              <w:bottom w:val="single" w:sz="2" w:space="0" w:color="000000"/>
            </w:tcBorders>
            <w:tcMar>
              <w:bottom w:w="40" w:type="dxa"/>
            </w:tcMar>
            <w:vAlign w:val="center"/>
          </w:tcPr>
          <w:p>
            <w:pPr>
              <w:pStyle w:val="TableContents"/>
              <w:bidi w:val="0"/>
              <w:spacing w:before="0" w:after="283"/>
              <w:jc w:val="right"/>
              <w:rPr/>
            </w:pPr>
            <w:r>
              <w:rPr/>
              <w:t>$4,774</w:t>
            </w:r>
          </w:p>
        </w:tc>
        <w:tc>
          <w:tcPr>
            <w:tcW w:w="180" w:type="dxa"/>
            <w:tcBorders>
              <w:bottom w:val="single" w:sz="2" w:space="0" w:color="000000"/>
            </w:tcBorders>
            <w:tcMar>
              <w:bottom w:w="40" w:type="dxa"/>
            </w:tcMar>
            <w:vAlign w:val="center"/>
          </w:tcPr>
          <w:p>
            <w:pPr>
              <w:pStyle w:val="TableContents"/>
              <w:bidi w:val="0"/>
              <w:spacing w:before="0" w:after="283"/>
              <w:jc w:val="left"/>
              <w:rPr/>
            </w:pPr>
            <w:r>
              <w:rPr/>
              <w:t> </w:t>
            </w:r>
          </w:p>
        </w:tc>
        <w:tc>
          <w:tcPr>
            <w:tcW w:w="965" w:type="dxa"/>
            <w:tcBorders>
              <w:bottom w:val="single" w:sz="2" w:space="0" w:color="000000"/>
            </w:tcBorders>
            <w:tcMar>
              <w:bottom w:w="40" w:type="dxa"/>
            </w:tcMar>
            <w:vAlign w:val="center"/>
          </w:tcPr>
          <w:p>
            <w:pPr>
              <w:pStyle w:val="TableContents"/>
              <w:bidi w:val="0"/>
              <w:spacing w:before="0" w:after="283"/>
              <w:jc w:val="right"/>
              <w:rPr/>
            </w:pPr>
            <w:r>
              <w:rPr/>
              <w:t>$6.26</w:t>
            </w:r>
            <w:bookmarkStart w:id="75" w:name="xdx_413_20230101__20231231_zNoiNbu0Bmil"/>
            <w:bookmarkEnd w:id="75"/>
          </w:p>
        </w:tc>
      </w:tr>
      <w:tr>
        <w:trPr/>
        <w:tc>
          <w:tcPr>
            <w:tcW w:w="605" w:type="dxa"/>
            <w:tcBorders>
              <w:bottom w:val="single" w:sz="2" w:space="0" w:color="000000"/>
            </w:tcBorders>
            <w:tcMar>
              <w:bottom w:w="40" w:type="dxa"/>
            </w:tcMar>
            <w:vAlign w:val="center"/>
          </w:tcPr>
          <w:p>
            <w:pPr>
              <w:pStyle w:val="TableContents"/>
              <w:bidi w:val="0"/>
              <w:spacing w:before="0" w:after="283"/>
              <w:jc w:val="left"/>
              <w:rPr>
                <w:b/>
              </w:rPr>
            </w:pPr>
            <w:r>
              <w:rPr>
                <w:b/>
              </w:rPr>
              <w:t>2023</w:t>
            </w:r>
          </w:p>
        </w:tc>
        <w:tc>
          <w:tcPr>
            <w:tcW w:w="180" w:type="dxa"/>
            <w:tcBorders>
              <w:bottom w:val="single" w:sz="2" w:space="0" w:color="000000"/>
            </w:tcBorders>
            <w:tcMar>
              <w:bottom w:w="40" w:type="dxa"/>
            </w:tcMar>
            <w:vAlign w:val="center"/>
          </w:tcPr>
          <w:p>
            <w:pPr>
              <w:pStyle w:val="TableContents"/>
              <w:bidi w:val="0"/>
              <w:spacing w:before="0" w:after="283"/>
              <w:jc w:val="left"/>
              <w:rPr/>
            </w:pPr>
            <w:r>
              <w:rPr/>
              <w:t> </w:t>
            </w:r>
          </w:p>
        </w:tc>
        <w:tc>
          <w:tcPr>
            <w:tcW w:w="1490" w:type="dxa"/>
            <w:tcBorders>
              <w:bottom w:val="single" w:sz="2" w:space="0" w:color="000000"/>
            </w:tcBorders>
            <w:tcMar>
              <w:bottom w:w="40" w:type="dxa"/>
            </w:tcMar>
            <w:vAlign w:val="center"/>
          </w:tcPr>
          <w:p>
            <w:pPr>
              <w:pStyle w:val="TableContents"/>
              <w:bidi w:val="0"/>
              <w:spacing w:before="0" w:after="283"/>
              <w:jc w:val="right"/>
              <w:rPr/>
            </w:pPr>
            <w:r>
              <w:rPr/>
              <w:t>–</w:t>
            </w:r>
          </w:p>
        </w:tc>
        <w:tc>
          <w:tcPr>
            <w:tcW w:w="180" w:type="dxa"/>
            <w:tcBorders>
              <w:bottom w:val="single" w:sz="2" w:space="0" w:color="000000"/>
            </w:tcBorders>
            <w:tcMar>
              <w:bottom w:w="40" w:type="dxa"/>
            </w:tcMar>
            <w:vAlign w:val="center"/>
          </w:tcPr>
          <w:p>
            <w:pPr>
              <w:pStyle w:val="TableContents"/>
              <w:bidi w:val="0"/>
              <w:spacing w:before="0" w:after="283"/>
              <w:jc w:val="left"/>
              <w:rPr/>
            </w:pPr>
            <w:r>
              <w:rPr/>
              <w:t> </w:t>
            </w:r>
          </w:p>
        </w:tc>
        <w:tc>
          <w:tcPr>
            <w:tcW w:w="1490" w:type="dxa"/>
            <w:tcBorders>
              <w:bottom w:val="single" w:sz="2" w:space="0" w:color="000000"/>
            </w:tcBorders>
            <w:tcMar>
              <w:bottom w:w="40" w:type="dxa"/>
            </w:tcMar>
            <w:vAlign w:val="center"/>
          </w:tcPr>
          <w:p>
            <w:pPr>
              <w:pStyle w:val="TableContents"/>
              <w:bidi w:val="0"/>
              <w:spacing w:before="0" w:after="283"/>
              <w:jc w:val="right"/>
              <w:rPr/>
            </w:pPr>
            <w:r>
              <w:rPr/>
              <w:t>–</w:t>
            </w:r>
          </w:p>
        </w:tc>
        <w:tc>
          <w:tcPr>
            <w:tcW w:w="180" w:type="dxa"/>
            <w:tcBorders>
              <w:bottom w:val="single" w:sz="2" w:space="0" w:color="000000"/>
            </w:tcBorders>
            <w:tcMar>
              <w:bottom w:w="40" w:type="dxa"/>
            </w:tcMar>
            <w:vAlign w:val="center"/>
          </w:tcPr>
          <w:p>
            <w:pPr>
              <w:pStyle w:val="TableContents"/>
              <w:bidi w:val="0"/>
              <w:spacing w:before="0" w:after="283"/>
              <w:jc w:val="left"/>
              <w:rPr/>
            </w:pPr>
            <w:r>
              <w:rPr/>
              <w:t> </w:t>
            </w:r>
          </w:p>
        </w:tc>
        <w:tc>
          <w:tcPr>
            <w:tcW w:w="1490" w:type="dxa"/>
            <w:tcBorders>
              <w:bottom w:val="single" w:sz="2" w:space="0" w:color="000000"/>
            </w:tcBorders>
            <w:tcMar>
              <w:bottom w:w="40" w:type="dxa"/>
            </w:tcMar>
            <w:vAlign w:val="center"/>
          </w:tcPr>
          <w:p>
            <w:pPr>
              <w:pStyle w:val="TableContents"/>
              <w:bidi w:val="0"/>
              <w:spacing w:before="0" w:after="283"/>
              <w:jc w:val="right"/>
              <w:rPr/>
            </w:pPr>
            <w:r>
              <w:rPr/>
              <w:t>$21,929,459</w:t>
            </w:r>
          </w:p>
        </w:tc>
        <w:tc>
          <w:tcPr>
            <w:tcW w:w="180" w:type="dxa"/>
            <w:tcBorders>
              <w:bottom w:val="single" w:sz="2" w:space="0" w:color="000000"/>
            </w:tcBorders>
            <w:tcMar>
              <w:bottom w:w="40" w:type="dxa"/>
            </w:tcMar>
            <w:vAlign w:val="center"/>
          </w:tcPr>
          <w:p>
            <w:pPr>
              <w:pStyle w:val="TableContents"/>
              <w:bidi w:val="0"/>
              <w:spacing w:before="0" w:after="283"/>
              <w:jc w:val="left"/>
              <w:rPr/>
            </w:pPr>
            <w:r>
              <w:rPr/>
              <w:t> </w:t>
            </w:r>
          </w:p>
        </w:tc>
        <w:tc>
          <w:tcPr>
            <w:tcW w:w="1490" w:type="dxa"/>
            <w:tcBorders>
              <w:bottom w:val="single" w:sz="2" w:space="0" w:color="000000"/>
            </w:tcBorders>
            <w:tcMar>
              <w:bottom w:w="40" w:type="dxa"/>
            </w:tcMar>
            <w:vAlign w:val="center"/>
          </w:tcPr>
          <w:p>
            <w:pPr>
              <w:pStyle w:val="TableContents"/>
              <w:bidi w:val="0"/>
              <w:spacing w:before="0" w:after="283"/>
              <w:jc w:val="right"/>
              <w:rPr/>
            </w:pPr>
            <w:r>
              <w:rPr/>
              <w:t>-$3,811,432</w:t>
            </w:r>
          </w:p>
        </w:tc>
        <w:tc>
          <w:tcPr>
            <w:tcW w:w="180" w:type="dxa"/>
            <w:tcBorders>
              <w:bottom w:val="single" w:sz="2" w:space="0" w:color="000000"/>
            </w:tcBorders>
            <w:tcMar>
              <w:bottom w:w="40" w:type="dxa"/>
            </w:tcMar>
            <w:vAlign w:val="center"/>
          </w:tcPr>
          <w:p>
            <w:pPr>
              <w:pStyle w:val="TableContents"/>
              <w:bidi w:val="0"/>
              <w:spacing w:before="0" w:after="283"/>
              <w:jc w:val="left"/>
              <w:rPr/>
            </w:pPr>
            <w:r>
              <w:rPr/>
              <w:t> </w:t>
            </w:r>
          </w:p>
        </w:tc>
        <w:tc>
          <w:tcPr>
            <w:tcW w:w="1490" w:type="dxa"/>
            <w:tcBorders>
              <w:bottom w:val="single" w:sz="2" w:space="0" w:color="000000"/>
            </w:tcBorders>
            <w:tcMar>
              <w:bottom w:w="40" w:type="dxa"/>
            </w:tcMar>
            <w:vAlign w:val="center"/>
          </w:tcPr>
          <w:p>
            <w:pPr>
              <w:pStyle w:val="TableContents"/>
              <w:bidi w:val="0"/>
              <w:spacing w:before="0" w:after="283"/>
              <w:jc w:val="right"/>
              <w:rPr/>
            </w:pPr>
            <w:r>
              <w:rPr/>
              <w:t>$8,225,337</w:t>
            </w:r>
          </w:p>
        </w:tc>
        <w:tc>
          <w:tcPr>
            <w:tcW w:w="180" w:type="dxa"/>
            <w:tcBorders>
              <w:bottom w:val="single" w:sz="2" w:space="0" w:color="000000"/>
            </w:tcBorders>
            <w:tcMar>
              <w:bottom w:w="40" w:type="dxa"/>
            </w:tcMar>
            <w:vAlign w:val="center"/>
          </w:tcPr>
          <w:p>
            <w:pPr>
              <w:pStyle w:val="TableContents"/>
              <w:bidi w:val="0"/>
              <w:spacing w:before="0" w:after="283"/>
              <w:jc w:val="left"/>
              <w:rPr/>
            </w:pPr>
            <w:r>
              <w:rPr/>
              <w:t> </w:t>
            </w:r>
          </w:p>
        </w:tc>
        <w:tc>
          <w:tcPr>
            <w:tcW w:w="1490" w:type="dxa"/>
            <w:tcBorders>
              <w:bottom w:val="single" w:sz="2" w:space="0" w:color="000000"/>
            </w:tcBorders>
            <w:tcMar>
              <w:bottom w:w="40" w:type="dxa"/>
            </w:tcMar>
            <w:vAlign w:val="center"/>
          </w:tcPr>
          <w:p>
            <w:pPr>
              <w:pStyle w:val="TableContents"/>
              <w:bidi w:val="0"/>
              <w:spacing w:before="0" w:after="283"/>
              <w:jc w:val="right"/>
              <w:rPr/>
            </w:pPr>
            <w:r>
              <w:rPr/>
              <w:t>$267,298</w:t>
            </w:r>
          </w:p>
        </w:tc>
        <w:tc>
          <w:tcPr>
            <w:tcW w:w="180" w:type="dxa"/>
            <w:tcBorders>
              <w:bottom w:val="single" w:sz="2" w:space="0" w:color="000000"/>
            </w:tcBorders>
            <w:tcMar>
              <w:bottom w:w="40" w:type="dxa"/>
            </w:tcMar>
            <w:vAlign w:val="center"/>
          </w:tcPr>
          <w:p>
            <w:pPr>
              <w:pStyle w:val="TableContents"/>
              <w:bidi w:val="0"/>
              <w:spacing w:before="0" w:after="283"/>
              <w:jc w:val="left"/>
              <w:rPr/>
            </w:pPr>
            <w:r>
              <w:rPr/>
              <w:t> </w:t>
            </w:r>
            <w:bookmarkStart w:id="76" w:name="xdx_98E_eecd--TotalShareholderRtnAmt_pp2"/>
            <w:bookmarkEnd w:id="76"/>
          </w:p>
        </w:tc>
        <w:tc>
          <w:tcPr>
            <w:tcW w:w="1265" w:type="dxa"/>
            <w:tcBorders>
              <w:bottom w:val="single" w:sz="2" w:space="0" w:color="000000"/>
            </w:tcBorders>
            <w:tcMar>
              <w:bottom w:w="40" w:type="dxa"/>
            </w:tcMar>
            <w:vAlign w:val="center"/>
          </w:tcPr>
          <w:p>
            <w:pPr>
              <w:pStyle w:val="TableContents"/>
              <w:bidi w:val="0"/>
              <w:spacing w:before="0" w:after="283"/>
              <w:jc w:val="right"/>
              <w:rPr/>
            </w:pPr>
            <w:r>
              <w:rPr/>
              <w:t>$126.58</w:t>
            </w:r>
          </w:p>
        </w:tc>
        <w:tc>
          <w:tcPr>
            <w:tcW w:w="180" w:type="dxa"/>
            <w:tcBorders>
              <w:bottom w:val="single" w:sz="2" w:space="0" w:color="000000"/>
            </w:tcBorders>
            <w:tcMar>
              <w:bottom w:w="40" w:type="dxa"/>
            </w:tcMar>
            <w:vAlign w:val="center"/>
          </w:tcPr>
          <w:p>
            <w:pPr>
              <w:pStyle w:val="TableContents"/>
              <w:bidi w:val="0"/>
              <w:spacing w:before="0" w:after="283"/>
              <w:jc w:val="left"/>
              <w:rPr/>
            </w:pPr>
            <w:r>
              <w:rPr/>
              <w:t> </w:t>
            </w:r>
            <w:bookmarkStart w:id="77" w:name="xdx_982_eecd--PeerGroupTotalShareholderR"/>
            <w:bookmarkEnd w:id="77"/>
          </w:p>
        </w:tc>
        <w:tc>
          <w:tcPr>
            <w:tcW w:w="1265" w:type="dxa"/>
            <w:tcBorders>
              <w:bottom w:val="single" w:sz="2" w:space="0" w:color="000000"/>
            </w:tcBorders>
            <w:tcMar>
              <w:bottom w:w="40" w:type="dxa"/>
            </w:tcMar>
            <w:vAlign w:val="center"/>
          </w:tcPr>
          <w:p>
            <w:pPr>
              <w:pStyle w:val="TableContents"/>
              <w:bidi w:val="0"/>
              <w:spacing w:before="0" w:after="283"/>
              <w:jc w:val="right"/>
              <w:rPr/>
            </w:pPr>
            <w:r>
              <w:rPr/>
              <w:t>$141.88</w:t>
            </w:r>
          </w:p>
        </w:tc>
        <w:tc>
          <w:tcPr>
            <w:tcW w:w="180" w:type="dxa"/>
            <w:tcBorders>
              <w:bottom w:val="single" w:sz="2" w:space="0" w:color="000000"/>
            </w:tcBorders>
            <w:tcMar>
              <w:bottom w:w="40" w:type="dxa"/>
            </w:tcMar>
            <w:vAlign w:val="center"/>
          </w:tcPr>
          <w:p>
            <w:pPr>
              <w:pStyle w:val="TableContents"/>
              <w:bidi w:val="0"/>
              <w:spacing w:before="0" w:after="283"/>
              <w:jc w:val="left"/>
              <w:rPr/>
            </w:pPr>
            <w:r>
              <w:rPr/>
              <w:t> </w:t>
            </w:r>
          </w:p>
        </w:tc>
        <w:tc>
          <w:tcPr>
            <w:tcW w:w="860" w:type="dxa"/>
            <w:tcBorders>
              <w:bottom w:val="single" w:sz="2" w:space="0" w:color="000000"/>
            </w:tcBorders>
            <w:tcMar>
              <w:bottom w:w="40" w:type="dxa"/>
            </w:tcMar>
            <w:vAlign w:val="center"/>
          </w:tcPr>
          <w:p>
            <w:pPr>
              <w:pStyle w:val="TableContents"/>
              <w:bidi w:val="0"/>
              <w:spacing w:before="0" w:after="283"/>
              <w:jc w:val="right"/>
              <w:rPr/>
            </w:pPr>
            <w:r>
              <w:rPr/>
              <w:t>$3,195</w:t>
            </w:r>
          </w:p>
        </w:tc>
        <w:tc>
          <w:tcPr>
            <w:tcW w:w="180" w:type="dxa"/>
            <w:tcBorders>
              <w:bottom w:val="single" w:sz="2" w:space="0" w:color="000000"/>
            </w:tcBorders>
            <w:tcMar>
              <w:bottom w:w="40" w:type="dxa"/>
            </w:tcMar>
            <w:vAlign w:val="center"/>
          </w:tcPr>
          <w:p>
            <w:pPr>
              <w:pStyle w:val="TableContents"/>
              <w:bidi w:val="0"/>
              <w:spacing w:before="0" w:after="283"/>
              <w:jc w:val="left"/>
              <w:rPr/>
            </w:pPr>
            <w:r>
              <w:rPr/>
              <w:t> </w:t>
            </w:r>
          </w:p>
        </w:tc>
        <w:tc>
          <w:tcPr>
            <w:tcW w:w="965" w:type="dxa"/>
            <w:tcBorders>
              <w:bottom w:val="single" w:sz="2" w:space="0" w:color="000000"/>
            </w:tcBorders>
            <w:tcMar>
              <w:bottom w:w="40" w:type="dxa"/>
            </w:tcMar>
            <w:vAlign w:val="center"/>
          </w:tcPr>
          <w:p>
            <w:pPr>
              <w:pStyle w:val="TableContents"/>
              <w:bidi w:val="0"/>
              <w:spacing w:before="0" w:after="283"/>
              <w:jc w:val="right"/>
              <w:rPr/>
            </w:pPr>
            <w:r>
              <w:rPr/>
              <w:t>$5.06</w:t>
            </w:r>
            <w:bookmarkStart w:id="78" w:name="xdx_415_20220101__20221231_zu2FtauhFyR5"/>
            <w:bookmarkEnd w:id="78"/>
          </w:p>
        </w:tc>
      </w:tr>
      <w:tr>
        <w:trPr/>
        <w:tc>
          <w:tcPr>
            <w:tcW w:w="605" w:type="dxa"/>
            <w:tcBorders>
              <w:bottom w:val="single" w:sz="2" w:space="0" w:color="000000"/>
            </w:tcBorders>
            <w:tcMar>
              <w:bottom w:w="40" w:type="dxa"/>
            </w:tcMar>
            <w:vAlign w:val="center"/>
          </w:tcPr>
          <w:p>
            <w:pPr>
              <w:pStyle w:val="TableContents"/>
              <w:bidi w:val="0"/>
              <w:spacing w:before="0" w:after="283"/>
              <w:jc w:val="left"/>
              <w:rPr>
                <w:b/>
              </w:rPr>
            </w:pPr>
            <w:r>
              <w:rPr>
                <w:b/>
              </w:rPr>
              <w:t>2022</w:t>
            </w:r>
          </w:p>
        </w:tc>
        <w:tc>
          <w:tcPr>
            <w:tcW w:w="180" w:type="dxa"/>
            <w:tcBorders>
              <w:bottom w:val="single" w:sz="2" w:space="0" w:color="000000"/>
            </w:tcBorders>
            <w:tcMar>
              <w:bottom w:w="40" w:type="dxa"/>
            </w:tcMar>
            <w:vAlign w:val="center"/>
          </w:tcPr>
          <w:p>
            <w:pPr>
              <w:pStyle w:val="TableContents"/>
              <w:bidi w:val="0"/>
              <w:spacing w:before="0" w:after="283"/>
              <w:jc w:val="left"/>
              <w:rPr/>
            </w:pPr>
            <w:r>
              <w:rPr/>
              <w:t> </w:t>
            </w:r>
          </w:p>
        </w:tc>
        <w:tc>
          <w:tcPr>
            <w:tcW w:w="1490" w:type="dxa"/>
            <w:tcBorders>
              <w:bottom w:val="single" w:sz="2" w:space="0" w:color="000000"/>
            </w:tcBorders>
            <w:tcMar>
              <w:bottom w:w="40" w:type="dxa"/>
            </w:tcMar>
            <w:vAlign w:val="center"/>
          </w:tcPr>
          <w:p>
            <w:pPr>
              <w:pStyle w:val="TableContents"/>
              <w:bidi w:val="0"/>
              <w:spacing w:before="0" w:after="283"/>
              <w:jc w:val="right"/>
              <w:rPr/>
            </w:pPr>
            <w:r>
              <w:rPr/>
              <w:t>–</w:t>
            </w:r>
          </w:p>
        </w:tc>
        <w:tc>
          <w:tcPr>
            <w:tcW w:w="180" w:type="dxa"/>
            <w:tcBorders>
              <w:bottom w:val="single" w:sz="2" w:space="0" w:color="000000"/>
            </w:tcBorders>
            <w:tcMar>
              <w:bottom w:w="40" w:type="dxa"/>
            </w:tcMar>
            <w:vAlign w:val="center"/>
          </w:tcPr>
          <w:p>
            <w:pPr>
              <w:pStyle w:val="TableContents"/>
              <w:bidi w:val="0"/>
              <w:spacing w:before="0" w:after="283"/>
              <w:jc w:val="left"/>
              <w:rPr/>
            </w:pPr>
            <w:r>
              <w:rPr/>
              <w:t> </w:t>
            </w:r>
          </w:p>
        </w:tc>
        <w:tc>
          <w:tcPr>
            <w:tcW w:w="1490" w:type="dxa"/>
            <w:tcBorders>
              <w:bottom w:val="single" w:sz="2" w:space="0" w:color="000000"/>
            </w:tcBorders>
            <w:tcMar>
              <w:bottom w:w="40" w:type="dxa"/>
            </w:tcMar>
            <w:vAlign w:val="center"/>
          </w:tcPr>
          <w:p>
            <w:pPr>
              <w:pStyle w:val="TableContents"/>
              <w:bidi w:val="0"/>
              <w:spacing w:before="0" w:after="283"/>
              <w:jc w:val="right"/>
              <w:rPr/>
            </w:pPr>
            <w:r>
              <w:rPr/>
              <w:t>–</w:t>
            </w:r>
          </w:p>
        </w:tc>
        <w:tc>
          <w:tcPr>
            <w:tcW w:w="180" w:type="dxa"/>
            <w:tcBorders>
              <w:bottom w:val="single" w:sz="2" w:space="0" w:color="000000"/>
            </w:tcBorders>
            <w:tcMar>
              <w:bottom w:w="40" w:type="dxa"/>
            </w:tcMar>
            <w:vAlign w:val="center"/>
          </w:tcPr>
          <w:p>
            <w:pPr>
              <w:pStyle w:val="TableContents"/>
              <w:bidi w:val="0"/>
              <w:spacing w:before="0" w:after="283"/>
              <w:jc w:val="left"/>
              <w:rPr/>
            </w:pPr>
            <w:r>
              <w:rPr/>
              <w:t> </w:t>
            </w:r>
          </w:p>
        </w:tc>
        <w:tc>
          <w:tcPr>
            <w:tcW w:w="1490" w:type="dxa"/>
            <w:tcBorders>
              <w:bottom w:val="single" w:sz="2" w:space="0" w:color="000000"/>
            </w:tcBorders>
            <w:tcMar>
              <w:bottom w:w="40" w:type="dxa"/>
            </w:tcMar>
            <w:vAlign w:val="center"/>
          </w:tcPr>
          <w:p>
            <w:pPr>
              <w:pStyle w:val="TableContents"/>
              <w:bidi w:val="0"/>
              <w:spacing w:before="0" w:after="283"/>
              <w:jc w:val="right"/>
              <w:rPr/>
            </w:pPr>
            <w:r>
              <w:rPr/>
              <w:t>$22,609,036</w:t>
            </w:r>
          </w:p>
        </w:tc>
        <w:tc>
          <w:tcPr>
            <w:tcW w:w="180" w:type="dxa"/>
            <w:tcBorders>
              <w:bottom w:val="single" w:sz="2" w:space="0" w:color="000000"/>
            </w:tcBorders>
            <w:tcMar>
              <w:bottom w:w="40" w:type="dxa"/>
            </w:tcMar>
            <w:vAlign w:val="center"/>
          </w:tcPr>
          <w:p>
            <w:pPr>
              <w:pStyle w:val="TableContents"/>
              <w:bidi w:val="0"/>
              <w:spacing w:before="0" w:after="283"/>
              <w:jc w:val="left"/>
              <w:rPr/>
            </w:pPr>
            <w:r>
              <w:rPr/>
              <w:t> </w:t>
            </w:r>
          </w:p>
        </w:tc>
        <w:tc>
          <w:tcPr>
            <w:tcW w:w="1490" w:type="dxa"/>
            <w:tcBorders>
              <w:bottom w:val="single" w:sz="2" w:space="0" w:color="000000"/>
            </w:tcBorders>
            <w:tcMar>
              <w:bottom w:w="40" w:type="dxa"/>
            </w:tcMar>
            <w:vAlign w:val="center"/>
          </w:tcPr>
          <w:p>
            <w:pPr>
              <w:pStyle w:val="TableContents"/>
              <w:bidi w:val="0"/>
              <w:spacing w:before="0" w:after="283"/>
              <w:jc w:val="right"/>
              <w:rPr/>
            </w:pPr>
            <w:r>
              <w:rPr/>
              <w:t>$45,201,677</w:t>
            </w:r>
          </w:p>
        </w:tc>
        <w:tc>
          <w:tcPr>
            <w:tcW w:w="180" w:type="dxa"/>
            <w:tcBorders>
              <w:bottom w:val="single" w:sz="2" w:space="0" w:color="000000"/>
            </w:tcBorders>
            <w:tcMar>
              <w:bottom w:w="40" w:type="dxa"/>
            </w:tcMar>
            <w:vAlign w:val="center"/>
          </w:tcPr>
          <w:p>
            <w:pPr>
              <w:pStyle w:val="TableContents"/>
              <w:bidi w:val="0"/>
              <w:spacing w:before="0" w:after="283"/>
              <w:jc w:val="left"/>
              <w:rPr/>
            </w:pPr>
            <w:r>
              <w:rPr/>
              <w:t> </w:t>
            </w:r>
          </w:p>
        </w:tc>
        <w:tc>
          <w:tcPr>
            <w:tcW w:w="1490" w:type="dxa"/>
            <w:tcBorders>
              <w:bottom w:val="single" w:sz="2" w:space="0" w:color="000000"/>
            </w:tcBorders>
            <w:tcMar>
              <w:bottom w:w="40" w:type="dxa"/>
            </w:tcMar>
            <w:vAlign w:val="center"/>
          </w:tcPr>
          <w:p>
            <w:pPr>
              <w:pStyle w:val="TableContents"/>
              <w:bidi w:val="0"/>
              <w:spacing w:before="0" w:after="283"/>
              <w:jc w:val="right"/>
              <w:rPr/>
            </w:pPr>
            <w:r>
              <w:rPr/>
              <w:t>$7,597,628</w:t>
            </w:r>
          </w:p>
        </w:tc>
        <w:tc>
          <w:tcPr>
            <w:tcW w:w="180" w:type="dxa"/>
            <w:tcBorders>
              <w:bottom w:val="single" w:sz="2" w:space="0" w:color="000000"/>
            </w:tcBorders>
            <w:tcMar>
              <w:bottom w:w="40" w:type="dxa"/>
            </w:tcMar>
            <w:vAlign w:val="center"/>
          </w:tcPr>
          <w:p>
            <w:pPr>
              <w:pStyle w:val="TableContents"/>
              <w:bidi w:val="0"/>
              <w:spacing w:before="0" w:after="283"/>
              <w:jc w:val="left"/>
              <w:rPr/>
            </w:pPr>
            <w:r>
              <w:rPr/>
              <w:t> </w:t>
            </w:r>
          </w:p>
        </w:tc>
        <w:tc>
          <w:tcPr>
            <w:tcW w:w="1490" w:type="dxa"/>
            <w:tcBorders>
              <w:bottom w:val="single" w:sz="2" w:space="0" w:color="000000"/>
            </w:tcBorders>
            <w:tcMar>
              <w:bottom w:w="40" w:type="dxa"/>
            </w:tcMar>
            <w:vAlign w:val="center"/>
          </w:tcPr>
          <w:p>
            <w:pPr>
              <w:pStyle w:val="TableContents"/>
              <w:bidi w:val="0"/>
              <w:spacing w:before="0" w:after="283"/>
              <w:jc w:val="right"/>
              <w:rPr/>
            </w:pPr>
            <w:r>
              <w:rPr/>
              <w:t>$12,510,354</w:t>
            </w:r>
          </w:p>
        </w:tc>
        <w:tc>
          <w:tcPr>
            <w:tcW w:w="180" w:type="dxa"/>
            <w:tcBorders>
              <w:bottom w:val="single" w:sz="2" w:space="0" w:color="000000"/>
            </w:tcBorders>
            <w:tcMar>
              <w:bottom w:w="40" w:type="dxa"/>
            </w:tcMar>
            <w:vAlign w:val="center"/>
          </w:tcPr>
          <w:p>
            <w:pPr>
              <w:pStyle w:val="TableContents"/>
              <w:bidi w:val="0"/>
              <w:spacing w:before="0" w:after="283"/>
              <w:jc w:val="left"/>
              <w:rPr/>
            </w:pPr>
            <w:r>
              <w:rPr/>
              <w:t> </w:t>
            </w:r>
            <w:bookmarkStart w:id="79" w:name="xdx_987_eecd--TotalShareholderRtnAmt_pp2"/>
            <w:bookmarkEnd w:id="79"/>
          </w:p>
        </w:tc>
        <w:tc>
          <w:tcPr>
            <w:tcW w:w="1265" w:type="dxa"/>
            <w:tcBorders>
              <w:bottom w:val="single" w:sz="2" w:space="0" w:color="000000"/>
            </w:tcBorders>
            <w:tcMar>
              <w:bottom w:w="40" w:type="dxa"/>
            </w:tcMar>
            <w:vAlign w:val="center"/>
          </w:tcPr>
          <w:p>
            <w:pPr>
              <w:pStyle w:val="TableContents"/>
              <w:bidi w:val="0"/>
              <w:spacing w:before="0" w:after="283"/>
              <w:jc w:val="right"/>
              <w:rPr/>
            </w:pPr>
            <w:r>
              <w:rPr/>
              <w:t>$147.94</w:t>
            </w:r>
          </w:p>
        </w:tc>
        <w:tc>
          <w:tcPr>
            <w:tcW w:w="180" w:type="dxa"/>
            <w:tcBorders>
              <w:bottom w:val="single" w:sz="2" w:space="0" w:color="000000"/>
            </w:tcBorders>
            <w:tcMar>
              <w:bottom w:w="40" w:type="dxa"/>
            </w:tcMar>
            <w:vAlign w:val="center"/>
          </w:tcPr>
          <w:p>
            <w:pPr>
              <w:pStyle w:val="TableContents"/>
              <w:bidi w:val="0"/>
              <w:spacing w:before="0" w:after="283"/>
              <w:jc w:val="left"/>
              <w:rPr/>
            </w:pPr>
            <w:r>
              <w:rPr/>
              <w:t> </w:t>
            </w:r>
            <w:bookmarkStart w:id="80" w:name="xdx_982_eecd--PeerGroupTotalShareholderR"/>
            <w:bookmarkEnd w:id="80"/>
          </w:p>
        </w:tc>
        <w:tc>
          <w:tcPr>
            <w:tcW w:w="1265" w:type="dxa"/>
            <w:tcBorders>
              <w:bottom w:val="single" w:sz="2" w:space="0" w:color="000000"/>
            </w:tcBorders>
            <w:tcMar>
              <w:bottom w:w="40" w:type="dxa"/>
            </w:tcMar>
            <w:vAlign w:val="center"/>
          </w:tcPr>
          <w:p>
            <w:pPr>
              <w:pStyle w:val="TableContents"/>
              <w:bidi w:val="0"/>
              <w:spacing w:before="0" w:after="283"/>
              <w:jc w:val="right"/>
              <w:rPr/>
            </w:pPr>
            <w:r>
              <w:rPr/>
              <w:t>$132.89</w:t>
            </w:r>
          </w:p>
        </w:tc>
        <w:tc>
          <w:tcPr>
            <w:tcW w:w="180" w:type="dxa"/>
            <w:tcBorders>
              <w:bottom w:val="single" w:sz="2" w:space="0" w:color="000000"/>
            </w:tcBorders>
            <w:tcMar>
              <w:bottom w:w="40" w:type="dxa"/>
            </w:tcMar>
            <w:vAlign w:val="center"/>
          </w:tcPr>
          <w:p>
            <w:pPr>
              <w:pStyle w:val="TableContents"/>
              <w:bidi w:val="0"/>
              <w:spacing w:before="0" w:after="283"/>
              <w:jc w:val="left"/>
              <w:rPr/>
            </w:pPr>
            <w:r>
              <w:rPr/>
              <w:t> </w:t>
            </w:r>
          </w:p>
        </w:tc>
        <w:tc>
          <w:tcPr>
            <w:tcW w:w="860" w:type="dxa"/>
            <w:tcBorders>
              <w:bottom w:val="single" w:sz="2" w:space="0" w:color="000000"/>
            </w:tcBorders>
            <w:tcMar>
              <w:bottom w:w="40" w:type="dxa"/>
            </w:tcMar>
            <w:vAlign w:val="center"/>
          </w:tcPr>
          <w:p>
            <w:pPr>
              <w:pStyle w:val="TableContents"/>
              <w:bidi w:val="0"/>
              <w:spacing w:before="0" w:after="283"/>
              <w:jc w:val="right"/>
              <w:rPr/>
            </w:pPr>
            <w:r>
              <w:rPr/>
              <w:t>$5,216</w:t>
            </w:r>
          </w:p>
        </w:tc>
        <w:tc>
          <w:tcPr>
            <w:tcW w:w="180" w:type="dxa"/>
            <w:tcBorders>
              <w:bottom w:val="single" w:sz="2" w:space="0" w:color="000000"/>
            </w:tcBorders>
            <w:tcMar>
              <w:bottom w:w="40" w:type="dxa"/>
            </w:tcMar>
            <w:vAlign w:val="center"/>
          </w:tcPr>
          <w:p>
            <w:pPr>
              <w:pStyle w:val="TableContents"/>
              <w:bidi w:val="0"/>
              <w:spacing w:before="0" w:after="283"/>
              <w:jc w:val="left"/>
              <w:rPr/>
            </w:pPr>
            <w:r>
              <w:rPr/>
              <w:t> </w:t>
            </w:r>
          </w:p>
        </w:tc>
        <w:tc>
          <w:tcPr>
            <w:tcW w:w="965" w:type="dxa"/>
            <w:tcBorders>
              <w:bottom w:val="single" w:sz="2" w:space="0" w:color="000000"/>
            </w:tcBorders>
            <w:tcMar>
              <w:bottom w:w="40" w:type="dxa"/>
            </w:tcMar>
            <w:vAlign w:val="center"/>
          </w:tcPr>
          <w:p>
            <w:pPr>
              <w:pStyle w:val="TableContents"/>
              <w:bidi w:val="0"/>
              <w:spacing w:before="0" w:after="283"/>
              <w:jc w:val="right"/>
              <w:rPr/>
            </w:pPr>
            <w:r>
              <w:rPr/>
              <w:t>$4.78</w:t>
            </w:r>
            <w:bookmarkStart w:id="81" w:name="xdx_41E_20210101__20211231_zHa9x56vmjY7"/>
            <w:bookmarkEnd w:id="81"/>
          </w:p>
        </w:tc>
      </w:tr>
      <w:tr>
        <w:trPr/>
        <w:tc>
          <w:tcPr>
            <w:tcW w:w="605" w:type="dxa"/>
            <w:tcBorders>
              <w:bottom w:val="single" w:sz="12" w:space="0" w:color="636466"/>
            </w:tcBorders>
            <w:tcMar>
              <w:bottom w:w="40" w:type="dxa"/>
            </w:tcMar>
            <w:vAlign w:val="center"/>
          </w:tcPr>
          <w:p>
            <w:pPr>
              <w:pStyle w:val="TableContents"/>
              <w:bidi w:val="0"/>
              <w:spacing w:before="0" w:after="283"/>
              <w:jc w:val="left"/>
              <w:rPr>
                <w:b/>
              </w:rPr>
            </w:pPr>
            <w:r>
              <w:rPr>
                <w:b/>
              </w:rPr>
              <w:t>2021</w:t>
            </w:r>
          </w:p>
        </w:tc>
        <w:tc>
          <w:tcPr>
            <w:tcW w:w="180" w:type="dxa"/>
            <w:tcBorders>
              <w:bottom w:val="single" w:sz="12" w:space="0" w:color="636466"/>
            </w:tcBorders>
            <w:tcMar>
              <w:bottom w:w="40" w:type="dxa"/>
            </w:tcMar>
            <w:vAlign w:val="center"/>
          </w:tcPr>
          <w:p>
            <w:pPr>
              <w:pStyle w:val="TableContents"/>
              <w:bidi w:val="0"/>
              <w:spacing w:before="0" w:after="283"/>
              <w:jc w:val="left"/>
              <w:rPr/>
            </w:pPr>
            <w:r>
              <w:rPr/>
              <w:t> </w:t>
            </w:r>
          </w:p>
        </w:tc>
        <w:tc>
          <w:tcPr>
            <w:tcW w:w="1490" w:type="dxa"/>
            <w:tcBorders>
              <w:bottom w:val="single" w:sz="12" w:space="0" w:color="636466"/>
            </w:tcBorders>
            <w:tcMar>
              <w:bottom w:w="40" w:type="dxa"/>
            </w:tcMar>
            <w:vAlign w:val="center"/>
          </w:tcPr>
          <w:p>
            <w:pPr>
              <w:pStyle w:val="TableContents"/>
              <w:bidi w:val="0"/>
              <w:spacing w:before="0" w:after="283"/>
              <w:jc w:val="right"/>
              <w:rPr/>
            </w:pPr>
            <w:r>
              <w:rPr/>
              <w:t>–</w:t>
            </w:r>
          </w:p>
        </w:tc>
        <w:tc>
          <w:tcPr>
            <w:tcW w:w="180" w:type="dxa"/>
            <w:tcBorders>
              <w:bottom w:val="single" w:sz="12" w:space="0" w:color="636466"/>
            </w:tcBorders>
            <w:tcMar>
              <w:bottom w:w="40" w:type="dxa"/>
            </w:tcMar>
            <w:vAlign w:val="center"/>
          </w:tcPr>
          <w:p>
            <w:pPr>
              <w:pStyle w:val="TableContents"/>
              <w:bidi w:val="0"/>
              <w:spacing w:before="0" w:after="283"/>
              <w:jc w:val="left"/>
              <w:rPr/>
            </w:pPr>
            <w:r>
              <w:rPr/>
              <w:t> </w:t>
            </w:r>
          </w:p>
        </w:tc>
        <w:tc>
          <w:tcPr>
            <w:tcW w:w="1490" w:type="dxa"/>
            <w:tcBorders>
              <w:bottom w:val="single" w:sz="12" w:space="0" w:color="636466"/>
            </w:tcBorders>
            <w:tcMar>
              <w:bottom w:w="40" w:type="dxa"/>
            </w:tcMar>
            <w:vAlign w:val="center"/>
          </w:tcPr>
          <w:p>
            <w:pPr>
              <w:pStyle w:val="TableContents"/>
              <w:bidi w:val="0"/>
              <w:spacing w:before="0" w:after="283"/>
              <w:jc w:val="right"/>
              <w:rPr/>
            </w:pPr>
            <w:r>
              <w:rPr/>
              <w:t>–</w:t>
            </w:r>
          </w:p>
        </w:tc>
        <w:tc>
          <w:tcPr>
            <w:tcW w:w="180" w:type="dxa"/>
            <w:tcBorders>
              <w:bottom w:val="single" w:sz="12" w:space="0" w:color="636466"/>
            </w:tcBorders>
            <w:tcMar>
              <w:bottom w:w="40" w:type="dxa"/>
            </w:tcMar>
            <w:vAlign w:val="center"/>
          </w:tcPr>
          <w:p>
            <w:pPr>
              <w:pStyle w:val="TableContents"/>
              <w:bidi w:val="0"/>
              <w:spacing w:before="0" w:after="283"/>
              <w:jc w:val="left"/>
              <w:rPr/>
            </w:pPr>
            <w:r>
              <w:rPr/>
              <w:t> </w:t>
            </w:r>
          </w:p>
        </w:tc>
        <w:tc>
          <w:tcPr>
            <w:tcW w:w="1490" w:type="dxa"/>
            <w:tcBorders>
              <w:bottom w:val="single" w:sz="12" w:space="0" w:color="636466"/>
            </w:tcBorders>
            <w:tcMar>
              <w:bottom w:w="40" w:type="dxa"/>
            </w:tcMar>
            <w:vAlign w:val="center"/>
          </w:tcPr>
          <w:p>
            <w:pPr>
              <w:pStyle w:val="TableContents"/>
              <w:bidi w:val="0"/>
              <w:spacing w:before="0" w:after="283"/>
              <w:jc w:val="right"/>
              <w:rPr/>
            </w:pPr>
            <w:r>
              <w:rPr/>
              <w:t>$23,316,063</w:t>
            </w:r>
          </w:p>
        </w:tc>
        <w:tc>
          <w:tcPr>
            <w:tcW w:w="180" w:type="dxa"/>
            <w:tcBorders>
              <w:bottom w:val="single" w:sz="12" w:space="0" w:color="636466"/>
            </w:tcBorders>
            <w:tcMar>
              <w:bottom w:w="40" w:type="dxa"/>
            </w:tcMar>
            <w:vAlign w:val="center"/>
          </w:tcPr>
          <w:p>
            <w:pPr>
              <w:pStyle w:val="TableContents"/>
              <w:bidi w:val="0"/>
              <w:spacing w:before="0" w:after="283"/>
              <w:jc w:val="left"/>
              <w:rPr/>
            </w:pPr>
            <w:r>
              <w:rPr/>
              <w:t> </w:t>
            </w:r>
          </w:p>
        </w:tc>
        <w:tc>
          <w:tcPr>
            <w:tcW w:w="1490" w:type="dxa"/>
            <w:tcBorders>
              <w:bottom w:val="single" w:sz="12" w:space="0" w:color="636466"/>
            </w:tcBorders>
            <w:tcMar>
              <w:bottom w:w="40" w:type="dxa"/>
            </w:tcMar>
            <w:vAlign w:val="center"/>
          </w:tcPr>
          <w:p>
            <w:pPr>
              <w:pStyle w:val="TableContents"/>
              <w:bidi w:val="0"/>
              <w:spacing w:before="0" w:after="283"/>
              <w:jc w:val="right"/>
              <w:rPr/>
            </w:pPr>
            <w:r>
              <w:rPr/>
              <w:t>$39,680,968</w:t>
            </w:r>
          </w:p>
        </w:tc>
        <w:tc>
          <w:tcPr>
            <w:tcW w:w="180" w:type="dxa"/>
            <w:tcBorders>
              <w:bottom w:val="single" w:sz="12" w:space="0" w:color="636466"/>
            </w:tcBorders>
            <w:tcMar>
              <w:bottom w:w="40" w:type="dxa"/>
            </w:tcMar>
            <w:vAlign w:val="center"/>
          </w:tcPr>
          <w:p>
            <w:pPr>
              <w:pStyle w:val="TableContents"/>
              <w:bidi w:val="0"/>
              <w:spacing w:before="0" w:after="283"/>
              <w:jc w:val="left"/>
              <w:rPr/>
            </w:pPr>
            <w:r>
              <w:rPr/>
              <w:t> </w:t>
            </w:r>
          </w:p>
        </w:tc>
        <w:tc>
          <w:tcPr>
            <w:tcW w:w="1490" w:type="dxa"/>
            <w:tcBorders>
              <w:bottom w:val="single" w:sz="12" w:space="0" w:color="636466"/>
            </w:tcBorders>
            <w:tcMar>
              <w:bottom w:w="40" w:type="dxa"/>
            </w:tcMar>
            <w:vAlign w:val="center"/>
          </w:tcPr>
          <w:p>
            <w:pPr>
              <w:pStyle w:val="TableContents"/>
              <w:bidi w:val="0"/>
              <w:spacing w:before="0" w:after="283"/>
              <w:jc w:val="right"/>
              <w:rPr/>
            </w:pPr>
            <w:r>
              <w:rPr/>
              <w:t>$9,666,013</w:t>
            </w:r>
          </w:p>
        </w:tc>
        <w:tc>
          <w:tcPr>
            <w:tcW w:w="180" w:type="dxa"/>
            <w:tcBorders>
              <w:bottom w:val="single" w:sz="12" w:space="0" w:color="636466"/>
            </w:tcBorders>
            <w:tcMar>
              <w:bottom w:w="40" w:type="dxa"/>
            </w:tcMar>
            <w:vAlign w:val="center"/>
          </w:tcPr>
          <w:p>
            <w:pPr>
              <w:pStyle w:val="TableContents"/>
              <w:bidi w:val="0"/>
              <w:spacing w:before="0" w:after="283"/>
              <w:jc w:val="left"/>
              <w:rPr/>
            </w:pPr>
            <w:r>
              <w:rPr/>
              <w:t> </w:t>
            </w:r>
          </w:p>
        </w:tc>
        <w:tc>
          <w:tcPr>
            <w:tcW w:w="1490" w:type="dxa"/>
            <w:tcBorders>
              <w:bottom w:val="single" w:sz="12" w:space="0" w:color="636466"/>
            </w:tcBorders>
            <w:tcMar>
              <w:bottom w:w="40" w:type="dxa"/>
            </w:tcMar>
            <w:vAlign w:val="center"/>
          </w:tcPr>
          <w:p>
            <w:pPr>
              <w:pStyle w:val="TableContents"/>
              <w:bidi w:val="0"/>
              <w:spacing w:before="0" w:after="283"/>
              <w:jc w:val="right"/>
              <w:rPr/>
            </w:pPr>
            <w:r>
              <w:rPr/>
              <w:t>$11,257,846</w:t>
            </w:r>
          </w:p>
        </w:tc>
        <w:tc>
          <w:tcPr>
            <w:tcW w:w="180" w:type="dxa"/>
            <w:tcBorders>
              <w:bottom w:val="single" w:sz="12" w:space="0" w:color="636466"/>
            </w:tcBorders>
            <w:tcMar>
              <w:bottom w:w="40" w:type="dxa"/>
            </w:tcMar>
            <w:vAlign w:val="center"/>
          </w:tcPr>
          <w:p>
            <w:pPr>
              <w:pStyle w:val="TableContents"/>
              <w:bidi w:val="0"/>
              <w:spacing w:before="0" w:after="283"/>
              <w:jc w:val="left"/>
              <w:rPr/>
            </w:pPr>
            <w:r>
              <w:rPr/>
              <w:t> </w:t>
            </w:r>
            <w:bookmarkStart w:id="82" w:name="xdx_98B_eecd--TotalShareholderRtnAmt_pp2"/>
            <w:bookmarkEnd w:id="82"/>
          </w:p>
        </w:tc>
        <w:tc>
          <w:tcPr>
            <w:tcW w:w="1265" w:type="dxa"/>
            <w:tcBorders>
              <w:bottom w:val="single" w:sz="12" w:space="0" w:color="636466"/>
            </w:tcBorders>
            <w:tcMar>
              <w:bottom w:w="40" w:type="dxa"/>
            </w:tcMar>
            <w:vAlign w:val="center"/>
          </w:tcPr>
          <w:p>
            <w:pPr>
              <w:pStyle w:val="TableContents"/>
              <w:bidi w:val="0"/>
              <w:spacing w:before="0" w:after="283"/>
              <w:jc w:val="right"/>
              <w:rPr/>
            </w:pPr>
            <w:r>
              <w:rPr/>
              <w:t>$123.27</w:t>
            </w:r>
          </w:p>
        </w:tc>
        <w:tc>
          <w:tcPr>
            <w:tcW w:w="180" w:type="dxa"/>
            <w:tcBorders>
              <w:bottom w:val="single" w:sz="12" w:space="0" w:color="636466"/>
            </w:tcBorders>
            <w:tcMar>
              <w:bottom w:w="40" w:type="dxa"/>
            </w:tcMar>
            <w:vAlign w:val="center"/>
          </w:tcPr>
          <w:p>
            <w:pPr>
              <w:pStyle w:val="TableContents"/>
              <w:bidi w:val="0"/>
              <w:spacing w:before="0" w:after="283"/>
              <w:jc w:val="left"/>
              <w:rPr/>
            </w:pPr>
            <w:r>
              <w:rPr/>
              <w:t> </w:t>
            </w:r>
            <w:bookmarkStart w:id="83" w:name="xdx_985_eecd--PeerGroupTotalShareholderR"/>
            <w:bookmarkEnd w:id="83"/>
          </w:p>
        </w:tc>
        <w:tc>
          <w:tcPr>
            <w:tcW w:w="1265" w:type="dxa"/>
            <w:tcBorders>
              <w:bottom w:val="single" w:sz="12" w:space="0" w:color="636466"/>
            </w:tcBorders>
            <w:tcMar>
              <w:bottom w:w="40" w:type="dxa"/>
            </w:tcMar>
            <w:vAlign w:val="center"/>
          </w:tcPr>
          <w:p>
            <w:pPr>
              <w:pStyle w:val="TableContents"/>
              <w:bidi w:val="0"/>
              <w:spacing w:before="0" w:after="283"/>
              <w:jc w:val="right"/>
              <w:rPr/>
            </w:pPr>
            <w:r>
              <w:rPr/>
              <w:t>$113.22</w:t>
            </w:r>
          </w:p>
        </w:tc>
        <w:tc>
          <w:tcPr>
            <w:tcW w:w="180" w:type="dxa"/>
            <w:tcBorders>
              <w:bottom w:val="single" w:sz="12" w:space="0" w:color="636466"/>
            </w:tcBorders>
            <w:tcMar>
              <w:bottom w:w="40" w:type="dxa"/>
            </w:tcMar>
            <w:vAlign w:val="center"/>
          </w:tcPr>
          <w:p>
            <w:pPr>
              <w:pStyle w:val="TableContents"/>
              <w:bidi w:val="0"/>
              <w:spacing w:before="0" w:after="283"/>
              <w:jc w:val="left"/>
              <w:rPr/>
            </w:pPr>
            <w:r>
              <w:rPr/>
              <w:t> </w:t>
            </w:r>
          </w:p>
        </w:tc>
        <w:tc>
          <w:tcPr>
            <w:tcW w:w="860" w:type="dxa"/>
            <w:tcBorders>
              <w:bottom w:val="single" w:sz="12" w:space="0" w:color="636466"/>
            </w:tcBorders>
            <w:tcMar>
              <w:bottom w:w="40" w:type="dxa"/>
            </w:tcMar>
            <w:vAlign w:val="center"/>
          </w:tcPr>
          <w:p>
            <w:pPr>
              <w:pStyle w:val="TableContents"/>
              <w:bidi w:val="0"/>
              <w:spacing w:before="0" w:after="283"/>
              <w:jc w:val="right"/>
              <w:rPr/>
            </w:pPr>
            <w:r>
              <w:rPr/>
              <w:t>$3,897</w:t>
            </w:r>
          </w:p>
        </w:tc>
        <w:tc>
          <w:tcPr>
            <w:tcW w:w="180" w:type="dxa"/>
            <w:tcBorders>
              <w:bottom w:val="single" w:sz="12" w:space="0" w:color="636466"/>
            </w:tcBorders>
            <w:tcMar>
              <w:bottom w:w="40" w:type="dxa"/>
            </w:tcMar>
            <w:vAlign w:val="center"/>
          </w:tcPr>
          <w:p>
            <w:pPr>
              <w:pStyle w:val="TableContents"/>
              <w:bidi w:val="0"/>
              <w:spacing w:before="0" w:after="283"/>
              <w:jc w:val="left"/>
              <w:rPr/>
            </w:pPr>
            <w:r>
              <w:rPr/>
              <w:t> </w:t>
            </w:r>
          </w:p>
        </w:tc>
        <w:tc>
          <w:tcPr>
            <w:tcW w:w="965" w:type="dxa"/>
            <w:tcBorders>
              <w:bottom w:val="single" w:sz="12" w:space="0" w:color="636466"/>
            </w:tcBorders>
            <w:tcMar>
              <w:bottom w:w="40" w:type="dxa"/>
            </w:tcMar>
            <w:vAlign w:val="center"/>
          </w:tcPr>
          <w:p>
            <w:pPr>
              <w:pStyle w:val="TableContents"/>
              <w:bidi w:val="0"/>
              <w:spacing w:before="0" w:after="283"/>
              <w:jc w:val="right"/>
              <w:rPr/>
            </w:pPr>
            <w:r>
              <w:rPr/>
              <w:t>$4.27</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0" w:type="dxa"/>
          <w:left w:w="0" w:type="dxa"/>
          <w:bottom w:w="0" w:type="dxa"/>
          <w:right w:w="0" w:type="dxa"/>
        </w:tblCellMar>
      </w:tblPr>
      <w:tblGrid>
        <w:gridCol w:w="239"/>
        <w:gridCol w:w="9966"/>
      </w:tblGrid>
      <w:tr>
        <w:trPr/>
        <w:tc>
          <w:tcPr>
            <w:tcW w:w="239" w:type="dxa"/>
            <w:tcBorders/>
            <w:vAlign w:val="center"/>
          </w:tcPr>
          <w:p>
            <w:pPr>
              <w:pStyle w:val="TableContents"/>
              <w:bidi w:val="0"/>
              <w:spacing w:before="0" w:after="283"/>
              <w:jc w:val="left"/>
              <w:rPr/>
            </w:pPr>
            <w:r>
              <w:rPr/>
              <w:t>(1)</w:t>
            </w:r>
          </w:p>
        </w:tc>
        <w:tc>
          <w:tcPr>
            <w:tcW w:w="9966" w:type="dxa"/>
            <w:tcBorders/>
            <w:vAlign w:val="center"/>
          </w:tcPr>
          <w:p>
            <w:pPr>
              <w:pStyle w:val="TableContents"/>
              <w:bidi w:val="0"/>
              <w:spacing w:before="0" w:after="283"/>
              <w:jc w:val="left"/>
              <w:rPr/>
            </w:pPr>
            <w:r>
              <w:rPr/>
              <w:t xml:space="preserve">The PEO in the 2025 reporting year was </w:t>
            </w:r>
            <w:bookmarkStart w:id="84" w:name="xdx_902_eecd--PeoName_c20250101__2025123"/>
            <w:bookmarkEnd w:id="84"/>
            <w:r>
              <w:rPr/>
              <w:t xml:space="preserve">Christopher T. Calio. The PEOs in the 2024 reporting year were </w:t>
            </w:r>
            <w:bookmarkStart w:id="85" w:name="xdx_90B_eecd--PeoName_c20240101__2024123"/>
            <w:bookmarkEnd w:id="85"/>
            <w:r>
              <w:rPr/>
              <w:t xml:space="preserve">Christopher T. Calio and </w:t>
            </w:r>
            <w:bookmarkStart w:id="86" w:name="xdx_90D_eecd--PeoName_c20240101__2024123"/>
            <w:bookmarkEnd w:id="86"/>
            <w:r>
              <w:rPr/>
              <w:t xml:space="preserve">Gregory J. Hayes. The PEO for the 2023-2021 reporting years was </w:t>
            </w:r>
            <w:bookmarkStart w:id="87" w:name="xdx_905_eecd--PeoName_c20210101__2021123"/>
            <w:bookmarkStart w:id="88" w:name="xdx_90A_eecd--PeoName_c20220101__2022123"/>
            <w:bookmarkStart w:id="89" w:name="xdx_908_eecd--PeoName_c20230101__2023123"/>
            <w:bookmarkEnd w:id="87"/>
            <w:bookmarkEnd w:id="88"/>
            <w:bookmarkEnd w:id="89"/>
            <w:r>
              <w:rPr/>
              <w:t>Gregory J. Hayes. The NEOs in the 2025 reporting year were Neil G. Mitchill, Jr., Philip J. Jasper, Shane G. Eddy and Troy D. Brunk. The NEOs in the 2024 reporting year were: Neil G. Mitchill, Jr., Philip J. Jasper, Shane G. Eddy, Troy D. Brunk and Stephen J. Timm. The NEOs in the 2023 and 2022 reporting years were: Neil G. Mitchill, Jr., Christopher T. Calio, Stephen J. Timm and Wesley D. Kremer. The NEOs in the 2021 reporting year were Neil G. Mitchill, Jr., Christopher T. Calio, Stephen J. Timm, Michael R. Dumais, Anthony F. O’Brien III and Thomas A. Kennedy.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pPr>
            <w:r>
              <w:rPr/>
              <w:t>(2)</w:t>
            </w:r>
          </w:p>
        </w:tc>
        <w:tc>
          <w:tcPr>
            <w:tcW w:w="9930" w:type="dxa"/>
            <w:tcBorders/>
            <w:vAlign w:val="center"/>
          </w:tcPr>
          <w:p>
            <w:pPr>
              <w:pStyle w:val="TableContents"/>
              <w:bidi w:val="0"/>
              <w:spacing w:before="0" w:after="283"/>
              <w:jc w:val="left"/>
              <w:rPr/>
            </w:pPr>
            <w:r>
              <w:rPr/>
              <w:t xml:space="preserve">The following amounts were deducted from and added to the SCT to arrive at the CAP for each of the applicable years for the PEO, as shown in columns (c) and (e): </w:t>
            </w:r>
          </w:p>
        </w:tc>
      </w:tr>
      <w:tr>
        <w:trPr/>
        <w:tc>
          <w:tcPr>
            <w:tcW w:w="275" w:type="dxa"/>
            <w:tcBorders/>
            <w:vAlign w:val="center"/>
          </w:tcPr>
          <w:p>
            <w:pPr>
              <w:pStyle w:val="TableContents"/>
              <w:bidi w:val="0"/>
              <w:spacing w:before="0" w:after="283"/>
              <w:jc w:val="left"/>
              <w:rPr/>
            </w:pPr>
            <w:r>
              <w:rPr/>
              <w:t> </w:t>
            </w:r>
          </w:p>
        </w:tc>
        <w:tc>
          <w:tcPr>
            <w:tcW w:w="9930" w:type="dxa"/>
            <w:tcBorders/>
            <w:vAlign w:val="center"/>
          </w:tcPr>
          <w:p>
            <w:pPr>
              <w:pStyle w:val="TableContents"/>
              <w:bidi w:val="0"/>
              <w:spacing w:before="0" w:after="283"/>
              <w:jc w:val="left"/>
              <w:rPr/>
            </w:pPr>
            <w:r>
              <w:rPr/>
              <w:t> </w:t>
            </w:r>
          </w:p>
        </w:tc>
      </w:tr>
    </w:tbl>
    <w:p>
      <w:pPr>
        <w:pStyle w:val="Normal"/>
        <w:bidi w:val="0"/>
        <w:spacing w:before="0" w:after="0"/>
        <w:jc w:val="left"/>
        <w:rPr>
          <w:sz w:val="4"/>
          <w:szCs w:val="4"/>
        </w:rPr>
      </w:pPr>
      <w:r>
        <w:rPr>
          <w:sz w:val="4"/>
          <w:szCs w:val="4"/>
        </w:rPr>
      </w:r>
      <w:bookmarkStart w:id="90" w:name="xdx_30E_zK1rKf7n4tZ3"/>
      <w:bookmarkStart w:id="91" w:name="xdx_30E_zK1rKf7n4tZ3"/>
      <w:bookmarkEnd w:id="91"/>
    </w:p>
    <w:tbl>
      <w:tblPr>
        <w:tblW w:w="10775" w:type="dxa"/>
        <w:jc w:val="left"/>
        <w:tblInd w:w="0" w:type="dxa"/>
        <w:tblLayout w:type="fixed"/>
        <w:tblCellMar>
          <w:top w:w="0" w:type="dxa"/>
          <w:left w:w="0" w:type="dxa"/>
          <w:bottom w:w="0" w:type="dxa"/>
          <w:right w:w="0" w:type="dxa"/>
        </w:tblCellMar>
      </w:tblPr>
      <w:tblGrid>
        <w:gridCol w:w="75"/>
        <w:gridCol w:w="1490"/>
        <w:gridCol w:w="300"/>
        <w:gridCol w:w="1220"/>
        <w:gridCol w:w="300"/>
        <w:gridCol w:w="1220"/>
        <w:gridCol w:w="300"/>
        <w:gridCol w:w="1220"/>
        <w:gridCol w:w="300"/>
        <w:gridCol w:w="1295"/>
        <w:gridCol w:w="300"/>
        <w:gridCol w:w="1220"/>
        <w:gridCol w:w="300"/>
        <w:gridCol w:w="1235"/>
      </w:tblGrid>
      <w:tr>
        <w:trPr/>
        <w:tc>
          <w:tcPr>
            <w:tcW w:w="75" w:type="dxa"/>
            <w:tcBorders/>
            <w:vAlign w:val="center"/>
          </w:tcPr>
          <w:p>
            <w:pPr>
              <w:pStyle w:val="TableContents"/>
              <w:bidi w:val="0"/>
              <w:spacing w:before="0" w:after="283"/>
              <w:ind w:left="0" w:right="0" w:hanging="200"/>
              <w:jc w:val="left"/>
              <w:rPr/>
            </w:pPr>
            <w:r>
              <w:rPr/>
              <w:t> </w:t>
            </w:r>
          </w:p>
        </w:tc>
        <w:tc>
          <w:tcPr>
            <w:tcW w:w="1490" w:type="dxa"/>
            <w:tcBorders>
              <w:bottom w:val="single" w:sz="12" w:space="0" w:color="636466"/>
            </w:tcBorders>
            <w:tcMar>
              <w:bottom w:w="40" w:type="dxa"/>
            </w:tcMar>
            <w:vAlign w:val="center"/>
          </w:tcPr>
          <w:p>
            <w:pPr>
              <w:pStyle w:val="TableContents"/>
              <w:bidi w:val="0"/>
              <w:spacing w:before="0" w:after="283"/>
              <w:jc w:val="left"/>
              <w:rPr/>
            </w:pPr>
            <w:r>
              <w:rPr/>
              <w:t> </w:t>
            </w:r>
          </w:p>
        </w:tc>
        <w:tc>
          <w:tcPr>
            <w:tcW w:w="300" w:type="dxa"/>
            <w:tcBorders>
              <w:bottom w:val="single" w:sz="12" w:space="0" w:color="636466"/>
            </w:tcBorders>
            <w:tcMar>
              <w:bottom w:w="40" w:type="dxa"/>
            </w:tcMar>
            <w:vAlign w:val="center"/>
          </w:tcPr>
          <w:p>
            <w:pPr>
              <w:pStyle w:val="TableContents"/>
              <w:bidi w:val="0"/>
              <w:spacing w:before="0" w:after="283"/>
              <w:jc w:val="left"/>
              <w:rPr>
                <w:color w:val="636466"/>
              </w:rPr>
            </w:pPr>
            <w:r>
              <w:rPr>
                <w:color w:val="636466"/>
              </w:rPr>
              <w:t>     </w:t>
            </w:r>
          </w:p>
        </w:tc>
        <w:tc>
          <w:tcPr>
            <w:tcW w:w="1220" w:type="dxa"/>
            <w:tcBorders>
              <w:bottom w:val="single" w:sz="12" w:space="0" w:color="636466"/>
            </w:tcBorders>
            <w:tcMar>
              <w:bottom w:w="40" w:type="dxa"/>
            </w:tcMar>
            <w:vAlign w:val="center"/>
          </w:tcPr>
          <w:p>
            <w:pPr>
              <w:pStyle w:val="TableContents"/>
              <w:bidi w:val="0"/>
              <w:spacing w:before="0" w:after="283"/>
              <w:jc w:val="right"/>
              <w:rPr>
                <w:b/>
                <w:color w:val="636466"/>
              </w:rPr>
            </w:pPr>
            <w:r>
              <w:rPr>
                <w:b/>
                <w:color w:val="636466"/>
              </w:rPr>
              <w:t>2025</w:t>
              <w:br/>
              <w:t>(Calio)</w:t>
            </w:r>
          </w:p>
        </w:tc>
        <w:tc>
          <w:tcPr>
            <w:tcW w:w="300" w:type="dxa"/>
            <w:tcBorders>
              <w:bottom w:val="single" w:sz="12" w:space="0" w:color="636466"/>
            </w:tcBorders>
            <w:tcMar>
              <w:bottom w:w="40" w:type="dxa"/>
            </w:tcMar>
            <w:vAlign w:val="center"/>
          </w:tcPr>
          <w:p>
            <w:pPr>
              <w:pStyle w:val="TableContents"/>
              <w:bidi w:val="0"/>
              <w:spacing w:before="0" w:after="283"/>
              <w:jc w:val="left"/>
              <w:rPr>
                <w:color w:val="636466"/>
              </w:rPr>
            </w:pPr>
            <w:r>
              <w:rPr>
                <w:color w:val="636466"/>
              </w:rPr>
              <w:t>     </w:t>
            </w:r>
          </w:p>
        </w:tc>
        <w:tc>
          <w:tcPr>
            <w:tcW w:w="1220" w:type="dxa"/>
            <w:tcBorders>
              <w:bottom w:val="single" w:sz="12" w:space="0" w:color="636466"/>
            </w:tcBorders>
            <w:tcMar>
              <w:bottom w:w="40" w:type="dxa"/>
            </w:tcMar>
            <w:vAlign w:val="center"/>
          </w:tcPr>
          <w:p>
            <w:pPr>
              <w:pStyle w:val="TableContents"/>
              <w:bidi w:val="0"/>
              <w:spacing w:before="0" w:after="283"/>
              <w:jc w:val="right"/>
              <w:rPr>
                <w:b/>
                <w:color w:val="636466"/>
              </w:rPr>
            </w:pPr>
            <w:r>
              <w:rPr>
                <w:b/>
                <w:color w:val="636466"/>
              </w:rPr>
              <w:t>2024</w:t>
              <w:br/>
              <w:t>(Hayes)</w:t>
            </w:r>
          </w:p>
        </w:tc>
        <w:tc>
          <w:tcPr>
            <w:tcW w:w="300" w:type="dxa"/>
            <w:tcBorders>
              <w:bottom w:val="single" w:sz="12" w:space="0" w:color="636466"/>
            </w:tcBorders>
            <w:tcMar>
              <w:bottom w:w="40" w:type="dxa"/>
            </w:tcMar>
            <w:vAlign w:val="center"/>
          </w:tcPr>
          <w:p>
            <w:pPr>
              <w:pStyle w:val="TableContents"/>
              <w:bidi w:val="0"/>
              <w:spacing w:before="0" w:after="283"/>
              <w:jc w:val="left"/>
              <w:rPr>
                <w:color w:val="636466"/>
              </w:rPr>
            </w:pPr>
            <w:r>
              <w:rPr>
                <w:color w:val="636466"/>
              </w:rPr>
              <w:t>     </w:t>
            </w:r>
          </w:p>
        </w:tc>
        <w:tc>
          <w:tcPr>
            <w:tcW w:w="1220" w:type="dxa"/>
            <w:tcBorders>
              <w:bottom w:val="single" w:sz="12" w:space="0" w:color="636466"/>
            </w:tcBorders>
            <w:tcMar>
              <w:bottom w:w="40" w:type="dxa"/>
            </w:tcMar>
            <w:vAlign w:val="center"/>
          </w:tcPr>
          <w:p>
            <w:pPr>
              <w:pStyle w:val="TableContents"/>
              <w:bidi w:val="0"/>
              <w:spacing w:before="0" w:after="283"/>
              <w:jc w:val="right"/>
              <w:rPr>
                <w:b/>
                <w:color w:val="636466"/>
              </w:rPr>
            </w:pPr>
            <w:r>
              <w:rPr>
                <w:b/>
                <w:color w:val="636466"/>
              </w:rPr>
              <w:t>2024</w:t>
              <w:br/>
              <w:t>(Calio)</w:t>
            </w:r>
          </w:p>
        </w:tc>
        <w:tc>
          <w:tcPr>
            <w:tcW w:w="300" w:type="dxa"/>
            <w:tcBorders>
              <w:bottom w:val="single" w:sz="12" w:space="0" w:color="636466"/>
            </w:tcBorders>
            <w:tcMar>
              <w:bottom w:w="40" w:type="dxa"/>
            </w:tcMar>
            <w:vAlign w:val="center"/>
          </w:tcPr>
          <w:p>
            <w:pPr>
              <w:pStyle w:val="TableContents"/>
              <w:bidi w:val="0"/>
              <w:spacing w:before="0" w:after="283"/>
              <w:jc w:val="left"/>
              <w:rPr>
                <w:color w:val="636466"/>
              </w:rPr>
            </w:pPr>
            <w:r>
              <w:rPr>
                <w:color w:val="636466"/>
              </w:rPr>
              <w:t>     </w:t>
            </w:r>
          </w:p>
        </w:tc>
        <w:tc>
          <w:tcPr>
            <w:tcW w:w="1295" w:type="dxa"/>
            <w:tcBorders>
              <w:bottom w:val="single" w:sz="12" w:space="0" w:color="636466"/>
            </w:tcBorders>
            <w:tcMar>
              <w:bottom w:w="40" w:type="dxa"/>
            </w:tcMar>
            <w:vAlign w:val="center"/>
          </w:tcPr>
          <w:p>
            <w:pPr>
              <w:pStyle w:val="TableContents"/>
              <w:bidi w:val="0"/>
              <w:spacing w:before="0" w:after="283"/>
              <w:jc w:val="right"/>
              <w:rPr>
                <w:b/>
                <w:color w:val="636466"/>
              </w:rPr>
            </w:pPr>
            <w:r>
              <w:rPr>
                <w:b/>
                <w:color w:val="636466"/>
              </w:rPr>
              <w:t>2023</w:t>
            </w:r>
          </w:p>
        </w:tc>
        <w:tc>
          <w:tcPr>
            <w:tcW w:w="300" w:type="dxa"/>
            <w:tcBorders>
              <w:bottom w:val="single" w:sz="12" w:space="0" w:color="636466"/>
            </w:tcBorders>
            <w:tcMar>
              <w:bottom w:w="40" w:type="dxa"/>
            </w:tcMar>
            <w:vAlign w:val="center"/>
          </w:tcPr>
          <w:p>
            <w:pPr>
              <w:pStyle w:val="TableContents"/>
              <w:bidi w:val="0"/>
              <w:spacing w:before="0" w:after="283"/>
              <w:jc w:val="left"/>
              <w:rPr>
                <w:color w:val="636466"/>
              </w:rPr>
            </w:pPr>
            <w:r>
              <w:rPr>
                <w:color w:val="636466"/>
              </w:rPr>
              <w:t>     </w:t>
            </w:r>
          </w:p>
        </w:tc>
        <w:tc>
          <w:tcPr>
            <w:tcW w:w="1220" w:type="dxa"/>
            <w:tcBorders>
              <w:bottom w:val="single" w:sz="12" w:space="0" w:color="636466"/>
            </w:tcBorders>
            <w:tcMar>
              <w:bottom w:w="40" w:type="dxa"/>
            </w:tcMar>
            <w:vAlign w:val="center"/>
          </w:tcPr>
          <w:p>
            <w:pPr>
              <w:pStyle w:val="TableContents"/>
              <w:bidi w:val="0"/>
              <w:spacing w:before="0" w:after="283"/>
              <w:jc w:val="right"/>
              <w:rPr>
                <w:b/>
                <w:color w:val="636466"/>
              </w:rPr>
            </w:pPr>
            <w:r>
              <w:rPr>
                <w:b/>
                <w:color w:val="636466"/>
              </w:rPr>
              <w:t>2022</w:t>
            </w:r>
          </w:p>
        </w:tc>
        <w:tc>
          <w:tcPr>
            <w:tcW w:w="300" w:type="dxa"/>
            <w:tcBorders>
              <w:bottom w:val="single" w:sz="12" w:space="0" w:color="636466"/>
            </w:tcBorders>
            <w:tcMar>
              <w:bottom w:w="40" w:type="dxa"/>
            </w:tcMar>
            <w:vAlign w:val="center"/>
          </w:tcPr>
          <w:p>
            <w:pPr>
              <w:pStyle w:val="TableContents"/>
              <w:bidi w:val="0"/>
              <w:spacing w:before="0" w:after="283"/>
              <w:jc w:val="left"/>
              <w:rPr>
                <w:color w:val="636466"/>
              </w:rPr>
            </w:pPr>
            <w:r>
              <w:rPr>
                <w:color w:val="636466"/>
              </w:rPr>
              <w:t>     </w:t>
            </w:r>
          </w:p>
        </w:tc>
        <w:tc>
          <w:tcPr>
            <w:tcW w:w="1235" w:type="dxa"/>
            <w:tcBorders>
              <w:bottom w:val="single" w:sz="12" w:space="0" w:color="636466"/>
            </w:tcBorders>
            <w:tcMar>
              <w:bottom w:w="40" w:type="dxa"/>
            </w:tcMar>
            <w:vAlign w:val="center"/>
          </w:tcPr>
          <w:p>
            <w:pPr>
              <w:pStyle w:val="TableContents"/>
              <w:bidi w:val="0"/>
              <w:spacing w:before="0" w:after="283"/>
              <w:jc w:val="right"/>
              <w:rPr>
                <w:b/>
                <w:color w:val="636466"/>
              </w:rPr>
            </w:pPr>
            <w:r>
              <w:rPr>
                <w:b/>
                <w:color w:val="636466"/>
              </w:rPr>
              <w:t>2021</w:t>
            </w:r>
          </w:p>
        </w:tc>
      </w:tr>
      <w:tr>
        <w:trPr/>
        <w:tc>
          <w:tcPr>
            <w:tcW w:w="75" w:type="dxa"/>
            <w:tcBorders/>
            <w:vAlign w:val="center"/>
          </w:tcPr>
          <w:p>
            <w:pPr>
              <w:pStyle w:val="TableContents"/>
              <w:bidi w:val="0"/>
              <w:spacing w:before="0" w:after="283"/>
              <w:ind w:left="0" w:right="0" w:hanging="200"/>
              <w:jc w:val="left"/>
              <w:rPr/>
            </w:pPr>
            <w:r>
              <w:rPr/>
              <w:t> </w:t>
            </w:r>
          </w:p>
        </w:tc>
        <w:tc>
          <w:tcPr>
            <w:tcW w:w="1490" w:type="dxa"/>
            <w:tcBorders>
              <w:bottom w:val="single" w:sz="2" w:space="0" w:color="000000"/>
            </w:tcBorders>
            <w:tcMar>
              <w:bottom w:w="40" w:type="dxa"/>
            </w:tcMar>
            <w:vAlign w:val="center"/>
          </w:tcPr>
          <w:p>
            <w:pPr>
              <w:pStyle w:val="TableContents"/>
              <w:bidi w:val="0"/>
              <w:spacing w:before="0" w:after="283"/>
              <w:jc w:val="left"/>
              <w:rPr/>
            </w:pPr>
            <w:r>
              <w:rPr/>
              <w:t>Summary Compensation Table</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bookmarkStart w:id="92" w:name="xdx_985_eecd--PeoTotalCompAmt_c20250101_"/>
            <w:bookmarkEnd w:id="92"/>
          </w:p>
        </w:tc>
        <w:tc>
          <w:tcPr>
            <w:tcW w:w="1220" w:type="dxa"/>
            <w:tcBorders>
              <w:bottom w:val="single" w:sz="2" w:space="0" w:color="000000"/>
            </w:tcBorders>
            <w:tcMar>
              <w:bottom w:w="40" w:type="dxa"/>
            </w:tcMar>
            <w:vAlign w:val="center"/>
          </w:tcPr>
          <w:p>
            <w:pPr>
              <w:pStyle w:val="TableContents"/>
              <w:bidi w:val="0"/>
              <w:spacing w:before="0" w:after="283"/>
              <w:jc w:val="right"/>
              <w:rPr/>
            </w:pPr>
            <w:r>
              <w:rPr/>
              <w:t>$24,846,826</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bookmarkStart w:id="93" w:name="xdx_985_eecd--PeoTotalCompAmt_c20240101_"/>
            <w:bookmarkEnd w:id="93"/>
          </w:p>
        </w:tc>
        <w:tc>
          <w:tcPr>
            <w:tcW w:w="1220" w:type="dxa"/>
            <w:tcBorders>
              <w:bottom w:val="single" w:sz="2" w:space="0" w:color="000000"/>
            </w:tcBorders>
            <w:tcMar>
              <w:bottom w:w="40" w:type="dxa"/>
            </w:tcMar>
            <w:vAlign w:val="center"/>
          </w:tcPr>
          <w:p>
            <w:pPr>
              <w:pStyle w:val="TableContents"/>
              <w:bidi w:val="0"/>
              <w:spacing w:before="0" w:after="283"/>
              <w:jc w:val="right"/>
              <w:rPr/>
            </w:pPr>
            <w:r>
              <w:rPr/>
              <w:t>$14,598,458</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bookmarkStart w:id="94" w:name="xdx_98A_eecd--PeoTotalCompAmt_c20240101_"/>
            <w:bookmarkEnd w:id="94"/>
          </w:p>
        </w:tc>
        <w:tc>
          <w:tcPr>
            <w:tcW w:w="1220" w:type="dxa"/>
            <w:tcBorders>
              <w:bottom w:val="single" w:sz="2" w:space="0" w:color="000000"/>
            </w:tcBorders>
            <w:tcMar>
              <w:bottom w:w="40" w:type="dxa"/>
            </w:tcMar>
            <w:vAlign w:val="center"/>
          </w:tcPr>
          <w:p>
            <w:pPr>
              <w:pStyle w:val="TableContents"/>
              <w:bidi w:val="0"/>
              <w:spacing w:before="0" w:after="283"/>
              <w:jc w:val="right"/>
              <w:rPr/>
            </w:pPr>
            <w:r>
              <w:rPr/>
              <w:t>$18,004,831</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bookmarkStart w:id="95" w:name="xdx_982_eecd--PeoTotalCompAmt_c20230101_"/>
            <w:bookmarkEnd w:id="95"/>
          </w:p>
        </w:tc>
        <w:tc>
          <w:tcPr>
            <w:tcW w:w="1295" w:type="dxa"/>
            <w:tcBorders>
              <w:bottom w:val="single" w:sz="2" w:space="0" w:color="000000"/>
            </w:tcBorders>
            <w:tcMar>
              <w:bottom w:w="40" w:type="dxa"/>
            </w:tcMar>
            <w:vAlign w:val="center"/>
          </w:tcPr>
          <w:p>
            <w:pPr>
              <w:pStyle w:val="TableContents"/>
              <w:bidi w:val="0"/>
              <w:spacing w:before="0" w:after="283"/>
              <w:jc w:val="right"/>
              <w:rPr/>
            </w:pPr>
            <w:r>
              <w:rPr/>
              <w:t>$21,929,459</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bookmarkStart w:id="96" w:name="xdx_981_eecd--PeoTotalCompAmt_c20220101_"/>
            <w:bookmarkEnd w:id="96"/>
          </w:p>
        </w:tc>
        <w:tc>
          <w:tcPr>
            <w:tcW w:w="1220" w:type="dxa"/>
            <w:tcBorders>
              <w:bottom w:val="single" w:sz="2" w:space="0" w:color="000000"/>
            </w:tcBorders>
            <w:tcMar>
              <w:bottom w:w="40" w:type="dxa"/>
            </w:tcMar>
            <w:vAlign w:val="center"/>
          </w:tcPr>
          <w:p>
            <w:pPr>
              <w:pStyle w:val="TableContents"/>
              <w:bidi w:val="0"/>
              <w:spacing w:before="0" w:after="283"/>
              <w:jc w:val="right"/>
              <w:rPr/>
            </w:pPr>
            <w:r>
              <w:rPr/>
              <w:t>$22,609,036</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bookmarkStart w:id="97" w:name="xdx_98A_eecd--PeoTotalCompAmt_c20210101_"/>
            <w:bookmarkEnd w:id="97"/>
          </w:p>
        </w:tc>
        <w:tc>
          <w:tcPr>
            <w:tcW w:w="1235" w:type="dxa"/>
            <w:tcBorders>
              <w:bottom w:val="single" w:sz="2" w:space="0" w:color="000000"/>
            </w:tcBorders>
            <w:tcMar>
              <w:bottom w:w="40" w:type="dxa"/>
            </w:tcMar>
            <w:vAlign w:val="center"/>
          </w:tcPr>
          <w:p>
            <w:pPr>
              <w:pStyle w:val="TableContents"/>
              <w:bidi w:val="0"/>
              <w:spacing w:before="0" w:after="283"/>
              <w:jc w:val="right"/>
              <w:rPr/>
            </w:pPr>
            <w:r>
              <w:rPr/>
              <w:t>$23,316,063</w:t>
            </w:r>
          </w:p>
        </w:tc>
      </w:tr>
      <w:tr>
        <w:trPr/>
        <w:tc>
          <w:tcPr>
            <w:tcW w:w="75" w:type="dxa"/>
            <w:tcBorders/>
            <w:vAlign w:val="center"/>
          </w:tcPr>
          <w:p>
            <w:pPr>
              <w:pStyle w:val="TableContents"/>
              <w:bidi w:val="0"/>
              <w:spacing w:before="0" w:after="283"/>
              <w:ind w:left="0" w:right="0" w:hanging="200"/>
              <w:jc w:val="left"/>
              <w:rPr/>
            </w:pPr>
            <w:r>
              <w:rPr/>
              <w:t> </w:t>
            </w:r>
          </w:p>
        </w:tc>
        <w:tc>
          <w:tcPr>
            <w:tcW w:w="1490" w:type="dxa"/>
            <w:tcBorders>
              <w:bottom w:val="single" w:sz="2" w:space="0" w:color="000000"/>
            </w:tcBorders>
            <w:tcMar>
              <w:bottom w:w="40" w:type="dxa"/>
            </w:tcMar>
            <w:vAlign w:val="center"/>
          </w:tcPr>
          <w:p>
            <w:pPr>
              <w:pStyle w:val="TableContents"/>
              <w:bidi w:val="0"/>
              <w:spacing w:before="0" w:after="283"/>
              <w:jc w:val="left"/>
              <w:rPr/>
            </w:pPr>
            <w:r>
              <w:rPr/>
              <w:t>Stock Awards</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bookmarkStart w:id="98" w:name="xdx_988_eecd--AdjToCompAmt_c20250101__20"/>
            <w:bookmarkEnd w:id="98"/>
          </w:p>
        </w:tc>
        <w:tc>
          <w:tcPr>
            <w:tcW w:w="1220" w:type="dxa"/>
            <w:tcBorders>
              <w:bottom w:val="single" w:sz="2" w:space="0" w:color="000000"/>
            </w:tcBorders>
            <w:tcMar>
              <w:bottom w:w="40" w:type="dxa"/>
            </w:tcMar>
            <w:vAlign w:val="center"/>
          </w:tcPr>
          <w:p>
            <w:pPr>
              <w:pStyle w:val="TableContents"/>
              <w:bidi w:val="0"/>
              <w:spacing w:before="0" w:after="283"/>
              <w:jc w:val="right"/>
              <w:rPr/>
            </w:pPr>
            <w:r>
              <w:rPr/>
              <w:t>$10,875,391</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bookmarkStart w:id="99" w:name="xdx_98A_eecd--AdjToCompAmt_c20240101__20"/>
            <w:bookmarkEnd w:id="99"/>
          </w:p>
        </w:tc>
        <w:tc>
          <w:tcPr>
            <w:tcW w:w="1220" w:type="dxa"/>
            <w:tcBorders>
              <w:bottom w:val="single" w:sz="2" w:space="0" w:color="000000"/>
            </w:tcBorders>
            <w:tcMar>
              <w:bottom w:w="40" w:type="dxa"/>
            </w:tcMar>
            <w:vAlign w:val="center"/>
          </w:tcPr>
          <w:p>
            <w:pPr>
              <w:pStyle w:val="TableContents"/>
              <w:bidi w:val="0"/>
              <w:spacing w:before="0" w:after="283"/>
              <w:jc w:val="right"/>
              <w:rPr/>
            </w:pPr>
            <w:r>
              <w:rPr/>
              <w:t>$6,159,916</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bookmarkStart w:id="100" w:name="xdx_98E_eecd--AdjToCompAmt_c20240101__20"/>
            <w:bookmarkEnd w:id="100"/>
          </w:p>
        </w:tc>
        <w:tc>
          <w:tcPr>
            <w:tcW w:w="1220" w:type="dxa"/>
            <w:tcBorders>
              <w:bottom w:val="single" w:sz="2" w:space="0" w:color="000000"/>
            </w:tcBorders>
            <w:tcMar>
              <w:bottom w:w="40" w:type="dxa"/>
            </w:tcMar>
            <w:vAlign w:val="center"/>
          </w:tcPr>
          <w:p>
            <w:pPr>
              <w:pStyle w:val="TableContents"/>
              <w:bidi w:val="0"/>
              <w:spacing w:before="0" w:after="283"/>
              <w:jc w:val="right"/>
              <w:rPr/>
            </w:pPr>
            <w:r>
              <w:rPr/>
              <w:t>$8,315,559</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bookmarkStart w:id="101" w:name="xdx_98F_eecd--AdjToCompAmt_c20230101__20"/>
            <w:bookmarkEnd w:id="101"/>
          </w:p>
        </w:tc>
        <w:tc>
          <w:tcPr>
            <w:tcW w:w="1295" w:type="dxa"/>
            <w:tcBorders>
              <w:bottom w:val="single" w:sz="2" w:space="0" w:color="000000"/>
            </w:tcBorders>
            <w:tcMar>
              <w:bottom w:w="40" w:type="dxa"/>
            </w:tcMar>
            <w:vAlign w:val="center"/>
          </w:tcPr>
          <w:p>
            <w:pPr>
              <w:pStyle w:val="TableContents"/>
              <w:bidi w:val="0"/>
              <w:spacing w:before="0" w:after="283"/>
              <w:jc w:val="right"/>
              <w:rPr/>
            </w:pPr>
            <w:r>
              <w:rPr/>
              <w:t>$9,772,488</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bookmarkStart w:id="102" w:name="xdx_98D_eecd--AdjToCompAmt_c20220101__20"/>
            <w:bookmarkEnd w:id="102"/>
          </w:p>
        </w:tc>
        <w:tc>
          <w:tcPr>
            <w:tcW w:w="1220" w:type="dxa"/>
            <w:tcBorders>
              <w:bottom w:val="single" w:sz="2" w:space="0" w:color="000000"/>
            </w:tcBorders>
            <w:tcMar>
              <w:bottom w:w="40" w:type="dxa"/>
            </w:tcMar>
            <w:vAlign w:val="center"/>
          </w:tcPr>
          <w:p>
            <w:pPr>
              <w:pStyle w:val="TableContents"/>
              <w:bidi w:val="0"/>
              <w:spacing w:before="0" w:after="283"/>
              <w:jc w:val="right"/>
              <w:rPr/>
            </w:pPr>
            <w:r>
              <w:rPr/>
              <w:t>$9,352,104</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bookmarkStart w:id="103" w:name="xdx_989_eecd--AdjToCompAmt_c20210101__20"/>
            <w:bookmarkEnd w:id="103"/>
          </w:p>
        </w:tc>
        <w:tc>
          <w:tcPr>
            <w:tcW w:w="1235" w:type="dxa"/>
            <w:tcBorders>
              <w:bottom w:val="single" w:sz="2" w:space="0" w:color="000000"/>
            </w:tcBorders>
            <w:tcMar>
              <w:bottom w:w="40" w:type="dxa"/>
            </w:tcMar>
            <w:vAlign w:val="center"/>
          </w:tcPr>
          <w:p>
            <w:pPr>
              <w:pStyle w:val="TableContents"/>
              <w:bidi w:val="0"/>
              <w:spacing w:before="0" w:after="283"/>
              <w:jc w:val="right"/>
              <w:rPr/>
            </w:pPr>
            <w:r>
              <w:rPr/>
              <w:t>$11,740,098</w:t>
            </w:r>
          </w:p>
        </w:tc>
      </w:tr>
      <w:tr>
        <w:trPr/>
        <w:tc>
          <w:tcPr>
            <w:tcW w:w="75" w:type="dxa"/>
            <w:tcBorders/>
            <w:vAlign w:val="center"/>
          </w:tcPr>
          <w:p>
            <w:pPr>
              <w:pStyle w:val="TableContents"/>
              <w:bidi w:val="0"/>
              <w:spacing w:before="0" w:after="283"/>
              <w:ind w:left="0" w:right="0" w:hanging="200"/>
              <w:jc w:val="left"/>
              <w:rPr/>
            </w:pPr>
            <w:r>
              <w:rPr/>
              <w:t> </w:t>
            </w:r>
          </w:p>
        </w:tc>
        <w:tc>
          <w:tcPr>
            <w:tcW w:w="1490" w:type="dxa"/>
            <w:tcBorders>
              <w:bottom w:val="single" w:sz="2" w:space="0" w:color="000000"/>
            </w:tcBorders>
            <w:tcMar>
              <w:bottom w:w="40" w:type="dxa"/>
            </w:tcMar>
            <w:vAlign w:val="center"/>
          </w:tcPr>
          <w:p>
            <w:pPr>
              <w:pStyle w:val="TableContents"/>
              <w:bidi w:val="0"/>
              <w:spacing w:before="0" w:after="283"/>
              <w:jc w:val="left"/>
              <w:rPr/>
            </w:pPr>
            <w:r>
              <w:rPr/>
              <w:t>Option Awards</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bookmarkStart w:id="104" w:name="xdx_985_eecd--AdjToCompAmt_c20250101__20"/>
            <w:bookmarkEnd w:id="104"/>
          </w:p>
        </w:tc>
        <w:tc>
          <w:tcPr>
            <w:tcW w:w="1220" w:type="dxa"/>
            <w:tcBorders>
              <w:bottom w:val="single" w:sz="2" w:space="0" w:color="000000"/>
            </w:tcBorders>
            <w:tcMar>
              <w:bottom w:w="40" w:type="dxa"/>
            </w:tcMar>
            <w:vAlign w:val="center"/>
          </w:tcPr>
          <w:p>
            <w:pPr>
              <w:pStyle w:val="TableContents"/>
              <w:bidi w:val="0"/>
              <w:spacing w:before="0" w:after="283"/>
              <w:jc w:val="right"/>
              <w:rPr/>
            </w:pPr>
            <w:r>
              <w:rPr/>
              <w:t>$6,753,909</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bookmarkStart w:id="105" w:name="xdx_986_eecd--AdjToCompAmt_c20240101__20"/>
            <w:bookmarkEnd w:id="105"/>
          </w:p>
        </w:tc>
        <w:tc>
          <w:tcPr>
            <w:tcW w:w="1220" w:type="dxa"/>
            <w:tcBorders>
              <w:bottom w:val="single" w:sz="2" w:space="0" w:color="000000"/>
            </w:tcBorders>
            <w:tcMar>
              <w:bottom w:w="40" w:type="dxa"/>
            </w:tcMar>
            <w:vAlign w:val="center"/>
          </w:tcPr>
          <w:p>
            <w:pPr>
              <w:pStyle w:val="TableContents"/>
              <w:bidi w:val="0"/>
              <w:spacing w:before="0" w:after="283"/>
              <w:jc w:val="right"/>
              <w:rPr/>
            </w:pPr>
            <w:r>
              <w:rPr/>
              <w:t>$3,984,256</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bookmarkStart w:id="106" w:name="xdx_988_eecd--AdjToCompAmt_c20240101__20"/>
            <w:bookmarkEnd w:id="106"/>
          </w:p>
        </w:tc>
        <w:tc>
          <w:tcPr>
            <w:tcW w:w="1220" w:type="dxa"/>
            <w:tcBorders>
              <w:bottom w:val="single" w:sz="2" w:space="0" w:color="000000"/>
            </w:tcBorders>
            <w:tcMar>
              <w:bottom w:w="40" w:type="dxa"/>
            </w:tcMar>
            <w:vAlign w:val="center"/>
          </w:tcPr>
          <w:p>
            <w:pPr>
              <w:pStyle w:val="TableContents"/>
              <w:bidi w:val="0"/>
              <w:spacing w:before="0" w:after="283"/>
              <w:jc w:val="right"/>
              <w:rPr/>
            </w:pPr>
            <w:r>
              <w:rPr/>
              <w:t>$5,379,072</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bookmarkStart w:id="107" w:name="xdx_985_eecd--AdjToCompAmt_c20230101__20"/>
            <w:bookmarkEnd w:id="107"/>
          </w:p>
        </w:tc>
        <w:tc>
          <w:tcPr>
            <w:tcW w:w="1295" w:type="dxa"/>
            <w:tcBorders>
              <w:bottom w:val="single" w:sz="2" w:space="0" w:color="000000"/>
            </w:tcBorders>
            <w:tcMar>
              <w:bottom w:w="40" w:type="dxa"/>
            </w:tcMar>
            <w:vAlign w:val="center"/>
          </w:tcPr>
          <w:p>
            <w:pPr>
              <w:pStyle w:val="TableContents"/>
              <w:bidi w:val="0"/>
              <w:spacing w:before="0" w:after="283"/>
              <w:jc w:val="right"/>
              <w:rPr/>
            </w:pPr>
            <w:r>
              <w:rPr/>
              <w:t>$6,586,686</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bookmarkStart w:id="108" w:name="xdx_989_eecd--AdjToCompAmt_c20220101__20"/>
            <w:bookmarkEnd w:id="108"/>
          </w:p>
        </w:tc>
        <w:tc>
          <w:tcPr>
            <w:tcW w:w="1220" w:type="dxa"/>
            <w:tcBorders>
              <w:bottom w:val="single" w:sz="2" w:space="0" w:color="000000"/>
            </w:tcBorders>
            <w:tcMar>
              <w:bottom w:w="40" w:type="dxa"/>
            </w:tcMar>
            <w:vAlign w:val="center"/>
          </w:tcPr>
          <w:p>
            <w:pPr>
              <w:pStyle w:val="TableContents"/>
              <w:bidi w:val="0"/>
              <w:spacing w:before="0" w:after="283"/>
              <w:jc w:val="right"/>
              <w:rPr/>
            </w:pPr>
            <w:r>
              <w:rPr/>
              <w:t>$6,425,871</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bookmarkStart w:id="109" w:name="xdx_98D_eecd--AdjToCompAmt_c20210101__20"/>
            <w:bookmarkEnd w:id="109"/>
          </w:p>
        </w:tc>
        <w:tc>
          <w:tcPr>
            <w:tcW w:w="1235" w:type="dxa"/>
            <w:tcBorders>
              <w:bottom w:val="single" w:sz="2" w:space="0" w:color="000000"/>
            </w:tcBorders>
            <w:tcMar>
              <w:bottom w:w="40" w:type="dxa"/>
            </w:tcMar>
            <w:vAlign w:val="center"/>
          </w:tcPr>
          <w:p>
            <w:pPr>
              <w:pStyle w:val="TableContents"/>
              <w:bidi w:val="0"/>
              <w:spacing w:before="0" w:after="283"/>
              <w:jc w:val="right"/>
              <w:rPr/>
            </w:pPr>
            <w:r>
              <w:rPr/>
              <w:t>$2,815,812</w:t>
            </w:r>
          </w:p>
        </w:tc>
      </w:tr>
      <w:tr>
        <w:trPr/>
        <w:tc>
          <w:tcPr>
            <w:tcW w:w="75" w:type="dxa"/>
            <w:tcBorders/>
            <w:vAlign w:val="center"/>
          </w:tcPr>
          <w:p>
            <w:pPr>
              <w:pStyle w:val="TableContents"/>
              <w:bidi w:val="0"/>
              <w:spacing w:before="0" w:after="283"/>
              <w:jc w:val="left"/>
              <w:rPr/>
            </w:pPr>
            <w:r>
              <w:rPr/>
              <w:t> </w:t>
            </w:r>
          </w:p>
        </w:tc>
        <w:tc>
          <w:tcPr>
            <w:tcW w:w="1490" w:type="dxa"/>
            <w:tcBorders>
              <w:bottom w:val="single" w:sz="2" w:space="0" w:color="000000"/>
            </w:tcBorders>
            <w:tcMar>
              <w:bottom w:w="40" w:type="dxa"/>
            </w:tcMar>
            <w:vAlign w:val="center"/>
          </w:tcPr>
          <w:p>
            <w:pPr>
              <w:pStyle w:val="TableContents"/>
              <w:bidi w:val="0"/>
              <w:spacing w:before="0" w:after="283"/>
              <w:jc w:val="left"/>
              <w:rPr/>
            </w:pPr>
            <w:r>
              <w:rPr/>
              <w:t>Change in Present Value of Pension Benefits</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bookmarkStart w:id="110" w:name="xdx_988_eecd--AdjToCompAmt_c20250101__20"/>
            <w:bookmarkEnd w:id="110"/>
          </w:p>
        </w:tc>
        <w:tc>
          <w:tcPr>
            <w:tcW w:w="1220" w:type="dxa"/>
            <w:tcBorders>
              <w:bottom w:val="single" w:sz="2" w:space="0" w:color="000000"/>
            </w:tcBorders>
            <w:tcMar>
              <w:bottom w:w="40" w:type="dxa"/>
            </w:tcMar>
            <w:vAlign w:val="center"/>
          </w:tcPr>
          <w:p>
            <w:pPr>
              <w:pStyle w:val="TableContents"/>
              <w:bidi w:val="0"/>
              <w:spacing w:before="0" w:after="283"/>
              <w:jc w:val="right"/>
              <w:rPr/>
            </w:pPr>
            <w:r>
              <w:rPr/>
              <w:t>$48,257</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bookmarkStart w:id="111" w:name="xdx_98E_eecd--AdjToCompAmt_c20240101__20"/>
            <w:bookmarkEnd w:id="111"/>
          </w:p>
        </w:tc>
        <w:tc>
          <w:tcPr>
            <w:tcW w:w="1220" w:type="dxa"/>
            <w:tcBorders>
              <w:bottom w:val="single" w:sz="2" w:space="0" w:color="000000"/>
            </w:tcBorders>
            <w:tcMar>
              <w:bottom w:w="40" w:type="dxa"/>
            </w:tcMar>
            <w:vAlign w:val="center"/>
          </w:tcPr>
          <w:p>
            <w:pPr>
              <w:pStyle w:val="TableContents"/>
              <w:bidi w:val="0"/>
              <w:spacing w:before="0" w:after="283"/>
              <w:jc w:val="right"/>
              <w:rPr/>
            </w:pPr>
            <w:r>
              <w:rPr/>
              <w:t>$0</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bookmarkStart w:id="112" w:name="xdx_98B_eecd--AdjToCompAmt_c20240101__20"/>
            <w:bookmarkEnd w:id="112"/>
          </w:p>
        </w:tc>
        <w:tc>
          <w:tcPr>
            <w:tcW w:w="1220" w:type="dxa"/>
            <w:tcBorders>
              <w:bottom w:val="single" w:sz="2" w:space="0" w:color="000000"/>
            </w:tcBorders>
            <w:tcMar>
              <w:bottom w:w="40" w:type="dxa"/>
            </w:tcMar>
            <w:vAlign w:val="center"/>
          </w:tcPr>
          <w:p>
            <w:pPr>
              <w:pStyle w:val="TableContents"/>
              <w:bidi w:val="0"/>
              <w:spacing w:before="0" w:after="283"/>
              <w:jc w:val="right"/>
              <w:rPr/>
            </w:pPr>
            <w:r>
              <w:rPr/>
              <w:t>$0</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bookmarkStart w:id="113" w:name="xdx_984_eecd--AdjToCompAmt_c20230101__20"/>
            <w:bookmarkEnd w:id="113"/>
          </w:p>
        </w:tc>
        <w:tc>
          <w:tcPr>
            <w:tcW w:w="1295" w:type="dxa"/>
            <w:tcBorders>
              <w:bottom w:val="single" w:sz="2" w:space="0" w:color="000000"/>
            </w:tcBorders>
            <w:tcMar>
              <w:bottom w:w="40" w:type="dxa"/>
            </w:tcMar>
            <w:vAlign w:val="center"/>
          </w:tcPr>
          <w:p>
            <w:pPr>
              <w:pStyle w:val="TableContents"/>
              <w:bidi w:val="0"/>
              <w:spacing w:before="0" w:after="283"/>
              <w:jc w:val="right"/>
              <w:rPr/>
            </w:pPr>
            <w:r>
              <w:rPr/>
              <w:t>$0</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bookmarkStart w:id="114" w:name="xdx_98A_eecd--AdjToCompAmt_c20220101__20"/>
            <w:bookmarkEnd w:id="114"/>
          </w:p>
        </w:tc>
        <w:tc>
          <w:tcPr>
            <w:tcW w:w="1220" w:type="dxa"/>
            <w:tcBorders>
              <w:bottom w:val="single" w:sz="2" w:space="0" w:color="000000"/>
            </w:tcBorders>
            <w:tcMar>
              <w:bottom w:w="40" w:type="dxa"/>
            </w:tcMar>
            <w:vAlign w:val="center"/>
          </w:tcPr>
          <w:p>
            <w:pPr>
              <w:pStyle w:val="TableContents"/>
              <w:bidi w:val="0"/>
              <w:spacing w:before="0" w:after="283"/>
              <w:jc w:val="right"/>
              <w:rPr/>
            </w:pPr>
            <w:r>
              <w:rPr/>
              <w:t>$0</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bookmarkStart w:id="115" w:name="xdx_987_eecd--AdjToCompAmt_c20210101__20"/>
            <w:bookmarkEnd w:id="115"/>
          </w:p>
        </w:tc>
        <w:tc>
          <w:tcPr>
            <w:tcW w:w="1235" w:type="dxa"/>
            <w:tcBorders>
              <w:bottom w:val="single" w:sz="2" w:space="0" w:color="000000"/>
            </w:tcBorders>
            <w:tcMar>
              <w:bottom w:w="40" w:type="dxa"/>
            </w:tcMar>
            <w:vAlign w:val="center"/>
          </w:tcPr>
          <w:p>
            <w:pPr>
              <w:pStyle w:val="TableContents"/>
              <w:bidi w:val="0"/>
              <w:spacing w:before="0" w:after="283"/>
              <w:jc w:val="right"/>
              <w:rPr/>
            </w:pPr>
            <w:r>
              <w:rPr/>
              <w:t>$1,513,140</w:t>
            </w:r>
          </w:p>
        </w:tc>
      </w:tr>
      <w:tr>
        <w:trPr/>
        <w:tc>
          <w:tcPr>
            <w:tcW w:w="75" w:type="dxa"/>
            <w:tcBorders/>
            <w:vAlign w:val="center"/>
          </w:tcPr>
          <w:p>
            <w:pPr>
              <w:pStyle w:val="TableContents"/>
              <w:bidi w:val="0"/>
              <w:spacing w:before="0" w:after="283"/>
              <w:ind w:left="0" w:right="0" w:hanging="200"/>
              <w:jc w:val="left"/>
              <w:rPr/>
            </w:pPr>
            <w:r>
              <w:rPr/>
              <w:t> </w:t>
            </w:r>
          </w:p>
        </w:tc>
        <w:tc>
          <w:tcPr>
            <w:tcW w:w="1490" w:type="dxa"/>
            <w:tcBorders>
              <w:bottom w:val="single" w:sz="2" w:space="0" w:color="000000"/>
            </w:tcBorders>
            <w:shd w:fill="EDEDEE" w:val="clear"/>
            <w:tcMar>
              <w:bottom w:w="40" w:type="dxa"/>
            </w:tcMar>
            <w:vAlign w:val="center"/>
          </w:tcPr>
          <w:p>
            <w:pPr>
              <w:pStyle w:val="TableContents"/>
              <w:bidi w:val="0"/>
              <w:spacing w:before="0" w:after="283"/>
              <w:jc w:val="left"/>
              <w:rPr/>
            </w:pPr>
            <w:r>
              <w:rPr/>
              <w:t>Total Deductions from SCT</w:t>
            </w:r>
          </w:p>
        </w:tc>
        <w:tc>
          <w:tcPr>
            <w:tcW w:w="300" w:type="dxa"/>
            <w:tcBorders>
              <w:bottom w:val="single" w:sz="2" w:space="0" w:color="000000"/>
            </w:tcBorders>
            <w:shd w:fill="EDEDEE" w:val="clear"/>
            <w:tcMar>
              <w:bottom w:w="40" w:type="dxa"/>
            </w:tcMar>
            <w:vAlign w:val="center"/>
          </w:tcPr>
          <w:p>
            <w:pPr>
              <w:pStyle w:val="TableContents"/>
              <w:bidi w:val="0"/>
              <w:spacing w:before="0" w:after="283"/>
              <w:jc w:val="left"/>
              <w:rPr/>
            </w:pPr>
            <w:r>
              <w:rPr/>
              <w:t> </w:t>
            </w:r>
            <w:bookmarkStart w:id="116" w:name="xdx_98D_eecd--AdjToCompAmt_c20250101__20"/>
            <w:bookmarkEnd w:id="116"/>
          </w:p>
        </w:tc>
        <w:tc>
          <w:tcPr>
            <w:tcW w:w="1220" w:type="dxa"/>
            <w:tcBorders>
              <w:bottom w:val="single" w:sz="2" w:space="0" w:color="000000"/>
            </w:tcBorders>
            <w:shd w:fill="EDEDEE" w:val="clear"/>
            <w:tcMar>
              <w:bottom w:w="40" w:type="dxa"/>
            </w:tcMar>
            <w:vAlign w:val="center"/>
          </w:tcPr>
          <w:p>
            <w:pPr>
              <w:pStyle w:val="TableContents"/>
              <w:bidi w:val="0"/>
              <w:spacing w:before="0" w:after="283"/>
              <w:jc w:val="right"/>
              <w:rPr/>
            </w:pPr>
            <w:r>
              <w:rPr/>
              <w:t>$17,677,557</w:t>
            </w:r>
          </w:p>
        </w:tc>
        <w:tc>
          <w:tcPr>
            <w:tcW w:w="300" w:type="dxa"/>
            <w:tcBorders>
              <w:bottom w:val="single" w:sz="2" w:space="0" w:color="000000"/>
            </w:tcBorders>
            <w:shd w:fill="EDEDEE" w:val="clear"/>
            <w:tcMar>
              <w:bottom w:w="40" w:type="dxa"/>
            </w:tcMar>
            <w:vAlign w:val="center"/>
          </w:tcPr>
          <w:p>
            <w:pPr>
              <w:pStyle w:val="TableContents"/>
              <w:bidi w:val="0"/>
              <w:spacing w:before="0" w:after="283"/>
              <w:jc w:val="left"/>
              <w:rPr/>
            </w:pPr>
            <w:r>
              <w:rPr/>
              <w:t> </w:t>
            </w:r>
            <w:bookmarkStart w:id="117" w:name="xdx_98E_eecd--AdjToCompAmt_c20240101__20"/>
            <w:bookmarkEnd w:id="117"/>
          </w:p>
        </w:tc>
        <w:tc>
          <w:tcPr>
            <w:tcW w:w="1220" w:type="dxa"/>
            <w:tcBorders>
              <w:bottom w:val="single" w:sz="2" w:space="0" w:color="000000"/>
            </w:tcBorders>
            <w:shd w:fill="EDEDEE" w:val="clear"/>
            <w:tcMar>
              <w:bottom w:w="40" w:type="dxa"/>
            </w:tcMar>
            <w:vAlign w:val="center"/>
          </w:tcPr>
          <w:p>
            <w:pPr>
              <w:pStyle w:val="TableContents"/>
              <w:bidi w:val="0"/>
              <w:spacing w:before="0" w:after="283"/>
              <w:jc w:val="right"/>
              <w:rPr/>
            </w:pPr>
            <w:r>
              <w:rPr/>
              <w:t>$10,144,172</w:t>
            </w:r>
          </w:p>
        </w:tc>
        <w:tc>
          <w:tcPr>
            <w:tcW w:w="300" w:type="dxa"/>
            <w:tcBorders>
              <w:bottom w:val="single" w:sz="2" w:space="0" w:color="000000"/>
            </w:tcBorders>
            <w:shd w:fill="EDEDEE" w:val="clear"/>
            <w:tcMar>
              <w:bottom w:w="40" w:type="dxa"/>
            </w:tcMar>
            <w:vAlign w:val="center"/>
          </w:tcPr>
          <w:p>
            <w:pPr>
              <w:pStyle w:val="TableContents"/>
              <w:bidi w:val="0"/>
              <w:spacing w:before="0" w:after="283"/>
              <w:jc w:val="left"/>
              <w:rPr/>
            </w:pPr>
            <w:r>
              <w:rPr/>
              <w:t> </w:t>
            </w:r>
            <w:bookmarkStart w:id="118" w:name="xdx_98F_eecd--AdjToCompAmt_c20240101__20"/>
            <w:bookmarkEnd w:id="118"/>
          </w:p>
        </w:tc>
        <w:tc>
          <w:tcPr>
            <w:tcW w:w="1220" w:type="dxa"/>
            <w:tcBorders>
              <w:bottom w:val="single" w:sz="2" w:space="0" w:color="000000"/>
            </w:tcBorders>
            <w:shd w:fill="EDEDEE" w:val="clear"/>
            <w:tcMar>
              <w:bottom w:w="40" w:type="dxa"/>
            </w:tcMar>
            <w:vAlign w:val="center"/>
          </w:tcPr>
          <w:p>
            <w:pPr>
              <w:pStyle w:val="TableContents"/>
              <w:bidi w:val="0"/>
              <w:spacing w:before="0" w:after="283"/>
              <w:jc w:val="right"/>
              <w:rPr/>
            </w:pPr>
            <w:r>
              <w:rPr/>
              <w:t>$13,694,631</w:t>
            </w:r>
          </w:p>
        </w:tc>
        <w:tc>
          <w:tcPr>
            <w:tcW w:w="300" w:type="dxa"/>
            <w:tcBorders>
              <w:bottom w:val="single" w:sz="2" w:space="0" w:color="000000"/>
            </w:tcBorders>
            <w:shd w:fill="EDEDEE" w:val="clear"/>
            <w:tcMar>
              <w:bottom w:w="40" w:type="dxa"/>
            </w:tcMar>
            <w:vAlign w:val="center"/>
          </w:tcPr>
          <w:p>
            <w:pPr>
              <w:pStyle w:val="TableContents"/>
              <w:bidi w:val="0"/>
              <w:spacing w:before="0" w:after="283"/>
              <w:jc w:val="left"/>
              <w:rPr/>
            </w:pPr>
            <w:r>
              <w:rPr/>
              <w:t> </w:t>
            </w:r>
            <w:bookmarkStart w:id="119" w:name="xdx_98C_eecd--AdjToCompAmt_c20230101__20"/>
            <w:bookmarkEnd w:id="119"/>
          </w:p>
        </w:tc>
        <w:tc>
          <w:tcPr>
            <w:tcW w:w="1295" w:type="dxa"/>
            <w:tcBorders>
              <w:bottom w:val="single" w:sz="2" w:space="0" w:color="000000"/>
            </w:tcBorders>
            <w:shd w:fill="EDEDEE" w:val="clear"/>
            <w:tcMar>
              <w:bottom w:w="40" w:type="dxa"/>
            </w:tcMar>
            <w:vAlign w:val="center"/>
          </w:tcPr>
          <w:p>
            <w:pPr>
              <w:pStyle w:val="TableContents"/>
              <w:bidi w:val="0"/>
              <w:spacing w:before="0" w:after="283"/>
              <w:jc w:val="right"/>
              <w:rPr/>
            </w:pPr>
            <w:r>
              <w:rPr/>
              <w:t>$16,359,174</w:t>
            </w:r>
          </w:p>
        </w:tc>
        <w:tc>
          <w:tcPr>
            <w:tcW w:w="300" w:type="dxa"/>
            <w:tcBorders>
              <w:bottom w:val="single" w:sz="2" w:space="0" w:color="000000"/>
            </w:tcBorders>
            <w:shd w:fill="EDEDEE" w:val="clear"/>
            <w:tcMar>
              <w:bottom w:w="40" w:type="dxa"/>
            </w:tcMar>
            <w:vAlign w:val="center"/>
          </w:tcPr>
          <w:p>
            <w:pPr>
              <w:pStyle w:val="TableContents"/>
              <w:bidi w:val="0"/>
              <w:spacing w:before="0" w:after="283"/>
              <w:jc w:val="left"/>
              <w:rPr/>
            </w:pPr>
            <w:r>
              <w:rPr/>
              <w:t> </w:t>
            </w:r>
            <w:bookmarkStart w:id="120" w:name="xdx_98A_eecd--AdjToCompAmt_c20220101__20"/>
            <w:bookmarkEnd w:id="120"/>
          </w:p>
        </w:tc>
        <w:tc>
          <w:tcPr>
            <w:tcW w:w="1220" w:type="dxa"/>
            <w:tcBorders>
              <w:bottom w:val="single" w:sz="2" w:space="0" w:color="000000"/>
            </w:tcBorders>
            <w:shd w:fill="EDEDEE" w:val="clear"/>
            <w:tcMar>
              <w:bottom w:w="40" w:type="dxa"/>
            </w:tcMar>
            <w:vAlign w:val="center"/>
          </w:tcPr>
          <w:p>
            <w:pPr>
              <w:pStyle w:val="TableContents"/>
              <w:bidi w:val="0"/>
              <w:spacing w:before="0" w:after="283"/>
              <w:jc w:val="right"/>
              <w:rPr/>
            </w:pPr>
            <w:r>
              <w:rPr/>
              <w:t>$15,777,975</w:t>
            </w:r>
          </w:p>
        </w:tc>
        <w:tc>
          <w:tcPr>
            <w:tcW w:w="300" w:type="dxa"/>
            <w:tcBorders>
              <w:bottom w:val="single" w:sz="2" w:space="0" w:color="000000"/>
            </w:tcBorders>
            <w:shd w:fill="EDEDEE" w:val="clear"/>
            <w:tcMar>
              <w:bottom w:w="40" w:type="dxa"/>
            </w:tcMar>
            <w:vAlign w:val="center"/>
          </w:tcPr>
          <w:p>
            <w:pPr>
              <w:pStyle w:val="TableContents"/>
              <w:bidi w:val="0"/>
              <w:spacing w:before="0" w:after="283"/>
              <w:jc w:val="left"/>
              <w:rPr/>
            </w:pPr>
            <w:r>
              <w:rPr/>
              <w:t> </w:t>
            </w:r>
            <w:bookmarkStart w:id="121" w:name="xdx_98C_eecd--AdjToCompAmt_c20210101__20"/>
            <w:bookmarkEnd w:id="121"/>
          </w:p>
        </w:tc>
        <w:tc>
          <w:tcPr>
            <w:tcW w:w="1235" w:type="dxa"/>
            <w:tcBorders>
              <w:bottom w:val="single" w:sz="2" w:space="0" w:color="000000"/>
            </w:tcBorders>
            <w:shd w:fill="EDEDEE" w:val="clear"/>
            <w:tcMar>
              <w:bottom w:w="40" w:type="dxa"/>
            </w:tcMar>
            <w:vAlign w:val="center"/>
          </w:tcPr>
          <w:p>
            <w:pPr>
              <w:pStyle w:val="TableContents"/>
              <w:bidi w:val="0"/>
              <w:spacing w:before="0" w:after="283"/>
              <w:jc w:val="right"/>
              <w:rPr/>
            </w:pPr>
            <w:r>
              <w:rPr/>
              <w:t>$16,069,050</w:t>
            </w:r>
          </w:p>
        </w:tc>
      </w:tr>
      <w:tr>
        <w:trPr/>
        <w:tc>
          <w:tcPr>
            <w:tcW w:w="75" w:type="dxa"/>
            <w:tcBorders/>
            <w:vAlign w:val="center"/>
          </w:tcPr>
          <w:p>
            <w:pPr>
              <w:pStyle w:val="TableContents"/>
              <w:bidi w:val="0"/>
              <w:spacing w:before="0" w:after="283"/>
              <w:jc w:val="left"/>
              <w:rPr/>
            </w:pPr>
            <w:r>
              <w:rPr/>
              <w:t> </w:t>
            </w:r>
          </w:p>
        </w:tc>
        <w:tc>
          <w:tcPr>
            <w:tcW w:w="1490" w:type="dxa"/>
            <w:tcBorders>
              <w:bottom w:val="single" w:sz="2" w:space="0" w:color="000000"/>
            </w:tcBorders>
            <w:tcMar>
              <w:bottom w:w="40" w:type="dxa"/>
            </w:tcMar>
            <w:vAlign w:val="center"/>
          </w:tcPr>
          <w:p>
            <w:pPr>
              <w:pStyle w:val="TableContents"/>
              <w:bidi w:val="0"/>
              <w:spacing w:before="0" w:after="283"/>
              <w:jc w:val="left"/>
              <w:rPr/>
            </w:pPr>
            <w:r>
              <w:rPr/>
              <w:t>Fair Value of Awards Granted During Year and Unvested as of Year-End</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bookmarkStart w:id="122" w:name="xdx_987_eecd--AdjToCompAmt_c20250101__20"/>
            <w:bookmarkEnd w:id="122"/>
          </w:p>
        </w:tc>
        <w:tc>
          <w:tcPr>
            <w:tcW w:w="1220" w:type="dxa"/>
            <w:tcBorders>
              <w:bottom w:val="single" w:sz="2" w:space="0" w:color="000000"/>
            </w:tcBorders>
            <w:tcMar>
              <w:bottom w:w="40" w:type="dxa"/>
            </w:tcMar>
            <w:vAlign w:val="center"/>
          </w:tcPr>
          <w:p>
            <w:pPr>
              <w:pStyle w:val="TableContents"/>
              <w:bidi w:val="0"/>
              <w:spacing w:before="0" w:after="283"/>
              <w:jc w:val="right"/>
              <w:rPr/>
            </w:pPr>
            <w:r>
              <w:rPr/>
              <w:t>$36,841,486</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bookmarkStart w:id="123" w:name="xdx_985_eecd--AdjToCompAmt_c20240101__20"/>
            <w:bookmarkEnd w:id="123"/>
          </w:p>
        </w:tc>
        <w:tc>
          <w:tcPr>
            <w:tcW w:w="1220" w:type="dxa"/>
            <w:tcBorders>
              <w:bottom w:val="single" w:sz="2" w:space="0" w:color="000000"/>
            </w:tcBorders>
            <w:tcMar>
              <w:bottom w:w="40" w:type="dxa"/>
            </w:tcMar>
            <w:vAlign w:val="center"/>
          </w:tcPr>
          <w:p>
            <w:pPr>
              <w:pStyle w:val="TableContents"/>
              <w:bidi w:val="0"/>
              <w:spacing w:before="0" w:after="283"/>
              <w:jc w:val="right"/>
              <w:rPr/>
            </w:pPr>
            <w:r>
              <w:rPr/>
              <w:t>$18,658,660</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bookmarkStart w:id="124" w:name="xdx_983_eecd--AdjToCompAmt_c20240101__20"/>
            <w:bookmarkEnd w:id="124"/>
          </w:p>
        </w:tc>
        <w:tc>
          <w:tcPr>
            <w:tcW w:w="1220" w:type="dxa"/>
            <w:tcBorders>
              <w:bottom w:val="single" w:sz="2" w:space="0" w:color="000000"/>
            </w:tcBorders>
            <w:tcMar>
              <w:bottom w:w="40" w:type="dxa"/>
            </w:tcMar>
            <w:vAlign w:val="center"/>
          </w:tcPr>
          <w:p>
            <w:pPr>
              <w:pStyle w:val="TableContents"/>
              <w:bidi w:val="0"/>
              <w:spacing w:before="0" w:after="283"/>
              <w:jc w:val="right"/>
              <w:rPr/>
            </w:pPr>
            <w:r>
              <w:rPr/>
              <w:t>$25,189,252</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bookmarkStart w:id="125" w:name="xdx_980_eecd--AdjToCompAmt_c20230101__20"/>
            <w:bookmarkEnd w:id="125"/>
          </w:p>
        </w:tc>
        <w:tc>
          <w:tcPr>
            <w:tcW w:w="1295" w:type="dxa"/>
            <w:tcBorders>
              <w:bottom w:val="single" w:sz="2" w:space="0" w:color="000000"/>
            </w:tcBorders>
            <w:tcMar>
              <w:bottom w:w="40" w:type="dxa"/>
            </w:tcMar>
            <w:vAlign w:val="center"/>
          </w:tcPr>
          <w:p>
            <w:pPr>
              <w:pStyle w:val="TableContents"/>
              <w:bidi w:val="0"/>
              <w:spacing w:before="0" w:after="283"/>
              <w:jc w:val="right"/>
              <w:rPr/>
            </w:pPr>
            <w:r>
              <w:rPr/>
              <w:t>$9,249,682</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bookmarkStart w:id="126" w:name="xdx_988_eecd--AdjToCompAmt_c20220101__20"/>
            <w:bookmarkEnd w:id="126"/>
          </w:p>
        </w:tc>
        <w:tc>
          <w:tcPr>
            <w:tcW w:w="1220" w:type="dxa"/>
            <w:tcBorders>
              <w:bottom w:val="single" w:sz="2" w:space="0" w:color="000000"/>
            </w:tcBorders>
            <w:tcMar>
              <w:bottom w:w="40" w:type="dxa"/>
            </w:tcMar>
            <w:vAlign w:val="center"/>
          </w:tcPr>
          <w:p>
            <w:pPr>
              <w:pStyle w:val="TableContents"/>
              <w:bidi w:val="0"/>
              <w:spacing w:before="0" w:after="283"/>
              <w:jc w:val="right"/>
              <w:rPr/>
            </w:pPr>
            <w:r>
              <w:rPr/>
              <w:t>$18,142,022</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bookmarkStart w:id="127" w:name="xdx_987_eecd--AdjToCompAmt_c20210101__20"/>
            <w:bookmarkEnd w:id="127"/>
          </w:p>
        </w:tc>
        <w:tc>
          <w:tcPr>
            <w:tcW w:w="1235" w:type="dxa"/>
            <w:tcBorders>
              <w:bottom w:val="single" w:sz="2" w:space="0" w:color="000000"/>
            </w:tcBorders>
            <w:tcMar>
              <w:bottom w:w="40" w:type="dxa"/>
            </w:tcMar>
            <w:vAlign w:val="center"/>
          </w:tcPr>
          <w:p>
            <w:pPr>
              <w:pStyle w:val="TableContents"/>
              <w:bidi w:val="0"/>
              <w:spacing w:before="0" w:after="283"/>
              <w:jc w:val="right"/>
              <w:rPr/>
            </w:pPr>
            <w:r>
              <w:rPr/>
              <w:t>$23,685,247</w:t>
            </w:r>
          </w:p>
        </w:tc>
      </w:tr>
      <w:tr>
        <w:trPr/>
        <w:tc>
          <w:tcPr>
            <w:tcW w:w="75" w:type="dxa"/>
            <w:tcBorders/>
            <w:vAlign w:val="center"/>
          </w:tcPr>
          <w:p>
            <w:pPr>
              <w:pStyle w:val="TableContents"/>
              <w:bidi w:val="0"/>
              <w:spacing w:before="0" w:after="283"/>
              <w:jc w:val="left"/>
              <w:rPr/>
            </w:pPr>
            <w:r>
              <w:rPr/>
              <w:t> </w:t>
            </w:r>
          </w:p>
        </w:tc>
        <w:tc>
          <w:tcPr>
            <w:tcW w:w="1490" w:type="dxa"/>
            <w:tcBorders>
              <w:bottom w:val="single" w:sz="2" w:space="0" w:color="000000"/>
            </w:tcBorders>
            <w:tcMar>
              <w:bottom w:w="40" w:type="dxa"/>
            </w:tcMar>
            <w:vAlign w:val="center"/>
          </w:tcPr>
          <w:p>
            <w:pPr>
              <w:pStyle w:val="TableContents"/>
              <w:bidi w:val="0"/>
              <w:spacing w:before="0" w:after="283"/>
              <w:jc w:val="left"/>
              <w:rPr/>
            </w:pPr>
            <w:r>
              <w:rPr/>
              <w:t>Fair Value of Awards Granted and Vested During the Year</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bookmarkStart w:id="128" w:name="xdx_983_eecd--AdjToCompAmt_c20250101__20"/>
            <w:bookmarkEnd w:id="128"/>
          </w:p>
        </w:tc>
        <w:tc>
          <w:tcPr>
            <w:tcW w:w="1220" w:type="dxa"/>
            <w:tcBorders>
              <w:bottom w:val="single" w:sz="2" w:space="0" w:color="000000"/>
            </w:tcBorders>
            <w:tcMar>
              <w:bottom w:w="40" w:type="dxa"/>
            </w:tcMar>
            <w:vAlign w:val="center"/>
          </w:tcPr>
          <w:p>
            <w:pPr>
              <w:pStyle w:val="TableContents"/>
              <w:bidi w:val="0"/>
              <w:spacing w:before="0" w:after="283"/>
              <w:jc w:val="right"/>
              <w:rPr/>
            </w:pPr>
            <w:r>
              <w:rPr/>
              <w:t>$0</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bookmarkStart w:id="129" w:name="xdx_981_eecd--AdjToCompAmt_c20240101__20"/>
            <w:bookmarkEnd w:id="129"/>
          </w:p>
        </w:tc>
        <w:tc>
          <w:tcPr>
            <w:tcW w:w="1220" w:type="dxa"/>
            <w:tcBorders>
              <w:bottom w:val="single" w:sz="2" w:space="0" w:color="000000"/>
            </w:tcBorders>
            <w:tcMar>
              <w:bottom w:w="40" w:type="dxa"/>
            </w:tcMar>
            <w:vAlign w:val="center"/>
          </w:tcPr>
          <w:p>
            <w:pPr>
              <w:pStyle w:val="TableContents"/>
              <w:bidi w:val="0"/>
              <w:spacing w:before="0" w:after="283"/>
              <w:jc w:val="right"/>
              <w:rPr/>
            </w:pPr>
            <w:r>
              <w:rPr/>
              <w:t>$0</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bookmarkStart w:id="130" w:name="xdx_98D_eecd--AdjToCompAmt_c20240101__20"/>
            <w:bookmarkEnd w:id="130"/>
          </w:p>
        </w:tc>
        <w:tc>
          <w:tcPr>
            <w:tcW w:w="1220" w:type="dxa"/>
            <w:tcBorders>
              <w:bottom w:val="single" w:sz="2" w:space="0" w:color="000000"/>
            </w:tcBorders>
            <w:tcMar>
              <w:bottom w:w="40" w:type="dxa"/>
            </w:tcMar>
            <w:vAlign w:val="center"/>
          </w:tcPr>
          <w:p>
            <w:pPr>
              <w:pStyle w:val="TableContents"/>
              <w:bidi w:val="0"/>
              <w:spacing w:before="0" w:after="283"/>
              <w:jc w:val="right"/>
              <w:rPr/>
            </w:pPr>
            <w:r>
              <w:rPr/>
              <w:t>$0</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bookmarkStart w:id="131" w:name="xdx_98C_eecd--AdjToCompAmt_c20230101__20"/>
            <w:bookmarkEnd w:id="131"/>
          </w:p>
        </w:tc>
        <w:tc>
          <w:tcPr>
            <w:tcW w:w="1295" w:type="dxa"/>
            <w:tcBorders>
              <w:bottom w:val="single" w:sz="2" w:space="0" w:color="000000"/>
            </w:tcBorders>
            <w:tcMar>
              <w:bottom w:w="40" w:type="dxa"/>
            </w:tcMar>
            <w:vAlign w:val="center"/>
          </w:tcPr>
          <w:p>
            <w:pPr>
              <w:pStyle w:val="TableContents"/>
              <w:bidi w:val="0"/>
              <w:spacing w:before="0" w:after="283"/>
              <w:jc w:val="right"/>
              <w:rPr/>
            </w:pPr>
            <w:r>
              <w:rPr/>
              <w:t>$0</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bookmarkStart w:id="132" w:name="xdx_98B_eecd--AdjToCompAmt_c20220101__20"/>
            <w:bookmarkEnd w:id="132"/>
          </w:p>
        </w:tc>
        <w:tc>
          <w:tcPr>
            <w:tcW w:w="1220" w:type="dxa"/>
            <w:tcBorders>
              <w:bottom w:val="single" w:sz="2" w:space="0" w:color="000000"/>
            </w:tcBorders>
            <w:tcMar>
              <w:bottom w:w="40" w:type="dxa"/>
            </w:tcMar>
            <w:vAlign w:val="center"/>
          </w:tcPr>
          <w:p>
            <w:pPr>
              <w:pStyle w:val="TableContents"/>
              <w:bidi w:val="0"/>
              <w:spacing w:before="0" w:after="283"/>
              <w:jc w:val="right"/>
              <w:rPr/>
            </w:pPr>
            <w:r>
              <w:rPr/>
              <w:t>$0</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bookmarkStart w:id="133" w:name="xdx_98A_eecd--AdjToCompAmt_c20210101__20"/>
            <w:bookmarkEnd w:id="133"/>
          </w:p>
        </w:tc>
        <w:tc>
          <w:tcPr>
            <w:tcW w:w="1235" w:type="dxa"/>
            <w:tcBorders>
              <w:bottom w:val="single" w:sz="2" w:space="0" w:color="000000"/>
            </w:tcBorders>
            <w:tcMar>
              <w:bottom w:w="40" w:type="dxa"/>
            </w:tcMar>
            <w:vAlign w:val="center"/>
          </w:tcPr>
          <w:p>
            <w:pPr>
              <w:pStyle w:val="TableContents"/>
              <w:bidi w:val="0"/>
              <w:spacing w:before="0" w:after="283"/>
              <w:jc w:val="right"/>
              <w:rPr/>
            </w:pPr>
            <w:r>
              <w:rPr/>
              <w:t>$0</w:t>
            </w:r>
          </w:p>
        </w:tc>
      </w:tr>
      <w:tr>
        <w:trPr/>
        <w:tc>
          <w:tcPr>
            <w:tcW w:w="75" w:type="dxa"/>
            <w:tcBorders/>
            <w:vAlign w:val="center"/>
          </w:tcPr>
          <w:p>
            <w:pPr>
              <w:pStyle w:val="TableContents"/>
              <w:bidi w:val="0"/>
              <w:spacing w:before="0" w:after="283"/>
              <w:jc w:val="left"/>
              <w:rPr/>
            </w:pPr>
            <w:r>
              <w:rPr/>
              <w:t> </w:t>
            </w:r>
          </w:p>
        </w:tc>
        <w:tc>
          <w:tcPr>
            <w:tcW w:w="1490" w:type="dxa"/>
            <w:tcBorders>
              <w:bottom w:val="single" w:sz="2" w:space="0" w:color="000000"/>
            </w:tcBorders>
            <w:tcMar>
              <w:bottom w:w="40" w:type="dxa"/>
            </w:tcMar>
            <w:vAlign w:val="center"/>
          </w:tcPr>
          <w:p>
            <w:pPr>
              <w:pStyle w:val="TableContents"/>
              <w:bidi w:val="0"/>
              <w:spacing w:before="0" w:after="283"/>
              <w:jc w:val="left"/>
              <w:rPr/>
            </w:pPr>
            <w:r>
              <w:rPr/>
              <w:t>Change in Fair Value of Prior Year Awards Unvested as of Year-End</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bookmarkStart w:id="134" w:name="xdx_981_eecd--AdjToCompAmt_c20250101__20"/>
            <w:bookmarkEnd w:id="134"/>
          </w:p>
        </w:tc>
        <w:tc>
          <w:tcPr>
            <w:tcW w:w="1220" w:type="dxa"/>
            <w:tcBorders>
              <w:bottom w:val="single" w:sz="2" w:space="0" w:color="000000"/>
            </w:tcBorders>
            <w:tcMar>
              <w:bottom w:w="40" w:type="dxa"/>
            </w:tcMar>
            <w:vAlign w:val="center"/>
          </w:tcPr>
          <w:p>
            <w:pPr>
              <w:pStyle w:val="TableContents"/>
              <w:bidi w:val="0"/>
              <w:spacing w:before="0" w:after="283"/>
              <w:jc w:val="right"/>
              <w:rPr/>
            </w:pPr>
            <w:r>
              <w:rPr/>
              <w:t>$43,618,294</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bookmarkStart w:id="135" w:name="xdx_98C_eecd--AdjToCompAmt_c20240101__20"/>
            <w:bookmarkEnd w:id="135"/>
          </w:p>
        </w:tc>
        <w:tc>
          <w:tcPr>
            <w:tcW w:w="1220" w:type="dxa"/>
            <w:tcBorders>
              <w:bottom w:val="single" w:sz="2" w:space="0" w:color="000000"/>
            </w:tcBorders>
            <w:tcMar>
              <w:bottom w:w="40" w:type="dxa"/>
            </w:tcMar>
            <w:vAlign w:val="center"/>
          </w:tcPr>
          <w:p>
            <w:pPr>
              <w:pStyle w:val="TableContents"/>
              <w:bidi w:val="0"/>
              <w:spacing w:before="0" w:after="283"/>
              <w:jc w:val="right"/>
              <w:rPr/>
            </w:pPr>
            <w:r>
              <w:rPr/>
              <w:t>$23,409,788</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bookmarkStart w:id="136" w:name="xdx_98F_eecd--AdjToCompAmt_c20240101__20"/>
            <w:bookmarkEnd w:id="136"/>
          </w:p>
        </w:tc>
        <w:tc>
          <w:tcPr>
            <w:tcW w:w="1220" w:type="dxa"/>
            <w:tcBorders>
              <w:bottom w:val="single" w:sz="2" w:space="0" w:color="000000"/>
            </w:tcBorders>
            <w:tcMar>
              <w:bottom w:w="40" w:type="dxa"/>
            </w:tcMar>
            <w:vAlign w:val="center"/>
          </w:tcPr>
          <w:p>
            <w:pPr>
              <w:pStyle w:val="TableContents"/>
              <w:bidi w:val="0"/>
              <w:spacing w:before="0" w:after="283"/>
              <w:jc w:val="right"/>
              <w:rPr/>
            </w:pPr>
            <w:r>
              <w:rPr/>
              <w:t>$13,150,013</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bookmarkStart w:id="137" w:name="xdx_98B_eecd--AdjToCompAmt_c20230101__20"/>
            <w:bookmarkEnd w:id="137"/>
          </w:p>
        </w:tc>
        <w:tc>
          <w:tcPr>
            <w:tcW w:w="1295" w:type="dxa"/>
            <w:tcBorders>
              <w:bottom w:val="single" w:sz="2" w:space="0" w:color="000000"/>
            </w:tcBorders>
            <w:tcMar>
              <w:bottom w:w="40" w:type="dxa"/>
            </w:tcMar>
            <w:vAlign w:val="center"/>
          </w:tcPr>
          <w:p>
            <w:pPr>
              <w:pStyle w:val="TableContents"/>
              <w:bidi w:val="0"/>
              <w:spacing w:before="0" w:after="283"/>
              <w:jc w:val="right"/>
              <w:rPr/>
            </w:pPr>
            <w:r>
              <w:rPr/>
              <w:t>-$17,590,182</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bookmarkStart w:id="138" w:name="xdx_986_eecd--AdjToCompAmt_c20220101__20"/>
            <w:bookmarkEnd w:id="138"/>
          </w:p>
        </w:tc>
        <w:tc>
          <w:tcPr>
            <w:tcW w:w="1220" w:type="dxa"/>
            <w:tcBorders>
              <w:bottom w:val="single" w:sz="2" w:space="0" w:color="000000"/>
            </w:tcBorders>
            <w:tcMar>
              <w:bottom w:w="40" w:type="dxa"/>
            </w:tcMar>
            <w:vAlign w:val="center"/>
          </w:tcPr>
          <w:p>
            <w:pPr>
              <w:pStyle w:val="TableContents"/>
              <w:bidi w:val="0"/>
              <w:spacing w:before="0" w:after="283"/>
              <w:jc w:val="right"/>
              <w:rPr/>
            </w:pPr>
            <w:r>
              <w:rPr/>
              <w:t>$15,968,806</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bookmarkStart w:id="139" w:name="xdx_988_eecd--AdjToCompAmt_c20210101__20"/>
            <w:bookmarkEnd w:id="139"/>
          </w:p>
        </w:tc>
        <w:tc>
          <w:tcPr>
            <w:tcW w:w="1235" w:type="dxa"/>
            <w:tcBorders>
              <w:bottom w:val="single" w:sz="2" w:space="0" w:color="000000"/>
            </w:tcBorders>
            <w:tcMar>
              <w:bottom w:w="40" w:type="dxa"/>
            </w:tcMar>
            <w:vAlign w:val="center"/>
          </w:tcPr>
          <w:p>
            <w:pPr>
              <w:pStyle w:val="TableContents"/>
              <w:bidi w:val="0"/>
              <w:spacing w:before="0" w:after="283"/>
              <w:jc w:val="right"/>
              <w:rPr/>
            </w:pPr>
            <w:r>
              <w:rPr/>
              <w:t>$8,869,318</w:t>
            </w:r>
          </w:p>
        </w:tc>
      </w:tr>
      <w:tr>
        <w:trPr/>
        <w:tc>
          <w:tcPr>
            <w:tcW w:w="75" w:type="dxa"/>
            <w:tcBorders/>
            <w:vAlign w:val="center"/>
          </w:tcPr>
          <w:p>
            <w:pPr>
              <w:pStyle w:val="TableContents"/>
              <w:bidi w:val="0"/>
              <w:spacing w:before="0" w:after="283"/>
              <w:jc w:val="left"/>
              <w:rPr/>
            </w:pPr>
            <w:r>
              <w:rPr/>
              <w:t> </w:t>
            </w:r>
          </w:p>
        </w:tc>
        <w:tc>
          <w:tcPr>
            <w:tcW w:w="1490" w:type="dxa"/>
            <w:tcBorders>
              <w:bottom w:val="single" w:sz="2" w:space="0" w:color="000000"/>
            </w:tcBorders>
            <w:tcMar>
              <w:bottom w:w="40" w:type="dxa"/>
            </w:tcMar>
            <w:vAlign w:val="center"/>
          </w:tcPr>
          <w:p>
            <w:pPr>
              <w:pStyle w:val="TableContents"/>
              <w:bidi w:val="0"/>
              <w:spacing w:before="0" w:after="283"/>
              <w:jc w:val="left"/>
              <w:rPr/>
            </w:pPr>
            <w:r>
              <w:rPr/>
              <w:t>Change in Fair Value of Prior Year Awards that Vested During Year</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bookmarkStart w:id="140" w:name="xdx_980_eecd--AdjToCompAmt_c20250101__20"/>
            <w:bookmarkEnd w:id="140"/>
          </w:p>
        </w:tc>
        <w:tc>
          <w:tcPr>
            <w:tcW w:w="1220" w:type="dxa"/>
            <w:tcBorders>
              <w:bottom w:val="single" w:sz="2" w:space="0" w:color="000000"/>
            </w:tcBorders>
            <w:tcMar>
              <w:bottom w:w="40" w:type="dxa"/>
            </w:tcMar>
            <w:vAlign w:val="center"/>
          </w:tcPr>
          <w:p>
            <w:pPr>
              <w:pStyle w:val="TableContents"/>
              <w:bidi w:val="0"/>
              <w:spacing w:before="0" w:after="283"/>
              <w:jc w:val="right"/>
              <w:rPr/>
            </w:pPr>
            <w:r>
              <w:rPr/>
              <w:t>$993,929</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bookmarkStart w:id="141" w:name="xdx_985_eecd--AdjToCompAmt_c20240101__20"/>
            <w:bookmarkEnd w:id="141"/>
          </w:p>
        </w:tc>
        <w:tc>
          <w:tcPr>
            <w:tcW w:w="1220" w:type="dxa"/>
            <w:tcBorders>
              <w:bottom w:val="single" w:sz="2" w:space="0" w:color="000000"/>
            </w:tcBorders>
            <w:tcMar>
              <w:bottom w:w="40" w:type="dxa"/>
            </w:tcMar>
            <w:vAlign w:val="center"/>
          </w:tcPr>
          <w:p>
            <w:pPr>
              <w:pStyle w:val="TableContents"/>
              <w:bidi w:val="0"/>
              <w:spacing w:before="0" w:after="283"/>
              <w:jc w:val="right"/>
              <w:rPr/>
            </w:pPr>
            <w:r>
              <w:rPr/>
              <w:t>$2,116,794</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bookmarkStart w:id="142" w:name="xdx_98F_eecd--AdjToCompAmt_c20240101__20"/>
            <w:bookmarkEnd w:id="142"/>
          </w:p>
        </w:tc>
        <w:tc>
          <w:tcPr>
            <w:tcW w:w="1220" w:type="dxa"/>
            <w:tcBorders>
              <w:bottom w:val="single" w:sz="2" w:space="0" w:color="000000"/>
            </w:tcBorders>
            <w:tcMar>
              <w:bottom w:w="40" w:type="dxa"/>
            </w:tcMar>
            <w:vAlign w:val="center"/>
          </w:tcPr>
          <w:p>
            <w:pPr>
              <w:pStyle w:val="TableContents"/>
              <w:bidi w:val="0"/>
              <w:spacing w:before="0" w:after="283"/>
              <w:jc w:val="right"/>
              <w:rPr/>
            </w:pPr>
            <w:r>
              <w:rPr/>
              <w:t>$510,909</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bookmarkStart w:id="143" w:name="xdx_98A_eecd--AdjToCompAmt_c20230101__20"/>
            <w:bookmarkEnd w:id="143"/>
          </w:p>
        </w:tc>
        <w:tc>
          <w:tcPr>
            <w:tcW w:w="1295" w:type="dxa"/>
            <w:tcBorders>
              <w:bottom w:val="single" w:sz="2" w:space="0" w:color="000000"/>
            </w:tcBorders>
            <w:tcMar>
              <w:bottom w:w="40" w:type="dxa"/>
            </w:tcMar>
            <w:vAlign w:val="center"/>
          </w:tcPr>
          <w:p>
            <w:pPr>
              <w:pStyle w:val="TableContents"/>
              <w:bidi w:val="0"/>
              <w:spacing w:before="0" w:after="283"/>
              <w:jc w:val="right"/>
              <w:rPr/>
            </w:pPr>
            <w:r>
              <w:rPr/>
              <w:t>-$1,041,217</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bookmarkStart w:id="144" w:name="xdx_980_eecd--AdjToCompAmt_c20220101__20"/>
            <w:bookmarkEnd w:id="144"/>
          </w:p>
        </w:tc>
        <w:tc>
          <w:tcPr>
            <w:tcW w:w="1220" w:type="dxa"/>
            <w:tcBorders>
              <w:bottom w:val="single" w:sz="2" w:space="0" w:color="000000"/>
            </w:tcBorders>
            <w:tcMar>
              <w:bottom w:w="40" w:type="dxa"/>
            </w:tcMar>
            <w:vAlign w:val="center"/>
          </w:tcPr>
          <w:p>
            <w:pPr>
              <w:pStyle w:val="TableContents"/>
              <w:bidi w:val="0"/>
              <w:spacing w:before="0" w:after="283"/>
              <w:jc w:val="right"/>
              <w:rPr/>
            </w:pPr>
            <w:r>
              <w:rPr/>
              <w:t>$4,259,788</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bookmarkStart w:id="145" w:name="xdx_98C_eecd--AdjToCompAmt_c20210101__20"/>
            <w:bookmarkEnd w:id="145"/>
          </w:p>
        </w:tc>
        <w:tc>
          <w:tcPr>
            <w:tcW w:w="1235" w:type="dxa"/>
            <w:tcBorders>
              <w:bottom w:val="single" w:sz="2" w:space="0" w:color="000000"/>
            </w:tcBorders>
            <w:tcMar>
              <w:bottom w:w="40" w:type="dxa"/>
            </w:tcMar>
            <w:vAlign w:val="center"/>
          </w:tcPr>
          <w:p>
            <w:pPr>
              <w:pStyle w:val="TableContents"/>
              <w:bidi w:val="0"/>
              <w:spacing w:before="0" w:after="283"/>
              <w:jc w:val="right"/>
              <w:rPr/>
            </w:pPr>
            <w:r>
              <w:rPr/>
              <w:t>-$120,609</w:t>
            </w:r>
          </w:p>
        </w:tc>
      </w:tr>
      <w:tr>
        <w:trPr/>
        <w:tc>
          <w:tcPr>
            <w:tcW w:w="75" w:type="dxa"/>
            <w:tcBorders/>
            <w:vAlign w:val="center"/>
          </w:tcPr>
          <w:p>
            <w:pPr>
              <w:pStyle w:val="TableContents"/>
              <w:bidi w:val="0"/>
              <w:spacing w:before="0" w:after="283"/>
              <w:jc w:val="left"/>
              <w:rPr/>
            </w:pPr>
            <w:r>
              <w:rPr/>
              <w:t> </w:t>
            </w:r>
          </w:p>
        </w:tc>
        <w:tc>
          <w:tcPr>
            <w:tcW w:w="1490" w:type="dxa"/>
            <w:tcBorders>
              <w:bottom w:val="single" w:sz="2" w:space="0" w:color="000000"/>
            </w:tcBorders>
            <w:tcMar>
              <w:bottom w:w="40" w:type="dxa"/>
            </w:tcMar>
            <w:vAlign w:val="center"/>
          </w:tcPr>
          <w:p>
            <w:pPr>
              <w:pStyle w:val="TableContents"/>
              <w:bidi w:val="0"/>
              <w:spacing w:before="0" w:after="283"/>
              <w:jc w:val="left"/>
              <w:rPr/>
            </w:pPr>
            <w:r>
              <w:rPr/>
              <w:t>Change in Fair Value of Prior Year Awards that Forfeited During Year</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bookmarkStart w:id="146" w:name="xdx_985_eecd--AdjToCompAmt_c20250101__20"/>
            <w:bookmarkEnd w:id="146"/>
          </w:p>
        </w:tc>
        <w:tc>
          <w:tcPr>
            <w:tcW w:w="1220" w:type="dxa"/>
            <w:tcBorders>
              <w:bottom w:val="single" w:sz="2" w:space="0" w:color="000000"/>
            </w:tcBorders>
            <w:tcMar>
              <w:bottom w:w="40" w:type="dxa"/>
            </w:tcMar>
            <w:vAlign w:val="center"/>
          </w:tcPr>
          <w:p>
            <w:pPr>
              <w:pStyle w:val="TableContents"/>
              <w:bidi w:val="0"/>
              <w:spacing w:before="0" w:after="283"/>
              <w:jc w:val="right"/>
              <w:rPr/>
            </w:pPr>
            <w:r>
              <w:rPr/>
              <w:t>$0</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bookmarkStart w:id="147" w:name="xdx_98E_eecd--AdjToCompAmt_c20240101__20"/>
            <w:bookmarkEnd w:id="147"/>
          </w:p>
        </w:tc>
        <w:tc>
          <w:tcPr>
            <w:tcW w:w="1220" w:type="dxa"/>
            <w:tcBorders>
              <w:bottom w:val="single" w:sz="2" w:space="0" w:color="000000"/>
            </w:tcBorders>
            <w:tcMar>
              <w:bottom w:w="40" w:type="dxa"/>
            </w:tcMar>
            <w:vAlign w:val="center"/>
          </w:tcPr>
          <w:p>
            <w:pPr>
              <w:pStyle w:val="TableContents"/>
              <w:bidi w:val="0"/>
              <w:spacing w:before="0" w:after="283"/>
              <w:jc w:val="right"/>
              <w:rPr/>
            </w:pPr>
            <w:r>
              <w:rPr/>
              <w:t>$0</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bookmarkStart w:id="148" w:name="xdx_982_eecd--AdjToCompAmt_c20240101__20"/>
            <w:bookmarkEnd w:id="148"/>
          </w:p>
        </w:tc>
        <w:tc>
          <w:tcPr>
            <w:tcW w:w="1220" w:type="dxa"/>
            <w:tcBorders>
              <w:bottom w:val="single" w:sz="2" w:space="0" w:color="000000"/>
            </w:tcBorders>
            <w:tcMar>
              <w:bottom w:w="40" w:type="dxa"/>
            </w:tcMar>
            <w:vAlign w:val="center"/>
          </w:tcPr>
          <w:p>
            <w:pPr>
              <w:pStyle w:val="TableContents"/>
              <w:bidi w:val="0"/>
              <w:spacing w:before="0" w:after="283"/>
              <w:jc w:val="right"/>
              <w:rPr/>
            </w:pPr>
            <w:r>
              <w:rPr/>
              <w:t>$0</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bookmarkStart w:id="149" w:name="xdx_985_eecd--AdjToCompAmt_c20230101__20"/>
            <w:bookmarkEnd w:id="149"/>
          </w:p>
        </w:tc>
        <w:tc>
          <w:tcPr>
            <w:tcW w:w="1295" w:type="dxa"/>
            <w:tcBorders>
              <w:bottom w:val="single" w:sz="2" w:space="0" w:color="000000"/>
            </w:tcBorders>
            <w:tcMar>
              <w:bottom w:w="40" w:type="dxa"/>
            </w:tcMar>
            <w:vAlign w:val="center"/>
          </w:tcPr>
          <w:p>
            <w:pPr>
              <w:pStyle w:val="TableContents"/>
              <w:bidi w:val="0"/>
              <w:spacing w:before="0" w:after="283"/>
              <w:jc w:val="right"/>
              <w:rPr/>
            </w:pPr>
            <w:r>
              <w:rPr/>
              <w:t>$0</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bookmarkStart w:id="150" w:name="xdx_987_eecd--AdjToCompAmt_c20220101__20"/>
            <w:bookmarkEnd w:id="150"/>
          </w:p>
        </w:tc>
        <w:tc>
          <w:tcPr>
            <w:tcW w:w="1220" w:type="dxa"/>
            <w:tcBorders>
              <w:bottom w:val="single" w:sz="2" w:space="0" w:color="000000"/>
            </w:tcBorders>
            <w:tcMar>
              <w:bottom w:w="40" w:type="dxa"/>
            </w:tcMar>
            <w:vAlign w:val="center"/>
          </w:tcPr>
          <w:p>
            <w:pPr>
              <w:pStyle w:val="TableContents"/>
              <w:bidi w:val="0"/>
              <w:spacing w:before="0" w:after="283"/>
              <w:jc w:val="right"/>
              <w:rPr/>
            </w:pPr>
            <w:r>
              <w:rPr/>
              <w:t>$0</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bookmarkStart w:id="151" w:name="xdx_984_eecd--AdjToCompAmt_c20210101__20"/>
            <w:bookmarkEnd w:id="151"/>
          </w:p>
        </w:tc>
        <w:tc>
          <w:tcPr>
            <w:tcW w:w="1235" w:type="dxa"/>
            <w:tcBorders>
              <w:bottom w:val="single" w:sz="2" w:space="0" w:color="000000"/>
            </w:tcBorders>
            <w:tcMar>
              <w:bottom w:w="40" w:type="dxa"/>
            </w:tcMar>
            <w:vAlign w:val="center"/>
          </w:tcPr>
          <w:p>
            <w:pPr>
              <w:pStyle w:val="TableContents"/>
              <w:bidi w:val="0"/>
              <w:spacing w:before="0" w:after="283"/>
              <w:jc w:val="right"/>
              <w:rPr/>
            </w:pPr>
            <w:r>
              <w:rPr/>
              <w:t>$0</w:t>
            </w:r>
          </w:p>
        </w:tc>
      </w:tr>
      <w:tr>
        <w:trPr/>
        <w:tc>
          <w:tcPr>
            <w:tcW w:w="75" w:type="dxa"/>
            <w:tcBorders/>
            <w:vAlign w:val="center"/>
          </w:tcPr>
          <w:p>
            <w:pPr>
              <w:pStyle w:val="TableContents"/>
              <w:bidi w:val="0"/>
              <w:spacing w:before="0" w:after="283"/>
              <w:jc w:val="left"/>
              <w:rPr/>
            </w:pPr>
            <w:r>
              <w:rPr/>
              <w:t> </w:t>
            </w:r>
          </w:p>
        </w:tc>
        <w:tc>
          <w:tcPr>
            <w:tcW w:w="1490" w:type="dxa"/>
            <w:tcBorders>
              <w:bottom w:val="single" w:sz="2" w:space="0" w:color="000000"/>
            </w:tcBorders>
            <w:tcMar>
              <w:bottom w:w="40" w:type="dxa"/>
            </w:tcMar>
            <w:vAlign w:val="center"/>
          </w:tcPr>
          <w:p>
            <w:pPr>
              <w:pStyle w:val="TableContents"/>
              <w:bidi w:val="0"/>
              <w:spacing w:before="0" w:after="283"/>
              <w:jc w:val="left"/>
              <w:rPr/>
            </w:pPr>
            <w:r>
              <w:rPr/>
              <w:t>Dividends/Other Earnings Paid on Unvested Awards During Year</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bookmarkStart w:id="152" w:name="xdx_985_eecd--AdjToCompAmt_c20250101__20"/>
            <w:bookmarkEnd w:id="152"/>
          </w:p>
        </w:tc>
        <w:tc>
          <w:tcPr>
            <w:tcW w:w="1220" w:type="dxa"/>
            <w:tcBorders>
              <w:bottom w:val="single" w:sz="2" w:space="0" w:color="000000"/>
            </w:tcBorders>
            <w:tcMar>
              <w:bottom w:w="40" w:type="dxa"/>
            </w:tcMar>
            <w:vAlign w:val="center"/>
          </w:tcPr>
          <w:p>
            <w:pPr>
              <w:pStyle w:val="TableContents"/>
              <w:bidi w:val="0"/>
              <w:spacing w:before="0" w:after="283"/>
              <w:jc w:val="right"/>
              <w:rPr/>
            </w:pPr>
            <w:r>
              <w:rPr/>
              <w:t>$0</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bookmarkStart w:id="153" w:name="xdx_988_eecd--AdjToCompAmt_c20240101__20"/>
            <w:bookmarkEnd w:id="153"/>
          </w:p>
        </w:tc>
        <w:tc>
          <w:tcPr>
            <w:tcW w:w="1220" w:type="dxa"/>
            <w:tcBorders>
              <w:bottom w:val="single" w:sz="2" w:space="0" w:color="000000"/>
            </w:tcBorders>
            <w:tcMar>
              <w:bottom w:w="40" w:type="dxa"/>
            </w:tcMar>
            <w:vAlign w:val="center"/>
          </w:tcPr>
          <w:p>
            <w:pPr>
              <w:pStyle w:val="TableContents"/>
              <w:bidi w:val="0"/>
              <w:spacing w:before="0" w:after="283"/>
              <w:jc w:val="right"/>
              <w:rPr/>
            </w:pPr>
            <w:r>
              <w:rPr/>
              <w:t>$0</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bookmarkStart w:id="154" w:name="xdx_981_eecd--AdjToCompAmt_c20240101__20"/>
            <w:bookmarkEnd w:id="154"/>
          </w:p>
        </w:tc>
        <w:tc>
          <w:tcPr>
            <w:tcW w:w="1220" w:type="dxa"/>
            <w:tcBorders>
              <w:bottom w:val="single" w:sz="2" w:space="0" w:color="000000"/>
            </w:tcBorders>
            <w:tcMar>
              <w:bottom w:w="40" w:type="dxa"/>
            </w:tcMar>
            <w:vAlign w:val="center"/>
          </w:tcPr>
          <w:p>
            <w:pPr>
              <w:pStyle w:val="TableContents"/>
              <w:bidi w:val="0"/>
              <w:spacing w:before="0" w:after="283"/>
              <w:jc w:val="right"/>
              <w:rPr/>
            </w:pPr>
            <w:r>
              <w:rPr/>
              <w:t>$0</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bookmarkStart w:id="155" w:name="xdx_986_eecd--AdjToCompAmt_c20230101__20"/>
            <w:bookmarkEnd w:id="155"/>
          </w:p>
        </w:tc>
        <w:tc>
          <w:tcPr>
            <w:tcW w:w="1295" w:type="dxa"/>
            <w:tcBorders>
              <w:bottom w:val="single" w:sz="2" w:space="0" w:color="000000"/>
            </w:tcBorders>
            <w:tcMar>
              <w:bottom w:w="40" w:type="dxa"/>
            </w:tcMar>
            <w:vAlign w:val="center"/>
          </w:tcPr>
          <w:p>
            <w:pPr>
              <w:pStyle w:val="TableContents"/>
              <w:bidi w:val="0"/>
              <w:spacing w:before="0" w:after="283"/>
              <w:jc w:val="right"/>
              <w:rPr/>
            </w:pPr>
            <w:r>
              <w:rPr/>
              <w:t>$0</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bookmarkStart w:id="156" w:name="xdx_98B_eecd--AdjToCompAmt_c20220101__20"/>
            <w:bookmarkEnd w:id="156"/>
          </w:p>
        </w:tc>
        <w:tc>
          <w:tcPr>
            <w:tcW w:w="1220" w:type="dxa"/>
            <w:tcBorders>
              <w:bottom w:val="single" w:sz="2" w:space="0" w:color="000000"/>
            </w:tcBorders>
            <w:tcMar>
              <w:bottom w:w="40" w:type="dxa"/>
            </w:tcMar>
            <w:vAlign w:val="center"/>
          </w:tcPr>
          <w:p>
            <w:pPr>
              <w:pStyle w:val="TableContents"/>
              <w:bidi w:val="0"/>
              <w:spacing w:before="0" w:after="283"/>
              <w:jc w:val="right"/>
              <w:rPr/>
            </w:pPr>
            <w:r>
              <w:rPr/>
              <w:t>$0</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bookmarkStart w:id="157" w:name="xdx_982_eecd--AdjToCompAmt_c20210101__20"/>
            <w:bookmarkEnd w:id="157"/>
          </w:p>
        </w:tc>
        <w:tc>
          <w:tcPr>
            <w:tcW w:w="1235" w:type="dxa"/>
            <w:tcBorders>
              <w:bottom w:val="single" w:sz="2" w:space="0" w:color="000000"/>
            </w:tcBorders>
            <w:tcMar>
              <w:bottom w:w="40" w:type="dxa"/>
            </w:tcMar>
            <w:vAlign w:val="center"/>
          </w:tcPr>
          <w:p>
            <w:pPr>
              <w:pStyle w:val="TableContents"/>
              <w:bidi w:val="0"/>
              <w:spacing w:before="0" w:after="283"/>
              <w:jc w:val="right"/>
              <w:rPr/>
            </w:pPr>
            <w:r>
              <w:rPr/>
              <w:t>$0</w:t>
            </w:r>
          </w:p>
        </w:tc>
      </w:tr>
      <w:tr>
        <w:trPr/>
        <w:tc>
          <w:tcPr>
            <w:tcW w:w="75" w:type="dxa"/>
            <w:tcBorders/>
            <w:vAlign w:val="center"/>
          </w:tcPr>
          <w:p>
            <w:pPr>
              <w:pStyle w:val="TableContents"/>
              <w:bidi w:val="0"/>
              <w:spacing w:before="0" w:after="283"/>
              <w:ind w:left="0" w:right="0" w:hanging="200"/>
              <w:jc w:val="left"/>
              <w:rPr/>
            </w:pPr>
            <w:r>
              <w:rPr/>
              <w:t> </w:t>
            </w:r>
          </w:p>
        </w:tc>
        <w:tc>
          <w:tcPr>
            <w:tcW w:w="1490" w:type="dxa"/>
            <w:tcBorders>
              <w:bottom w:val="single" w:sz="2" w:space="0" w:color="000000"/>
            </w:tcBorders>
            <w:tcMar>
              <w:bottom w:w="40" w:type="dxa"/>
            </w:tcMar>
            <w:vAlign w:val="center"/>
          </w:tcPr>
          <w:p>
            <w:pPr>
              <w:pStyle w:val="TableContents"/>
              <w:bidi w:val="0"/>
              <w:spacing w:before="0" w:after="283"/>
              <w:jc w:val="left"/>
              <w:rPr/>
            </w:pPr>
            <w:r>
              <w:rPr/>
              <w:t>Service Cost of Pension Benefits</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bookmarkStart w:id="158" w:name="xdx_98A_eecd--AdjToCompAmt_c20250101__20"/>
            <w:bookmarkEnd w:id="158"/>
          </w:p>
        </w:tc>
        <w:tc>
          <w:tcPr>
            <w:tcW w:w="1220" w:type="dxa"/>
            <w:tcBorders>
              <w:bottom w:val="single" w:sz="2" w:space="0" w:color="000000"/>
            </w:tcBorders>
            <w:tcMar>
              <w:bottom w:w="40" w:type="dxa"/>
            </w:tcMar>
            <w:vAlign w:val="center"/>
          </w:tcPr>
          <w:p>
            <w:pPr>
              <w:pStyle w:val="TableContents"/>
              <w:bidi w:val="0"/>
              <w:spacing w:before="0" w:after="283"/>
              <w:jc w:val="right"/>
              <w:rPr/>
            </w:pPr>
            <w:r>
              <w:rPr/>
              <w:t>$0</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bookmarkStart w:id="159" w:name="xdx_98A_eecd--AdjToCompAmt_c20240101__20"/>
            <w:bookmarkEnd w:id="159"/>
          </w:p>
        </w:tc>
        <w:tc>
          <w:tcPr>
            <w:tcW w:w="1220" w:type="dxa"/>
            <w:tcBorders>
              <w:bottom w:val="single" w:sz="2" w:space="0" w:color="000000"/>
            </w:tcBorders>
            <w:tcMar>
              <w:bottom w:w="40" w:type="dxa"/>
            </w:tcMar>
            <w:vAlign w:val="center"/>
          </w:tcPr>
          <w:p>
            <w:pPr>
              <w:pStyle w:val="TableContents"/>
              <w:bidi w:val="0"/>
              <w:spacing w:before="0" w:after="283"/>
              <w:jc w:val="right"/>
              <w:rPr/>
            </w:pPr>
            <w:r>
              <w:rPr/>
              <w:t>$0</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bookmarkStart w:id="160" w:name="xdx_988_eecd--AdjToCompAmt_c20240101__20"/>
            <w:bookmarkEnd w:id="160"/>
          </w:p>
        </w:tc>
        <w:tc>
          <w:tcPr>
            <w:tcW w:w="1220" w:type="dxa"/>
            <w:tcBorders>
              <w:bottom w:val="single" w:sz="2" w:space="0" w:color="000000"/>
            </w:tcBorders>
            <w:tcMar>
              <w:bottom w:w="40" w:type="dxa"/>
            </w:tcMar>
            <w:vAlign w:val="center"/>
          </w:tcPr>
          <w:p>
            <w:pPr>
              <w:pStyle w:val="TableContents"/>
              <w:bidi w:val="0"/>
              <w:spacing w:before="0" w:after="283"/>
              <w:jc w:val="right"/>
              <w:rPr/>
            </w:pPr>
            <w:r>
              <w:rPr/>
              <w:t>$0</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bookmarkStart w:id="161" w:name="xdx_987_eecd--AdjToCompAmt_c20230101__20"/>
            <w:bookmarkEnd w:id="161"/>
          </w:p>
        </w:tc>
        <w:tc>
          <w:tcPr>
            <w:tcW w:w="1295" w:type="dxa"/>
            <w:tcBorders>
              <w:bottom w:val="single" w:sz="2" w:space="0" w:color="000000"/>
            </w:tcBorders>
            <w:tcMar>
              <w:bottom w:w="40" w:type="dxa"/>
            </w:tcMar>
            <w:vAlign w:val="center"/>
          </w:tcPr>
          <w:p>
            <w:pPr>
              <w:pStyle w:val="TableContents"/>
              <w:bidi w:val="0"/>
              <w:spacing w:before="0" w:after="283"/>
              <w:jc w:val="right"/>
              <w:rPr/>
            </w:pPr>
            <w:r>
              <w:rPr/>
              <w:t>$0</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bookmarkStart w:id="162" w:name="xdx_985_eecd--AdjToCompAmt_c20220101__20"/>
            <w:bookmarkEnd w:id="162"/>
          </w:p>
        </w:tc>
        <w:tc>
          <w:tcPr>
            <w:tcW w:w="1220" w:type="dxa"/>
            <w:tcBorders>
              <w:bottom w:val="single" w:sz="2" w:space="0" w:color="000000"/>
            </w:tcBorders>
            <w:tcMar>
              <w:bottom w:w="40" w:type="dxa"/>
            </w:tcMar>
            <w:vAlign w:val="center"/>
          </w:tcPr>
          <w:p>
            <w:pPr>
              <w:pStyle w:val="TableContents"/>
              <w:bidi w:val="0"/>
              <w:spacing w:before="0" w:after="283"/>
              <w:jc w:val="right"/>
              <w:rPr/>
            </w:pPr>
            <w:r>
              <w:rPr/>
              <w:t>$0</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bookmarkStart w:id="163" w:name="xdx_983_eecd--AdjToCompAmt_c20210101__20"/>
            <w:bookmarkEnd w:id="163"/>
          </w:p>
        </w:tc>
        <w:tc>
          <w:tcPr>
            <w:tcW w:w="1235" w:type="dxa"/>
            <w:tcBorders>
              <w:bottom w:val="single" w:sz="2" w:space="0" w:color="000000"/>
            </w:tcBorders>
            <w:tcMar>
              <w:bottom w:w="40" w:type="dxa"/>
            </w:tcMar>
            <w:vAlign w:val="center"/>
          </w:tcPr>
          <w:p>
            <w:pPr>
              <w:pStyle w:val="TableContents"/>
              <w:bidi w:val="0"/>
              <w:spacing w:before="0" w:after="283"/>
              <w:jc w:val="right"/>
              <w:rPr/>
            </w:pPr>
            <w:r>
              <w:rPr/>
              <w:t>$0</w:t>
            </w:r>
          </w:p>
        </w:tc>
      </w:tr>
      <w:tr>
        <w:trPr/>
        <w:tc>
          <w:tcPr>
            <w:tcW w:w="75" w:type="dxa"/>
            <w:tcBorders/>
            <w:vAlign w:val="center"/>
          </w:tcPr>
          <w:p>
            <w:pPr>
              <w:pStyle w:val="TableContents"/>
              <w:bidi w:val="0"/>
              <w:spacing w:before="0" w:after="283"/>
              <w:ind w:left="0" w:right="0" w:hanging="200"/>
              <w:jc w:val="left"/>
              <w:rPr/>
            </w:pPr>
            <w:r>
              <w:rPr/>
              <w:t> </w:t>
            </w:r>
          </w:p>
        </w:tc>
        <w:tc>
          <w:tcPr>
            <w:tcW w:w="1490" w:type="dxa"/>
            <w:tcBorders>
              <w:bottom w:val="single" w:sz="2" w:space="0" w:color="000000"/>
            </w:tcBorders>
            <w:tcMar>
              <w:bottom w:w="40" w:type="dxa"/>
            </w:tcMar>
            <w:vAlign w:val="center"/>
          </w:tcPr>
          <w:p>
            <w:pPr>
              <w:pStyle w:val="TableContents"/>
              <w:bidi w:val="0"/>
              <w:spacing w:before="0" w:after="283"/>
              <w:jc w:val="left"/>
              <w:rPr/>
            </w:pPr>
            <w:r>
              <w:rPr/>
              <w:t>Prior Service Cost of Pension Benefits</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bookmarkStart w:id="164" w:name="xdx_988_eecd--AdjToCompAmt_c20250101__20"/>
            <w:bookmarkEnd w:id="164"/>
          </w:p>
        </w:tc>
        <w:tc>
          <w:tcPr>
            <w:tcW w:w="1220" w:type="dxa"/>
            <w:tcBorders>
              <w:bottom w:val="single" w:sz="2" w:space="0" w:color="000000"/>
            </w:tcBorders>
            <w:tcMar>
              <w:bottom w:w="40" w:type="dxa"/>
            </w:tcMar>
            <w:vAlign w:val="center"/>
          </w:tcPr>
          <w:p>
            <w:pPr>
              <w:pStyle w:val="TableContents"/>
              <w:bidi w:val="0"/>
              <w:spacing w:before="0" w:after="283"/>
              <w:jc w:val="right"/>
              <w:rPr/>
            </w:pPr>
            <w:r>
              <w:rPr/>
              <w:t>$0</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bookmarkStart w:id="165" w:name="xdx_98A_eecd--AdjToCompAmt_c20240101__20"/>
            <w:bookmarkEnd w:id="165"/>
          </w:p>
        </w:tc>
        <w:tc>
          <w:tcPr>
            <w:tcW w:w="1220" w:type="dxa"/>
            <w:tcBorders>
              <w:bottom w:val="single" w:sz="2" w:space="0" w:color="000000"/>
            </w:tcBorders>
            <w:tcMar>
              <w:bottom w:w="40" w:type="dxa"/>
            </w:tcMar>
            <w:vAlign w:val="center"/>
          </w:tcPr>
          <w:p>
            <w:pPr>
              <w:pStyle w:val="TableContents"/>
              <w:bidi w:val="0"/>
              <w:spacing w:before="0" w:after="283"/>
              <w:jc w:val="right"/>
              <w:rPr/>
            </w:pPr>
            <w:r>
              <w:rPr/>
              <w:t>$0</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bookmarkStart w:id="166" w:name="xdx_980_eecd--AdjToCompAmt_c20240101__20"/>
            <w:bookmarkEnd w:id="166"/>
          </w:p>
        </w:tc>
        <w:tc>
          <w:tcPr>
            <w:tcW w:w="1220" w:type="dxa"/>
            <w:tcBorders>
              <w:bottom w:val="single" w:sz="2" w:space="0" w:color="000000"/>
            </w:tcBorders>
            <w:tcMar>
              <w:bottom w:w="40" w:type="dxa"/>
            </w:tcMar>
            <w:vAlign w:val="center"/>
          </w:tcPr>
          <w:p>
            <w:pPr>
              <w:pStyle w:val="TableContents"/>
              <w:bidi w:val="0"/>
              <w:spacing w:before="0" w:after="283"/>
              <w:jc w:val="right"/>
              <w:rPr/>
            </w:pPr>
            <w:r>
              <w:rPr/>
              <w:t>$0</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bookmarkStart w:id="167" w:name="xdx_98A_eecd--AdjToCompAmt_c20230101__20"/>
            <w:bookmarkEnd w:id="167"/>
          </w:p>
        </w:tc>
        <w:tc>
          <w:tcPr>
            <w:tcW w:w="1295" w:type="dxa"/>
            <w:tcBorders>
              <w:bottom w:val="single" w:sz="2" w:space="0" w:color="000000"/>
            </w:tcBorders>
            <w:tcMar>
              <w:bottom w:w="40" w:type="dxa"/>
            </w:tcMar>
            <w:vAlign w:val="center"/>
          </w:tcPr>
          <w:p>
            <w:pPr>
              <w:pStyle w:val="TableContents"/>
              <w:bidi w:val="0"/>
              <w:spacing w:before="0" w:after="283"/>
              <w:jc w:val="right"/>
              <w:rPr/>
            </w:pPr>
            <w:r>
              <w:rPr/>
              <w:t>$0</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bookmarkStart w:id="168" w:name="xdx_986_eecd--AdjToCompAmt_c20220101__20"/>
            <w:bookmarkEnd w:id="168"/>
          </w:p>
        </w:tc>
        <w:tc>
          <w:tcPr>
            <w:tcW w:w="1220" w:type="dxa"/>
            <w:tcBorders>
              <w:bottom w:val="single" w:sz="2" w:space="0" w:color="000000"/>
            </w:tcBorders>
            <w:tcMar>
              <w:bottom w:w="40" w:type="dxa"/>
            </w:tcMar>
            <w:vAlign w:val="center"/>
          </w:tcPr>
          <w:p>
            <w:pPr>
              <w:pStyle w:val="TableContents"/>
              <w:bidi w:val="0"/>
              <w:spacing w:before="0" w:after="283"/>
              <w:jc w:val="right"/>
              <w:rPr/>
            </w:pPr>
            <w:r>
              <w:rPr/>
              <w:t>$0</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bookmarkStart w:id="169" w:name="xdx_981_eecd--AdjToCompAmt_c20210101__20"/>
            <w:bookmarkEnd w:id="169"/>
          </w:p>
        </w:tc>
        <w:tc>
          <w:tcPr>
            <w:tcW w:w="1235" w:type="dxa"/>
            <w:tcBorders>
              <w:bottom w:val="single" w:sz="2" w:space="0" w:color="000000"/>
            </w:tcBorders>
            <w:tcMar>
              <w:bottom w:w="40" w:type="dxa"/>
            </w:tcMar>
            <w:vAlign w:val="center"/>
          </w:tcPr>
          <w:p>
            <w:pPr>
              <w:pStyle w:val="TableContents"/>
              <w:bidi w:val="0"/>
              <w:spacing w:before="0" w:after="283"/>
              <w:jc w:val="right"/>
              <w:rPr/>
            </w:pPr>
            <w:r>
              <w:rPr/>
              <w:t>$0</w:t>
            </w:r>
          </w:p>
        </w:tc>
      </w:tr>
      <w:tr>
        <w:trPr/>
        <w:tc>
          <w:tcPr>
            <w:tcW w:w="75" w:type="dxa"/>
            <w:tcBorders/>
            <w:vAlign w:val="center"/>
          </w:tcPr>
          <w:p>
            <w:pPr>
              <w:pStyle w:val="TableContents"/>
              <w:bidi w:val="0"/>
              <w:spacing w:before="0" w:after="283"/>
              <w:ind w:left="0" w:right="0" w:hanging="200"/>
              <w:jc w:val="left"/>
              <w:rPr/>
            </w:pPr>
            <w:r>
              <w:rPr/>
              <w:t> </w:t>
            </w:r>
          </w:p>
        </w:tc>
        <w:tc>
          <w:tcPr>
            <w:tcW w:w="1490" w:type="dxa"/>
            <w:tcBorders>
              <w:bottom w:val="single" w:sz="12" w:space="0" w:color="636466"/>
            </w:tcBorders>
            <w:shd w:fill="EDEDEE" w:val="clear"/>
            <w:tcMar>
              <w:bottom w:w="40" w:type="dxa"/>
            </w:tcMar>
            <w:vAlign w:val="center"/>
          </w:tcPr>
          <w:p>
            <w:pPr>
              <w:pStyle w:val="TableContents"/>
              <w:bidi w:val="0"/>
              <w:spacing w:before="0" w:after="283"/>
              <w:jc w:val="left"/>
              <w:rPr/>
            </w:pPr>
            <w:r>
              <w:rPr/>
              <w:t>Total Additions to CAP</w:t>
            </w:r>
          </w:p>
        </w:tc>
        <w:tc>
          <w:tcPr>
            <w:tcW w:w="300" w:type="dxa"/>
            <w:tcBorders>
              <w:bottom w:val="single" w:sz="12" w:space="0" w:color="636466"/>
            </w:tcBorders>
            <w:shd w:fill="EDEDEE" w:val="clear"/>
            <w:tcMar>
              <w:bottom w:w="40" w:type="dxa"/>
            </w:tcMar>
            <w:vAlign w:val="center"/>
          </w:tcPr>
          <w:p>
            <w:pPr>
              <w:pStyle w:val="TableContents"/>
              <w:bidi w:val="0"/>
              <w:spacing w:before="0" w:after="283"/>
              <w:jc w:val="left"/>
              <w:rPr/>
            </w:pPr>
            <w:r>
              <w:rPr/>
              <w:t> </w:t>
            </w:r>
            <w:bookmarkStart w:id="170" w:name="xdx_981_eecd--AdjToCompAmt_c20250101__20"/>
            <w:bookmarkEnd w:id="170"/>
          </w:p>
        </w:tc>
        <w:tc>
          <w:tcPr>
            <w:tcW w:w="1220" w:type="dxa"/>
            <w:tcBorders>
              <w:bottom w:val="single" w:sz="12" w:space="0" w:color="636466"/>
            </w:tcBorders>
            <w:shd w:fill="EDEDEE" w:val="clear"/>
            <w:tcMar>
              <w:bottom w:w="40" w:type="dxa"/>
            </w:tcMar>
            <w:vAlign w:val="center"/>
          </w:tcPr>
          <w:p>
            <w:pPr>
              <w:pStyle w:val="TableContents"/>
              <w:bidi w:val="0"/>
              <w:spacing w:before="0" w:after="283"/>
              <w:jc w:val="right"/>
              <w:rPr/>
            </w:pPr>
            <w:r>
              <w:rPr/>
              <w:t>$81,453,709</w:t>
            </w:r>
          </w:p>
        </w:tc>
        <w:tc>
          <w:tcPr>
            <w:tcW w:w="300" w:type="dxa"/>
            <w:tcBorders>
              <w:bottom w:val="single" w:sz="12" w:space="0" w:color="636466"/>
            </w:tcBorders>
            <w:shd w:fill="EDEDEE" w:val="clear"/>
            <w:tcMar>
              <w:bottom w:w="40" w:type="dxa"/>
            </w:tcMar>
            <w:vAlign w:val="center"/>
          </w:tcPr>
          <w:p>
            <w:pPr>
              <w:pStyle w:val="TableContents"/>
              <w:bidi w:val="0"/>
              <w:spacing w:before="0" w:after="283"/>
              <w:jc w:val="left"/>
              <w:rPr/>
            </w:pPr>
            <w:r>
              <w:rPr/>
              <w:t> </w:t>
            </w:r>
            <w:bookmarkStart w:id="171" w:name="xdx_98E_eecd--AdjToCompAmt_c20240101__20"/>
            <w:bookmarkEnd w:id="171"/>
          </w:p>
        </w:tc>
        <w:tc>
          <w:tcPr>
            <w:tcW w:w="1220" w:type="dxa"/>
            <w:tcBorders>
              <w:bottom w:val="single" w:sz="12" w:space="0" w:color="636466"/>
            </w:tcBorders>
            <w:shd w:fill="EDEDEE" w:val="clear"/>
            <w:tcMar>
              <w:bottom w:w="40" w:type="dxa"/>
            </w:tcMar>
            <w:vAlign w:val="center"/>
          </w:tcPr>
          <w:p>
            <w:pPr>
              <w:pStyle w:val="TableContents"/>
              <w:bidi w:val="0"/>
              <w:spacing w:before="0" w:after="283"/>
              <w:jc w:val="right"/>
              <w:rPr/>
            </w:pPr>
            <w:r>
              <w:rPr/>
              <w:t>$44,185,242</w:t>
            </w:r>
          </w:p>
        </w:tc>
        <w:tc>
          <w:tcPr>
            <w:tcW w:w="300" w:type="dxa"/>
            <w:tcBorders>
              <w:bottom w:val="single" w:sz="12" w:space="0" w:color="636466"/>
            </w:tcBorders>
            <w:shd w:fill="EDEDEE" w:val="clear"/>
            <w:tcMar>
              <w:bottom w:w="40" w:type="dxa"/>
            </w:tcMar>
            <w:vAlign w:val="center"/>
          </w:tcPr>
          <w:p>
            <w:pPr>
              <w:pStyle w:val="TableContents"/>
              <w:bidi w:val="0"/>
              <w:spacing w:before="0" w:after="283"/>
              <w:jc w:val="left"/>
              <w:rPr/>
            </w:pPr>
            <w:r>
              <w:rPr/>
              <w:t> </w:t>
            </w:r>
            <w:bookmarkStart w:id="172" w:name="xdx_98A_eecd--AdjToCompAmt_c20240101__20"/>
            <w:bookmarkEnd w:id="172"/>
          </w:p>
        </w:tc>
        <w:tc>
          <w:tcPr>
            <w:tcW w:w="1220" w:type="dxa"/>
            <w:tcBorders>
              <w:bottom w:val="single" w:sz="12" w:space="0" w:color="636466"/>
            </w:tcBorders>
            <w:shd w:fill="EDEDEE" w:val="clear"/>
            <w:tcMar>
              <w:bottom w:w="40" w:type="dxa"/>
            </w:tcMar>
            <w:vAlign w:val="center"/>
          </w:tcPr>
          <w:p>
            <w:pPr>
              <w:pStyle w:val="TableContents"/>
              <w:bidi w:val="0"/>
              <w:spacing w:before="0" w:after="283"/>
              <w:jc w:val="right"/>
              <w:rPr/>
            </w:pPr>
            <w:r>
              <w:rPr/>
              <w:t>$38,850,174</w:t>
            </w:r>
          </w:p>
        </w:tc>
        <w:tc>
          <w:tcPr>
            <w:tcW w:w="300" w:type="dxa"/>
            <w:tcBorders>
              <w:bottom w:val="single" w:sz="12" w:space="0" w:color="636466"/>
            </w:tcBorders>
            <w:shd w:fill="EDEDEE" w:val="clear"/>
            <w:tcMar>
              <w:bottom w:w="40" w:type="dxa"/>
            </w:tcMar>
            <w:vAlign w:val="center"/>
          </w:tcPr>
          <w:p>
            <w:pPr>
              <w:pStyle w:val="TableContents"/>
              <w:bidi w:val="0"/>
              <w:spacing w:before="0" w:after="283"/>
              <w:jc w:val="left"/>
              <w:rPr/>
            </w:pPr>
            <w:r>
              <w:rPr/>
              <w:t> </w:t>
            </w:r>
            <w:bookmarkStart w:id="173" w:name="xdx_98E_eecd--AdjToCompAmt_c20230101__20"/>
            <w:bookmarkEnd w:id="173"/>
          </w:p>
        </w:tc>
        <w:tc>
          <w:tcPr>
            <w:tcW w:w="1295" w:type="dxa"/>
            <w:tcBorders>
              <w:bottom w:val="single" w:sz="12" w:space="0" w:color="636466"/>
            </w:tcBorders>
            <w:shd w:fill="EDEDEE" w:val="clear"/>
            <w:tcMar>
              <w:bottom w:w="40" w:type="dxa"/>
            </w:tcMar>
            <w:vAlign w:val="center"/>
          </w:tcPr>
          <w:p>
            <w:pPr>
              <w:pStyle w:val="TableContents"/>
              <w:bidi w:val="0"/>
              <w:spacing w:before="0" w:after="283"/>
              <w:jc w:val="right"/>
              <w:rPr/>
            </w:pPr>
            <w:r>
              <w:rPr/>
              <w:t>-$9,381,717</w:t>
            </w:r>
          </w:p>
        </w:tc>
        <w:tc>
          <w:tcPr>
            <w:tcW w:w="300" w:type="dxa"/>
            <w:tcBorders>
              <w:bottom w:val="single" w:sz="12" w:space="0" w:color="636466"/>
            </w:tcBorders>
            <w:shd w:fill="EDEDEE" w:val="clear"/>
            <w:tcMar>
              <w:bottom w:w="40" w:type="dxa"/>
            </w:tcMar>
            <w:vAlign w:val="center"/>
          </w:tcPr>
          <w:p>
            <w:pPr>
              <w:pStyle w:val="TableContents"/>
              <w:bidi w:val="0"/>
              <w:spacing w:before="0" w:after="283"/>
              <w:jc w:val="left"/>
              <w:rPr/>
            </w:pPr>
            <w:r>
              <w:rPr/>
              <w:t> </w:t>
            </w:r>
            <w:bookmarkStart w:id="174" w:name="xdx_984_eecd--AdjToCompAmt_c20220101__20"/>
            <w:bookmarkEnd w:id="174"/>
          </w:p>
        </w:tc>
        <w:tc>
          <w:tcPr>
            <w:tcW w:w="1220" w:type="dxa"/>
            <w:tcBorders>
              <w:bottom w:val="single" w:sz="12" w:space="0" w:color="636466"/>
            </w:tcBorders>
            <w:shd w:fill="EDEDEE" w:val="clear"/>
            <w:tcMar>
              <w:bottom w:w="40" w:type="dxa"/>
            </w:tcMar>
            <w:vAlign w:val="center"/>
          </w:tcPr>
          <w:p>
            <w:pPr>
              <w:pStyle w:val="TableContents"/>
              <w:bidi w:val="0"/>
              <w:spacing w:before="0" w:after="283"/>
              <w:jc w:val="right"/>
              <w:rPr/>
            </w:pPr>
            <w:r>
              <w:rPr/>
              <w:t>$38,370,616</w:t>
            </w:r>
          </w:p>
        </w:tc>
        <w:tc>
          <w:tcPr>
            <w:tcW w:w="300" w:type="dxa"/>
            <w:tcBorders>
              <w:bottom w:val="single" w:sz="12" w:space="0" w:color="636466"/>
            </w:tcBorders>
            <w:shd w:fill="EDEDEE" w:val="clear"/>
            <w:tcMar>
              <w:bottom w:w="40" w:type="dxa"/>
            </w:tcMar>
            <w:vAlign w:val="center"/>
          </w:tcPr>
          <w:p>
            <w:pPr>
              <w:pStyle w:val="TableContents"/>
              <w:bidi w:val="0"/>
              <w:spacing w:before="0" w:after="283"/>
              <w:jc w:val="left"/>
              <w:rPr/>
            </w:pPr>
            <w:r>
              <w:rPr/>
              <w:t> </w:t>
            </w:r>
            <w:bookmarkStart w:id="175" w:name="xdx_980_eecd--AdjToCompAmt_c20210101__20"/>
            <w:bookmarkEnd w:id="175"/>
          </w:p>
        </w:tc>
        <w:tc>
          <w:tcPr>
            <w:tcW w:w="1235" w:type="dxa"/>
            <w:tcBorders>
              <w:bottom w:val="single" w:sz="12" w:space="0" w:color="636466"/>
            </w:tcBorders>
            <w:shd w:fill="EDEDEE" w:val="clear"/>
            <w:tcMar>
              <w:bottom w:w="40" w:type="dxa"/>
            </w:tcMar>
            <w:vAlign w:val="center"/>
          </w:tcPr>
          <w:p>
            <w:pPr>
              <w:pStyle w:val="TableContents"/>
              <w:bidi w:val="0"/>
              <w:spacing w:before="0" w:after="283"/>
              <w:jc w:val="right"/>
              <w:rPr/>
            </w:pPr>
            <w:r>
              <w:rPr/>
              <w:t>$32,433,955</w:t>
            </w:r>
          </w:p>
        </w:tc>
      </w:tr>
      <w:tr>
        <w:trPr/>
        <w:tc>
          <w:tcPr>
            <w:tcW w:w="75" w:type="dxa"/>
            <w:tcBorders/>
            <w:vAlign w:val="center"/>
          </w:tcPr>
          <w:p>
            <w:pPr>
              <w:pStyle w:val="TableContents"/>
              <w:bidi w:val="0"/>
              <w:spacing w:before="0" w:after="283"/>
              <w:ind w:left="0" w:right="0" w:hanging="200"/>
              <w:jc w:val="left"/>
              <w:rPr/>
            </w:pPr>
            <w:r>
              <w:rPr/>
              <w:t> </w:t>
            </w:r>
          </w:p>
        </w:tc>
        <w:tc>
          <w:tcPr>
            <w:tcW w:w="1490" w:type="dxa"/>
            <w:tcBorders>
              <w:bottom w:val="single" w:sz="12" w:space="0" w:color="636466"/>
            </w:tcBorders>
            <w:shd w:fill="EDEDEE" w:val="clear"/>
            <w:tcMar>
              <w:bottom w:w="40" w:type="dxa"/>
            </w:tcMar>
            <w:vAlign w:val="center"/>
          </w:tcPr>
          <w:p>
            <w:pPr>
              <w:pStyle w:val="TableContents"/>
              <w:bidi w:val="0"/>
              <w:spacing w:before="0" w:after="283"/>
              <w:jc w:val="left"/>
              <w:rPr>
                <w:b/>
              </w:rPr>
            </w:pPr>
            <w:r>
              <w:rPr>
                <w:b/>
              </w:rPr>
              <w:t>Compensation Actually Paid</w:t>
            </w:r>
          </w:p>
        </w:tc>
        <w:tc>
          <w:tcPr>
            <w:tcW w:w="300" w:type="dxa"/>
            <w:tcBorders>
              <w:bottom w:val="single" w:sz="12" w:space="0" w:color="636466"/>
            </w:tcBorders>
            <w:shd w:fill="EDEDEE" w:val="clear"/>
            <w:tcMar>
              <w:bottom w:w="40" w:type="dxa"/>
            </w:tcMar>
            <w:vAlign w:val="center"/>
          </w:tcPr>
          <w:p>
            <w:pPr>
              <w:pStyle w:val="TableContents"/>
              <w:bidi w:val="0"/>
              <w:spacing w:before="0" w:after="283"/>
              <w:jc w:val="left"/>
              <w:rPr/>
            </w:pPr>
            <w:r>
              <w:rPr/>
              <w:t> </w:t>
            </w:r>
            <w:bookmarkStart w:id="176" w:name="xdx_986_eecd--PeoActuallyPaidCompAmt_c20"/>
            <w:bookmarkEnd w:id="176"/>
          </w:p>
        </w:tc>
        <w:tc>
          <w:tcPr>
            <w:tcW w:w="1220" w:type="dxa"/>
            <w:tcBorders>
              <w:bottom w:val="single" w:sz="12" w:space="0" w:color="636466"/>
            </w:tcBorders>
            <w:shd w:fill="EDEDEE" w:val="clear"/>
            <w:tcMar>
              <w:bottom w:w="40" w:type="dxa"/>
            </w:tcMar>
            <w:vAlign w:val="center"/>
          </w:tcPr>
          <w:p>
            <w:pPr>
              <w:pStyle w:val="TableContents"/>
              <w:bidi w:val="0"/>
              <w:spacing w:before="0" w:after="283"/>
              <w:jc w:val="right"/>
              <w:rPr>
                <w:b/>
              </w:rPr>
            </w:pPr>
            <w:r>
              <w:rPr>
                <w:b/>
              </w:rPr>
              <w:t>$88,622,978</w:t>
            </w:r>
          </w:p>
        </w:tc>
        <w:tc>
          <w:tcPr>
            <w:tcW w:w="300" w:type="dxa"/>
            <w:tcBorders>
              <w:bottom w:val="single" w:sz="12" w:space="0" w:color="636466"/>
            </w:tcBorders>
            <w:shd w:fill="EDEDEE" w:val="clear"/>
            <w:tcMar>
              <w:bottom w:w="40" w:type="dxa"/>
            </w:tcMar>
            <w:vAlign w:val="center"/>
          </w:tcPr>
          <w:p>
            <w:pPr>
              <w:pStyle w:val="TableContents"/>
              <w:bidi w:val="0"/>
              <w:spacing w:before="0" w:after="283"/>
              <w:jc w:val="left"/>
              <w:rPr/>
            </w:pPr>
            <w:r>
              <w:rPr/>
              <w:t> </w:t>
            </w:r>
            <w:bookmarkStart w:id="177" w:name="xdx_98F_eecd--PeoActuallyPaidCompAmt_c20"/>
            <w:bookmarkEnd w:id="177"/>
          </w:p>
        </w:tc>
        <w:tc>
          <w:tcPr>
            <w:tcW w:w="1220" w:type="dxa"/>
            <w:tcBorders>
              <w:bottom w:val="single" w:sz="12" w:space="0" w:color="636466"/>
            </w:tcBorders>
            <w:shd w:fill="EDEDEE" w:val="clear"/>
            <w:tcMar>
              <w:bottom w:w="40" w:type="dxa"/>
            </w:tcMar>
            <w:vAlign w:val="center"/>
          </w:tcPr>
          <w:p>
            <w:pPr>
              <w:pStyle w:val="TableContents"/>
              <w:bidi w:val="0"/>
              <w:spacing w:before="0" w:after="283"/>
              <w:jc w:val="right"/>
              <w:rPr>
                <w:b/>
              </w:rPr>
            </w:pPr>
            <w:r>
              <w:rPr>
                <w:b/>
              </w:rPr>
              <w:t>$48,639,528</w:t>
            </w:r>
          </w:p>
        </w:tc>
        <w:tc>
          <w:tcPr>
            <w:tcW w:w="300" w:type="dxa"/>
            <w:tcBorders>
              <w:bottom w:val="single" w:sz="12" w:space="0" w:color="636466"/>
            </w:tcBorders>
            <w:shd w:fill="EDEDEE" w:val="clear"/>
            <w:tcMar>
              <w:bottom w:w="40" w:type="dxa"/>
            </w:tcMar>
            <w:vAlign w:val="center"/>
          </w:tcPr>
          <w:p>
            <w:pPr>
              <w:pStyle w:val="TableContents"/>
              <w:bidi w:val="0"/>
              <w:spacing w:before="0" w:after="283"/>
              <w:jc w:val="left"/>
              <w:rPr/>
            </w:pPr>
            <w:r>
              <w:rPr/>
              <w:t> </w:t>
            </w:r>
            <w:bookmarkStart w:id="178" w:name="xdx_98F_eecd--PeoActuallyPaidCompAmt_c20"/>
            <w:bookmarkEnd w:id="178"/>
          </w:p>
        </w:tc>
        <w:tc>
          <w:tcPr>
            <w:tcW w:w="1220" w:type="dxa"/>
            <w:tcBorders>
              <w:bottom w:val="single" w:sz="12" w:space="0" w:color="636466"/>
            </w:tcBorders>
            <w:shd w:fill="EDEDEE" w:val="clear"/>
            <w:tcMar>
              <w:bottom w:w="40" w:type="dxa"/>
            </w:tcMar>
            <w:vAlign w:val="center"/>
          </w:tcPr>
          <w:p>
            <w:pPr>
              <w:pStyle w:val="TableContents"/>
              <w:bidi w:val="0"/>
              <w:spacing w:before="0" w:after="283"/>
              <w:jc w:val="right"/>
              <w:rPr>
                <w:b/>
              </w:rPr>
            </w:pPr>
            <w:r>
              <w:rPr>
                <w:b/>
              </w:rPr>
              <w:t>$43,160,374</w:t>
            </w:r>
          </w:p>
        </w:tc>
        <w:tc>
          <w:tcPr>
            <w:tcW w:w="300" w:type="dxa"/>
            <w:tcBorders>
              <w:bottom w:val="single" w:sz="12" w:space="0" w:color="636466"/>
            </w:tcBorders>
            <w:shd w:fill="EDEDEE" w:val="clear"/>
            <w:tcMar>
              <w:bottom w:w="40" w:type="dxa"/>
            </w:tcMar>
            <w:vAlign w:val="center"/>
          </w:tcPr>
          <w:p>
            <w:pPr>
              <w:pStyle w:val="TableContents"/>
              <w:bidi w:val="0"/>
              <w:spacing w:before="0" w:after="283"/>
              <w:jc w:val="left"/>
              <w:rPr/>
            </w:pPr>
            <w:r>
              <w:rPr/>
              <w:t> </w:t>
            </w:r>
            <w:bookmarkStart w:id="179" w:name="xdx_989_eecd--PeoActuallyPaidCompAmt_c20"/>
            <w:bookmarkEnd w:id="179"/>
          </w:p>
        </w:tc>
        <w:tc>
          <w:tcPr>
            <w:tcW w:w="1295" w:type="dxa"/>
            <w:tcBorders>
              <w:bottom w:val="single" w:sz="12" w:space="0" w:color="636466"/>
            </w:tcBorders>
            <w:shd w:fill="EDEDEE" w:val="clear"/>
            <w:tcMar>
              <w:bottom w:w="40" w:type="dxa"/>
            </w:tcMar>
            <w:vAlign w:val="center"/>
          </w:tcPr>
          <w:p>
            <w:pPr>
              <w:pStyle w:val="TableContents"/>
              <w:bidi w:val="0"/>
              <w:spacing w:before="0" w:after="283"/>
              <w:jc w:val="right"/>
              <w:rPr>
                <w:b/>
              </w:rPr>
            </w:pPr>
            <w:r>
              <w:rPr>
                <w:b/>
              </w:rPr>
              <w:t>-$3,811,432</w:t>
            </w:r>
          </w:p>
        </w:tc>
        <w:tc>
          <w:tcPr>
            <w:tcW w:w="300" w:type="dxa"/>
            <w:tcBorders>
              <w:bottom w:val="single" w:sz="12" w:space="0" w:color="636466"/>
            </w:tcBorders>
            <w:shd w:fill="EDEDEE" w:val="clear"/>
            <w:tcMar>
              <w:bottom w:w="40" w:type="dxa"/>
            </w:tcMar>
            <w:vAlign w:val="center"/>
          </w:tcPr>
          <w:p>
            <w:pPr>
              <w:pStyle w:val="TableContents"/>
              <w:bidi w:val="0"/>
              <w:spacing w:before="0" w:after="283"/>
              <w:jc w:val="left"/>
              <w:rPr/>
            </w:pPr>
            <w:r>
              <w:rPr/>
              <w:t> </w:t>
            </w:r>
            <w:bookmarkStart w:id="180" w:name="xdx_983_eecd--PeoActuallyPaidCompAmt_c20"/>
            <w:bookmarkEnd w:id="180"/>
          </w:p>
        </w:tc>
        <w:tc>
          <w:tcPr>
            <w:tcW w:w="1220" w:type="dxa"/>
            <w:tcBorders>
              <w:bottom w:val="single" w:sz="12" w:space="0" w:color="636466"/>
            </w:tcBorders>
            <w:shd w:fill="EDEDEE" w:val="clear"/>
            <w:tcMar>
              <w:bottom w:w="40" w:type="dxa"/>
            </w:tcMar>
            <w:vAlign w:val="center"/>
          </w:tcPr>
          <w:p>
            <w:pPr>
              <w:pStyle w:val="TableContents"/>
              <w:bidi w:val="0"/>
              <w:spacing w:before="0" w:after="283"/>
              <w:jc w:val="right"/>
              <w:rPr>
                <w:b/>
              </w:rPr>
            </w:pPr>
            <w:r>
              <w:rPr>
                <w:b/>
              </w:rPr>
              <w:t>$45,201,677</w:t>
            </w:r>
          </w:p>
        </w:tc>
        <w:tc>
          <w:tcPr>
            <w:tcW w:w="300" w:type="dxa"/>
            <w:tcBorders>
              <w:bottom w:val="single" w:sz="12" w:space="0" w:color="636466"/>
            </w:tcBorders>
            <w:shd w:fill="EDEDEE" w:val="clear"/>
            <w:tcMar>
              <w:bottom w:w="40" w:type="dxa"/>
            </w:tcMar>
            <w:vAlign w:val="center"/>
          </w:tcPr>
          <w:p>
            <w:pPr>
              <w:pStyle w:val="TableContents"/>
              <w:bidi w:val="0"/>
              <w:spacing w:before="0" w:after="283"/>
              <w:jc w:val="left"/>
              <w:rPr/>
            </w:pPr>
            <w:r>
              <w:rPr/>
              <w:t> </w:t>
            </w:r>
            <w:bookmarkStart w:id="181" w:name="xdx_989_eecd--PeoActuallyPaidCompAmt_c20"/>
            <w:bookmarkEnd w:id="181"/>
          </w:p>
        </w:tc>
        <w:tc>
          <w:tcPr>
            <w:tcW w:w="1235" w:type="dxa"/>
            <w:tcBorders>
              <w:bottom w:val="single" w:sz="12" w:space="0" w:color="636466"/>
            </w:tcBorders>
            <w:shd w:fill="EDEDEE" w:val="clear"/>
            <w:tcMar>
              <w:bottom w:w="40" w:type="dxa"/>
            </w:tcMar>
            <w:vAlign w:val="center"/>
          </w:tcPr>
          <w:p>
            <w:pPr>
              <w:pStyle w:val="TableContents"/>
              <w:bidi w:val="0"/>
              <w:spacing w:before="0" w:after="283"/>
              <w:jc w:val="right"/>
              <w:rPr>
                <w:b/>
              </w:rPr>
            </w:pPr>
            <w:r>
              <w:rPr>
                <w:b/>
              </w:rPr>
              <w:t>$39,680,968</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15"/>
        </w:rPr>
      </w:pPr>
      <w:r>
        <w:rPr>
          <w:rFonts w:ascii="Arial;Helvetica;Sans-Serif" w:hAnsi="Arial;Helvetica;Sans-Serif"/>
          <w:b/>
          <w:i w:val="false"/>
          <w:caps w:val="false"/>
          <w:smallCaps w:val="false"/>
          <w:sz w:val="15"/>
        </w:rPr>
        <w:t xml:space="preserve">82    RTX </w:t>
      </w:r>
      <w:r>
        <w:rPr>
          <w:rFonts w:ascii="Arial;Helvetica;Sans-Serif" w:hAnsi="Arial;Helvetica;Sans-Serif"/>
          <w:b w:val="false"/>
          <w:i w:val="false"/>
          <w:caps w:val="false"/>
          <w:smallCaps w:val="false"/>
          <w:sz w:val="15"/>
        </w:rPr>
        <w:t>2026 PROXY STATEMENT</w:t>
      </w:r>
    </w:p>
    <w:p>
      <w:pPr>
        <w:pStyle w:val="HorizontalLine"/>
        <w:pBdr>
          <w:bottom w:val="double" w:sz="2" w:space="0" w:color="808080"/>
        </w:pBdr>
        <w:bidi w:val="0"/>
        <w:spacing w:before="0" w:after="283"/>
        <w:jc w:val="left"/>
        <w:rPr/>
      </w:pPr>
      <w:r>
        <w:rPr/>
      </w:r>
    </w:p>
    <w:p>
      <w:pPr>
        <w:pStyle w:val="TextBody"/>
        <w:bidi w:val="0"/>
        <w:spacing w:before="200" w:after="200"/>
        <w:jc w:val="left"/>
        <w:rPr/>
      </w:pPr>
      <w:hyperlink w:anchor="toc">
        <w:r>
          <w:rPr>
            <w:rStyle w:val="InternetLink"/>
            <w:rFonts w:ascii="Arial;Helvetica;Sans-Serif" w:hAnsi="Arial;Helvetica;Sans-Serif"/>
            <w:b/>
            <w:i w:val="false"/>
            <w:caps w:val="false"/>
            <w:smallCaps w:val="false"/>
            <w:sz w:val="16"/>
          </w:rPr>
          <w:t>Table of Contents</w:t>
        </w:r>
      </w:hyperlink>
    </w:p>
    <w:p>
      <w:pPr>
        <w:pStyle w:val="TextBody"/>
        <w:bidi w:val="0"/>
        <w:spacing w:before="0" w:after="0"/>
        <w:ind w:left="0" w:right="0" w:hanging="0"/>
        <w:jc w:val="right"/>
        <w:rPr>
          <w:rFonts w:ascii="Arial;Helvetica;Sans-Serif" w:hAnsi="Arial;Helvetica;Sans-Serif"/>
          <w:b/>
          <w:i w:val="false"/>
          <w:caps w:val="false"/>
          <w:smallCaps w:val="false"/>
          <w:color w:val="C12E33"/>
          <w:sz w:val="15"/>
        </w:rPr>
      </w:pPr>
      <w:r>
        <w:rPr>
          <w:rFonts w:ascii="Arial;Helvetica;Sans-Serif" w:hAnsi="Arial;Helvetica;Sans-Serif"/>
          <w:b/>
          <w:i w:val="false"/>
          <w:caps w:val="false"/>
          <w:smallCaps w:val="false"/>
          <w:color w:val="C12E33"/>
          <w:sz w:val="15"/>
        </w:rPr>
        <w:t>PAY VERSUS PERFORMANCE</w:t>
      </w:r>
    </w:p>
    <w:p>
      <w:pPr>
        <w:pStyle w:val="TextBody"/>
        <w:bidi w:val="0"/>
        <w:spacing w:before="0" w:after="0"/>
        <w:ind w:left="0" w:right="0" w:hanging="0"/>
        <w:jc w:val="righ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PAY VERSUS PERFORMANCE TABLE</w:t>
      </w:r>
    </w:p>
    <w:p>
      <w:pPr>
        <w:pStyle w:val="TextBody"/>
        <w:bidi w:val="0"/>
        <w:spacing w:before="0" w:after="0"/>
        <w:ind w:left="0" w:right="0" w:hanging="0"/>
        <w:jc w:val="left"/>
        <w:rPr>
          <w:caps w:val="false"/>
          <w:smallCaps w:val="false"/>
        </w:rPr>
      </w:pPr>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10205" w:type="dxa"/>
        <w:jc w:val="left"/>
        <w:tblInd w:w="0" w:type="dxa"/>
        <w:tblLayout w:type="fixed"/>
        <w:tblCellMar>
          <w:top w:w="0" w:type="dxa"/>
          <w:left w:w="0" w:type="dxa"/>
          <w:bottom w:w="0" w:type="dxa"/>
          <w:right w:w="0" w:type="dxa"/>
        </w:tblCellMar>
      </w:tblPr>
      <w:tblGrid>
        <w:gridCol w:w="206"/>
        <w:gridCol w:w="9999"/>
      </w:tblGrid>
      <w:tr>
        <w:trPr/>
        <w:tc>
          <w:tcPr>
            <w:tcW w:w="206" w:type="dxa"/>
            <w:tcBorders/>
            <w:vAlign w:val="center"/>
          </w:tcPr>
          <w:p>
            <w:pPr>
              <w:pStyle w:val="TableContents"/>
              <w:bidi w:val="0"/>
              <w:spacing w:before="0" w:after="283"/>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(3)</w:t>
            </w:r>
          </w:p>
        </w:tc>
        <w:tc>
          <w:tcPr>
            <w:tcW w:w="9999" w:type="dxa"/>
            <w:tcBorders/>
            <w:vAlign w:val="center"/>
          </w:tcPr>
          <w:p>
            <w:pPr>
              <w:pStyle w:val="TableContents"/>
              <w:bidi w:val="0"/>
              <w:spacing w:before="0" w:after="283"/>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The following amounts were deducted from and added to the SCT to arrive at the CAP for each of the applicable years for the average non-PEO NEOs, as shown in column (g):</w:t>
            </w:r>
          </w:p>
        </w:tc>
      </w:tr>
      <w:tr>
        <w:trPr/>
        <w:tc>
          <w:tcPr>
            <w:tcW w:w="206" w:type="dxa"/>
            <w:tcBorders/>
            <w:vAlign w:val="center"/>
          </w:tcPr>
          <w:p>
            <w:pPr>
              <w:pStyle w:val="TableContents"/>
              <w:bidi w:val="0"/>
              <w:spacing w:before="0" w:after="283"/>
              <w:jc w:val="left"/>
              <w:rPr/>
            </w:pPr>
            <w:r>
              <w:rPr/>
              <w:t> </w:t>
            </w:r>
          </w:p>
        </w:tc>
        <w:tc>
          <w:tcPr>
            <w:tcW w:w="9999" w:type="dxa"/>
            <w:tcBorders/>
            <w:vAlign w:val="center"/>
          </w:tcPr>
          <w:p>
            <w:pPr>
              <w:pStyle w:val="TableContents"/>
              <w:bidi w:val="0"/>
              <w:spacing w:before="0" w:after="283"/>
              <w:jc w:val="left"/>
              <w:rPr/>
            </w:pPr>
            <w:r>
              <w:rPr/>
              <w:t> </w:t>
            </w:r>
          </w:p>
        </w:tc>
      </w:tr>
    </w:tbl>
    <w:p>
      <w:pPr>
        <w:pStyle w:val="Normal"/>
        <w:bidi w:val="0"/>
        <w:spacing w:before="0" w:after="0"/>
        <w:jc w:val="left"/>
        <w:rPr>
          <w:sz w:val="4"/>
          <w:szCs w:val="4"/>
        </w:rPr>
      </w:pPr>
      <w:r>
        <w:rPr>
          <w:sz w:val="4"/>
          <w:szCs w:val="4"/>
        </w:rPr>
      </w:r>
      <w:bookmarkStart w:id="182" w:name="xdx_301_zYNVEDjZfM97"/>
      <w:bookmarkStart w:id="183" w:name="xdx_301_zYNVEDjZfM97"/>
      <w:bookmarkEnd w:id="183"/>
    </w:p>
    <w:tbl>
      <w:tblPr>
        <w:tblW w:w="10205" w:type="dxa"/>
        <w:jc w:val="left"/>
        <w:tblInd w:w="0" w:type="dxa"/>
        <w:tblLayout w:type="fixed"/>
        <w:tblCellMar>
          <w:top w:w="0" w:type="dxa"/>
          <w:left w:w="0" w:type="dxa"/>
          <w:bottom w:w="0" w:type="dxa"/>
          <w:right w:w="0" w:type="dxa"/>
        </w:tblCellMar>
      </w:tblPr>
      <w:tblGrid>
        <w:gridCol w:w="75"/>
        <w:gridCol w:w="2560"/>
        <w:gridCol w:w="300"/>
        <w:gridCol w:w="1220"/>
        <w:gridCol w:w="300"/>
        <w:gridCol w:w="1220"/>
        <w:gridCol w:w="300"/>
        <w:gridCol w:w="1175"/>
        <w:gridCol w:w="300"/>
        <w:gridCol w:w="1220"/>
        <w:gridCol w:w="300"/>
        <w:gridCol w:w="1235"/>
      </w:tblGrid>
      <w:tr>
        <w:trPr/>
        <w:tc>
          <w:tcPr>
            <w:tcW w:w="75" w:type="dxa"/>
            <w:tcBorders/>
            <w:vAlign w:val="center"/>
          </w:tcPr>
          <w:p>
            <w:pPr>
              <w:pStyle w:val="TableContents"/>
              <w:bidi w:val="0"/>
              <w:spacing w:before="0" w:after="283"/>
              <w:ind w:left="0" w:right="0" w:hanging="200"/>
              <w:jc w:val="left"/>
              <w:rPr/>
            </w:pPr>
            <w:r>
              <w:rPr/>
              <w:t> </w:t>
            </w:r>
          </w:p>
        </w:tc>
        <w:tc>
          <w:tcPr>
            <w:tcW w:w="2560" w:type="dxa"/>
            <w:tcBorders>
              <w:bottom w:val="single" w:sz="12" w:space="0" w:color="636466"/>
            </w:tcBorders>
            <w:tcMar>
              <w:bottom w:w="40" w:type="dxa"/>
            </w:tcMar>
            <w:vAlign w:val="center"/>
          </w:tcPr>
          <w:p>
            <w:pPr>
              <w:pStyle w:val="TableContents"/>
              <w:bidi w:val="0"/>
              <w:spacing w:before="0" w:after="283"/>
              <w:jc w:val="left"/>
              <w:rPr/>
            </w:pPr>
            <w:r>
              <w:rPr/>
              <w:t> </w:t>
            </w:r>
          </w:p>
        </w:tc>
        <w:tc>
          <w:tcPr>
            <w:tcW w:w="300" w:type="dxa"/>
            <w:tcBorders>
              <w:bottom w:val="single" w:sz="12" w:space="0" w:color="636466"/>
            </w:tcBorders>
            <w:tcMar>
              <w:bottom w:w="40" w:type="dxa"/>
            </w:tcMar>
            <w:vAlign w:val="center"/>
          </w:tcPr>
          <w:p>
            <w:pPr>
              <w:pStyle w:val="TableContents"/>
              <w:bidi w:val="0"/>
              <w:spacing w:before="0" w:after="283"/>
              <w:jc w:val="left"/>
              <w:rPr>
                <w:color w:val="636466"/>
              </w:rPr>
            </w:pPr>
            <w:r>
              <w:rPr>
                <w:color w:val="636466"/>
              </w:rPr>
              <w:t>     </w:t>
            </w:r>
          </w:p>
        </w:tc>
        <w:tc>
          <w:tcPr>
            <w:tcW w:w="1220" w:type="dxa"/>
            <w:tcBorders>
              <w:bottom w:val="single" w:sz="12" w:space="0" w:color="636466"/>
            </w:tcBorders>
            <w:tcMar>
              <w:bottom w:w="40" w:type="dxa"/>
            </w:tcMar>
            <w:vAlign w:val="center"/>
          </w:tcPr>
          <w:p>
            <w:pPr>
              <w:pStyle w:val="TableContents"/>
              <w:bidi w:val="0"/>
              <w:spacing w:before="0" w:after="283"/>
              <w:jc w:val="right"/>
              <w:rPr>
                <w:b/>
                <w:color w:val="636466"/>
              </w:rPr>
            </w:pPr>
            <w:r>
              <w:rPr>
                <w:b/>
                <w:color w:val="636466"/>
              </w:rPr>
              <w:t>2025</w:t>
            </w:r>
          </w:p>
        </w:tc>
        <w:tc>
          <w:tcPr>
            <w:tcW w:w="300" w:type="dxa"/>
            <w:tcBorders>
              <w:bottom w:val="single" w:sz="12" w:space="0" w:color="636466"/>
            </w:tcBorders>
            <w:tcMar>
              <w:bottom w:w="40" w:type="dxa"/>
            </w:tcMar>
            <w:vAlign w:val="center"/>
          </w:tcPr>
          <w:p>
            <w:pPr>
              <w:pStyle w:val="TableContents"/>
              <w:bidi w:val="0"/>
              <w:spacing w:before="0" w:after="283"/>
              <w:jc w:val="left"/>
              <w:rPr>
                <w:color w:val="636466"/>
              </w:rPr>
            </w:pPr>
            <w:r>
              <w:rPr>
                <w:color w:val="636466"/>
              </w:rPr>
              <w:t>     </w:t>
            </w:r>
          </w:p>
        </w:tc>
        <w:tc>
          <w:tcPr>
            <w:tcW w:w="1220" w:type="dxa"/>
            <w:tcBorders>
              <w:bottom w:val="single" w:sz="12" w:space="0" w:color="636466"/>
            </w:tcBorders>
            <w:tcMar>
              <w:bottom w:w="40" w:type="dxa"/>
            </w:tcMar>
            <w:vAlign w:val="center"/>
          </w:tcPr>
          <w:p>
            <w:pPr>
              <w:pStyle w:val="TableContents"/>
              <w:bidi w:val="0"/>
              <w:spacing w:before="0" w:after="283"/>
              <w:jc w:val="right"/>
              <w:rPr>
                <w:b/>
                <w:color w:val="636466"/>
              </w:rPr>
            </w:pPr>
            <w:r>
              <w:rPr>
                <w:b/>
                <w:color w:val="636466"/>
              </w:rPr>
              <w:t>2024</w:t>
            </w:r>
          </w:p>
        </w:tc>
        <w:tc>
          <w:tcPr>
            <w:tcW w:w="300" w:type="dxa"/>
            <w:tcBorders>
              <w:bottom w:val="single" w:sz="12" w:space="0" w:color="636466"/>
            </w:tcBorders>
            <w:tcMar>
              <w:bottom w:w="40" w:type="dxa"/>
            </w:tcMar>
            <w:vAlign w:val="center"/>
          </w:tcPr>
          <w:p>
            <w:pPr>
              <w:pStyle w:val="TableContents"/>
              <w:bidi w:val="0"/>
              <w:spacing w:before="0" w:after="283"/>
              <w:jc w:val="left"/>
              <w:rPr>
                <w:color w:val="636466"/>
              </w:rPr>
            </w:pPr>
            <w:r>
              <w:rPr>
                <w:color w:val="636466"/>
              </w:rPr>
              <w:t>     </w:t>
            </w:r>
          </w:p>
        </w:tc>
        <w:tc>
          <w:tcPr>
            <w:tcW w:w="1175" w:type="dxa"/>
            <w:tcBorders>
              <w:bottom w:val="single" w:sz="12" w:space="0" w:color="636466"/>
            </w:tcBorders>
            <w:tcMar>
              <w:bottom w:w="40" w:type="dxa"/>
            </w:tcMar>
            <w:vAlign w:val="center"/>
          </w:tcPr>
          <w:p>
            <w:pPr>
              <w:pStyle w:val="TableContents"/>
              <w:bidi w:val="0"/>
              <w:spacing w:before="0" w:after="283"/>
              <w:jc w:val="right"/>
              <w:rPr>
                <w:b/>
                <w:color w:val="636466"/>
              </w:rPr>
            </w:pPr>
            <w:r>
              <w:rPr>
                <w:b/>
                <w:color w:val="636466"/>
              </w:rPr>
              <w:t>2023</w:t>
            </w:r>
          </w:p>
        </w:tc>
        <w:tc>
          <w:tcPr>
            <w:tcW w:w="300" w:type="dxa"/>
            <w:tcBorders>
              <w:bottom w:val="single" w:sz="12" w:space="0" w:color="636466"/>
            </w:tcBorders>
            <w:tcMar>
              <w:bottom w:w="40" w:type="dxa"/>
            </w:tcMar>
            <w:vAlign w:val="center"/>
          </w:tcPr>
          <w:p>
            <w:pPr>
              <w:pStyle w:val="TableContents"/>
              <w:bidi w:val="0"/>
              <w:spacing w:before="0" w:after="283"/>
              <w:jc w:val="left"/>
              <w:rPr>
                <w:color w:val="636466"/>
              </w:rPr>
            </w:pPr>
            <w:r>
              <w:rPr>
                <w:color w:val="636466"/>
              </w:rPr>
              <w:t>     </w:t>
            </w:r>
          </w:p>
        </w:tc>
        <w:tc>
          <w:tcPr>
            <w:tcW w:w="1220" w:type="dxa"/>
            <w:tcBorders>
              <w:bottom w:val="single" w:sz="12" w:space="0" w:color="636466"/>
            </w:tcBorders>
            <w:tcMar>
              <w:bottom w:w="40" w:type="dxa"/>
            </w:tcMar>
            <w:vAlign w:val="center"/>
          </w:tcPr>
          <w:p>
            <w:pPr>
              <w:pStyle w:val="TableContents"/>
              <w:bidi w:val="0"/>
              <w:spacing w:before="0" w:after="283"/>
              <w:jc w:val="right"/>
              <w:rPr>
                <w:b/>
                <w:color w:val="636466"/>
              </w:rPr>
            </w:pPr>
            <w:r>
              <w:rPr>
                <w:b/>
                <w:color w:val="636466"/>
              </w:rPr>
              <w:t>2022</w:t>
            </w:r>
          </w:p>
        </w:tc>
        <w:tc>
          <w:tcPr>
            <w:tcW w:w="300" w:type="dxa"/>
            <w:tcBorders>
              <w:bottom w:val="single" w:sz="12" w:space="0" w:color="636466"/>
            </w:tcBorders>
            <w:tcMar>
              <w:bottom w:w="40" w:type="dxa"/>
            </w:tcMar>
            <w:vAlign w:val="center"/>
          </w:tcPr>
          <w:p>
            <w:pPr>
              <w:pStyle w:val="TableContents"/>
              <w:bidi w:val="0"/>
              <w:spacing w:before="0" w:after="283"/>
              <w:jc w:val="left"/>
              <w:rPr>
                <w:color w:val="636466"/>
              </w:rPr>
            </w:pPr>
            <w:r>
              <w:rPr>
                <w:color w:val="636466"/>
              </w:rPr>
              <w:t>     </w:t>
            </w:r>
          </w:p>
        </w:tc>
        <w:tc>
          <w:tcPr>
            <w:tcW w:w="1235" w:type="dxa"/>
            <w:tcBorders>
              <w:bottom w:val="single" w:sz="12" w:space="0" w:color="636466"/>
            </w:tcBorders>
            <w:tcMar>
              <w:bottom w:w="40" w:type="dxa"/>
            </w:tcMar>
            <w:vAlign w:val="center"/>
          </w:tcPr>
          <w:p>
            <w:pPr>
              <w:pStyle w:val="TableContents"/>
              <w:bidi w:val="0"/>
              <w:spacing w:before="0" w:after="283"/>
              <w:jc w:val="right"/>
              <w:rPr>
                <w:b/>
                <w:color w:val="636466"/>
              </w:rPr>
            </w:pPr>
            <w:r>
              <w:rPr>
                <w:b/>
                <w:color w:val="636466"/>
              </w:rPr>
              <w:t>2021</w:t>
            </w:r>
          </w:p>
        </w:tc>
      </w:tr>
      <w:tr>
        <w:trPr/>
        <w:tc>
          <w:tcPr>
            <w:tcW w:w="75" w:type="dxa"/>
            <w:tcBorders/>
            <w:vAlign w:val="center"/>
          </w:tcPr>
          <w:p>
            <w:pPr>
              <w:pStyle w:val="TableContents"/>
              <w:bidi w:val="0"/>
              <w:spacing w:before="0" w:after="283"/>
              <w:ind w:left="0" w:right="0" w:hanging="200"/>
              <w:jc w:val="left"/>
              <w:rPr/>
            </w:pPr>
            <w:r>
              <w:rPr/>
              <w:t> </w:t>
            </w:r>
          </w:p>
        </w:tc>
        <w:tc>
          <w:tcPr>
            <w:tcW w:w="2560" w:type="dxa"/>
            <w:tcBorders>
              <w:bottom w:val="single" w:sz="2" w:space="0" w:color="000000"/>
            </w:tcBorders>
            <w:tcMar>
              <w:bottom w:w="40" w:type="dxa"/>
            </w:tcMar>
            <w:vAlign w:val="center"/>
          </w:tcPr>
          <w:p>
            <w:pPr>
              <w:pStyle w:val="TableContents"/>
              <w:bidi w:val="0"/>
              <w:spacing w:before="0" w:after="283"/>
              <w:jc w:val="left"/>
              <w:rPr/>
            </w:pPr>
            <w:r>
              <w:rPr/>
              <w:t>Summary Compensation Table</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bookmarkStart w:id="184" w:name="xdx_987_eecd--NonPeoNeoAvgTotalCompAmt_c"/>
            <w:bookmarkEnd w:id="184"/>
          </w:p>
        </w:tc>
        <w:tc>
          <w:tcPr>
            <w:tcW w:w="1220" w:type="dxa"/>
            <w:tcBorders>
              <w:bottom w:val="single" w:sz="2" w:space="0" w:color="000000"/>
            </w:tcBorders>
            <w:tcMar>
              <w:bottom w:w="40" w:type="dxa"/>
            </w:tcMar>
            <w:vAlign w:val="center"/>
          </w:tcPr>
          <w:p>
            <w:pPr>
              <w:pStyle w:val="TableContents"/>
              <w:bidi w:val="0"/>
              <w:spacing w:before="0" w:after="283"/>
              <w:jc w:val="right"/>
              <w:rPr/>
            </w:pPr>
            <w:r>
              <w:rPr/>
              <w:t>$7,464,111</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bookmarkStart w:id="185" w:name="xdx_98F_eecd--NonPeoNeoAvgTotalCompAmt_c"/>
            <w:bookmarkEnd w:id="185"/>
          </w:p>
        </w:tc>
        <w:tc>
          <w:tcPr>
            <w:tcW w:w="1220" w:type="dxa"/>
            <w:tcBorders>
              <w:bottom w:val="single" w:sz="2" w:space="0" w:color="000000"/>
            </w:tcBorders>
            <w:tcMar>
              <w:bottom w:w="40" w:type="dxa"/>
            </w:tcMar>
            <w:vAlign w:val="center"/>
          </w:tcPr>
          <w:p>
            <w:pPr>
              <w:pStyle w:val="TableContents"/>
              <w:bidi w:val="0"/>
              <w:spacing w:before="0" w:after="283"/>
              <w:jc w:val="right"/>
              <w:rPr/>
            </w:pPr>
            <w:r>
              <w:rPr/>
              <w:t>$6,119,056</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bookmarkStart w:id="186" w:name="xdx_989_eecd--NonPeoNeoAvgTotalCompAmt_c"/>
            <w:bookmarkEnd w:id="186"/>
          </w:p>
        </w:tc>
        <w:tc>
          <w:tcPr>
            <w:tcW w:w="1175" w:type="dxa"/>
            <w:tcBorders>
              <w:bottom w:val="single" w:sz="2" w:space="0" w:color="000000"/>
            </w:tcBorders>
            <w:tcMar>
              <w:bottom w:w="40" w:type="dxa"/>
            </w:tcMar>
            <w:vAlign w:val="center"/>
          </w:tcPr>
          <w:p>
            <w:pPr>
              <w:pStyle w:val="TableContents"/>
              <w:bidi w:val="0"/>
              <w:spacing w:before="0" w:after="283"/>
              <w:jc w:val="right"/>
              <w:rPr/>
            </w:pPr>
            <w:r>
              <w:rPr/>
              <w:t>$8,225,337</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bookmarkStart w:id="187" w:name="xdx_982_eecd--NonPeoNeoAvgTotalCompAmt_c"/>
            <w:bookmarkEnd w:id="187"/>
          </w:p>
        </w:tc>
        <w:tc>
          <w:tcPr>
            <w:tcW w:w="1220" w:type="dxa"/>
            <w:tcBorders>
              <w:bottom w:val="single" w:sz="2" w:space="0" w:color="000000"/>
            </w:tcBorders>
            <w:tcMar>
              <w:bottom w:w="40" w:type="dxa"/>
            </w:tcMar>
            <w:vAlign w:val="center"/>
          </w:tcPr>
          <w:p>
            <w:pPr>
              <w:pStyle w:val="TableContents"/>
              <w:bidi w:val="0"/>
              <w:spacing w:before="0" w:after="283"/>
              <w:jc w:val="right"/>
              <w:rPr/>
            </w:pPr>
            <w:r>
              <w:rPr/>
              <w:t>$7,597,628</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bookmarkStart w:id="188" w:name="xdx_984_eecd--NonPeoNeoAvgTotalCompAmt_c"/>
            <w:bookmarkEnd w:id="188"/>
          </w:p>
        </w:tc>
        <w:tc>
          <w:tcPr>
            <w:tcW w:w="1235" w:type="dxa"/>
            <w:tcBorders>
              <w:bottom w:val="single" w:sz="2" w:space="0" w:color="000000"/>
            </w:tcBorders>
            <w:tcMar>
              <w:bottom w:w="40" w:type="dxa"/>
            </w:tcMar>
            <w:vAlign w:val="center"/>
          </w:tcPr>
          <w:p>
            <w:pPr>
              <w:pStyle w:val="TableContents"/>
              <w:bidi w:val="0"/>
              <w:spacing w:before="0" w:after="283"/>
              <w:jc w:val="right"/>
              <w:rPr/>
            </w:pPr>
            <w:r>
              <w:rPr/>
              <w:t>$9,666,013</w:t>
            </w:r>
          </w:p>
        </w:tc>
      </w:tr>
      <w:tr>
        <w:trPr/>
        <w:tc>
          <w:tcPr>
            <w:tcW w:w="75" w:type="dxa"/>
            <w:tcBorders/>
            <w:vAlign w:val="center"/>
          </w:tcPr>
          <w:p>
            <w:pPr>
              <w:pStyle w:val="TableContents"/>
              <w:bidi w:val="0"/>
              <w:spacing w:before="0" w:after="283"/>
              <w:ind w:left="0" w:right="0" w:hanging="200"/>
              <w:jc w:val="left"/>
              <w:rPr/>
            </w:pPr>
            <w:r>
              <w:rPr/>
              <w:t> </w:t>
            </w:r>
          </w:p>
        </w:tc>
        <w:tc>
          <w:tcPr>
            <w:tcW w:w="2560" w:type="dxa"/>
            <w:tcBorders>
              <w:bottom w:val="single" w:sz="2" w:space="0" w:color="000000"/>
            </w:tcBorders>
            <w:tcMar>
              <w:bottom w:w="40" w:type="dxa"/>
            </w:tcMar>
            <w:vAlign w:val="center"/>
          </w:tcPr>
          <w:p>
            <w:pPr>
              <w:pStyle w:val="TableContents"/>
              <w:bidi w:val="0"/>
              <w:spacing w:before="0" w:after="283"/>
              <w:jc w:val="left"/>
              <w:rPr/>
            </w:pPr>
            <w:r>
              <w:rPr/>
              <w:t>Stock Awards</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bookmarkStart w:id="189" w:name="xdx_983_eecd--AdjToCompAmt_c20250101__20"/>
            <w:bookmarkEnd w:id="189"/>
          </w:p>
        </w:tc>
        <w:tc>
          <w:tcPr>
            <w:tcW w:w="1220" w:type="dxa"/>
            <w:tcBorders>
              <w:bottom w:val="single" w:sz="2" w:space="0" w:color="000000"/>
            </w:tcBorders>
            <w:tcMar>
              <w:bottom w:w="40" w:type="dxa"/>
            </w:tcMar>
            <w:vAlign w:val="center"/>
          </w:tcPr>
          <w:p>
            <w:pPr>
              <w:pStyle w:val="TableContents"/>
              <w:bidi w:val="0"/>
              <w:spacing w:before="0" w:after="283"/>
              <w:jc w:val="right"/>
              <w:rPr/>
            </w:pPr>
            <w:r>
              <w:rPr/>
              <w:t>$2,853,753</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bookmarkStart w:id="190" w:name="xdx_988_eecd--AdjToCompAmt_c20240101__20"/>
            <w:bookmarkEnd w:id="190"/>
          </w:p>
        </w:tc>
        <w:tc>
          <w:tcPr>
            <w:tcW w:w="1220" w:type="dxa"/>
            <w:tcBorders>
              <w:bottom w:val="single" w:sz="2" w:space="0" w:color="000000"/>
            </w:tcBorders>
            <w:tcMar>
              <w:bottom w:w="40" w:type="dxa"/>
            </w:tcMar>
            <w:vAlign w:val="center"/>
          </w:tcPr>
          <w:p>
            <w:pPr>
              <w:pStyle w:val="TableContents"/>
              <w:bidi w:val="0"/>
              <w:spacing w:before="0" w:after="283"/>
              <w:jc w:val="right"/>
              <w:rPr/>
            </w:pPr>
            <w:r>
              <w:rPr/>
              <w:t>$2,790,237</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bookmarkStart w:id="191" w:name="xdx_98B_eecd--AdjToCompAmt_c20230101__20"/>
            <w:bookmarkEnd w:id="191"/>
          </w:p>
        </w:tc>
        <w:tc>
          <w:tcPr>
            <w:tcW w:w="1175" w:type="dxa"/>
            <w:tcBorders>
              <w:bottom w:val="single" w:sz="2" w:space="0" w:color="000000"/>
            </w:tcBorders>
            <w:tcMar>
              <w:bottom w:w="40" w:type="dxa"/>
            </w:tcMar>
            <w:vAlign w:val="center"/>
          </w:tcPr>
          <w:p>
            <w:pPr>
              <w:pStyle w:val="TableContents"/>
              <w:bidi w:val="0"/>
              <w:spacing w:before="0" w:after="283"/>
              <w:jc w:val="right"/>
              <w:rPr/>
            </w:pPr>
            <w:r>
              <w:rPr/>
              <w:t>$3,294,564</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bookmarkStart w:id="192" w:name="xdx_986_eecd--AdjToCompAmt_c20220101__20"/>
            <w:bookmarkEnd w:id="192"/>
          </w:p>
        </w:tc>
        <w:tc>
          <w:tcPr>
            <w:tcW w:w="1220" w:type="dxa"/>
            <w:tcBorders>
              <w:bottom w:val="single" w:sz="2" w:space="0" w:color="000000"/>
            </w:tcBorders>
            <w:tcMar>
              <w:bottom w:w="40" w:type="dxa"/>
            </w:tcMar>
            <w:vAlign w:val="center"/>
          </w:tcPr>
          <w:p>
            <w:pPr>
              <w:pStyle w:val="TableContents"/>
              <w:bidi w:val="0"/>
              <w:spacing w:before="0" w:after="283"/>
              <w:jc w:val="right"/>
              <w:rPr/>
            </w:pPr>
            <w:r>
              <w:rPr/>
              <w:t>$3,219,892</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bookmarkStart w:id="193" w:name="xdx_981_eecd--AdjToCompAmt_c20210101__20"/>
            <w:bookmarkEnd w:id="193"/>
          </w:p>
        </w:tc>
        <w:tc>
          <w:tcPr>
            <w:tcW w:w="1235" w:type="dxa"/>
            <w:tcBorders>
              <w:bottom w:val="single" w:sz="2" w:space="0" w:color="000000"/>
            </w:tcBorders>
            <w:tcMar>
              <w:bottom w:w="40" w:type="dxa"/>
            </w:tcMar>
            <w:vAlign w:val="center"/>
          </w:tcPr>
          <w:p>
            <w:pPr>
              <w:pStyle w:val="TableContents"/>
              <w:bidi w:val="0"/>
              <w:spacing w:before="0" w:after="283"/>
              <w:jc w:val="right"/>
              <w:rPr/>
            </w:pPr>
            <w:r>
              <w:rPr/>
              <w:t>$4,389,543</w:t>
            </w:r>
          </w:p>
        </w:tc>
      </w:tr>
      <w:tr>
        <w:trPr/>
        <w:tc>
          <w:tcPr>
            <w:tcW w:w="75" w:type="dxa"/>
            <w:tcBorders/>
            <w:vAlign w:val="center"/>
          </w:tcPr>
          <w:p>
            <w:pPr>
              <w:pStyle w:val="TableContents"/>
              <w:bidi w:val="0"/>
              <w:spacing w:before="0" w:after="283"/>
              <w:ind w:left="0" w:right="0" w:hanging="200"/>
              <w:jc w:val="left"/>
              <w:rPr/>
            </w:pPr>
            <w:r>
              <w:rPr/>
              <w:t> </w:t>
            </w:r>
          </w:p>
        </w:tc>
        <w:tc>
          <w:tcPr>
            <w:tcW w:w="2560" w:type="dxa"/>
            <w:tcBorders>
              <w:bottom w:val="single" w:sz="2" w:space="0" w:color="000000"/>
            </w:tcBorders>
            <w:tcMar>
              <w:bottom w:w="40" w:type="dxa"/>
            </w:tcMar>
            <w:vAlign w:val="center"/>
          </w:tcPr>
          <w:p>
            <w:pPr>
              <w:pStyle w:val="TableContents"/>
              <w:bidi w:val="0"/>
              <w:spacing w:before="0" w:after="283"/>
              <w:jc w:val="left"/>
              <w:rPr/>
            </w:pPr>
            <w:r>
              <w:rPr/>
              <w:t>Option Awards</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bookmarkStart w:id="194" w:name="xdx_98D_eecd--AdjToCompAmt_c20250101__20"/>
            <w:bookmarkEnd w:id="194"/>
          </w:p>
        </w:tc>
        <w:tc>
          <w:tcPr>
            <w:tcW w:w="1220" w:type="dxa"/>
            <w:tcBorders>
              <w:bottom w:val="single" w:sz="2" w:space="0" w:color="000000"/>
            </w:tcBorders>
            <w:tcMar>
              <w:bottom w:w="40" w:type="dxa"/>
            </w:tcMar>
            <w:vAlign w:val="center"/>
          </w:tcPr>
          <w:p>
            <w:pPr>
              <w:pStyle w:val="TableContents"/>
              <w:bidi w:val="0"/>
              <w:spacing w:before="0" w:after="283"/>
              <w:jc w:val="right"/>
              <w:rPr/>
            </w:pPr>
            <w:r>
              <w:rPr/>
              <w:t>$1,772,128</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bookmarkStart w:id="195" w:name="xdx_98F_eecd--AdjToCompAmt_c20240101__20"/>
            <w:bookmarkEnd w:id="195"/>
          </w:p>
        </w:tc>
        <w:tc>
          <w:tcPr>
            <w:tcW w:w="1220" w:type="dxa"/>
            <w:tcBorders>
              <w:bottom w:val="single" w:sz="2" w:space="0" w:color="000000"/>
            </w:tcBorders>
            <w:tcMar>
              <w:bottom w:w="40" w:type="dxa"/>
            </w:tcMar>
            <w:vAlign w:val="center"/>
          </w:tcPr>
          <w:p>
            <w:pPr>
              <w:pStyle w:val="TableContents"/>
              <w:bidi w:val="0"/>
              <w:spacing w:before="0" w:after="283"/>
              <w:jc w:val="right"/>
              <w:rPr/>
            </w:pPr>
            <w:r>
              <w:rPr/>
              <w:t>$1,414,835</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bookmarkStart w:id="196" w:name="xdx_98A_eecd--AdjToCompAmt_c20230101__20"/>
            <w:bookmarkEnd w:id="196"/>
          </w:p>
        </w:tc>
        <w:tc>
          <w:tcPr>
            <w:tcW w:w="1175" w:type="dxa"/>
            <w:tcBorders>
              <w:bottom w:val="single" w:sz="2" w:space="0" w:color="000000"/>
            </w:tcBorders>
            <w:tcMar>
              <w:bottom w:w="40" w:type="dxa"/>
            </w:tcMar>
            <w:vAlign w:val="center"/>
          </w:tcPr>
          <w:p>
            <w:pPr>
              <w:pStyle w:val="TableContents"/>
              <w:bidi w:val="0"/>
              <w:spacing w:before="0" w:after="283"/>
              <w:jc w:val="right"/>
              <w:rPr/>
            </w:pPr>
            <w:r>
              <w:rPr/>
              <w:t>$2,221,250</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bookmarkStart w:id="197" w:name="xdx_984_eecd--AdjToCompAmt_c20220101__20"/>
            <w:bookmarkEnd w:id="197"/>
          </w:p>
        </w:tc>
        <w:tc>
          <w:tcPr>
            <w:tcW w:w="1220" w:type="dxa"/>
            <w:tcBorders>
              <w:bottom w:val="single" w:sz="2" w:space="0" w:color="000000"/>
            </w:tcBorders>
            <w:tcMar>
              <w:bottom w:w="40" w:type="dxa"/>
            </w:tcMar>
            <w:vAlign w:val="center"/>
          </w:tcPr>
          <w:p>
            <w:pPr>
              <w:pStyle w:val="TableContents"/>
              <w:bidi w:val="0"/>
              <w:spacing w:before="0" w:after="283"/>
              <w:jc w:val="right"/>
              <w:rPr/>
            </w:pPr>
            <w:r>
              <w:rPr/>
              <w:t>$2,212,775</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bookmarkStart w:id="198" w:name="xdx_98A_eecd--AdjToCompAmt_c20210101__20"/>
            <w:bookmarkEnd w:id="198"/>
          </w:p>
        </w:tc>
        <w:tc>
          <w:tcPr>
            <w:tcW w:w="1235" w:type="dxa"/>
            <w:tcBorders>
              <w:bottom w:val="single" w:sz="2" w:space="0" w:color="000000"/>
            </w:tcBorders>
            <w:tcMar>
              <w:bottom w:w="40" w:type="dxa"/>
            </w:tcMar>
            <w:vAlign w:val="center"/>
          </w:tcPr>
          <w:p>
            <w:pPr>
              <w:pStyle w:val="TableContents"/>
              <w:bidi w:val="0"/>
              <w:spacing w:before="0" w:after="283"/>
              <w:jc w:val="right"/>
              <w:rPr/>
            </w:pPr>
            <w:r>
              <w:rPr/>
              <w:t>$1,093,639</w:t>
            </w:r>
          </w:p>
        </w:tc>
      </w:tr>
      <w:tr>
        <w:trPr/>
        <w:tc>
          <w:tcPr>
            <w:tcW w:w="75" w:type="dxa"/>
            <w:tcBorders/>
            <w:vAlign w:val="center"/>
          </w:tcPr>
          <w:p>
            <w:pPr>
              <w:pStyle w:val="TableContents"/>
              <w:bidi w:val="0"/>
              <w:spacing w:before="0" w:after="283"/>
              <w:ind w:left="0" w:right="0" w:hanging="200"/>
              <w:jc w:val="left"/>
              <w:rPr/>
            </w:pPr>
            <w:r>
              <w:rPr/>
              <w:t> </w:t>
            </w:r>
          </w:p>
        </w:tc>
        <w:tc>
          <w:tcPr>
            <w:tcW w:w="2560" w:type="dxa"/>
            <w:tcBorders>
              <w:bottom w:val="single" w:sz="2" w:space="0" w:color="000000"/>
            </w:tcBorders>
            <w:tcMar>
              <w:bottom w:w="40" w:type="dxa"/>
            </w:tcMar>
            <w:vAlign w:val="center"/>
          </w:tcPr>
          <w:p>
            <w:pPr>
              <w:pStyle w:val="TableContents"/>
              <w:bidi w:val="0"/>
              <w:spacing w:before="0" w:after="283"/>
              <w:jc w:val="left"/>
              <w:rPr/>
            </w:pPr>
            <w:r>
              <w:rPr/>
              <w:t>Change in Present Value of Pension Benefits</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bookmarkStart w:id="199" w:name="xdx_986_eecd--AdjToCompAmt_c20250101__20"/>
            <w:bookmarkEnd w:id="199"/>
          </w:p>
        </w:tc>
        <w:tc>
          <w:tcPr>
            <w:tcW w:w="1220" w:type="dxa"/>
            <w:tcBorders>
              <w:bottom w:val="single" w:sz="2" w:space="0" w:color="000000"/>
            </w:tcBorders>
            <w:tcMar>
              <w:bottom w:w="40" w:type="dxa"/>
            </w:tcMar>
            <w:vAlign w:val="center"/>
          </w:tcPr>
          <w:p>
            <w:pPr>
              <w:pStyle w:val="TableContents"/>
              <w:bidi w:val="0"/>
              <w:spacing w:before="0" w:after="283"/>
              <w:jc w:val="right"/>
              <w:rPr/>
            </w:pPr>
            <w:r>
              <w:rPr/>
              <w:t>$17,128</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bookmarkStart w:id="200" w:name="xdx_982_eecd--AdjToCompAmt_c20240101__20"/>
            <w:bookmarkEnd w:id="200"/>
          </w:p>
        </w:tc>
        <w:tc>
          <w:tcPr>
            <w:tcW w:w="1220" w:type="dxa"/>
            <w:tcBorders>
              <w:bottom w:val="single" w:sz="2" w:space="0" w:color="000000"/>
            </w:tcBorders>
            <w:tcMar>
              <w:bottom w:w="40" w:type="dxa"/>
            </w:tcMar>
            <w:vAlign w:val="center"/>
          </w:tcPr>
          <w:p>
            <w:pPr>
              <w:pStyle w:val="TableContents"/>
              <w:bidi w:val="0"/>
              <w:spacing w:before="0" w:after="283"/>
              <w:jc w:val="right"/>
              <w:rPr/>
            </w:pPr>
            <w:r>
              <w:rPr/>
              <w:t>$850</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bookmarkStart w:id="201" w:name="xdx_98B_eecd--AdjToCompAmt_c20230101__20"/>
            <w:bookmarkEnd w:id="201"/>
          </w:p>
        </w:tc>
        <w:tc>
          <w:tcPr>
            <w:tcW w:w="1175" w:type="dxa"/>
            <w:tcBorders>
              <w:bottom w:val="single" w:sz="2" w:space="0" w:color="000000"/>
            </w:tcBorders>
            <w:tcMar>
              <w:bottom w:w="40" w:type="dxa"/>
            </w:tcMar>
            <w:vAlign w:val="center"/>
          </w:tcPr>
          <w:p>
            <w:pPr>
              <w:pStyle w:val="TableContents"/>
              <w:bidi w:val="0"/>
              <w:spacing w:before="0" w:after="283"/>
              <w:jc w:val="right"/>
              <w:rPr/>
            </w:pPr>
            <w:r>
              <w:rPr/>
              <w:t>$462,721</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bookmarkStart w:id="202" w:name="xdx_983_eecd--AdjToCompAmt_c20220101__20"/>
            <w:bookmarkEnd w:id="202"/>
          </w:p>
        </w:tc>
        <w:tc>
          <w:tcPr>
            <w:tcW w:w="1220" w:type="dxa"/>
            <w:tcBorders>
              <w:bottom w:val="single" w:sz="2" w:space="0" w:color="000000"/>
            </w:tcBorders>
            <w:tcMar>
              <w:bottom w:w="40" w:type="dxa"/>
            </w:tcMar>
            <w:vAlign w:val="center"/>
          </w:tcPr>
          <w:p>
            <w:pPr>
              <w:pStyle w:val="TableContents"/>
              <w:bidi w:val="0"/>
              <w:spacing w:before="0" w:after="283"/>
              <w:jc w:val="right"/>
              <w:rPr/>
            </w:pPr>
            <w:r>
              <w:rPr/>
              <w:t>$0</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bookmarkStart w:id="203" w:name="xdx_981_eecd--AdjToCompAmt_c20210101__20"/>
            <w:bookmarkEnd w:id="203"/>
          </w:p>
        </w:tc>
        <w:tc>
          <w:tcPr>
            <w:tcW w:w="1235" w:type="dxa"/>
            <w:tcBorders>
              <w:bottom w:val="single" w:sz="2" w:space="0" w:color="000000"/>
            </w:tcBorders>
            <w:tcMar>
              <w:bottom w:w="40" w:type="dxa"/>
            </w:tcMar>
            <w:vAlign w:val="center"/>
          </w:tcPr>
          <w:p>
            <w:pPr>
              <w:pStyle w:val="TableContents"/>
              <w:bidi w:val="0"/>
              <w:spacing w:before="0" w:after="283"/>
              <w:jc w:val="right"/>
              <w:rPr/>
            </w:pPr>
            <w:r>
              <w:rPr/>
              <w:t>$1,461,448</w:t>
            </w:r>
          </w:p>
        </w:tc>
      </w:tr>
      <w:tr>
        <w:trPr/>
        <w:tc>
          <w:tcPr>
            <w:tcW w:w="75" w:type="dxa"/>
            <w:tcBorders/>
            <w:vAlign w:val="center"/>
          </w:tcPr>
          <w:p>
            <w:pPr>
              <w:pStyle w:val="TableContents"/>
              <w:bidi w:val="0"/>
              <w:spacing w:before="0" w:after="283"/>
              <w:ind w:left="0" w:right="0" w:hanging="200"/>
              <w:jc w:val="left"/>
              <w:rPr/>
            </w:pPr>
            <w:r>
              <w:rPr/>
              <w:t> </w:t>
            </w:r>
          </w:p>
        </w:tc>
        <w:tc>
          <w:tcPr>
            <w:tcW w:w="2560" w:type="dxa"/>
            <w:tcBorders>
              <w:bottom w:val="single" w:sz="2" w:space="0" w:color="000000"/>
            </w:tcBorders>
            <w:shd w:fill="EDEDEE" w:val="clear"/>
            <w:tcMar>
              <w:bottom w:w="40" w:type="dxa"/>
            </w:tcMar>
            <w:vAlign w:val="center"/>
          </w:tcPr>
          <w:p>
            <w:pPr>
              <w:pStyle w:val="TableContents"/>
              <w:bidi w:val="0"/>
              <w:spacing w:before="0" w:after="283"/>
              <w:jc w:val="left"/>
              <w:rPr/>
            </w:pPr>
            <w:r>
              <w:rPr/>
              <w:t>Total Deductions from SCT</w:t>
            </w:r>
          </w:p>
        </w:tc>
        <w:tc>
          <w:tcPr>
            <w:tcW w:w="300" w:type="dxa"/>
            <w:tcBorders>
              <w:bottom w:val="single" w:sz="2" w:space="0" w:color="000000"/>
            </w:tcBorders>
            <w:shd w:fill="EDEDEE" w:val="clear"/>
            <w:tcMar>
              <w:bottom w:w="40" w:type="dxa"/>
            </w:tcMar>
            <w:vAlign w:val="center"/>
          </w:tcPr>
          <w:p>
            <w:pPr>
              <w:pStyle w:val="TableContents"/>
              <w:bidi w:val="0"/>
              <w:spacing w:before="0" w:after="283"/>
              <w:jc w:val="left"/>
              <w:rPr/>
            </w:pPr>
            <w:r>
              <w:rPr/>
              <w:t> </w:t>
            </w:r>
            <w:bookmarkStart w:id="204" w:name="xdx_98F_eecd--AdjToCompAmt_c20250101__20"/>
            <w:bookmarkEnd w:id="204"/>
          </w:p>
        </w:tc>
        <w:tc>
          <w:tcPr>
            <w:tcW w:w="1220" w:type="dxa"/>
            <w:tcBorders>
              <w:bottom w:val="single" w:sz="2" w:space="0" w:color="000000"/>
            </w:tcBorders>
            <w:shd w:fill="EDEDEE" w:val="clear"/>
            <w:tcMar>
              <w:bottom w:w="40" w:type="dxa"/>
            </w:tcMar>
            <w:vAlign w:val="center"/>
          </w:tcPr>
          <w:p>
            <w:pPr>
              <w:pStyle w:val="TableContents"/>
              <w:bidi w:val="0"/>
              <w:spacing w:before="0" w:after="283"/>
              <w:jc w:val="right"/>
              <w:rPr/>
            </w:pPr>
            <w:r>
              <w:rPr/>
              <w:t>$4,643,008</w:t>
            </w:r>
          </w:p>
        </w:tc>
        <w:tc>
          <w:tcPr>
            <w:tcW w:w="300" w:type="dxa"/>
            <w:tcBorders>
              <w:bottom w:val="single" w:sz="2" w:space="0" w:color="000000"/>
            </w:tcBorders>
            <w:shd w:fill="EDEDEE" w:val="clear"/>
            <w:tcMar>
              <w:bottom w:w="40" w:type="dxa"/>
            </w:tcMar>
            <w:vAlign w:val="center"/>
          </w:tcPr>
          <w:p>
            <w:pPr>
              <w:pStyle w:val="TableContents"/>
              <w:bidi w:val="0"/>
              <w:spacing w:before="0" w:after="283"/>
              <w:jc w:val="left"/>
              <w:rPr/>
            </w:pPr>
            <w:r>
              <w:rPr/>
              <w:t> </w:t>
            </w:r>
            <w:bookmarkStart w:id="205" w:name="xdx_98D_eecd--AdjToCompAmt_c20240101__20"/>
            <w:bookmarkEnd w:id="205"/>
          </w:p>
        </w:tc>
        <w:tc>
          <w:tcPr>
            <w:tcW w:w="1220" w:type="dxa"/>
            <w:tcBorders>
              <w:bottom w:val="single" w:sz="2" w:space="0" w:color="000000"/>
            </w:tcBorders>
            <w:shd w:fill="EDEDEE" w:val="clear"/>
            <w:tcMar>
              <w:bottom w:w="40" w:type="dxa"/>
            </w:tcMar>
            <w:vAlign w:val="center"/>
          </w:tcPr>
          <w:p>
            <w:pPr>
              <w:pStyle w:val="TableContents"/>
              <w:bidi w:val="0"/>
              <w:spacing w:before="0" w:after="283"/>
              <w:jc w:val="right"/>
              <w:rPr/>
            </w:pPr>
            <w:r>
              <w:rPr/>
              <w:t>$4,205,922</w:t>
            </w:r>
          </w:p>
        </w:tc>
        <w:tc>
          <w:tcPr>
            <w:tcW w:w="300" w:type="dxa"/>
            <w:tcBorders>
              <w:bottom w:val="single" w:sz="2" w:space="0" w:color="000000"/>
            </w:tcBorders>
            <w:shd w:fill="EDEDEE" w:val="clear"/>
            <w:tcMar>
              <w:bottom w:w="40" w:type="dxa"/>
            </w:tcMar>
            <w:vAlign w:val="center"/>
          </w:tcPr>
          <w:p>
            <w:pPr>
              <w:pStyle w:val="TableContents"/>
              <w:bidi w:val="0"/>
              <w:spacing w:before="0" w:after="283"/>
              <w:jc w:val="left"/>
              <w:rPr/>
            </w:pPr>
            <w:r>
              <w:rPr/>
              <w:t> </w:t>
            </w:r>
            <w:bookmarkStart w:id="206" w:name="xdx_982_eecd--AdjToCompAmt_c20230101__20"/>
            <w:bookmarkEnd w:id="206"/>
          </w:p>
        </w:tc>
        <w:tc>
          <w:tcPr>
            <w:tcW w:w="1175" w:type="dxa"/>
            <w:tcBorders>
              <w:bottom w:val="single" w:sz="2" w:space="0" w:color="000000"/>
            </w:tcBorders>
            <w:shd w:fill="EDEDEE" w:val="clear"/>
            <w:tcMar>
              <w:bottom w:w="40" w:type="dxa"/>
            </w:tcMar>
            <w:vAlign w:val="center"/>
          </w:tcPr>
          <w:p>
            <w:pPr>
              <w:pStyle w:val="TableContents"/>
              <w:bidi w:val="0"/>
              <w:spacing w:before="0" w:after="283"/>
              <w:jc w:val="right"/>
              <w:rPr/>
            </w:pPr>
            <w:r>
              <w:rPr/>
              <w:t>$5,978,534</w:t>
            </w:r>
          </w:p>
        </w:tc>
        <w:tc>
          <w:tcPr>
            <w:tcW w:w="300" w:type="dxa"/>
            <w:tcBorders>
              <w:bottom w:val="single" w:sz="2" w:space="0" w:color="000000"/>
            </w:tcBorders>
            <w:shd w:fill="EDEDEE" w:val="clear"/>
            <w:tcMar>
              <w:bottom w:w="40" w:type="dxa"/>
            </w:tcMar>
            <w:vAlign w:val="center"/>
          </w:tcPr>
          <w:p>
            <w:pPr>
              <w:pStyle w:val="TableContents"/>
              <w:bidi w:val="0"/>
              <w:spacing w:before="0" w:after="283"/>
              <w:jc w:val="left"/>
              <w:rPr/>
            </w:pPr>
            <w:r>
              <w:rPr/>
              <w:t> </w:t>
            </w:r>
            <w:bookmarkStart w:id="207" w:name="xdx_98D_eecd--AdjToCompAmt_c20220101__20"/>
            <w:bookmarkEnd w:id="207"/>
          </w:p>
        </w:tc>
        <w:tc>
          <w:tcPr>
            <w:tcW w:w="1220" w:type="dxa"/>
            <w:tcBorders>
              <w:bottom w:val="single" w:sz="2" w:space="0" w:color="000000"/>
            </w:tcBorders>
            <w:shd w:fill="EDEDEE" w:val="clear"/>
            <w:tcMar>
              <w:bottom w:w="40" w:type="dxa"/>
            </w:tcMar>
            <w:vAlign w:val="center"/>
          </w:tcPr>
          <w:p>
            <w:pPr>
              <w:pStyle w:val="TableContents"/>
              <w:bidi w:val="0"/>
              <w:spacing w:before="0" w:after="283"/>
              <w:jc w:val="right"/>
              <w:rPr/>
            </w:pPr>
            <w:r>
              <w:rPr/>
              <w:t>$5,432,667</w:t>
            </w:r>
          </w:p>
        </w:tc>
        <w:tc>
          <w:tcPr>
            <w:tcW w:w="300" w:type="dxa"/>
            <w:tcBorders>
              <w:bottom w:val="single" w:sz="2" w:space="0" w:color="000000"/>
            </w:tcBorders>
            <w:shd w:fill="EDEDEE" w:val="clear"/>
            <w:tcMar>
              <w:bottom w:w="40" w:type="dxa"/>
            </w:tcMar>
            <w:vAlign w:val="center"/>
          </w:tcPr>
          <w:p>
            <w:pPr>
              <w:pStyle w:val="TableContents"/>
              <w:bidi w:val="0"/>
              <w:spacing w:before="0" w:after="283"/>
              <w:jc w:val="left"/>
              <w:rPr/>
            </w:pPr>
            <w:r>
              <w:rPr/>
              <w:t> </w:t>
            </w:r>
            <w:bookmarkStart w:id="208" w:name="xdx_98D_eecd--AdjToCompAmt_c20210101__20"/>
            <w:bookmarkEnd w:id="208"/>
          </w:p>
        </w:tc>
        <w:tc>
          <w:tcPr>
            <w:tcW w:w="1235" w:type="dxa"/>
            <w:tcBorders>
              <w:bottom w:val="single" w:sz="2" w:space="0" w:color="000000"/>
            </w:tcBorders>
            <w:shd w:fill="EDEDEE" w:val="clear"/>
            <w:tcMar>
              <w:bottom w:w="40" w:type="dxa"/>
            </w:tcMar>
            <w:vAlign w:val="center"/>
          </w:tcPr>
          <w:p>
            <w:pPr>
              <w:pStyle w:val="TableContents"/>
              <w:bidi w:val="0"/>
              <w:spacing w:before="0" w:after="283"/>
              <w:jc w:val="right"/>
              <w:rPr/>
            </w:pPr>
            <w:r>
              <w:rPr/>
              <w:t>$6,944,629</w:t>
            </w:r>
          </w:p>
        </w:tc>
      </w:tr>
      <w:tr>
        <w:trPr/>
        <w:tc>
          <w:tcPr>
            <w:tcW w:w="75" w:type="dxa"/>
            <w:tcBorders/>
            <w:vAlign w:val="center"/>
          </w:tcPr>
          <w:p>
            <w:pPr>
              <w:pStyle w:val="TableContents"/>
              <w:bidi w:val="0"/>
              <w:spacing w:before="0" w:after="283"/>
              <w:jc w:val="left"/>
              <w:rPr/>
            </w:pPr>
            <w:r>
              <w:rPr/>
              <w:t> </w:t>
            </w:r>
          </w:p>
        </w:tc>
        <w:tc>
          <w:tcPr>
            <w:tcW w:w="2560" w:type="dxa"/>
            <w:tcBorders>
              <w:bottom w:val="single" w:sz="2" w:space="0" w:color="000000"/>
            </w:tcBorders>
            <w:tcMar>
              <w:bottom w:w="40" w:type="dxa"/>
            </w:tcMar>
            <w:vAlign w:val="center"/>
          </w:tcPr>
          <w:p>
            <w:pPr>
              <w:pStyle w:val="TableContents"/>
              <w:bidi w:val="0"/>
              <w:spacing w:before="0" w:after="283"/>
              <w:jc w:val="left"/>
              <w:rPr/>
            </w:pPr>
            <w:r>
              <w:rPr/>
              <w:t>Fair Value of Awards Granted During Year and Unvested as of Year-End</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bookmarkStart w:id="209" w:name="xdx_98A_eecd--AdjToCompAmt_c20250101__20"/>
            <w:bookmarkEnd w:id="209"/>
          </w:p>
        </w:tc>
        <w:tc>
          <w:tcPr>
            <w:tcW w:w="1220" w:type="dxa"/>
            <w:tcBorders>
              <w:bottom w:val="single" w:sz="2" w:space="0" w:color="000000"/>
            </w:tcBorders>
            <w:tcMar>
              <w:bottom w:w="40" w:type="dxa"/>
            </w:tcMar>
            <w:vAlign w:val="center"/>
          </w:tcPr>
          <w:p>
            <w:pPr>
              <w:pStyle w:val="TableContents"/>
              <w:bidi w:val="0"/>
              <w:spacing w:before="0" w:after="283"/>
              <w:jc w:val="right"/>
              <w:rPr/>
            </w:pPr>
            <w:r>
              <w:rPr/>
              <w:t>$9,667,096</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bookmarkStart w:id="210" w:name="xdx_986_eecd--AdjToCompAmt_c20240101__20"/>
            <w:bookmarkEnd w:id="210"/>
          </w:p>
        </w:tc>
        <w:tc>
          <w:tcPr>
            <w:tcW w:w="1220" w:type="dxa"/>
            <w:tcBorders>
              <w:bottom w:val="single" w:sz="2" w:space="0" w:color="000000"/>
            </w:tcBorders>
            <w:tcMar>
              <w:bottom w:w="40" w:type="dxa"/>
            </w:tcMar>
            <w:vAlign w:val="center"/>
          </w:tcPr>
          <w:p>
            <w:pPr>
              <w:pStyle w:val="TableContents"/>
              <w:bidi w:val="0"/>
              <w:spacing w:before="0" w:after="283"/>
              <w:jc w:val="right"/>
              <w:rPr/>
            </w:pPr>
            <w:r>
              <w:rPr/>
              <w:t>$7,271,020</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bookmarkStart w:id="211" w:name="xdx_987_eecd--AdjToCompAmt_c20230101__20"/>
            <w:bookmarkEnd w:id="211"/>
          </w:p>
        </w:tc>
        <w:tc>
          <w:tcPr>
            <w:tcW w:w="1175" w:type="dxa"/>
            <w:tcBorders>
              <w:bottom w:val="single" w:sz="2" w:space="0" w:color="000000"/>
            </w:tcBorders>
            <w:tcMar>
              <w:bottom w:w="40" w:type="dxa"/>
            </w:tcMar>
            <w:vAlign w:val="center"/>
          </w:tcPr>
          <w:p>
            <w:pPr>
              <w:pStyle w:val="TableContents"/>
              <w:bidi w:val="0"/>
              <w:spacing w:before="0" w:after="283"/>
              <w:jc w:val="right"/>
              <w:rPr/>
            </w:pPr>
            <w:r>
              <w:rPr/>
              <w:t>$3,118,865</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bookmarkStart w:id="212" w:name="xdx_984_eecd--AdjToCompAmt_c20220101__20"/>
            <w:bookmarkEnd w:id="212"/>
          </w:p>
        </w:tc>
        <w:tc>
          <w:tcPr>
            <w:tcW w:w="1220" w:type="dxa"/>
            <w:tcBorders>
              <w:bottom w:val="single" w:sz="2" w:space="0" w:color="000000"/>
            </w:tcBorders>
            <w:tcMar>
              <w:bottom w:w="40" w:type="dxa"/>
            </w:tcMar>
            <w:vAlign w:val="center"/>
          </w:tcPr>
          <w:p>
            <w:pPr>
              <w:pStyle w:val="TableContents"/>
              <w:bidi w:val="0"/>
              <w:spacing w:before="0" w:after="283"/>
              <w:jc w:val="right"/>
              <w:rPr/>
            </w:pPr>
            <w:r>
              <w:rPr/>
              <w:t>$6,246,737</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bookmarkStart w:id="213" w:name="xdx_989_eecd--AdjToCompAmt_c20210101__20"/>
            <w:bookmarkEnd w:id="213"/>
          </w:p>
        </w:tc>
        <w:tc>
          <w:tcPr>
            <w:tcW w:w="1235" w:type="dxa"/>
            <w:tcBorders>
              <w:bottom w:val="single" w:sz="2" w:space="0" w:color="000000"/>
            </w:tcBorders>
            <w:tcMar>
              <w:bottom w:w="40" w:type="dxa"/>
            </w:tcMar>
            <w:vAlign w:val="center"/>
          </w:tcPr>
          <w:p>
            <w:pPr>
              <w:pStyle w:val="TableContents"/>
              <w:bidi w:val="0"/>
              <w:spacing w:before="0" w:after="283"/>
              <w:jc w:val="right"/>
              <w:rPr/>
            </w:pPr>
            <w:r>
              <w:rPr/>
              <w:t>$6,453,006</w:t>
            </w:r>
          </w:p>
        </w:tc>
      </w:tr>
      <w:tr>
        <w:trPr/>
        <w:tc>
          <w:tcPr>
            <w:tcW w:w="75" w:type="dxa"/>
            <w:tcBorders/>
            <w:vAlign w:val="center"/>
          </w:tcPr>
          <w:p>
            <w:pPr>
              <w:pStyle w:val="TableContents"/>
              <w:bidi w:val="0"/>
              <w:spacing w:before="0" w:after="283"/>
              <w:ind w:left="0" w:right="0" w:hanging="200"/>
              <w:jc w:val="left"/>
              <w:rPr/>
            </w:pPr>
            <w:r>
              <w:rPr/>
              <w:t> </w:t>
            </w:r>
          </w:p>
        </w:tc>
        <w:tc>
          <w:tcPr>
            <w:tcW w:w="2560" w:type="dxa"/>
            <w:tcBorders>
              <w:bottom w:val="single" w:sz="2" w:space="0" w:color="000000"/>
            </w:tcBorders>
            <w:tcMar>
              <w:bottom w:w="40" w:type="dxa"/>
            </w:tcMar>
            <w:vAlign w:val="center"/>
          </w:tcPr>
          <w:p>
            <w:pPr>
              <w:pStyle w:val="TableContents"/>
              <w:bidi w:val="0"/>
              <w:spacing w:before="0" w:after="283"/>
              <w:jc w:val="left"/>
              <w:rPr/>
            </w:pPr>
            <w:r>
              <w:rPr/>
              <w:t>Fair Value of Awards Granted and Vested During the Year</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bookmarkStart w:id="214" w:name="xdx_987_eecd--AdjToCompAmt_c20250101__20"/>
            <w:bookmarkEnd w:id="214"/>
          </w:p>
        </w:tc>
        <w:tc>
          <w:tcPr>
            <w:tcW w:w="1220" w:type="dxa"/>
            <w:tcBorders>
              <w:bottom w:val="single" w:sz="2" w:space="0" w:color="000000"/>
            </w:tcBorders>
            <w:tcMar>
              <w:bottom w:w="40" w:type="dxa"/>
            </w:tcMar>
            <w:vAlign w:val="center"/>
          </w:tcPr>
          <w:p>
            <w:pPr>
              <w:pStyle w:val="TableContents"/>
              <w:bidi w:val="0"/>
              <w:spacing w:before="0" w:after="283"/>
              <w:jc w:val="right"/>
              <w:rPr/>
            </w:pPr>
            <w:r>
              <w:rPr/>
              <w:t>$0</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bookmarkStart w:id="215" w:name="xdx_982_eecd--AdjToCompAmt_c20240101__20"/>
            <w:bookmarkEnd w:id="215"/>
          </w:p>
        </w:tc>
        <w:tc>
          <w:tcPr>
            <w:tcW w:w="1220" w:type="dxa"/>
            <w:tcBorders>
              <w:bottom w:val="single" w:sz="2" w:space="0" w:color="000000"/>
            </w:tcBorders>
            <w:tcMar>
              <w:bottom w:w="40" w:type="dxa"/>
            </w:tcMar>
            <w:vAlign w:val="center"/>
          </w:tcPr>
          <w:p>
            <w:pPr>
              <w:pStyle w:val="TableContents"/>
              <w:bidi w:val="0"/>
              <w:spacing w:before="0" w:after="283"/>
              <w:jc w:val="right"/>
              <w:rPr/>
            </w:pPr>
            <w:r>
              <w:rPr/>
              <w:t>$0</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bookmarkStart w:id="216" w:name="xdx_988_eecd--AdjToCompAmt_c20230101__20"/>
            <w:bookmarkEnd w:id="216"/>
          </w:p>
        </w:tc>
        <w:tc>
          <w:tcPr>
            <w:tcW w:w="1175" w:type="dxa"/>
            <w:tcBorders>
              <w:bottom w:val="single" w:sz="2" w:space="0" w:color="000000"/>
            </w:tcBorders>
            <w:tcMar>
              <w:bottom w:w="40" w:type="dxa"/>
            </w:tcMar>
            <w:vAlign w:val="center"/>
          </w:tcPr>
          <w:p>
            <w:pPr>
              <w:pStyle w:val="TableContents"/>
              <w:bidi w:val="0"/>
              <w:spacing w:before="0" w:after="283"/>
              <w:jc w:val="right"/>
              <w:rPr/>
            </w:pPr>
            <w:r>
              <w:rPr/>
              <w:t>$0</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bookmarkStart w:id="217" w:name="xdx_984_eecd--AdjToCompAmt_c20220101__20"/>
            <w:bookmarkEnd w:id="217"/>
          </w:p>
        </w:tc>
        <w:tc>
          <w:tcPr>
            <w:tcW w:w="1220" w:type="dxa"/>
            <w:tcBorders>
              <w:bottom w:val="single" w:sz="2" w:space="0" w:color="000000"/>
            </w:tcBorders>
            <w:tcMar>
              <w:bottom w:w="40" w:type="dxa"/>
            </w:tcMar>
            <w:vAlign w:val="center"/>
          </w:tcPr>
          <w:p>
            <w:pPr>
              <w:pStyle w:val="TableContents"/>
              <w:bidi w:val="0"/>
              <w:spacing w:before="0" w:after="283"/>
              <w:jc w:val="right"/>
              <w:rPr/>
            </w:pPr>
            <w:r>
              <w:rPr/>
              <w:t>$0</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bookmarkStart w:id="218" w:name="xdx_98A_eecd--AdjToCompAmt_c20210101__20"/>
            <w:bookmarkEnd w:id="218"/>
          </w:p>
        </w:tc>
        <w:tc>
          <w:tcPr>
            <w:tcW w:w="1235" w:type="dxa"/>
            <w:tcBorders>
              <w:bottom w:val="single" w:sz="2" w:space="0" w:color="000000"/>
            </w:tcBorders>
            <w:tcMar>
              <w:bottom w:w="40" w:type="dxa"/>
            </w:tcMar>
            <w:vAlign w:val="center"/>
          </w:tcPr>
          <w:p>
            <w:pPr>
              <w:pStyle w:val="TableContents"/>
              <w:bidi w:val="0"/>
              <w:spacing w:before="0" w:after="283"/>
              <w:jc w:val="right"/>
              <w:rPr/>
            </w:pPr>
            <w:r>
              <w:rPr/>
              <w:t>$0</w:t>
            </w:r>
          </w:p>
        </w:tc>
      </w:tr>
      <w:tr>
        <w:trPr/>
        <w:tc>
          <w:tcPr>
            <w:tcW w:w="75" w:type="dxa"/>
            <w:tcBorders/>
            <w:vAlign w:val="center"/>
          </w:tcPr>
          <w:p>
            <w:pPr>
              <w:pStyle w:val="TableContents"/>
              <w:bidi w:val="0"/>
              <w:spacing w:before="0" w:after="283"/>
              <w:jc w:val="left"/>
              <w:rPr/>
            </w:pPr>
            <w:r>
              <w:rPr/>
              <w:t> </w:t>
            </w:r>
          </w:p>
        </w:tc>
        <w:tc>
          <w:tcPr>
            <w:tcW w:w="2560" w:type="dxa"/>
            <w:tcBorders>
              <w:bottom w:val="single" w:sz="2" w:space="0" w:color="000000"/>
            </w:tcBorders>
            <w:tcMar>
              <w:bottom w:w="40" w:type="dxa"/>
            </w:tcMar>
            <w:vAlign w:val="center"/>
          </w:tcPr>
          <w:p>
            <w:pPr>
              <w:pStyle w:val="TableContents"/>
              <w:bidi w:val="0"/>
              <w:spacing w:before="0" w:after="283"/>
              <w:jc w:val="left"/>
              <w:rPr/>
            </w:pPr>
            <w:r>
              <w:rPr/>
              <w:t>Change in Fair Value of Prior Year Awards Unvested as of Year-End</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bookmarkStart w:id="219" w:name="xdx_98B_eecd--AdjToCompAmt_c20250101__20"/>
            <w:bookmarkEnd w:id="219"/>
          </w:p>
        </w:tc>
        <w:tc>
          <w:tcPr>
            <w:tcW w:w="1220" w:type="dxa"/>
            <w:tcBorders>
              <w:bottom w:val="single" w:sz="2" w:space="0" w:color="000000"/>
            </w:tcBorders>
            <w:tcMar>
              <w:bottom w:w="40" w:type="dxa"/>
            </w:tcMar>
            <w:vAlign w:val="center"/>
          </w:tcPr>
          <w:p>
            <w:pPr>
              <w:pStyle w:val="TableContents"/>
              <w:bidi w:val="0"/>
              <w:spacing w:before="0" w:after="283"/>
              <w:jc w:val="right"/>
              <w:rPr/>
            </w:pPr>
            <w:r>
              <w:rPr/>
              <w:t>$12,096,356</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bookmarkStart w:id="220" w:name="xdx_982_eecd--AdjToCompAmt_c20240101__20"/>
            <w:bookmarkEnd w:id="220"/>
          </w:p>
        </w:tc>
        <w:tc>
          <w:tcPr>
            <w:tcW w:w="1220" w:type="dxa"/>
            <w:tcBorders>
              <w:bottom w:val="single" w:sz="2" w:space="0" w:color="000000"/>
            </w:tcBorders>
            <w:tcMar>
              <w:bottom w:w="40" w:type="dxa"/>
            </w:tcMar>
            <w:vAlign w:val="center"/>
          </w:tcPr>
          <w:p>
            <w:pPr>
              <w:pStyle w:val="TableContents"/>
              <w:bidi w:val="0"/>
              <w:spacing w:before="0" w:after="283"/>
              <w:jc w:val="right"/>
              <w:rPr/>
            </w:pPr>
            <w:r>
              <w:rPr/>
              <w:t>$4,596,314</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bookmarkStart w:id="221" w:name="xdx_98C_eecd--AdjToCompAmt_c20230101__20"/>
            <w:bookmarkEnd w:id="221"/>
          </w:p>
        </w:tc>
        <w:tc>
          <w:tcPr>
            <w:tcW w:w="1175" w:type="dxa"/>
            <w:tcBorders>
              <w:bottom w:val="single" w:sz="2" w:space="0" w:color="000000"/>
            </w:tcBorders>
            <w:tcMar>
              <w:bottom w:w="40" w:type="dxa"/>
            </w:tcMar>
            <w:vAlign w:val="center"/>
          </w:tcPr>
          <w:p>
            <w:pPr>
              <w:pStyle w:val="TableContents"/>
              <w:bidi w:val="0"/>
              <w:spacing w:before="0" w:after="283"/>
              <w:jc w:val="right"/>
              <w:rPr/>
            </w:pPr>
            <w:r>
              <w:rPr/>
              <w:t>-$5,105,124</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bookmarkStart w:id="222" w:name="xdx_987_eecd--AdjToCompAmt_c20220101__20"/>
            <w:bookmarkEnd w:id="222"/>
          </w:p>
        </w:tc>
        <w:tc>
          <w:tcPr>
            <w:tcW w:w="1220" w:type="dxa"/>
            <w:tcBorders>
              <w:bottom w:val="single" w:sz="2" w:space="0" w:color="000000"/>
            </w:tcBorders>
            <w:tcMar>
              <w:bottom w:w="40" w:type="dxa"/>
            </w:tcMar>
            <w:vAlign w:val="center"/>
          </w:tcPr>
          <w:p>
            <w:pPr>
              <w:pStyle w:val="TableContents"/>
              <w:bidi w:val="0"/>
              <w:spacing w:before="0" w:after="283"/>
              <w:jc w:val="right"/>
              <w:rPr/>
            </w:pPr>
            <w:r>
              <w:rPr/>
              <w:t>$3,459,419</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bookmarkStart w:id="223" w:name="xdx_985_eecd--AdjToCompAmt_c20210101__20"/>
            <w:bookmarkEnd w:id="223"/>
          </w:p>
        </w:tc>
        <w:tc>
          <w:tcPr>
            <w:tcW w:w="1235" w:type="dxa"/>
            <w:tcBorders>
              <w:bottom w:val="single" w:sz="2" w:space="0" w:color="000000"/>
            </w:tcBorders>
            <w:tcMar>
              <w:bottom w:w="40" w:type="dxa"/>
            </w:tcMar>
            <w:vAlign w:val="center"/>
          </w:tcPr>
          <w:p>
            <w:pPr>
              <w:pStyle w:val="TableContents"/>
              <w:bidi w:val="0"/>
              <w:spacing w:before="0" w:after="283"/>
              <w:jc w:val="right"/>
              <w:rPr/>
            </w:pPr>
            <w:r>
              <w:rPr/>
              <w:t>$1,880,243</w:t>
            </w:r>
          </w:p>
        </w:tc>
      </w:tr>
      <w:tr>
        <w:trPr/>
        <w:tc>
          <w:tcPr>
            <w:tcW w:w="75" w:type="dxa"/>
            <w:tcBorders/>
            <w:vAlign w:val="center"/>
          </w:tcPr>
          <w:p>
            <w:pPr>
              <w:pStyle w:val="TableContents"/>
              <w:bidi w:val="0"/>
              <w:spacing w:before="0" w:after="283"/>
              <w:jc w:val="left"/>
              <w:rPr/>
            </w:pPr>
            <w:r>
              <w:rPr/>
              <w:t> </w:t>
            </w:r>
          </w:p>
        </w:tc>
        <w:tc>
          <w:tcPr>
            <w:tcW w:w="2560" w:type="dxa"/>
            <w:tcBorders>
              <w:bottom w:val="single" w:sz="2" w:space="0" w:color="000000"/>
            </w:tcBorders>
            <w:tcMar>
              <w:bottom w:w="40" w:type="dxa"/>
            </w:tcMar>
            <w:vAlign w:val="center"/>
          </w:tcPr>
          <w:p>
            <w:pPr>
              <w:pStyle w:val="TableContents"/>
              <w:bidi w:val="0"/>
              <w:spacing w:before="0" w:after="283"/>
              <w:jc w:val="left"/>
              <w:rPr/>
            </w:pPr>
            <w:r>
              <w:rPr/>
              <w:t>Change in Fair Value of Prior Year Awards that Vested During Year</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bookmarkStart w:id="224" w:name="xdx_981_eecd--AdjToCompAmt_c20250101__20"/>
            <w:bookmarkEnd w:id="224"/>
          </w:p>
        </w:tc>
        <w:tc>
          <w:tcPr>
            <w:tcW w:w="1220" w:type="dxa"/>
            <w:tcBorders>
              <w:bottom w:val="single" w:sz="2" w:space="0" w:color="000000"/>
            </w:tcBorders>
            <w:tcMar>
              <w:bottom w:w="40" w:type="dxa"/>
            </w:tcMar>
            <w:vAlign w:val="center"/>
          </w:tcPr>
          <w:p>
            <w:pPr>
              <w:pStyle w:val="TableContents"/>
              <w:bidi w:val="0"/>
              <w:spacing w:before="0" w:after="283"/>
              <w:jc w:val="right"/>
              <w:rPr/>
            </w:pPr>
            <w:r>
              <w:rPr/>
              <w:t>$318,509</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bookmarkStart w:id="225" w:name="xdx_985_eecd--AdjToCompAmt_c20240101__20"/>
            <w:bookmarkEnd w:id="225"/>
          </w:p>
        </w:tc>
        <w:tc>
          <w:tcPr>
            <w:tcW w:w="1220" w:type="dxa"/>
            <w:tcBorders>
              <w:bottom w:val="single" w:sz="2" w:space="0" w:color="000000"/>
            </w:tcBorders>
            <w:tcMar>
              <w:bottom w:w="40" w:type="dxa"/>
            </w:tcMar>
            <w:vAlign w:val="center"/>
          </w:tcPr>
          <w:p>
            <w:pPr>
              <w:pStyle w:val="TableContents"/>
              <w:bidi w:val="0"/>
              <w:spacing w:before="0" w:after="283"/>
              <w:jc w:val="right"/>
              <w:rPr/>
            </w:pPr>
            <w:r>
              <w:rPr/>
              <w:t>$335,076</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bookmarkStart w:id="226" w:name="xdx_984_eecd--AdjToCompAmt_c20230101__20"/>
            <w:bookmarkEnd w:id="226"/>
          </w:p>
        </w:tc>
        <w:tc>
          <w:tcPr>
            <w:tcW w:w="1175" w:type="dxa"/>
            <w:tcBorders>
              <w:bottom w:val="single" w:sz="2" w:space="0" w:color="000000"/>
            </w:tcBorders>
            <w:tcMar>
              <w:bottom w:w="40" w:type="dxa"/>
            </w:tcMar>
            <w:vAlign w:val="center"/>
          </w:tcPr>
          <w:p>
            <w:pPr>
              <w:pStyle w:val="TableContents"/>
              <w:bidi w:val="0"/>
              <w:spacing w:before="0" w:after="283"/>
              <w:jc w:val="right"/>
              <w:rPr/>
            </w:pPr>
            <w:r>
              <w:rPr/>
              <w:t>-$150,609</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bookmarkStart w:id="227" w:name="xdx_98C_eecd--AdjToCompAmt_c20220101__20"/>
            <w:bookmarkEnd w:id="227"/>
          </w:p>
        </w:tc>
        <w:tc>
          <w:tcPr>
            <w:tcW w:w="1220" w:type="dxa"/>
            <w:tcBorders>
              <w:bottom w:val="single" w:sz="2" w:space="0" w:color="000000"/>
            </w:tcBorders>
            <w:tcMar>
              <w:bottom w:w="40" w:type="dxa"/>
            </w:tcMar>
            <w:vAlign w:val="center"/>
          </w:tcPr>
          <w:p>
            <w:pPr>
              <w:pStyle w:val="TableContents"/>
              <w:bidi w:val="0"/>
              <w:spacing w:before="0" w:after="283"/>
              <w:jc w:val="right"/>
              <w:rPr/>
            </w:pPr>
            <w:r>
              <w:rPr/>
              <w:t>$440,110</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bookmarkStart w:id="228" w:name="xdx_98D_eecd--AdjToCompAmt_c20210101__20"/>
            <w:bookmarkEnd w:id="228"/>
          </w:p>
        </w:tc>
        <w:tc>
          <w:tcPr>
            <w:tcW w:w="1235" w:type="dxa"/>
            <w:tcBorders>
              <w:bottom w:val="single" w:sz="2" w:space="0" w:color="000000"/>
            </w:tcBorders>
            <w:tcMar>
              <w:bottom w:w="40" w:type="dxa"/>
            </w:tcMar>
            <w:vAlign w:val="center"/>
          </w:tcPr>
          <w:p>
            <w:pPr>
              <w:pStyle w:val="TableContents"/>
              <w:bidi w:val="0"/>
              <w:spacing w:before="0" w:after="283"/>
              <w:jc w:val="right"/>
              <w:rPr/>
            </w:pPr>
            <w:r>
              <w:rPr/>
              <w:t>$104,110</w:t>
            </w:r>
          </w:p>
        </w:tc>
      </w:tr>
      <w:tr>
        <w:trPr/>
        <w:tc>
          <w:tcPr>
            <w:tcW w:w="75" w:type="dxa"/>
            <w:tcBorders/>
            <w:vAlign w:val="center"/>
          </w:tcPr>
          <w:p>
            <w:pPr>
              <w:pStyle w:val="TableContents"/>
              <w:bidi w:val="0"/>
              <w:spacing w:before="0" w:after="283"/>
              <w:jc w:val="left"/>
              <w:rPr/>
            </w:pPr>
            <w:r>
              <w:rPr/>
              <w:t> </w:t>
            </w:r>
          </w:p>
        </w:tc>
        <w:tc>
          <w:tcPr>
            <w:tcW w:w="2560" w:type="dxa"/>
            <w:tcBorders>
              <w:bottom w:val="single" w:sz="2" w:space="0" w:color="000000"/>
            </w:tcBorders>
            <w:tcMar>
              <w:bottom w:w="40" w:type="dxa"/>
            </w:tcMar>
            <w:vAlign w:val="center"/>
          </w:tcPr>
          <w:p>
            <w:pPr>
              <w:pStyle w:val="TableContents"/>
              <w:bidi w:val="0"/>
              <w:spacing w:before="0" w:after="283"/>
              <w:jc w:val="left"/>
              <w:rPr/>
            </w:pPr>
            <w:r>
              <w:rPr/>
              <w:t>Change in Fair Value of Prior Year Awards that Forfeited During Year</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bookmarkStart w:id="229" w:name="xdx_987_eecd--AdjToCompAmt_c20250101__20"/>
            <w:bookmarkEnd w:id="229"/>
          </w:p>
        </w:tc>
        <w:tc>
          <w:tcPr>
            <w:tcW w:w="1220" w:type="dxa"/>
            <w:tcBorders>
              <w:bottom w:val="single" w:sz="2" w:space="0" w:color="000000"/>
            </w:tcBorders>
            <w:tcMar>
              <w:bottom w:w="40" w:type="dxa"/>
            </w:tcMar>
            <w:vAlign w:val="center"/>
          </w:tcPr>
          <w:p>
            <w:pPr>
              <w:pStyle w:val="TableContents"/>
              <w:bidi w:val="0"/>
              <w:spacing w:before="0" w:after="283"/>
              <w:jc w:val="right"/>
              <w:rPr/>
            </w:pPr>
            <w:r>
              <w:rPr/>
              <w:t>$0</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bookmarkStart w:id="230" w:name="xdx_98D_eecd--AdjToCompAmt_c20240101__20"/>
            <w:bookmarkEnd w:id="230"/>
          </w:p>
        </w:tc>
        <w:tc>
          <w:tcPr>
            <w:tcW w:w="1220" w:type="dxa"/>
            <w:tcBorders>
              <w:bottom w:val="single" w:sz="2" w:space="0" w:color="000000"/>
            </w:tcBorders>
            <w:tcMar>
              <w:bottom w:w="40" w:type="dxa"/>
            </w:tcMar>
            <w:vAlign w:val="center"/>
          </w:tcPr>
          <w:p>
            <w:pPr>
              <w:pStyle w:val="TableContents"/>
              <w:bidi w:val="0"/>
              <w:spacing w:before="0" w:after="283"/>
              <w:jc w:val="right"/>
              <w:rPr/>
            </w:pPr>
            <w:r>
              <w:rPr/>
              <w:t>$0</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bookmarkStart w:id="231" w:name="xdx_988_eecd--AdjToCompAmt_c20230101__20"/>
            <w:bookmarkEnd w:id="231"/>
          </w:p>
        </w:tc>
        <w:tc>
          <w:tcPr>
            <w:tcW w:w="1175" w:type="dxa"/>
            <w:tcBorders>
              <w:bottom w:val="single" w:sz="2" w:space="0" w:color="000000"/>
            </w:tcBorders>
            <w:tcMar>
              <w:bottom w:w="40" w:type="dxa"/>
            </w:tcMar>
            <w:vAlign w:val="center"/>
          </w:tcPr>
          <w:p>
            <w:pPr>
              <w:pStyle w:val="TableContents"/>
              <w:bidi w:val="0"/>
              <w:spacing w:before="0" w:after="283"/>
              <w:jc w:val="right"/>
              <w:rPr/>
            </w:pPr>
            <w:r>
              <w:rPr/>
              <w:t>$0</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bookmarkStart w:id="232" w:name="xdx_982_eecd--AdjToCompAmt_c20220101__20"/>
            <w:bookmarkEnd w:id="232"/>
          </w:p>
        </w:tc>
        <w:tc>
          <w:tcPr>
            <w:tcW w:w="1220" w:type="dxa"/>
            <w:tcBorders>
              <w:bottom w:val="single" w:sz="2" w:space="0" w:color="000000"/>
            </w:tcBorders>
            <w:tcMar>
              <w:bottom w:w="40" w:type="dxa"/>
            </w:tcMar>
            <w:vAlign w:val="center"/>
          </w:tcPr>
          <w:p>
            <w:pPr>
              <w:pStyle w:val="TableContents"/>
              <w:bidi w:val="0"/>
              <w:spacing w:before="0" w:after="283"/>
              <w:jc w:val="right"/>
              <w:rPr/>
            </w:pPr>
            <w:r>
              <w:rPr/>
              <w:t>$0</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bookmarkStart w:id="233" w:name="xdx_98A_eecd--AdjToCompAmt_c20210101__20"/>
            <w:bookmarkEnd w:id="233"/>
          </w:p>
        </w:tc>
        <w:tc>
          <w:tcPr>
            <w:tcW w:w="1235" w:type="dxa"/>
            <w:tcBorders>
              <w:bottom w:val="single" w:sz="2" w:space="0" w:color="000000"/>
            </w:tcBorders>
            <w:tcMar>
              <w:bottom w:w="40" w:type="dxa"/>
            </w:tcMar>
            <w:vAlign w:val="center"/>
          </w:tcPr>
          <w:p>
            <w:pPr>
              <w:pStyle w:val="TableContents"/>
              <w:bidi w:val="0"/>
              <w:spacing w:before="0" w:after="283"/>
              <w:jc w:val="right"/>
              <w:rPr/>
            </w:pPr>
            <w:r>
              <w:rPr/>
              <w:t>-$326,443</w:t>
            </w:r>
          </w:p>
        </w:tc>
      </w:tr>
      <w:tr>
        <w:trPr/>
        <w:tc>
          <w:tcPr>
            <w:tcW w:w="75" w:type="dxa"/>
            <w:tcBorders/>
            <w:vAlign w:val="center"/>
          </w:tcPr>
          <w:p>
            <w:pPr>
              <w:pStyle w:val="TableContents"/>
              <w:bidi w:val="0"/>
              <w:spacing w:before="0" w:after="283"/>
              <w:jc w:val="left"/>
              <w:rPr/>
            </w:pPr>
            <w:r>
              <w:rPr/>
              <w:t> </w:t>
            </w:r>
          </w:p>
        </w:tc>
        <w:tc>
          <w:tcPr>
            <w:tcW w:w="2560" w:type="dxa"/>
            <w:tcBorders>
              <w:bottom w:val="single" w:sz="2" w:space="0" w:color="000000"/>
            </w:tcBorders>
            <w:tcMar>
              <w:bottom w:w="40" w:type="dxa"/>
            </w:tcMar>
            <w:vAlign w:val="center"/>
          </w:tcPr>
          <w:p>
            <w:pPr>
              <w:pStyle w:val="TableContents"/>
              <w:bidi w:val="0"/>
              <w:spacing w:before="0" w:after="283"/>
              <w:jc w:val="left"/>
              <w:rPr/>
            </w:pPr>
            <w:r>
              <w:rPr/>
              <w:t>Dividends/Other Earnings Paid on Unvested Awards During Year</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bookmarkStart w:id="234" w:name="xdx_98B_eecd--AdjToCompAmt_c20250101__20"/>
            <w:bookmarkEnd w:id="234"/>
          </w:p>
        </w:tc>
        <w:tc>
          <w:tcPr>
            <w:tcW w:w="1220" w:type="dxa"/>
            <w:tcBorders>
              <w:bottom w:val="single" w:sz="2" w:space="0" w:color="000000"/>
            </w:tcBorders>
            <w:tcMar>
              <w:bottom w:w="40" w:type="dxa"/>
            </w:tcMar>
            <w:vAlign w:val="center"/>
          </w:tcPr>
          <w:p>
            <w:pPr>
              <w:pStyle w:val="TableContents"/>
              <w:bidi w:val="0"/>
              <w:spacing w:before="0" w:after="283"/>
              <w:jc w:val="right"/>
              <w:rPr/>
            </w:pPr>
            <w:r>
              <w:rPr/>
              <w:t>$0</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bookmarkStart w:id="235" w:name="xdx_98F_eecd--AdjToCompAmt_c20240101__20"/>
            <w:bookmarkEnd w:id="235"/>
          </w:p>
        </w:tc>
        <w:tc>
          <w:tcPr>
            <w:tcW w:w="1220" w:type="dxa"/>
            <w:tcBorders>
              <w:bottom w:val="single" w:sz="2" w:space="0" w:color="000000"/>
            </w:tcBorders>
            <w:tcMar>
              <w:bottom w:w="40" w:type="dxa"/>
            </w:tcMar>
            <w:vAlign w:val="center"/>
          </w:tcPr>
          <w:p>
            <w:pPr>
              <w:pStyle w:val="TableContents"/>
              <w:bidi w:val="0"/>
              <w:spacing w:before="0" w:after="283"/>
              <w:jc w:val="right"/>
              <w:rPr/>
            </w:pPr>
            <w:r>
              <w:rPr/>
              <w:t>$0</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bookmarkStart w:id="236" w:name="xdx_988_eecd--AdjToCompAmt_c20230101__20"/>
            <w:bookmarkEnd w:id="236"/>
          </w:p>
        </w:tc>
        <w:tc>
          <w:tcPr>
            <w:tcW w:w="1175" w:type="dxa"/>
            <w:tcBorders>
              <w:bottom w:val="single" w:sz="2" w:space="0" w:color="000000"/>
            </w:tcBorders>
            <w:tcMar>
              <w:bottom w:w="40" w:type="dxa"/>
            </w:tcMar>
            <w:vAlign w:val="center"/>
          </w:tcPr>
          <w:p>
            <w:pPr>
              <w:pStyle w:val="TableContents"/>
              <w:bidi w:val="0"/>
              <w:spacing w:before="0" w:after="283"/>
              <w:jc w:val="right"/>
              <w:rPr/>
            </w:pPr>
            <w:r>
              <w:rPr/>
              <w:t>$26,113</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bookmarkStart w:id="237" w:name="xdx_984_eecd--AdjToCompAmt_c20220101__20"/>
            <w:bookmarkEnd w:id="237"/>
          </w:p>
        </w:tc>
        <w:tc>
          <w:tcPr>
            <w:tcW w:w="1220" w:type="dxa"/>
            <w:tcBorders>
              <w:bottom w:val="single" w:sz="2" w:space="0" w:color="000000"/>
            </w:tcBorders>
            <w:tcMar>
              <w:bottom w:w="40" w:type="dxa"/>
            </w:tcMar>
            <w:vAlign w:val="center"/>
          </w:tcPr>
          <w:p>
            <w:pPr>
              <w:pStyle w:val="TableContents"/>
              <w:bidi w:val="0"/>
              <w:spacing w:before="0" w:after="283"/>
              <w:jc w:val="right"/>
              <w:rPr/>
            </w:pPr>
            <w:r>
              <w:rPr/>
              <w:t>$30,377</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bookmarkStart w:id="238" w:name="xdx_989_eecd--AdjToCompAmt_c20210101__20"/>
            <w:bookmarkEnd w:id="238"/>
          </w:p>
        </w:tc>
        <w:tc>
          <w:tcPr>
            <w:tcW w:w="1235" w:type="dxa"/>
            <w:tcBorders>
              <w:bottom w:val="single" w:sz="2" w:space="0" w:color="000000"/>
            </w:tcBorders>
            <w:tcMar>
              <w:bottom w:w="40" w:type="dxa"/>
            </w:tcMar>
            <w:vAlign w:val="center"/>
          </w:tcPr>
          <w:p>
            <w:pPr>
              <w:pStyle w:val="TableContents"/>
              <w:bidi w:val="0"/>
              <w:spacing w:before="0" w:after="283"/>
              <w:jc w:val="right"/>
              <w:rPr/>
            </w:pPr>
            <w:r>
              <w:rPr/>
              <w:t>$99,047</w:t>
            </w:r>
          </w:p>
        </w:tc>
      </w:tr>
      <w:tr>
        <w:trPr/>
        <w:tc>
          <w:tcPr>
            <w:tcW w:w="75" w:type="dxa"/>
            <w:tcBorders/>
            <w:vAlign w:val="center"/>
          </w:tcPr>
          <w:p>
            <w:pPr>
              <w:pStyle w:val="TableContents"/>
              <w:bidi w:val="0"/>
              <w:spacing w:before="0" w:after="283"/>
              <w:ind w:left="0" w:right="0" w:hanging="200"/>
              <w:jc w:val="left"/>
              <w:rPr/>
            </w:pPr>
            <w:r>
              <w:rPr/>
              <w:t> </w:t>
            </w:r>
          </w:p>
        </w:tc>
        <w:tc>
          <w:tcPr>
            <w:tcW w:w="2560" w:type="dxa"/>
            <w:tcBorders>
              <w:bottom w:val="single" w:sz="2" w:space="0" w:color="000000"/>
            </w:tcBorders>
            <w:tcMar>
              <w:bottom w:w="40" w:type="dxa"/>
            </w:tcMar>
            <w:vAlign w:val="center"/>
          </w:tcPr>
          <w:p>
            <w:pPr>
              <w:pStyle w:val="TableContents"/>
              <w:bidi w:val="0"/>
              <w:spacing w:before="0" w:after="283"/>
              <w:jc w:val="left"/>
              <w:rPr/>
            </w:pPr>
            <w:r>
              <w:rPr/>
              <w:t>Service Cost of Pension Benefits</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bookmarkStart w:id="239" w:name="xdx_988_eecd--AdjToCompAmt_c20250101__20"/>
            <w:bookmarkEnd w:id="239"/>
          </w:p>
        </w:tc>
        <w:tc>
          <w:tcPr>
            <w:tcW w:w="1220" w:type="dxa"/>
            <w:tcBorders>
              <w:bottom w:val="single" w:sz="2" w:space="0" w:color="000000"/>
            </w:tcBorders>
            <w:tcMar>
              <w:bottom w:w="40" w:type="dxa"/>
            </w:tcMar>
            <w:vAlign w:val="center"/>
          </w:tcPr>
          <w:p>
            <w:pPr>
              <w:pStyle w:val="TableContents"/>
              <w:bidi w:val="0"/>
              <w:spacing w:before="0" w:after="283"/>
              <w:jc w:val="right"/>
              <w:rPr/>
            </w:pPr>
            <w:r>
              <w:rPr/>
              <w:t>$0</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bookmarkStart w:id="240" w:name="xdx_98C_eecd--AdjToCompAmt_c20240101__20"/>
            <w:bookmarkEnd w:id="240"/>
          </w:p>
        </w:tc>
        <w:tc>
          <w:tcPr>
            <w:tcW w:w="1220" w:type="dxa"/>
            <w:tcBorders>
              <w:bottom w:val="single" w:sz="2" w:space="0" w:color="000000"/>
            </w:tcBorders>
            <w:tcMar>
              <w:bottom w:w="40" w:type="dxa"/>
            </w:tcMar>
            <w:vAlign w:val="center"/>
          </w:tcPr>
          <w:p>
            <w:pPr>
              <w:pStyle w:val="TableContents"/>
              <w:bidi w:val="0"/>
              <w:spacing w:before="0" w:after="283"/>
              <w:jc w:val="right"/>
              <w:rPr/>
            </w:pPr>
            <w:r>
              <w:rPr/>
              <w:t>$0</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bookmarkStart w:id="241" w:name="xdx_988_eecd--AdjToCompAmt_c20230101__20"/>
            <w:bookmarkEnd w:id="241"/>
          </w:p>
        </w:tc>
        <w:tc>
          <w:tcPr>
            <w:tcW w:w="1175" w:type="dxa"/>
            <w:tcBorders>
              <w:bottom w:val="single" w:sz="2" w:space="0" w:color="000000"/>
            </w:tcBorders>
            <w:tcMar>
              <w:bottom w:w="40" w:type="dxa"/>
            </w:tcMar>
            <w:vAlign w:val="center"/>
          </w:tcPr>
          <w:p>
            <w:pPr>
              <w:pStyle w:val="TableContents"/>
              <w:bidi w:val="0"/>
              <w:spacing w:before="0" w:after="283"/>
              <w:jc w:val="right"/>
              <w:rPr/>
            </w:pPr>
            <w:r>
              <w:rPr/>
              <w:t>$131,250</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bookmarkStart w:id="242" w:name="xdx_984_eecd--AdjToCompAmt_c20220101__20"/>
            <w:bookmarkEnd w:id="242"/>
          </w:p>
        </w:tc>
        <w:tc>
          <w:tcPr>
            <w:tcW w:w="1220" w:type="dxa"/>
            <w:tcBorders>
              <w:bottom w:val="single" w:sz="2" w:space="0" w:color="000000"/>
            </w:tcBorders>
            <w:tcMar>
              <w:bottom w:w="40" w:type="dxa"/>
            </w:tcMar>
            <w:vAlign w:val="center"/>
          </w:tcPr>
          <w:p>
            <w:pPr>
              <w:pStyle w:val="TableContents"/>
              <w:bidi w:val="0"/>
              <w:spacing w:before="0" w:after="283"/>
              <w:jc w:val="right"/>
              <w:rPr/>
            </w:pPr>
            <w:r>
              <w:rPr/>
              <w:t>$168,750</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bookmarkStart w:id="243" w:name="xdx_983_eecd--AdjToCompAmt_c20210101__20"/>
            <w:bookmarkEnd w:id="243"/>
          </w:p>
        </w:tc>
        <w:tc>
          <w:tcPr>
            <w:tcW w:w="1235" w:type="dxa"/>
            <w:tcBorders>
              <w:bottom w:val="single" w:sz="2" w:space="0" w:color="000000"/>
            </w:tcBorders>
            <w:tcMar>
              <w:bottom w:w="40" w:type="dxa"/>
            </w:tcMar>
            <w:vAlign w:val="center"/>
          </w:tcPr>
          <w:p>
            <w:pPr>
              <w:pStyle w:val="TableContents"/>
              <w:bidi w:val="0"/>
              <w:spacing w:before="0" w:after="283"/>
              <w:jc w:val="right"/>
              <w:rPr/>
            </w:pPr>
            <w:r>
              <w:rPr/>
              <w:t>$326,500</w:t>
            </w:r>
          </w:p>
        </w:tc>
      </w:tr>
      <w:tr>
        <w:trPr/>
        <w:tc>
          <w:tcPr>
            <w:tcW w:w="75" w:type="dxa"/>
            <w:tcBorders/>
            <w:vAlign w:val="center"/>
          </w:tcPr>
          <w:p>
            <w:pPr>
              <w:pStyle w:val="TableContents"/>
              <w:bidi w:val="0"/>
              <w:spacing w:before="0" w:after="283"/>
              <w:ind w:left="0" w:right="0" w:hanging="200"/>
              <w:jc w:val="left"/>
              <w:rPr/>
            </w:pPr>
            <w:r>
              <w:rPr/>
              <w:t> </w:t>
            </w:r>
          </w:p>
        </w:tc>
        <w:tc>
          <w:tcPr>
            <w:tcW w:w="2560" w:type="dxa"/>
            <w:tcBorders>
              <w:bottom w:val="single" w:sz="2" w:space="0" w:color="000000"/>
            </w:tcBorders>
            <w:tcMar>
              <w:bottom w:w="40" w:type="dxa"/>
            </w:tcMar>
            <w:vAlign w:val="center"/>
          </w:tcPr>
          <w:p>
            <w:pPr>
              <w:pStyle w:val="TableContents"/>
              <w:bidi w:val="0"/>
              <w:spacing w:before="0" w:after="283"/>
              <w:jc w:val="left"/>
              <w:rPr/>
            </w:pPr>
            <w:r>
              <w:rPr/>
              <w:t>Prior Service Cost of Pension Benefits</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bookmarkStart w:id="244" w:name="xdx_981_eecd--AdjToCompAmt_c20250101__20"/>
            <w:bookmarkEnd w:id="244"/>
          </w:p>
        </w:tc>
        <w:tc>
          <w:tcPr>
            <w:tcW w:w="1220" w:type="dxa"/>
            <w:tcBorders>
              <w:bottom w:val="single" w:sz="2" w:space="0" w:color="000000"/>
            </w:tcBorders>
            <w:tcMar>
              <w:bottom w:w="40" w:type="dxa"/>
            </w:tcMar>
            <w:vAlign w:val="center"/>
          </w:tcPr>
          <w:p>
            <w:pPr>
              <w:pStyle w:val="TableContents"/>
              <w:bidi w:val="0"/>
              <w:spacing w:before="0" w:after="283"/>
              <w:jc w:val="right"/>
              <w:rPr/>
            </w:pPr>
            <w:r>
              <w:rPr/>
              <w:t>$0</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bookmarkStart w:id="245" w:name="xdx_983_eecd--AdjToCompAmt_c20240101__20"/>
            <w:bookmarkEnd w:id="245"/>
          </w:p>
        </w:tc>
        <w:tc>
          <w:tcPr>
            <w:tcW w:w="1220" w:type="dxa"/>
            <w:tcBorders>
              <w:bottom w:val="single" w:sz="2" w:space="0" w:color="000000"/>
            </w:tcBorders>
            <w:tcMar>
              <w:bottom w:w="40" w:type="dxa"/>
            </w:tcMar>
            <w:vAlign w:val="center"/>
          </w:tcPr>
          <w:p>
            <w:pPr>
              <w:pStyle w:val="TableContents"/>
              <w:bidi w:val="0"/>
              <w:spacing w:before="0" w:after="283"/>
              <w:jc w:val="right"/>
              <w:rPr/>
            </w:pPr>
            <w:r>
              <w:rPr/>
              <w:t>$0</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bookmarkStart w:id="246" w:name="xdx_985_eecd--AdjToCompAmt_c20230101__20"/>
            <w:bookmarkEnd w:id="246"/>
          </w:p>
        </w:tc>
        <w:tc>
          <w:tcPr>
            <w:tcW w:w="1175" w:type="dxa"/>
            <w:tcBorders>
              <w:bottom w:val="single" w:sz="2" w:space="0" w:color="000000"/>
            </w:tcBorders>
            <w:tcMar>
              <w:bottom w:w="40" w:type="dxa"/>
            </w:tcMar>
            <w:vAlign w:val="center"/>
          </w:tcPr>
          <w:p>
            <w:pPr>
              <w:pStyle w:val="TableContents"/>
              <w:bidi w:val="0"/>
              <w:spacing w:before="0" w:after="283"/>
              <w:jc w:val="right"/>
              <w:rPr/>
            </w:pPr>
            <w:r>
              <w:rPr/>
              <w:t>$0</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bookmarkStart w:id="247" w:name="xdx_988_eecd--AdjToCompAmt_c20220101__20"/>
            <w:bookmarkEnd w:id="247"/>
          </w:p>
        </w:tc>
        <w:tc>
          <w:tcPr>
            <w:tcW w:w="1220" w:type="dxa"/>
            <w:tcBorders>
              <w:bottom w:val="single" w:sz="2" w:space="0" w:color="000000"/>
            </w:tcBorders>
            <w:tcMar>
              <w:bottom w:w="40" w:type="dxa"/>
            </w:tcMar>
            <w:vAlign w:val="center"/>
          </w:tcPr>
          <w:p>
            <w:pPr>
              <w:pStyle w:val="TableContents"/>
              <w:bidi w:val="0"/>
              <w:spacing w:before="0" w:after="283"/>
              <w:jc w:val="right"/>
              <w:rPr/>
            </w:pPr>
            <w:r>
              <w:rPr/>
              <w:t>$0</w:t>
            </w:r>
          </w:p>
        </w:tc>
        <w:tc>
          <w:tcPr>
            <w:tcW w:w="300" w:type="dxa"/>
            <w:tcBorders>
              <w:bottom w:val="single" w:sz="2" w:space="0" w:color="000000"/>
            </w:tcBorders>
            <w:tcMar>
              <w:bottom w:w="40" w:type="dxa"/>
            </w:tcMar>
            <w:vAlign w:val="center"/>
          </w:tcPr>
          <w:p>
            <w:pPr>
              <w:pStyle w:val="TableContents"/>
              <w:bidi w:val="0"/>
              <w:spacing w:before="0" w:after="283"/>
              <w:jc w:val="left"/>
              <w:rPr/>
            </w:pPr>
            <w:r>
              <w:rPr/>
              <w:t> </w:t>
            </w:r>
            <w:bookmarkStart w:id="248" w:name="xdx_984_eecd--AdjToCompAmt_c20210101__20"/>
            <w:bookmarkEnd w:id="248"/>
          </w:p>
        </w:tc>
        <w:tc>
          <w:tcPr>
            <w:tcW w:w="1235" w:type="dxa"/>
            <w:tcBorders>
              <w:bottom w:val="single" w:sz="2" w:space="0" w:color="000000"/>
            </w:tcBorders>
            <w:tcMar>
              <w:bottom w:w="40" w:type="dxa"/>
            </w:tcMar>
            <w:vAlign w:val="center"/>
          </w:tcPr>
          <w:p>
            <w:pPr>
              <w:pStyle w:val="TableContents"/>
              <w:bidi w:val="0"/>
              <w:spacing w:before="0" w:after="283"/>
              <w:jc w:val="right"/>
              <w:rPr/>
            </w:pPr>
            <w:r>
              <w:rPr/>
              <w:t>$0</w:t>
            </w:r>
          </w:p>
        </w:tc>
      </w:tr>
      <w:tr>
        <w:trPr/>
        <w:tc>
          <w:tcPr>
            <w:tcW w:w="75" w:type="dxa"/>
            <w:tcBorders/>
            <w:vAlign w:val="center"/>
          </w:tcPr>
          <w:p>
            <w:pPr>
              <w:pStyle w:val="TableContents"/>
              <w:bidi w:val="0"/>
              <w:spacing w:before="0" w:after="283"/>
              <w:ind w:left="0" w:right="0" w:hanging="200"/>
              <w:jc w:val="left"/>
              <w:rPr/>
            </w:pPr>
            <w:r>
              <w:rPr/>
              <w:t> </w:t>
            </w:r>
          </w:p>
        </w:tc>
        <w:tc>
          <w:tcPr>
            <w:tcW w:w="2560" w:type="dxa"/>
            <w:tcBorders>
              <w:bottom w:val="single" w:sz="12" w:space="0" w:color="636466"/>
            </w:tcBorders>
            <w:shd w:fill="EDEDEE" w:val="clear"/>
            <w:tcMar>
              <w:bottom w:w="40" w:type="dxa"/>
            </w:tcMar>
            <w:vAlign w:val="center"/>
          </w:tcPr>
          <w:p>
            <w:pPr>
              <w:pStyle w:val="TableContents"/>
              <w:bidi w:val="0"/>
              <w:spacing w:before="0" w:after="283"/>
              <w:jc w:val="left"/>
              <w:rPr/>
            </w:pPr>
            <w:r>
              <w:rPr/>
              <w:t>Total Additions to CAP</w:t>
            </w:r>
          </w:p>
        </w:tc>
        <w:tc>
          <w:tcPr>
            <w:tcW w:w="300" w:type="dxa"/>
            <w:tcBorders>
              <w:bottom w:val="single" w:sz="12" w:space="0" w:color="636466"/>
            </w:tcBorders>
            <w:shd w:fill="EDEDEE" w:val="clear"/>
            <w:tcMar>
              <w:bottom w:w="40" w:type="dxa"/>
            </w:tcMar>
            <w:vAlign w:val="center"/>
          </w:tcPr>
          <w:p>
            <w:pPr>
              <w:pStyle w:val="TableContents"/>
              <w:bidi w:val="0"/>
              <w:spacing w:before="0" w:after="283"/>
              <w:jc w:val="left"/>
              <w:rPr/>
            </w:pPr>
            <w:r>
              <w:rPr/>
              <w:t> </w:t>
            </w:r>
            <w:bookmarkStart w:id="249" w:name="xdx_983_eecd--AdjToCompAmt_c20250101__20"/>
            <w:bookmarkEnd w:id="249"/>
          </w:p>
        </w:tc>
        <w:tc>
          <w:tcPr>
            <w:tcW w:w="1220" w:type="dxa"/>
            <w:tcBorders>
              <w:bottom w:val="single" w:sz="12" w:space="0" w:color="636466"/>
            </w:tcBorders>
            <w:shd w:fill="EDEDEE" w:val="clear"/>
            <w:tcMar>
              <w:bottom w:w="40" w:type="dxa"/>
            </w:tcMar>
            <w:vAlign w:val="center"/>
          </w:tcPr>
          <w:p>
            <w:pPr>
              <w:pStyle w:val="TableContents"/>
              <w:bidi w:val="0"/>
              <w:spacing w:before="0" w:after="283"/>
              <w:jc w:val="right"/>
              <w:rPr/>
            </w:pPr>
            <w:r>
              <w:rPr/>
              <w:t>$22,081,961</w:t>
            </w:r>
          </w:p>
        </w:tc>
        <w:tc>
          <w:tcPr>
            <w:tcW w:w="300" w:type="dxa"/>
            <w:tcBorders>
              <w:bottom w:val="single" w:sz="12" w:space="0" w:color="636466"/>
            </w:tcBorders>
            <w:shd w:fill="EDEDEE" w:val="clear"/>
            <w:tcMar>
              <w:bottom w:w="40" w:type="dxa"/>
            </w:tcMar>
            <w:vAlign w:val="center"/>
          </w:tcPr>
          <w:p>
            <w:pPr>
              <w:pStyle w:val="TableContents"/>
              <w:bidi w:val="0"/>
              <w:spacing w:before="0" w:after="283"/>
              <w:jc w:val="left"/>
              <w:rPr/>
            </w:pPr>
            <w:r>
              <w:rPr/>
              <w:t> </w:t>
            </w:r>
            <w:bookmarkStart w:id="250" w:name="xdx_98D_eecd--AdjToCompAmt_c20240101__20"/>
            <w:bookmarkEnd w:id="250"/>
          </w:p>
        </w:tc>
        <w:tc>
          <w:tcPr>
            <w:tcW w:w="1220" w:type="dxa"/>
            <w:tcBorders>
              <w:bottom w:val="single" w:sz="12" w:space="0" w:color="636466"/>
            </w:tcBorders>
            <w:shd w:fill="EDEDEE" w:val="clear"/>
            <w:tcMar>
              <w:bottom w:w="40" w:type="dxa"/>
            </w:tcMar>
            <w:vAlign w:val="center"/>
          </w:tcPr>
          <w:p>
            <w:pPr>
              <w:pStyle w:val="TableContents"/>
              <w:bidi w:val="0"/>
              <w:spacing w:before="0" w:after="283"/>
              <w:jc w:val="right"/>
              <w:rPr/>
            </w:pPr>
            <w:r>
              <w:rPr/>
              <w:t>$12,202,410</w:t>
            </w:r>
          </w:p>
        </w:tc>
        <w:tc>
          <w:tcPr>
            <w:tcW w:w="300" w:type="dxa"/>
            <w:tcBorders>
              <w:bottom w:val="single" w:sz="12" w:space="0" w:color="636466"/>
            </w:tcBorders>
            <w:shd w:fill="EDEDEE" w:val="clear"/>
            <w:tcMar>
              <w:bottom w:w="40" w:type="dxa"/>
            </w:tcMar>
            <w:vAlign w:val="center"/>
          </w:tcPr>
          <w:p>
            <w:pPr>
              <w:pStyle w:val="TableContents"/>
              <w:bidi w:val="0"/>
              <w:spacing w:before="0" w:after="283"/>
              <w:jc w:val="left"/>
              <w:rPr/>
            </w:pPr>
            <w:r>
              <w:rPr/>
              <w:t> </w:t>
            </w:r>
            <w:bookmarkStart w:id="251" w:name="xdx_984_eecd--AdjToCompAmt_c20230101__20"/>
            <w:bookmarkEnd w:id="251"/>
          </w:p>
        </w:tc>
        <w:tc>
          <w:tcPr>
            <w:tcW w:w="1175" w:type="dxa"/>
            <w:tcBorders>
              <w:bottom w:val="single" w:sz="12" w:space="0" w:color="636466"/>
            </w:tcBorders>
            <w:shd w:fill="EDEDEE" w:val="clear"/>
            <w:tcMar>
              <w:bottom w:w="40" w:type="dxa"/>
            </w:tcMar>
            <w:vAlign w:val="center"/>
          </w:tcPr>
          <w:p>
            <w:pPr>
              <w:pStyle w:val="TableContents"/>
              <w:bidi w:val="0"/>
              <w:spacing w:before="0" w:after="283"/>
              <w:jc w:val="right"/>
              <w:rPr/>
            </w:pPr>
            <w:r>
              <w:rPr/>
              <w:t>-$1,979,504</w:t>
            </w:r>
          </w:p>
        </w:tc>
        <w:tc>
          <w:tcPr>
            <w:tcW w:w="300" w:type="dxa"/>
            <w:tcBorders>
              <w:bottom w:val="single" w:sz="12" w:space="0" w:color="636466"/>
            </w:tcBorders>
            <w:shd w:fill="EDEDEE" w:val="clear"/>
            <w:tcMar>
              <w:bottom w:w="40" w:type="dxa"/>
            </w:tcMar>
            <w:vAlign w:val="center"/>
          </w:tcPr>
          <w:p>
            <w:pPr>
              <w:pStyle w:val="TableContents"/>
              <w:bidi w:val="0"/>
              <w:spacing w:before="0" w:after="283"/>
              <w:jc w:val="left"/>
              <w:rPr/>
            </w:pPr>
            <w:r>
              <w:rPr/>
              <w:t> </w:t>
            </w:r>
            <w:bookmarkStart w:id="252" w:name="xdx_98D_eecd--AdjToCompAmt_c20220101__20"/>
            <w:bookmarkEnd w:id="252"/>
          </w:p>
        </w:tc>
        <w:tc>
          <w:tcPr>
            <w:tcW w:w="1220" w:type="dxa"/>
            <w:tcBorders>
              <w:bottom w:val="single" w:sz="12" w:space="0" w:color="636466"/>
            </w:tcBorders>
            <w:shd w:fill="EDEDEE" w:val="clear"/>
            <w:tcMar>
              <w:bottom w:w="40" w:type="dxa"/>
            </w:tcMar>
            <w:vAlign w:val="center"/>
          </w:tcPr>
          <w:p>
            <w:pPr>
              <w:pStyle w:val="TableContents"/>
              <w:bidi w:val="0"/>
              <w:spacing w:before="0" w:after="283"/>
              <w:jc w:val="right"/>
              <w:rPr/>
            </w:pPr>
            <w:r>
              <w:rPr/>
              <w:t>$10,345,393</w:t>
            </w:r>
          </w:p>
        </w:tc>
        <w:tc>
          <w:tcPr>
            <w:tcW w:w="300" w:type="dxa"/>
            <w:tcBorders>
              <w:bottom w:val="single" w:sz="12" w:space="0" w:color="636466"/>
            </w:tcBorders>
            <w:shd w:fill="EDEDEE" w:val="clear"/>
            <w:tcMar>
              <w:bottom w:w="40" w:type="dxa"/>
            </w:tcMar>
            <w:vAlign w:val="center"/>
          </w:tcPr>
          <w:p>
            <w:pPr>
              <w:pStyle w:val="TableContents"/>
              <w:bidi w:val="0"/>
              <w:spacing w:before="0" w:after="283"/>
              <w:jc w:val="left"/>
              <w:rPr/>
            </w:pPr>
            <w:r>
              <w:rPr/>
              <w:t> </w:t>
            </w:r>
            <w:bookmarkStart w:id="253" w:name="xdx_984_eecd--AdjToCompAmt_c20210101__20"/>
            <w:bookmarkEnd w:id="253"/>
          </w:p>
        </w:tc>
        <w:tc>
          <w:tcPr>
            <w:tcW w:w="1235" w:type="dxa"/>
            <w:tcBorders>
              <w:bottom w:val="single" w:sz="12" w:space="0" w:color="636466"/>
            </w:tcBorders>
            <w:shd w:fill="EDEDEE" w:val="clear"/>
            <w:tcMar>
              <w:bottom w:w="40" w:type="dxa"/>
            </w:tcMar>
            <w:vAlign w:val="center"/>
          </w:tcPr>
          <w:p>
            <w:pPr>
              <w:pStyle w:val="TableContents"/>
              <w:bidi w:val="0"/>
              <w:spacing w:before="0" w:after="283"/>
              <w:jc w:val="right"/>
              <w:rPr/>
            </w:pPr>
            <w:r>
              <w:rPr/>
              <w:t>$8,536,463</w:t>
            </w:r>
          </w:p>
        </w:tc>
      </w:tr>
      <w:tr>
        <w:trPr/>
        <w:tc>
          <w:tcPr>
            <w:tcW w:w="75" w:type="dxa"/>
            <w:tcBorders/>
            <w:vAlign w:val="center"/>
          </w:tcPr>
          <w:p>
            <w:pPr>
              <w:pStyle w:val="TableContents"/>
              <w:bidi w:val="0"/>
              <w:spacing w:before="0" w:after="283"/>
              <w:ind w:left="0" w:right="0" w:hanging="200"/>
              <w:jc w:val="left"/>
              <w:rPr/>
            </w:pPr>
            <w:r>
              <w:rPr/>
              <w:t> </w:t>
            </w:r>
          </w:p>
        </w:tc>
        <w:tc>
          <w:tcPr>
            <w:tcW w:w="2560" w:type="dxa"/>
            <w:tcBorders>
              <w:bottom w:val="single" w:sz="12" w:space="0" w:color="636466"/>
            </w:tcBorders>
            <w:shd w:fill="EDEDEE" w:val="clear"/>
            <w:tcMar>
              <w:bottom w:w="40" w:type="dxa"/>
            </w:tcMar>
            <w:vAlign w:val="center"/>
          </w:tcPr>
          <w:p>
            <w:pPr>
              <w:pStyle w:val="TableContents"/>
              <w:bidi w:val="0"/>
              <w:spacing w:before="0" w:after="283"/>
              <w:jc w:val="left"/>
              <w:rPr>
                <w:b/>
              </w:rPr>
            </w:pPr>
            <w:r>
              <w:rPr>
                <w:b/>
              </w:rPr>
              <w:t>Compensation Actually Paid</w:t>
            </w:r>
          </w:p>
        </w:tc>
        <w:tc>
          <w:tcPr>
            <w:tcW w:w="300" w:type="dxa"/>
            <w:tcBorders>
              <w:bottom w:val="single" w:sz="12" w:space="0" w:color="636466"/>
            </w:tcBorders>
            <w:shd w:fill="EDEDEE" w:val="clear"/>
            <w:tcMar>
              <w:bottom w:w="40" w:type="dxa"/>
            </w:tcMar>
            <w:vAlign w:val="center"/>
          </w:tcPr>
          <w:p>
            <w:pPr>
              <w:pStyle w:val="TableContents"/>
              <w:bidi w:val="0"/>
              <w:spacing w:before="0" w:after="283"/>
              <w:jc w:val="left"/>
              <w:rPr/>
            </w:pPr>
            <w:r>
              <w:rPr/>
              <w:t> </w:t>
            </w:r>
            <w:bookmarkStart w:id="254" w:name="xdx_98F_eecd--NonPeoNeoAvgCompActuallyPa"/>
            <w:bookmarkEnd w:id="254"/>
          </w:p>
        </w:tc>
        <w:tc>
          <w:tcPr>
            <w:tcW w:w="1220" w:type="dxa"/>
            <w:tcBorders>
              <w:bottom w:val="single" w:sz="12" w:space="0" w:color="636466"/>
            </w:tcBorders>
            <w:shd w:fill="EDEDEE" w:val="clear"/>
            <w:tcMar>
              <w:bottom w:w="40" w:type="dxa"/>
            </w:tcMar>
            <w:vAlign w:val="center"/>
          </w:tcPr>
          <w:p>
            <w:pPr>
              <w:pStyle w:val="TableContents"/>
              <w:bidi w:val="0"/>
              <w:spacing w:before="0" w:after="283"/>
              <w:jc w:val="right"/>
              <w:rPr>
                <w:b/>
              </w:rPr>
            </w:pPr>
            <w:r>
              <w:rPr>
                <w:b/>
              </w:rPr>
              <w:t>$24,903,063</w:t>
            </w:r>
          </w:p>
        </w:tc>
        <w:tc>
          <w:tcPr>
            <w:tcW w:w="300" w:type="dxa"/>
            <w:tcBorders>
              <w:bottom w:val="single" w:sz="12" w:space="0" w:color="636466"/>
            </w:tcBorders>
            <w:shd w:fill="EDEDEE" w:val="clear"/>
            <w:tcMar>
              <w:bottom w:w="40" w:type="dxa"/>
            </w:tcMar>
            <w:vAlign w:val="center"/>
          </w:tcPr>
          <w:p>
            <w:pPr>
              <w:pStyle w:val="TableContents"/>
              <w:bidi w:val="0"/>
              <w:spacing w:before="0" w:after="283"/>
              <w:jc w:val="left"/>
              <w:rPr/>
            </w:pPr>
            <w:r>
              <w:rPr/>
              <w:t> </w:t>
            </w:r>
            <w:bookmarkStart w:id="255" w:name="xdx_986_eecd--NonPeoNeoAvgCompActuallyPa"/>
            <w:bookmarkEnd w:id="255"/>
          </w:p>
        </w:tc>
        <w:tc>
          <w:tcPr>
            <w:tcW w:w="1220" w:type="dxa"/>
            <w:tcBorders>
              <w:bottom w:val="single" w:sz="12" w:space="0" w:color="636466"/>
            </w:tcBorders>
            <w:shd w:fill="EDEDEE" w:val="clear"/>
            <w:tcMar>
              <w:bottom w:w="40" w:type="dxa"/>
            </w:tcMar>
            <w:vAlign w:val="center"/>
          </w:tcPr>
          <w:p>
            <w:pPr>
              <w:pStyle w:val="TableContents"/>
              <w:bidi w:val="0"/>
              <w:spacing w:before="0" w:after="283"/>
              <w:jc w:val="right"/>
              <w:rPr>
                <w:b/>
              </w:rPr>
            </w:pPr>
            <w:r>
              <w:rPr>
                <w:b/>
              </w:rPr>
              <w:t>$14,115,544</w:t>
            </w:r>
          </w:p>
        </w:tc>
        <w:tc>
          <w:tcPr>
            <w:tcW w:w="300" w:type="dxa"/>
            <w:tcBorders>
              <w:bottom w:val="single" w:sz="12" w:space="0" w:color="636466"/>
            </w:tcBorders>
            <w:shd w:fill="EDEDEE" w:val="clear"/>
            <w:tcMar>
              <w:bottom w:w="40" w:type="dxa"/>
            </w:tcMar>
            <w:vAlign w:val="center"/>
          </w:tcPr>
          <w:p>
            <w:pPr>
              <w:pStyle w:val="TableContents"/>
              <w:bidi w:val="0"/>
              <w:spacing w:before="0" w:after="283"/>
              <w:jc w:val="left"/>
              <w:rPr/>
            </w:pPr>
            <w:r>
              <w:rPr/>
              <w:t> </w:t>
            </w:r>
            <w:bookmarkStart w:id="256" w:name="xdx_98D_eecd--NonPeoNeoAvgCompActuallyPa"/>
            <w:bookmarkEnd w:id="256"/>
          </w:p>
        </w:tc>
        <w:tc>
          <w:tcPr>
            <w:tcW w:w="1175" w:type="dxa"/>
            <w:tcBorders>
              <w:bottom w:val="single" w:sz="12" w:space="0" w:color="636466"/>
            </w:tcBorders>
            <w:shd w:fill="EDEDEE" w:val="clear"/>
            <w:tcMar>
              <w:bottom w:w="40" w:type="dxa"/>
            </w:tcMar>
            <w:vAlign w:val="center"/>
          </w:tcPr>
          <w:p>
            <w:pPr>
              <w:pStyle w:val="TableContents"/>
              <w:bidi w:val="0"/>
              <w:spacing w:before="0" w:after="283"/>
              <w:jc w:val="right"/>
              <w:rPr>
                <w:b/>
              </w:rPr>
            </w:pPr>
            <w:r>
              <w:rPr>
                <w:b/>
              </w:rPr>
              <w:t>$267,298</w:t>
            </w:r>
          </w:p>
        </w:tc>
        <w:tc>
          <w:tcPr>
            <w:tcW w:w="300" w:type="dxa"/>
            <w:tcBorders>
              <w:bottom w:val="single" w:sz="12" w:space="0" w:color="636466"/>
            </w:tcBorders>
            <w:shd w:fill="EDEDEE" w:val="clear"/>
            <w:tcMar>
              <w:bottom w:w="40" w:type="dxa"/>
            </w:tcMar>
            <w:vAlign w:val="center"/>
          </w:tcPr>
          <w:p>
            <w:pPr>
              <w:pStyle w:val="TableContents"/>
              <w:bidi w:val="0"/>
              <w:spacing w:before="0" w:after="283"/>
              <w:jc w:val="left"/>
              <w:rPr/>
            </w:pPr>
            <w:r>
              <w:rPr/>
              <w:t> </w:t>
            </w:r>
            <w:bookmarkStart w:id="257" w:name="xdx_989_eecd--NonPeoNeoAvgCompActuallyPa"/>
            <w:bookmarkEnd w:id="257"/>
          </w:p>
        </w:tc>
        <w:tc>
          <w:tcPr>
            <w:tcW w:w="1220" w:type="dxa"/>
            <w:tcBorders>
              <w:bottom w:val="single" w:sz="12" w:space="0" w:color="636466"/>
            </w:tcBorders>
            <w:shd w:fill="EDEDEE" w:val="clear"/>
            <w:tcMar>
              <w:bottom w:w="40" w:type="dxa"/>
            </w:tcMar>
            <w:vAlign w:val="center"/>
          </w:tcPr>
          <w:p>
            <w:pPr>
              <w:pStyle w:val="TableContents"/>
              <w:bidi w:val="0"/>
              <w:spacing w:before="0" w:after="283"/>
              <w:jc w:val="right"/>
              <w:rPr>
                <w:b/>
              </w:rPr>
            </w:pPr>
            <w:r>
              <w:rPr>
                <w:b/>
              </w:rPr>
              <w:t>$12,510,354</w:t>
            </w:r>
          </w:p>
        </w:tc>
        <w:tc>
          <w:tcPr>
            <w:tcW w:w="300" w:type="dxa"/>
            <w:tcBorders>
              <w:bottom w:val="single" w:sz="12" w:space="0" w:color="636466"/>
            </w:tcBorders>
            <w:shd w:fill="EDEDEE" w:val="clear"/>
            <w:tcMar>
              <w:bottom w:w="40" w:type="dxa"/>
            </w:tcMar>
            <w:vAlign w:val="center"/>
          </w:tcPr>
          <w:p>
            <w:pPr>
              <w:pStyle w:val="TableContents"/>
              <w:bidi w:val="0"/>
              <w:spacing w:before="0" w:after="283"/>
              <w:jc w:val="left"/>
              <w:rPr/>
            </w:pPr>
            <w:r>
              <w:rPr/>
              <w:t> </w:t>
            </w:r>
            <w:bookmarkStart w:id="258" w:name="xdx_988_eecd--NonPeoNeoAvgCompActuallyPa"/>
            <w:bookmarkEnd w:id="258"/>
          </w:p>
        </w:tc>
        <w:tc>
          <w:tcPr>
            <w:tcW w:w="1235" w:type="dxa"/>
            <w:tcBorders>
              <w:bottom w:val="single" w:sz="12" w:space="0" w:color="636466"/>
            </w:tcBorders>
            <w:shd w:fill="EDEDEE" w:val="clear"/>
            <w:tcMar>
              <w:bottom w:w="40" w:type="dxa"/>
            </w:tcMar>
            <w:vAlign w:val="center"/>
          </w:tcPr>
          <w:p>
            <w:pPr>
              <w:pStyle w:val="TableContents"/>
              <w:bidi w:val="0"/>
              <w:spacing w:before="0" w:after="283"/>
              <w:jc w:val="right"/>
              <w:rPr>
                <w:b/>
              </w:rPr>
            </w:pPr>
            <w:r>
              <w:rPr>
                <w:b/>
              </w:rPr>
              <w:t>$11,257,846</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0" w:type="dxa"/>
          <w:left w:w="0" w:type="dxa"/>
          <w:bottom w:w="0" w:type="dxa"/>
          <w:right w:w="0" w:type="dxa"/>
        </w:tblCellMar>
      </w:tblPr>
      <w:tblGrid>
        <w:gridCol w:w="183"/>
        <w:gridCol w:w="10022"/>
      </w:tblGrid>
      <w:tr>
        <w:trPr/>
        <w:tc>
          <w:tcPr>
            <w:tcW w:w="183" w:type="dxa"/>
            <w:tcBorders/>
            <w:vAlign w:val="center"/>
          </w:tcPr>
          <w:p>
            <w:pPr>
              <w:pStyle w:val="TableContents"/>
              <w:bidi w:val="0"/>
              <w:spacing w:before="0" w:after="283"/>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(4)</w:t>
            </w:r>
          </w:p>
        </w:tc>
        <w:tc>
          <w:tcPr>
            <w:tcW w:w="10022" w:type="dxa"/>
            <w:tcBorders/>
            <w:vAlign w:val="center"/>
          </w:tcPr>
          <w:p>
            <w:pPr>
              <w:pStyle w:val="TableContents"/>
              <w:bidi w:val="0"/>
              <w:spacing w:before="0" w:after="283"/>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The fair value of SARs reported for CAP purposes in columns (c), (e) and (g) is estimated using a binomial lattice model for the purposes of disclosure in accordance with the SEC’s PvP rules. The following table shows the assumptions used to determine the fair value for SARs granted between 2018 and 2025 at various dates, as required to calculate CAP. Lattice-based option models incorporate ranges of assumptions for inputs; those ranges are as follows: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62"/>
        <w:gridCol w:w="180"/>
        <w:gridCol w:w="609"/>
        <w:gridCol w:w="180"/>
        <w:gridCol w:w="971"/>
        <w:gridCol w:w="180"/>
        <w:gridCol w:w="971"/>
        <w:gridCol w:w="180"/>
        <w:gridCol w:w="971"/>
        <w:gridCol w:w="180"/>
        <w:gridCol w:w="971"/>
        <w:gridCol w:w="180"/>
        <w:gridCol w:w="971"/>
        <w:gridCol w:w="180"/>
        <w:gridCol w:w="971"/>
        <w:gridCol w:w="180"/>
        <w:gridCol w:w="993"/>
      </w:tblGrid>
      <w:tr>
        <w:trPr/>
        <w:tc>
          <w:tcPr>
            <w:tcW w:w="75" w:type="dxa"/>
            <w:tcBorders/>
            <w:vAlign w:val="center"/>
          </w:tcPr>
          <w:p>
            <w:pPr>
              <w:pStyle w:val="TableContents"/>
              <w:bidi w:val="0"/>
              <w:spacing w:before="0" w:after="283"/>
              <w:jc w:val="left"/>
              <w:rPr/>
            </w:pPr>
            <w:r>
              <w:rPr/>
              <w:t> </w:t>
            </w:r>
          </w:p>
        </w:tc>
        <w:tc>
          <w:tcPr>
            <w:tcW w:w="1262" w:type="dxa"/>
            <w:tcBorders>
              <w:bottom w:val="single" w:sz="12" w:space="0" w:color="636466"/>
            </w:tcBorders>
            <w:tcMar>
              <w:bottom w:w="40" w:type="dxa"/>
            </w:tcMar>
            <w:vAlign w:val="center"/>
          </w:tcPr>
          <w:p>
            <w:pPr>
              <w:pStyle w:val="TableContents"/>
              <w:bidi w:val="0"/>
              <w:spacing w:before="0" w:after="283"/>
              <w:jc w:val="left"/>
              <w:rPr>
                <w:b/>
                <w:color w:val="636466"/>
              </w:rPr>
            </w:pPr>
            <w:r>
              <w:rPr>
                <w:b/>
                <w:color w:val="636466"/>
              </w:rPr>
              <w:t>Grant Year</w:t>
            </w:r>
          </w:p>
        </w:tc>
        <w:tc>
          <w:tcPr>
            <w:tcW w:w="180" w:type="dxa"/>
            <w:tcBorders>
              <w:bottom w:val="single" w:sz="12" w:space="0" w:color="636466"/>
            </w:tcBorders>
            <w:tcMar>
              <w:bottom w:w="40" w:type="dxa"/>
            </w:tcMar>
            <w:vAlign w:val="center"/>
          </w:tcPr>
          <w:p>
            <w:pPr>
              <w:pStyle w:val="TableContents"/>
              <w:bidi w:val="0"/>
              <w:spacing w:before="0" w:after="283"/>
              <w:jc w:val="left"/>
              <w:rPr>
                <w:color w:val="636466"/>
              </w:rPr>
            </w:pPr>
            <w:r>
              <w:rPr>
                <w:color w:val="636466"/>
              </w:rPr>
              <w:t>   </w:t>
            </w:r>
          </w:p>
        </w:tc>
        <w:tc>
          <w:tcPr>
            <w:tcW w:w="609" w:type="dxa"/>
            <w:tcBorders>
              <w:bottom w:val="single" w:sz="12" w:space="0" w:color="636466"/>
            </w:tcBorders>
            <w:tcMar>
              <w:bottom w:w="40" w:type="dxa"/>
            </w:tcMar>
            <w:vAlign w:val="center"/>
          </w:tcPr>
          <w:p>
            <w:pPr>
              <w:pStyle w:val="TableContents"/>
              <w:bidi w:val="0"/>
              <w:spacing w:before="0" w:after="283"/>
              <w:jc w:val="right"/>
              <w:rPr>
                <w:b/>
                <w:color w:val="636466"/>
              </w:rPr>
            </w:pPr>
            <w:r>
              <w:rPr>
                <w:b/>
                <w:color w:val="636466"/>
              </w:rPr>
              <w:t>2025</w:t>
            </w:r>
          </w:p>
        </w:tc>
        <w:tc>
          <w:tcPr>
            <w:tcW w:w="180" w:type="dxa"/>
            <w:tcBorders>
              <w:bottom w:val="single" w:sz="12" w:space="0" w:color="636466"/>
            </w:tcBorders>
            <w:tcMar>
              <w:bottom w:w="40" w:type="dxa"/>
            </w:tcMar>
            <w:vAlign w:val="center"/>
          </w:tcPr>
          <w:p>
            <w:pPr>
              <w:pStyle w:val="TableContents"/>
              <w:bidi w:val="0"/>
              <w:spacing w:before="0" w:after="283"/>
              <w:jc w:val="left"/>
              <w:rPr>
                <w:color w:val="636466"/>
              </w:rPr>
            </w:pPr>
            <w:r>
              <w:rPr>
                <w:color w:val="636466"/>
              </w:rPr>
              <w:t>   </w:t>
            </w:r>
          </w:p>
        </w:tc>
        <w:tc>
          <w:tcPr>
            <w:tcW w:w="971" w:type="dxa"/>
            <w:tcBorders>
              <w:bottom w:val="single" w:sz="12" w:space="0" w:color="636466"/>
            </w:tcBorders>
            <w:tcMar>
              <w:bottom w:w="40" w:type="dxa"/>
            </w:tcMar>
            <w:vAlign w:val="center"/>
          </w:tcPr>
          <w:p>
            <w:pPr>
              <w:pStyle w:val="TableContents"/>
              <w:bidi w:val="0"/>
              <w:spacing w:before="0" w:after="283"/>
              <w:jc w:val="right"/>
              <w:rPr>
                <w:b/>
                <w:color w:val="636466"/>
              </w:rPr>
            </w:pPr>
            <w:r>
              <w:rPr>
                <w:b/>
                <w:color w:val="636466"/>
              </w:rPr>
              <w:t>2024</w:t>
            </w:r>
          </w:p>
        </w:tc>
        <w:tc>
          <w:tcPr>
            <w:tcW w:w="180" w:type="dxa"/>
            <w:tcBorders>
              <w:bottom w:val="single" w:sz="12" w:space="0" w:color="636466"/>
            </w:tcBorders>
            <w:tcMar>
              <w:bottom w:w="40" w:type="dxa"/>
            </w:tcMar>
            <w:vAlign w:val="center"/>
          </w:tcPr>
          <w:p>
            <w:pPr>
              <w:pStyle w:val="TableContents"/>
              <w:bidi w:val="0"/>
              <w:spacing w:before="0" w:after="283"/>
              <w:jc w:val="left"/>
              <w:rPr>
                <w:color w:val="636466"/>
              </w:rPr>
            </w:pPr>
            <w:r>
              <w:rPr>
                <w:color w:val="636466"/>
              </w:rPr>
              <w:t>   </w:t>
            </w:r>
          </w:p>
        </w:tc>
        <w:tc>
          <w:tcPr>
            <w:tcW w:w="971" w:type="dxa"/>
            <w:tcBorders>
              <w:bottom w:val="single" w:sz="12" w:space="0" w:color="636466"/>
            </w:tcBorders>
            <w:tcMar>
              <w:bottom w:w="40" w:type="dxa"/>
            </w:tcMar>
            <w:vAlign w:val="center"/>
          </w:tcPr>
          <w:p>
            <w:pPr>
              <w:pStyle w:val="TableContents"/>
              <w:bidi w:val="0"/>
              <w:spacing w:before="0" w:after="283"/>
              <w:jc w:val="right"/>
              <w:rPr>
                <w:b/>
                <w:color w:val="636466"/>
              </w:rPr>
            </w:pPr>
            <w:r>
              <w:rPr>
                <w:b/>
                <w:color w:val="636466"/>
              </w:rPr>
              <w:t>2023</w:t>
            </w:r>
          </w:p>
        </w:tc>
        <w:tc>
          <w:tcPr>
            <w:tcW w:w="180" w:type="dxa"/>
            <w:tcBorders>
              <w:bottom w:val="single" w:sz="12" w:space="0" w:color="636466"/>
            </w:tcBorders>
            <w:tcMar>
              <w:bottom w:w="40" w:type="dxa"/>
            </w:tcMar>
            <w:vAlign w:val="center"/>
          </w:tcPr>
          <w:p>
            <w:pPr>
              <w:pStyle w:val="TableContents"/>
              <w:bidi w:val="0"/>
              <w:spacing w:before="0" w:after="283"/>
              <w:jc w:val="left"/>
              <w:rPr>
                <w:color w:val="636466"/>
              </w:rPr>
            </w:pPr>
            <w:r>
              <w:rPr>
                <w:color w:val="636466"/>
              </w:rPr>
              <w:t>   </w:t>
            </w:r>
          </w:p>
        </w:tc>
        <w:tc>
          <w:tcPr>
            <w:tcW w:w="971" w:type="dxa"/>
            <w:tcBorders>
              <w:bottom w:val="single" w:sz="12" w:space="0" w:color="636466"/>
            </w:tcBorders>
            <w:tcMar>
              <w:bottom w:w="40" w:type="dxa"/>
            </w:tcMar>
            <w:vAlign w:val="center"/>
          </w:tcPr>
          <w:p>
            <w:pPr>
              <w:pStyle w:val="TableContents"/>
              <w:bidi w:val="0"/>
              <w:spacing w:before="0" w:after="283"/>
              <w:jc w:val="right"/>
              <w:rPr>
                <w:b/>
                <w:color w:val="636466"/>
              </w:rPr>
            </w:pPr>
            <w:r>
              <w:rPr>
                <w:b/>
                <w:color w:val="636466"/>
              </w:rPr>
              <w:t>2022</w:t>
            </w:r>
          </w:p>
        </w:tc>
        <w:tc>
          <w:tcPr>
            <w:tcW w:w="180" w:type="dxa"/>
            <w:tcBorders>
              <w:bottom w:val="single" w:sz="12" w:space="0" w:color="636466"/>
            </w:tcBorders>
            <w:tcMar>
              <w:bottom w:w="40" w:type="dxa"/>
            </w:tcMar>
            <w:vAlign w:val="center"/>
          </w:tcPr>
          <w:p>
            <w:pPr>
              <w:pStyle w:val="TableContents"/>
              <w:bidi w:val="0"/>
              <w:spacing w:before="0" w:after="283"/>
              <w:jc w:val="left"/>
              <w:rPr>
                <w:color w:val="636466"/>
              </w:rPr>
            </w:pPr>
            <w:r>
              <w:rPr>
                <w:color w:val="636466"/>
              </w:rPr>
              <w:t>   </w:t>
            </w:r>
          </w:p>
        </w:tc>
        <w:tc>
          <w:tcPr>
            <w:tcW w:w="971" w:type="dxa"/>
            <w:tcBorders>
              <w:bottom w:val="single" w:sz="12" w:space="0" w:color="636466"/>
            </w:tcBorders>
            <w:tcMar>
              <w:bottom w:w="40" w:type="dxa"/>
            </w:tcMar>
            <w:vAlign w:val="center"/>
          </w:tcPr>
          <w:p>
            <w:pPr>
              <w:pStyle w:val="TableContents"/>
              <w:bidi w:val="0"/>
              <w:spacing w:before="0" w:after="283"/>
              <w:jc w:val="right"/>
              <w:rPr>
                <w:b/>
                <w:color w:val="636466"/>
              </w:rPr>
            </w:pPr>
            <w:r>
              <w:rPr>
                <w:b/>
                <w:color w:val="636466"/>
              </w:rPr>
              <w:t>2021</w:t>
            </w:r>
          </w:p>
        </w:tc>
        <w:tc>
          <w:tcPr>
            <w:tcW w:w="180" w:type="dxa"/>
            <w:tcBorders>
              <w:bottom w:val="single" w:sz="12" w:space="0" w:color="636466"/>
            </w:tcBorders>
            <w:tcMar>
              <w:bottom w:w="40" w:type="dxa"/>
            </w:tcMar>
            <w:vAlign w:val="center"/>
          </w:tcPr>
          <w:p>
            <w:pPr>
              <w:pStyle w:val="TableContents"/>
              <w:bidi w:val="0"/>
              <w:spacing w:before="0" w:after="283"/>
              <w:jc w:val="left"/>
              <w:rPr>
                <w:color w:val="636466"/>
              </w:rPr>
            </w:pPr>
            <w:r>
              <w:rPr>
                <w:color w:val="636466"/>
              </w:rPr>
              <w:t>   </w:t>
            </w:r>
          </w:p>
        </w:tc>
        <w:tc>
          <w:tcPr>
            <w:tcW w:w="971" w:type="dxa"/>
            <w:tcBorders>
              <w:bottom w:val="single" w:sz="12" w:space="0" w:color="636466"/>
            </w:tcBorders>
            <w:tcMar>
              <w:bottom w:w="40" w:type="dxa"/>
            </w:tcMar>
            <w:vAlign w:val="center"/>
          </w:tcPr>
          <w:p>
            <w:pPr>
              <w:pStyle w:val="TableContents"/>
              <w:bidi w:val="0"/>
              <w:spacing w:before="0" w:after="283"/>
              <w:jc w:val="right"/>
              <w:rPr>
                <w:b/>
                <w:color w:val="636466"/>
              </w:rPr>
            </w:pPr>
            <w:r>
              <w:rPr>
                <w:b/>
                <w:color w:val="636466"/>
              </w:rPr>
              <w:t>2020</w:t>
            </w:r>
          </w:p>
        </w:tc>
        <w:tc>
          <w:tcPr>
            <w:tcW w:w="180" w:type="dxa"/>
            <w:tcBorders>
              <w:bottom w:val="single" w:sz="12" w:space="0" w:color="636466"/>
            </w:tcBorders>
            <w:tcMar>
              <w:bottom w:w="40" w:type="dxa"/>
            </w:tcMar>
            <w:vAlign w:val="center"/>
          </w:tcPr>
          <w:p>
            <w:pPr>
              <w:pStyle w:val="TableContents"/>
              <w:bidi w:val="0"/>
              <w:spacing w:before="0" w:after="283"/>
              <w:jc w:val="left"/>
              <w:rPr>
                <w:color w:val="636466"/>
              </w:rPr>
            </w:pPr>
            <w:r>
              <w:rPr>
                <w:color w:val="636466"/>
              </w:rPr>
              <w:t>   </w:t>
            </w:r>
          </w:p>
        </w:tc>
        <w:tc>
          <w:tcPr>
            <w:tcW w:w="971" w:type="dxa"/>
            <w:tcBorders>
              <w:bottom w:val="single" w:sz="12" w:space="0" w:color="636466"/>
            </w:tcBorders>
            <w:tcMar>
              <w:bottom w:w="40" w:type="dxa"/>
            </w:tcMar>
            <w:vAlign w:val="center"/>
          </w:tcPr>
          <w:p>
            <w:pPr>
              <w:pStyle w:val="TableContents"/>
              <w:bidi w:val="0"/>
              <w:spacing w:before="0" w:after="283"/>
              <w:jc w:val="right"/>
              <w:rPr>
                <w:b/>
                <w:color w:val="636466"/>
              </w:rPr>
            </w:pPr>
            <w:r>
              <w:rPr>
                <w:b/>
                <w:color w:val="636466"/>
              </w:rPr>
              <w:t>2019</w:t>
            </w:r>
          </w:p>
        </w:tc>
        <w:tc>
          <w:tcPr>
            <w:tcW w:w="180" w:type="dxa"/>
            <w:tcBorders>
              <w:bottom w:val="single" w:sz="12" w:space="0" w:color="636466"/>
            </w:tcBorders>
            <w:tcMar>
              <w:bottom w:w="40" w:type="dxa"/>
            </w:tcMar>
            <w:vAlign w:val="center"/>
          </w:tcPr>
          <w:p>
            <w:pPr>
              <w:pStyle w:val="TableContents"/>
              <w:bidi w:val="0"/>
              <w:spacing w:before="0" w:after="283"/>
              <w:jc w:val="left"/>
              <w:rPr>
                <w:color w:val="636466"/>
              </w:rPr>
            </w:pPr>
            <w:r>
              <w:rPr>
                <w:color w:val="636466"/>
              </w:rPr>
              <w:t>   </w:t>
            </w:r>
          </w:p>
        </w:tc>
        <w:tc>
          <w:tcPr>
            <w:tcW w:w="993" w:type="dxa"/>
            <w:tcBorders>
              <w:bottom w:val="single" w:sz="12" w:space="0" w:color="636466"/>
            </w:tcBorders>
            <w:tcMar>
              <w:bottom w:w="40" w:type="dxa"/>
            </w:tcMar>
            <w:vAlign w:val="center"/>
          </w:tcPr>
          <w:p>
            <w:pPr>
              <w:pStyle w:val="TableContents"/>
              <w:bidi w:val="0"/>
              <w:spacing w:before="0" w:after="283"/>
              <w:jc w:val="right"/>
              <w:rPr>
                <w:b/>
                <w:color w:val="636466"/>
              </w:rPr>
            </w:pPr>
            <w:r>
              <w:rPr>
                <w:b/>
                <w:color w:val="636466"/>
              </w:rPr>
              <w:t>2018</w:t>
            </w:r>
          </w:p>
        </w:tc>
      </w:tr>
      <w:tr>
        <w:trPr/>
        <w:tc>
          <w:tcPr>
            <w:tcW w:w="75" w:type="dxa"/>
            <w:tcBorders/>
            <w:vAlign w:val="center"/>
          </w:tcPr>
          <w:p>
            <w:pPr>
              <w:pStyle w:val="TableContents"/>
              <w:bidi w:val="0"/>
              <w:spacing w:before="0" w:after="283"/>
              <w:jc w:val="left"/>
              <w:rPr/>
            </w:pPr>
            <w:r>
              <w:rPr/>
              <w:t> </w:t>
            </w:r>
          </w:p>
        </w:tc>
        <w:tc>
          <w:tcPr>
            <w:tcW w:w="1262" w:type="dxa"/>
            <w:tcBorders>
              <w:bottom w:val="single" w:sz="2" w:space="0" w:color="000000"/>
            </w:tcBorders>
            <w:tcMar>
              <w:bottom w:w="40" w:type="dxa"/>
            </w:tcMar>
            <w:vAlign w:val="center"/>
          </w:tcPr>
          <w:p>
            <w:pPr>
              <w:pStyle w:val="TableContents"/>
              <w:bidi w:val="0"/>
              <w:spacing w:before="0" w:after="283"/>
              <w:jc w:val="left"/>
              <w:rPr/>
            </w:pPr>
            <w:r>
              <w:rPr/>
              <w:t>Volatility</w:t>
            </w:r>
          </w:p>
        </w:tc>
        <w:tc>
          <w:tcPr>
            <w:tcW w:w="180" w:type="dxa"/>
            <w:tcBorders>
              <w:bottom w:val="single" w:sz="2" w:space="0" w:color="000000"/>
            </w:tcBorders>
            <w:tcMar>
              <w:bottom w:w="40" w:type="dxa"/>
            </w:tcMar>
            <w:vAlign w:val="center"/>
          </w:tcPr>
          <w:p>
            <w:pPr>
              <w:pStyle w:val="TableContents"/>
              <w:bidi w:val="0"/>
              <w:spacing w:before="0" w:after="283"/>
              <w:jc w:val="left"/>
              <w:rPr/>
            </w:pPr>
            <w:r>
              <w:rPr/>
              <w:t> </w:t>
            </w:r>
          </w:p>
        </w:tc>
        <w:tc>
          <w:tcPr>
            <w:tcW w:w="609" w:type="dxa"/>
            <w:tcBorders>
              <w:bottom w:val="single" w:sz="2" w:space="0" w:color="000000"/>
            </w:tcBorders>
            <w:tcMar>
              <w:bottom w:w="40" w:type="dxa"/>
            </w:tcMar>
            <w:vAlign w:val="center"/>
          </w:tcPr>
          <w:p>
            <w:pPr>
              <w:pStyle w:val="TableContents"/>
              <w:bidi w:val="0"/>
              <w:spacing w:before="0" w:after="283"/>
              <w:jc w:val="right"/>
              <w:rPr/>
            </w:pPr>
            <w:r>
              <w:rPr/>
              <w:t>28.74%</w:t>
            </w:r>
          </w:p>
        </w:tc>
        <w:tc>
          <w:tcPr>
            <w:tcW w:w="180" w:type="dxa"/>
            <w:tcBorders>
              <w:bottom w:val="single" w:sz="2" w:space="0" w:color="000000"/>
            </w:tcBorders>
            <w:tcMar>
              <w:bottom w:w="40" w:type="dxa"/>
            </w:tcMar>
            <w:vAlign w:val="center"/>
          </w:tcPr>
          <w:p>
            <w:pPr>
              <w:pStyle w:val="TableContents"/>
              <w:bidi w:val="0"/>
              <w:spacing w:before="0" w:after="283"/>
              <w:jc w:val="left"/>
              <w:rPr/>
            </w:pPr>
            <w:r>
              <w:rPr/>
              <w:t> </w:t>
            </w:r>
          </w:p>
        </w:tc>
        <w:tc>
          <w:tcPr>
            <w:tcW w:w="971" w:type="dxa"/>
            <w:tcBorders>
              <w:bottom w:val="single" w:sz="2" w:space="0" w:color="000000"/>
            </w:tcBorders>
            <w:tcMar>
              <w:bottom w:w="40" w:type="dxa"/>
            </w:tcMar>
            <w:vAlign w:val="center"/>
          </w:tcPr>
          <w:p>
            <w:pPr>
              <w:pStyle w:val="TableContents"/>
              <w:bidi w:val="0"/>
              <w:spacing w:before="0" w:after="283"/>
              <w:jc w:val="right"/>
              <w:rPr/>
            </w:pPr>
            <w:r>
              <w:rPr/>
              <w:t>24.84%–27.90%</w:t>
            </w:r>
          </w:p>
        </w:tc>
        <w:tc>
          <w:tcPr>
            <w:tcW w:w="180" w:type="dxa"/>
            <w:tcBorders>
              <w:bottom w:val="single" w:sz="2" w:space="0" w:color="000000"/>
            </w:tcBorders>
            <w:tcMar>
              <w:bottom w:w="40" w:type="dxa"/>
            </w:tcMar>
            <w:vAlign w:val="center"/>
          </w:tcPr>
          <w:p>
            <w:pPr>
              <w:pStyle w:val="TableContents"/>
              <w:bidi w:val="0"/>
              <w:spacing w:before="0" w:after="283"/>
              <w:jc w:val="left"/>
              <w:rPr/>
            </w:pPr>
            <w:r>
              <w:rPr/>
              <w:t> </w:t>
            </w:r>
          </w:p>
        </w:tc>
        <w:tc>
          <w:tcPr>
            <w:tcW w:w="971" w:type="dxa"/>
            <w:tcBorders>
              <w:bottom w:val="single" w:sz="2" w:space="0" w:color="000000"/>
            </w:tcBorders>
            <w:tcMar>
              <w:bottom w:w="40" w:type="dxa"/>
            </w:tcMar>
            <w:vAlign w:val="center"/>
          </w:tcPr>
          <w:p>
            <w:pPr>
              <w:pStyle w:val="TableContents"/>
              <w:bidi w:val="0"/>
              <w:spacing w:before="0" w:after="283"/>
              <w:jc w:val="right"/>
              <w:rPr/>
            </w:pPr>
            <w:r>
              <w:rPr/>
              <w:t>25.01%–31.39%</w:t>
            </w:r>
          </w:p>
        </w:tc>
        <w:tc>
          <w:tcPr>
            <w:tcW w:w="180" w:type="dxa"/>
            <w:tcBorders>
              <w:bottom w:val="single" w:sz="2" w:space="0" w:color="000000"/>
            </w:tcBorders>
            <w:tcMar>
              <w:bottom w:w="40" w:type="dxa"/>
            </w:tcMar>
            <w:vAlign w:val="center"/>
          </w:tcPr>
          <w:p>
            <w:pPr>
              <w:pStyle w:val="TableContents"/>
              <w:bidi w:val="0"/>
              <w:spacing w:before="0" w:after="283"/>
              <w:jc w:val="left"/>
              <w:rPr/>
            </w:pPr>
            <w:r>
              <w:rPr/>
              <w:t> </w:t>
            </w:r>
          </w:p>
        </w:tc>
        <w:tc>
          <w:tcPr>
            <w:tcW w:w="971" w:type="dxa"/>
            <w:tcBorders>
              <w:bottom w:val="single" w:sz="2" w:space="0" w:color="000000"/>
            </w:tcBorders>
            <w:tcMar>
              <w:bottom w:w="40" w:type="dxa"/>
            </w:tcMar>
            <w:vAlign w:val="center"/>
          </w:tcPr>
          <w:p>
            <w:pPr>
              <w:pStyle w:val="TableContents"/>
              <w:bidi w:val="0"/>
              <w:spacing w:before="0" w:after="283"/>
              <w:jc w:val="right"/>
              <w:rPr/>
            </w:pPr>
            <w:r>
              <w:rPr/>
              <w:t>22.65%–32.00%</w:t>
            </w:r>
          </w:p>
        </w:tc>
        <w:tc>
          <w:tcPr>
            <w:tcW w:w="180" w:type="dxa"/>
            <w:tcBorders>
              <w:bottom w:val="single" w:sz="2" w:space="0" w:color="000000"/>
            </w:tcBorders>
            <w:tcMar>
              <w:bottom w:w="40" w:type="dxa"/>
            </w:tcMar>
            <w:vAlign w:val="center"/>
          </w:tcPr>
          <w:p>
            <w:pPr>
              <w:pStyle w:val="TableContents"/>
              <w:bidi w:val="0"/>
              <w:spacing w:before="0" w:after="283"/>
              <w:jc w:val="left"/>
              <w:rPr/>
            </w:pPr>
            <w:r>
              <w:rPr/>
              <w:t> </w:t>
            </w:r>
          </w:p>
        </w:tc>
        <w:tc>
          <w:tcPr>
            <w:tcW w:w="971" w:type="dxa"/>
            <w:tcBorders>
              <w:bottom w:val="single" w:sz="2" w:space="0" w:color="000000"/>
            </w:tcBorders>
            <w:tcMar>
              <w:bottom w:w="40" w:type="dxa"/>
            </w:tcMar>
            <w:vAlign w:val="center"/>
          </w:tcPr>
          <w:p>
            <w:pPr>
              <w:pStyle w:val="TableContents"/>
              <w:bidi w:val="0"/>
              <w:spacing w:before="0" w:after="283"/>
              <w:jc w:val="right"/>
              <w:rPr/>
            </w:pPr>
            <w:r>
              <w:rPr/>
              <w:t>24.68%–35.00%</w:t>
            </w:r>
          </w:p>
        </w:tc>
        <w:tc>
          <w:tcPr>
            <w:tcW w:w="180" w:type="dxa"/>
            <w:tcBorders>
              <w:bottom w:val="single" w:sz="2" w:space="0" w:color="000000"/>
            </w:tcBorders>
            <w:tcMar>
              <w:bottom w:w="40" w:type="dxa"/>
            </w:tcMar>
            <w:vAlign w:val="center"/>
          </w:tcPr>
          <w:p>
            <w:pPr>
              <w:pStyle w:val="TableContents"/>
              <w:bidi w:val="0"/>
              <w:spacing w:before="0" w:after="283"/>
              <w:jc w:val="left"/>
              <w:rPr/>
            </w:pPr>
            <w:r>
              <w:rPr/>
              <w:t> </w:t>
            </w:r>
          </w:p>
        </w:tc>
        <w:tc>
          <w:tcPr>
            <w:tcW w:w="971" w:type="dxa"/>
            <w:tcBorders>
              <w:bottom w:val="single" w:sz="2" w:space="0" w:color="000000"/>
            </w:tcBorders>
            <w:tcMar>
              <w:bottom w:w="40" w:type="dxa"/>
            </w:tcMar>
            <w:vAlign w:val="center"/>
          </w:tcPr>
          <w:p>
            <w:pPr>
              <w:pStyle w:val="TableContents"/>
              <w:bidi w:val="0"/>
              <w:spacing w:before="0" w:after="283"/>
              <w:jc w:val="right"/>
              <w:rPr/>
            </w:pPr>
            <w:r>
              <w:rPr/>
              <w:t>27.99%–33.92%</w:t>
            </w:r>
          </w:p>
        </w:tc>
        <w:tc>
          <w:tcPr>
            <w:tcW w:w="180" w:type="dxa"/>
            <w:tcBorders>
              <w:bottom w:val="single" w:sz="2" w:space="0" w:color="000000"/>
            </w:tcBorders>
            <w:tcMar>
              <w:bottom w:w="40" w:type="dxa"/>
            </w:tcMar>
            <w:vAlign w:val="center"/>
          </w:tcPr>
          <w:p>
            <w:pPr>
              <w:pStyle w:val="TableContents"/>
              <w:bidi w:val="0"/>
              <w:spacing w:before="0" w:after="283"/>
              <w:jc w:val="left"/>
              <w:rPr/>
            </w:pPr>
            <w:r>
              <w:rPr/>
              <w:t> </w:t>
            </w:r>
          </w:p>
        </w:tc>
        <w:tc>
          <w:tcPr>
            <w:tcW w:w="971" w:type="dxa"/>
            <w:tcBorders>
              <w:bottom w:val="single" w:sz="2" w:space="0" w:color="000000"/>
            </w:tcBorders>
            <w:tcMar>
              <w:bottom w:w="40" w:type="dxa"/>
            </w:tcMar>
            <w:vAlign w:val="center"/>
          </w:tcPr>
          <w:p>
            <w:pPr>
              <w:pStyle w:val="TableContents"/>
              <w:bidi w:val="0"/>
              <w:spacing w:before="0" w:after="283"/>
              <w:jc w:val="right"/>
              <w:rPr/>
            </w:pPr>
            <w:r>
              <w:rPr/>
              <w:t>19.76%–31.85%</w:t>
            </w:r>
          </w:p>
        </w:tc>
        <w:tc>
          <w:tcPr>
            <w:tcW w:w="180" w:type="dxa"/>
            <w:tcBorders>
              <w:bottom w:val="single" w:sz="2" w:space="0" w:color="000000"/>
            </w:tcBorders>
            <w:tcMar>
              <w:bottom w:w="40" w:type="dxa"/>
            </w:tcMar>
            <w:vAlign w:val="center"/>
          </w:tcPr>
          <w:p>
            <w:pPr>
              <w:pStyle w:val="TableContents"/>
              <w:bidi w:val="0"/>
              <w:spacing w:before="0" w:after="283"/>
              <w:jc w:val="left"/>
              <w:rPr/>
            </w:pPr>
            <w:r>
              <w:rPr/>
              <w:t> </w:t>
            </w:r>
          </w:p>
        </w:tc>
        <w:tc>
          <w:tcPr>
            <w:tcW w:w="993" w:type="dxa"/>
            <w:tcBorders>
              <w:bottom w:val="single" w:sz="2" w:space="0" w:color="000000"/>
            </w:tcBorders>
            <w:tcMar>
              <w:bottom w:w="40" w:type="dxa"/>
            </w:tcMar>
            <w:vAlign w:val="center"/>
          </w:tcPr>
          <w:p>
            <w:pPr>
              <w:pStyle w:val="TableContents"/>
              <w:bidi w:val="0"/>
              <w:spacing w:before="0" w:after="283"/>
              <w:jc w:val="right"/>
              <w:rPr/>
            </w:pPr>
            <w:r>
              <w:rPr/>
              <w:t>20.14%–33.33%</w:t>
            </w:r>
          </w:p>
        </w:tc>
      </w:tr>
      <w:tr>
        <w:trPr/>
        <w:tc>
          <w:tcPr>
            <w:tcW w:w="75" w:type="dxa"/>
            <w:tcBorders/>
            <w:vAlign w:val="center"/>
          </w:tcPr>
          <w:p>
            <w:pPr>
              <w:pStyle w:val="TableContents"/>
              <w:bidi w:val="0"/>
              <w:spacing w:before="0" w:after="283"/>
              <w:jc w:val="left"/>
              <w:rPr/>
            </w:pPr>
            <w:r>
              <w:rPr/>
              <w:t> </w:t>
            </w:r>
          </w:p>
        </w:tc>
        <w:tc>
          <w:tcPr>
            <w:tcW w:w="1262" w:type="dxa"/>
            <w:tcBorders>
              <w:bottom w:val="single" w:sz="2" w:space="0" w:color="000000"/>
            </w:tcBorders>
            <w:tcMar>
              <w:bottom w:w="40" w:type="dxa"/>
            </w:tcMar>
            <w:vAlign w:val="center"/>
          </w:tcPr>
          <w:p>
            <w:pPr>
              <w:pStyle w:val="TableContents"/>
              <w:bidi w:val="0"/>
              <w:spacing w:before="0" w:after="283"/>
              <w:jc w:val="left"/>
              <w:rPr/>
            </w:pPr>
            <w:r>
              <w:rPr/>
              <w:t>Expected life (in years)</w:t>
            </w:r>
          </w:p>
        </w:tc>
        <w:tc>
          <w:tcPr>
            <w:tcW w:w="180" w:type="dxa"/>
            <w:tcBorders>
              <w:bottom w:val="single" w:sz="2" w:space="0" w:color="000000"/>
            </w:tcBorders>
            <w:tcMar>
              <w:bottom w:w="40" w:type="dxa"/>
            </w:tcMar>
            <w:vAlign w:val="center"/>
          </w:tcPr>
          <w:p>
            <w:pPr>
              <w:pStyle w:val="TableContents"/>
              <w:bidi w:val="0"/>
              <w:spacing w:before="0" w:after="283"/>
              <w:jc w:val="left"/>
              <w:rPr/>
            </w:pPr>
            <w:r>
              <w:rPr/>
              <w:t> </w:t>
            </w:r>
          </w:p>
        </w:tc>
        <w:tc>
          <w:tcPr>
            <w:tcW w:w="609" w:type="dxa"/>
            <w:tcBorders>
              <w:bottom w:val="single" w:sz="2" w:space="0" w:color="000000"/>
            </w:tcBorders>
            <w:tcMar>
              <w:bottom w:w="40" w:type="dxa"/>
            </w:tcMar>
            <w:vAlign w:val="center"/>
          </w:tcPr>
          <w:p>
            <w:pPr>
              <w:pStyle w:val="TableContents"/>
              <w:bidi w:val="0"/>
              <w:spacing w:before="0" w:after="283"/>
              <w:jc w:val="right"/>
              <w:rPr/>
            </w:pPr>
            <w:r>
              <w:rPr/>
              <w:t>6.11</w:t>
            </w:r>
          </w:p>
        </w:tc>
        <w:tc>
          <w:tcPr>
            <w:tcW w:w="180" w:type="dxa"/>
            <w:tcBorders>
              <w:bottom w:val="single" w:sz="2" w:space="0" w:color="000000"/>
            </w:tcBorders>
            <w:tcMar>
              <w:bottom w:w="40" w:type="dxa"/>
            </w:tcMar>
            <w:vAlign w:val="center"/>
          </w:tcPr>
          <w:p>
            <w:pPr>
              <w:pStyle w:val="TableContents"/>
              <w:bidi w:val="0"/>
              <w:spacing w:before="0" w:after="283"/>
              <w:jc w:val="left"/>
              <w:rPr/>
            </w:pPr>
            <w:r>
              <w:rPr/>
              <w:t> </w:t>
            </w:r>
          </w:p>
        </w:tc>
        <w:tc>
          <w:tcPr>
            <w:tcW w:w="971" w:type="dxa"/>
            <w:tcBorders>
              <w:bottom w:val="single" w:sz="2" w:space="0" w:color="000000"/>
            </w:tcBorders>
            <w:tcMar>
              <w:bottom w:w="40" w:type="dxa"/>
            </w:tcMar>
            <w:vAlign w:val="center"/>
          </w:tcPr>
          <w:p>
            <w:pPr>
              <w:pStyle w:val="TableContents"/>
              <w:bidi w:val="0"/>
              <w:spacing w:before="0" w:after="283"/>
              <w:jc w:val="right"/>
              <w:rPr/>
            </w:pPr>
            <w:r>
              <w:rPr/>
              <w:t>5.11–5.97</w:t>
            </w:r>
          </w:p>
        </w:tc>
        <w:tc>
          <w:tcPr>
            <w:tcW w:w="180" w:type="dxa"/>
            <w:tcBorders>
              <w:bottom w:val="single" w:sz="2" w:space="0" w:color="000000"/>
            </w:tcBorders>
            <w:tcMar>
              <w:bottom w:w="40" w:type="dxa"/>
            </w:tcMar>
            <w:vAlign w:val="center"/>
          </w:tcPr>
          <w:p>
            <w:pPr>
              <w:pStyle w:val="TableContents"/>
              <w:bidi w:val="0"/>
              <w:spacing w:before="0" w:after="283"/>
              <w:jc w:val="left"/>
              <w:rPr/>
            </w:pPr>
            <w:r>
              <w:rPr/>
              <w:t> </w:t>
            </w:r>
          </w:p>
        </w:tc>
        <w:tc>
          <w:tcPr>
            <w:tcW w:w="971" w:type="dxa"/>
            <w:tcBorders>
              <w:bottom w:val="single" w:sz="2" w:space="0" w:color="000000"/>
            </w:tcBorders>
            <w:tcMar>
              <w:bottom w:w="40" w:type="dxa"/>
            </w:tcMar>
            <w:vAlign w:val="center"/>
          </w:tcPr>
          <w:p>
            <w:pPr>
              <w:pStyle w:val="TableContents"/>
              <w:bidi w:val="0"/>
              <w:spacing w:before="0" w:after="283"/>
              <w:jc w:val="right"/>
              <w:rPr/>
            </w:pPr>
            <w:r>
              <w:rPr/>
              <w:t>4.12–6.31</w:t>
            </w:r>
          </w:p>
        </w:tc>
        <w:tc>
          <w:tcPr>
            <w:tcW w:w="180" w:type="dxa"/>
            <w:tcBorders>
              <w:bottom w:val="single" w:sz="2" w:space="0" w:color="000000"/>
            </w:tcBorders>
            <w:tcMar>
              <w:bottom w:w="40" w:type="dxa"/>
            </w:tcMar>
            <w:vAlign w:val="center"/>
          </w:tcPr>
          <w:p>
            <w:pPr>
              <w:pStyle w:val="TableContents"/>
              <w:bidi w:val="0"/>
              <w:spacing w:before="0" w:after="283"/>
              <w:jc w:val="left"/>
              <w:rPr/>
            </w:pPr>
            <w:r>
              <w:rPr/>
              <w:t> </w:t>
            </w:r>
          </w:p>
        </w:tc>
        <w:tc>
          <w:tcPr>
            <w:tcW w:w="971" w:type="dxa"/>
            <w:tcBorders>
              <w:bottom w:val="single" w:sz="2" w:space="0" w:color="000000"/>
            </w:tcBorders>
            <w:tcMar>
              <w:bottom w:w="40" w:type="dxa"/>
            </w:tcMar>
            <w:vAlign w:val="center"/>
          </w:tcPr>
          <w:p>
            <w:pPr>
              <w:pStyle w:val="TableContents"/>
              <w:bidi w:val="0"/>
              <w:spacing w:before="0" w:after="283"/>
              <w:jc w:val="right"/>
              <w:rPr/>
            </w:pPr>
            <w:r>
              <w:rPr/>
              <w:t>4.00–5.64</w:t>
            </w:r>
          </w:p>
        </w:tc>
        <w:tc>
          <w:tcPr>
            <w:tcW w:w="180" w:type="dxa"/>
            <w:tcBorders>
              <w:bottom w:val="single" w:sz="2" w:space="0" w:color="000000"/>
            </w:tcBorders>
            <w:tcMar>
              <w:bottom w:w="40" w:type="dxa"/>
            </w:tcMar>
            <w:vAlign w:val="center"/>
          </w:tcPr>
          <w:p>
            <w:pPr>
              <w:pStyle w:val="TableContents"/>
              <w:bidi w:val="0"/>
              <w:spacing w:before="0" w:after="283"/>
              <w:jc w:val="left"/>
              <w:rPr/>
            </w:pPr>
            <w:r>
              <w:rPr/>
              <w:t> </w:t>
            </w:r>
          </w:p>
        </w:tc>
        <w:tc>
          <w:tcPr>
            <w:tcW w:w="971" w:type="dxa"/>
            <w:tcBorders>
              <w:bottom w:val="single" w:sz="2" w:space="0" w:color="000000"/>
            </w:tcBorders>
            <w:tcMar>
              <w:bottom w:w="40" w:type="dxa"/>
            </w:tcMar>
            <w:vAlign w:val="center"/>
          </w:tcPr>
          <w:p>
            <w:pPr>
              <w:pStyle w:val="TableContents"/>
              <w:bidi w:val="0"/>
              <w:spacing w:before="0" w:after="283"/>
              <w:jc w:val="right"/>
              <w:rPr/>
            </w:pPr>
            <w:r>
              <w:rPr/>
              <w:t>3.81–5.79</w:t>
            </w:r>
          </w:p>
        </w:tc>
        <w:tc>
          <w:tcPr>
            <w:tcW w:w="180" w:type="dxa"/>
            <w:tcBorders>
              <w:bottom w:val="single" w:sz="2" w:space="0" w:color="000000"/>
            </w:tcBorders>
            <w:tcMar>
              <w:bottom w:w="40" w:type="dxa"/>
            </w:tcMar>
            <w:vAlign w:val="center"/>
          </w:tcPr>
          <w:p>
            <w:pPr>
              <w:pStyle w:val="TableContents"/>
              <w:bidi w:val="0"/>
              <w:spacing w:before="0" w:after="283"/>
              <w:jc w:val="left"/>
              <w:rPr/>
            </w:pPr>
            <w:r>
              <w:rPr/>
              <w:t> </w:t>
            </w:r>
          </w:p>
        </w:tc>
        <w:tc>
          <w:tcPr>
            <w:tcW w:w="971" w:type="dxa"/>
            <w:tcBorders>
              <w:bottom w:val="single" w:sz="2" w:space="0" w:color="000000"/>
            </w:tcBorders>
            <w:tcMar>
              <w:bottom w:w="40" w:type="dxa"/>
            </w:tcMar>
            <w:vAlign w:val="center"/>
          </w:tcPr>
          <w:p>
            <w:pPr>
              <w:pStyle w:val="TableContents"/>
              <w:bidi w:val="0"/>
              <w:spacing w:before="0" w:after="283"/>
              <w:jc w:val="right"/>
              <w:rPr/>
            </w:pPr>
            <w:r>
              <w:rPr/>
              <w:t>3.60–6.47</w:t>
            </w:r>
          </w:p>
        </w:tc>
        <w:tc>
          <w:tcPr>
            <w:tcW w:w="180" w:type="dxa"/>
            <w:tcBorders>
              <w:bottom w:val="single" w:sz="2" w:space="0" w:color="000000"/>
            </w:tcBorders>
            <w:tcMar>
              <w:bottom w:w="40" w:type="dxa"/>
            </w:tcMar>
            <w:vAlign w:val="center"/>
          </w:tcPr>
          <w:p>
            <w:pPr>
              <w:pStyle w:val="TableContents"/>
              <w:bidi w:val="0"/>
              <w:spacing w:before="0" w:after="283"/>
              <w:jc w:val="left"/>
              <w:rPr/>
            </w:pPr>
            <w:r>
              <w:rPr/>
              <w:t> </w:t>
            </w:r>
          </w:p>
        </w:tc>
        <w:tc>
          <w:tcPr>
            <w:tcW w:w="971" w:type="dxa"/>
            <w:tcBorders>
              <w:bottom w:val="single" w:sz="2" w:space="0" w:color="000000"/>
            </w:tcBorders>
            <w:tcMar>
              <w:bottom w:w="40" w:type="dxa"/>
            </w:tcMar>
            <w:vAlign w:val="center"/>
          </w:tcPr>
          <w:p>
            <w:pPr>
              <w:pStyle w:val="TableContents"/>
              <w:bidi w:val="0"/>
              <w:spacing w:before="0" w:after="283"/>
              <w:jc w:val="right"/>
              <w:rPr/>
            </w:pPr>
            <w:r>
              <w:rPr/>
              <w:t>3.51–6.15</w:t>
            </w:r>
          </w:p>
        </w:tc>
        <w:tc>
          <w:tcPr>
            <w:tcW w:w="180" w:type="dxa"/>
            <w:tcBorders>
              <w:bottom w:val="single" w:sz="2" w:space="0" w:color="000000"/>
            </w:tcBorders>
            <w:tcMar>
              <w:bottom w:w="40" w:type="dxa"/>
            </w:tcMar>
            <w:vAlign w:val="center"/>
          </w:tcPr>
          <w:p>
            <w:pPr>
              <w:pStyle w:val="TableContents"/>
              <w:bidi w:val="0"/>
              <w:spacing w:before="0" w:after="283"/>
              <w:jc w:val="left"/>
              <w:rPr/>
            </w:pPr>
            <w:r>
              <w:rPr/>
              <w:t> </w:t>
            </w:r>
          </w:p>
        </w:tc>
        <w:tc>
          <w:tcPr>
            <w:tcW w:w="993" w:type="dxa"/>
            <w:tcBorders>
              <w:bottom w:val="single" w:sz="2" w:space="0" w:color="000000"/>
            </w:tcBorders>
            <w:tcMar>
              <w:bottom w:w="40" w:type="dxa"/>
            </w:tcMar>
            <w:vAlign w:val="center"/>
          </w:tcPr>
          <w:p>
            <w:pPr>
              <w:pStyle w:val="TableContents"/>
              <w:bidi w:val="0"/>
              <w:spacing w:before="0" w:after="283"/>
              <w:jc w:val="right"/>
              <w:rPr/>
            </w:pPr>
            <w:r>
              <w:rPr/>
              <w:t>3.75–4.65</w:t>
            </w:r>
          </w:p>
        </w:tc>
      </w:tr>
      <w:tr>
        <w:trPr/>
        <w:tc>
          <w:tcPr>
            <w:tcW w:w="75" w:type="dxa"/>
            <w:tcBorders/>
            <w:vAlign w:val="center"/>
          </w:tcPr>
          <w:p>
            <w:pPr>
              <w:pStyle w:val="TableContents"/>
              <w:bidi w:val="0"/>
              <w:spacing w:before="0" w:after="283"/>
              <w:jc w:val="left"/>
              <w:rPr/>
            </w:pPr>
            <w:r>
              <w:rPr/>
              <w:t> </w:t>
            </w:r>
          </w:p>
        </w:tc>
        <w:tc>
          <w:tcPr>
            <w:tcW w:w="1262" w:type="dxa"/>
            <w:tcBorders>
              <w:bottom w:val="single" w:sz="2" w:space="0" w:color="000000"/>
            </w:tcBorders>
            <w:tcMar>
              <w:bottom w:w="40" w:type="dxa"/>
            </w:tcMar>
            <w:vAlign w:val="center"/>
          </w:tcPr>
          <w:p>
            <w:pPr>
              <w:pStyle w:val="TableContents"/>
              <w:bidi w:val="0"/>
              <w:spacing w:before="0" w:after="283"/>
              <w:jc w:val="left"/>
              <w:rPr/>
            </w:pPr>
            <w:r>
              <w:rPr/>
              <w:t>Expected dividend yield</w:t>
            </w:r>
          </w:p>
        </w:tc>
        <w:tc>
          <w:tcPr>
            <w:tcW w:w="180" w:type="dxa"/>
            <w:tcBorders>
              <w:bottom w:val="single" w:sz="2" w:space="0" w:color="000000"/>
            </w:tcBorders>
            <w:tcMar>
              <w:bottom w:w="40" w:type="dxa"/>
            </w:tcMar>
            <w:vAlign w:val="center"/>
          </w:tcPr>
          <w:p>
            <w:pPr>
              <w:pStyle w:val="TableContents"/>
              <w:bidi w:val="0"/>
              <w:spacing w:before="0" w:after="283"/>
              <w:jc w:val="left"/>
              <w:rPr/>
            </w:pPr>
            <w:r>
              <w:rPr/>
              <w:t> </w:t>
            </w:r>
          </w:p>
        </w:tc>
        <w:tc>
          <w:tcPr>
            <w:tcW w:w="609" w:type="dxa"/>
            <w:tcBorders>
              <w:bottom w:val="single" w:sz="2" w:space="0" w:color="000000"/>
            </w:tcBorders>
            <w:tcMar>
              <w:bottom w:w="40" w:type="dxa"/>
            </w:tcMar>
            <w:vAlign w:val="center"/>
          </w:tcPr>
          <w:p>
            <w:pPr>
              <w:pStyle w:val="TableContents"/>
              <w:bidi w:val="0"/>
              <w:spacing w:before="0" w:after="283"/>
              <w:jc w:val="right"/>
              <w:rPr/>
            </w:pPr>
            <w:r>
              <w:rPr/>
              <w:t>1.48%</w:t>
            </w:r>
          </w:p>
        </w:tc>
        <w:tc>
          <w:tcPr>
            <w:tcW w:w="180" w:type="dxa"/>
            <w:tcBorders>
              <w:bottom w:val="single" w:sz="2" w:space="0" w:color="000000"/>
            </w:tcBorders>
            <w:tcMar>
              <w:bottom w:w="40" w:type="dxa"/>
            </w:tcMar>
            <w:vAlign w:val="center"/>
          </w:tcPr>
          <w:p>
            <w:pPr>
              <w:pStyle w:val="TableContents"/>
              <w:bidi w:val="0"/>
              <w:spacing w:before="0" w:after="283"/>
              <w:jc w:val="left"/>
              <w:rPr/>
            </w:pPr>
            <w:r>
              <w:rPr/>
              <w:t> </w:t>
            </w:r>
          </w:p>
        </w:tc>
        <w:tc>
          <w:tcPr>
            <w:tcW w:w="971" w:type="dxa"/>
            <w:tcBorders>
              <w:bottom w:val="single" w:sz="2" w:space="0" w:color="000000"/>
            </w:tcBorders>
            <w:tcMar>
              <w:bottom w:w="40" w:type="dxa"/>
            </w:tcMar>
            <w:vAlign w:val="center"/>
          </w:tcPr>
          <w:p>
            <w:pPr>
              <w:pStyle w:val="TableContents"/>
              <w:bidi w:val="0"/>
              <w:spacing w:before="0" w:after="283"/>
              <w:jc w:val="right"/>
              <w:rPr/>
            </w:pPr>
            <w:r>
              <w:rPr/>
              <w:t>1.48%–2.18%</w:t>
            </w:r>
          </w:p>
        </w:tc>
        <w:tc>
          <w:tcPr>
            <w:tcW w:w="180" w:type="dxa"/>
            <w:tcBorders>
              <w:bottom w:val="single" w:sz="2" w:space="0" w:color="000000"/>
            </w:tcBorders>
            <w:tcMar>
              <w:bottom w:w="40" w:type="dxa"/>
            </w:tcMar>
            <w:vAlign w:val="center"/>
          </w:tcPr>
          <w:p>
            <w:pPr>
              <w:pStyle w:val="TableContents"/>
              <w:bidi w:val="0"/>
              <w:spacing w:before="0" w:after="283"/>
              <w:jc w:val="left"/>
              <w:rPr/>
            </w:pPr>
            <w:r>
              <w:rPr/>
              <w:t> </w:t>
            </w:r>
          </w:p>
        </w:tc>
        <w:tc>
          <w:tcPr>
            <w:tcW w:w="971" w:type="dxa"/>
            <w:tcBorders>
              <w:bottom w:val="single" w:sz="2" w:space="0" w:color="000000"/>
            </w:tcBorders>
            <w:tcMar>
              <w:bottom w:w="40" w:type="dxa"/>
            </w:tcMar>
            <w:vAlign w:val="center"/>
          </w:tcPr>
          <w:p>
            <w:pPr>
              <w:pStyle w:val="TableContents"/>
              <w:bidi w:val="0"/>
              <w:spacing w:before="0" w:after="283"/>
              <w:jc w:val="right"/>
              <w:rPr/>
            </w:pPr>
            <w:r>
              <w:rPr/>
              <w:t>1.48%–2.80%</w:t>
            </w:r>
          </w:p>
        </w:tc>
        <w:tc>
          <w:tcPr>
            <w:tcW w:w="180" w:type="dxa"/>
            <w:tcBorders>
              <w:bottom w:val="single" w:sz="2" w:space="0" w:color="000000"/>
            </w:tcBorders>
            <w:tcMar>
              <w:bottom w:w="40" w:type="dxa"/>
            </w:tcMar>
            <w:vAlign w:val="center"/>
          </w:tcPr>
          <w:p>
            <w:pPr>
              <w:pStyle w:val="TableContents"/>
              <w:bidi w:val="0"/>
              <w:spacing w:before="0" w:after="283"/>
              <w:jc w:val="left"/>
              <w:rPr/>
            </w:pPr>
            <w:r>
              <w:rPr/>
              <w:t> </w:t>
            </w:r>
          </w:p>
        </w:tc>
        <w:tc>
          <w:tcPr>
            <w:tcW w:w="971" w:type="dxa"/>
            <w:tcBorders>
              <w:bottom w:val="single" w:sz="2" w:space="0" w:color="000000"/>
            </w:tcBorders>
            <w:tcMar>
              <w:bottom w:w="40" w:type="dxa"/>
            </w:tcMar>
            <w:vAlign w:val="center"/>
          </w:tcPr>
          <w:p>
            <w:pPr>
              <w:pStyle w:val="TableContents"/>
              <w:bidi w:val="0"/>
              <w:spacing w:before="0" w:after="283"/>
              <w:jc w:val="right"/>
              <w:rPr/>
            </w:pPr>
            <w:r>
              <w:rPr/>
              <w:t>2.06%–2.80%</w:t>
            </w:r>
          </w:p>
        </w:tc>
        <w:tc>
          <w:tcPr>
            <w:tcW w:w="180" w:type="dxa"/>
            <w:tcBorders>
              <w:bottom w:val="single" w:sz="2" w:space="0" w:color="000000"/>
            </w:tcBorders>
            <w:tcMar>
              <w:bottom w:w="40" w:type="dxa"/>
            </w:tcMar>
            <w:vAlign w:val="center"/>
          </w:tcPr>
          <w:p>
            <w:pPr>
              <w:pStyle w:val="TableContents"/>
              <w:bidi w:val="0"/>
              <w:spacing w:before="0" w:after="283"/>
              <w:jc w:val="left"/>
              <w:rPr/>
            </w:pPr>
            <w:r>
              <w:rPr/>
              <w:t> </w:t>
            </w:r>
          </w:p>
        </w:tc>
        <w:tc>
          <w:tcPr>
            <w:tcW w:w="971" w:type="dxa"/>
            <w:tcBorders>
              <w:bottom w:val="single" w:sz="2" w:space="0" w:color="000000"/>
            </w:tcBorders>
            <w:tcMar>
              <w:bottom w:w="40" w:type="dxa"/>
            </w:tcMar>
            <w:vAlign w:val="center"/>
          </w:tcPr>
          <w:p>
            <w:pPr>
              <w:pStyle w:val="TableContents"/>
              <w:bidi w:val="0"/>
              <w:spacing w:before="0" w:after="283"/>
              <w:jc w:val="right"/>
              <w:rPr/>
            </w:pPr>
            <w:r>
              <w:rPr/>
              <w:t>2.18%–2.80%</w:t>
            </w:r>
          </w:p>
        </w:tc>
        <w:tc>
          <w:tcPr>
            <w:tcW w:w="180" w:type="dxa"/>
            <w:tcBorders>
              <w:bottom w:val="single" w:sz="2" w:space="0" w:color="000000"/>
            </w:tcBorders>
            <w:tcMar>
              <w:bottom w:w="40" w:type="dxa"/>
            </w:tcMar>
            <w:vAlign w:val="center"/>
          </w:tcPr>
          <w:p>
            <w:pPr>
              <w:pStyle w:val="TableContents"/>
              <w:bidi w:val="0"/>
              <w:spacing w:before="0" w:after="283"/>
              <w:jc w:val="left"/>
              <w:rPr/>
            </w:pPr>
            <w:r>
              <w:rPr/>
              <w:t> </w:t>
            </w:r>
          </w:p>
        </w:tc>
        <w:tc>
          <w:tcPr>
            <w:tcW w:w="971" w:type="dxa"/>
            <w:tcBorders>
              <w:bottom w:val="single" w:sz="2" w:space="0" w:color="000000"/>
            </w:tcBorders>
            <w:tcMar>
              <w:bottom w:w="40" w:type="dxa"/>
            </w:tcMar>
            <w:vAlign w:val="center"/>
          </w:tcPr>
          <w:p>
            <w:pPr>
              <w:pStyle w:val="TableContents"/>
              <w:bidi w:val="0"/>
              <w:spacing w:before="0" w:after="283"/>
              <w:jc w:val="right"/>
              <w:rPr/>
            </w:pPr>
            <w:r>
              <w:rPr/>
              <w:t>2.17%–2.66%</w:t>
            </w:r>
          </w:p>
        </w:tc>
        <w:tc>
          <w:tcPr>
            <w:tcW w:w="180" w:type="dxa"/>
            <w:tcBorders>
              <w:bottom w:val="single" w:sz="2" w:space="0" w:color="000000"/>
            </w:tcBorders>
            <w:tcMar>
              <w:bottom w:w="40" w:type="dxa"/>
            </w:tcMar>
            <w:vAlign w:val="center"/>
          </w:tcPr>
          <w:p>
            <w:pPr>
              <w:pStyle w:val="TableContents"/>
              <w:bidi w:val="0"/>
              <w:spacing w:before="0" w:after="283"/>
              <w:jc w:val="left"/>
              <w:rPr/>
            </w:pPr>
            <w:r>
              <w:rPr/>
              <w:t> </w:t>
            </w:r>
          </w:p>
        </w:tc>
        <w:tc>
          <w:tcPr>
            <w:tcW w:w="971" w:type="dxa"/>
            <w:tcBorders>
              <w:bottom w:val="single" w:sz="2" w:space="0" w:color="000000"/>
            </w:tcBorders>
            <w:tcMar>
              <w:bottom w:w="40" w:type="dxa"/>
            </w:tcMar>
            <w:vAlign w:val="center"/>
          </w:tcPr>
          <w:p>
            <w:pPr>
              <w:pStyle w:val="TableContents"/>
              <w:bidi w:val="0"/>
              <w:spacing w:before="0" w:after="283"/>
              <w:jc w:val="right"/>
              <w:rPr/>
            </w:pPr>
            <w:r>
              <w:rPr/>
              <w:t>1.91%–2.83%</w:t>
            </w:r>
          </w:p>
        </w:tc>
        <w:tc>
          <w:tcPr>
            <w:tcW w:w="180" w:type="dxa"/>
            <w:tcBorders>
              <w:bottom w:val="single" w:sz="2" w:space="0" w:color="000000"/>
            </w:tcBorders>
            <w:tcMar>
              <w:bottom w:w="40" w:type="dxa"/>
            </w:tcMar>
            <w:vAlign w:val="center"/>
          </w:tcPr>
          <w:p>
            <w:pPr>
              <w:pStyle w:val="TableContents"/>
              <w:bidi w:val="0"/>
              <w:spacing w:before="0" w:after="283"/>
              <w:jc w:val="left"/>
              <w:rPr/>
            </w:pPr>
            <w:r>
              <w:rPr/>
              <w:t> </w:t>
            </w:r>
          </w:p>
        </w:tc>
        <w:tc>
          <w:tcPr>
            <w:tcW w:w="993" w:type="dxa"/>
            <w:tcBorders>
              <w:bottom w:val="single" w:sz="2" w:space="0" w:color="000000"/>
            </w:tcBorders>
            <w:tcMar>
              <w:bottom w:w="40" w:type="dxa"/>
            </w:tcMar>
            <w:vAlign w:val="center"/>
          </w:tcPr>
          <w:p>
            <w:pPr>
              <w:pStyle w:val="TableContents"/>
              <w:bidi w:val="0"/>
              <w:spacing w:before="0" w:after="283"/>
              <w:jc w:val="right"/>
              <w:rPr/>
            </w:pPr>
            <w:r>
              <w:rPr/>
              <w:t>1.99%–2.83%</w:t>
            </w:r>
          </w:p>
        </w:tc>
      </w:tr>
      <w:tr>
        <w:trPr/>
        <w:tc>
          <w:tcPr>
            <w:tcW w:w="75" w:type="dxa"/>
            <w:tcBorders/>
            <w:vAlign w:val="center"/>
          </w:tcPr>
          <w:p>
            <w:pPr>
              <w:pStyle w:val="TableContents"/>
              <w:bidi w:val="0"/>
              <w:spacing w:before="0" w:after="283"/>
              <w:jc w:val="left"/>
              <w:rPr/>
            </w:pPr>
            <w:r>
              <w:rPr/>
              <w:t> </w:t>
            </w:r>
          </w:p>
        </w:tc>
        <w:tc>
          <w:tcPr>
            <w:tcW w:w="1262" w:type="dxa"/>
            <w:tcBorders>
              <w:bottom w:val="single" w:sz="12" w:space="0" w:color="636466"/>
            </w:tcBorders>
            <w:tcMar>
              <w:bottom w:w="40" w:type="dxa"/>
            </w:tcMar>
            <w:vAlign w:val="center"/>
          </w:tcPr>
          <w:p>
            <w:pPr>
              <w:pStyle w:val="TableContents"/>
              <w:bidi w:val="0"/>
              <w:spacing w:before="0" w:after="283"/>
              <w:jc w:val="left"/>
              <w:rPr/>
            </w:pPr>
            <w:r>
              <w:rPr/>
              <w:t>Risk-free rate</w:t>
            </w:r>
          </w:p>
        </w:tc>
        <w:tc>
          <w:tcPr>
            <w:tcW w:w="180" w:type="dxa"/>
            <w:tcBorders>
              <w:bottom w:val="single" w:sz="12" w:space="0" w:color="636466"/>
            </w:tcBorders>
            <w:tcMar>
              <w:bottom w:w="40" w:type="dxa"/>
            </w:tcMar>
            <w:vAlign w:val="center"/>
          </w:tcPr>
          <w:p>
            <w:pPr>
              <w:pStyle w:val="TableContents"/>
              <w:bidi w:val="0"/>
              <w:spacing w:before="0" w:after="283"/>
              <w:jc w:val="left"/>
              <w:rPr/>
            </w:pPr>
            <w:r>
              <w:rPr/>
              <w:t> </w:t>
            </w:r>
          </w:p>
        </w:tc>
        <w:tc>
          <w:tcPr>
            <w:tcW w:w="609" w:type="dxa"/>
            <w:tcBorders>
              <w:bottom w:val="single" w:sz="12" w:space="0" w:color="636466"/>
            </w:tcBorders>
            <w:tcMar>
              <w:bottom w:w="40" w:type="dxa"/>
            </w:tcMar>
            <w:vAlign w:val="center"/>
          </w:tcPr>
          <w:p>
            <w:pPr>
              <w:pStyle w:val="TableContents"/>
              <w:bidi w:val="0"/>
              <w:spacing w:before="0" w:after="283"/>
              <w:jc w:val="right"/>
              <w:rPr/>
            </w:pPr>
            <w:r>
              <w:rPr/>
              <w:t>3.81%</w:t>
            </w:r>
          </w:p>
        </w:tc>
        <w:tc>
          <w:tcPr>
            <w:tcW w:w="180" w:type="dxa"/>
            <w:tcBorders>
              <w:bottom w:val="single" w:sz="12" w:space="0" w:color="636466"/>
            </w:tcBorders>
            <w:tcMar>
              <w:bottom w:w="40" w:type="dxa"/>
            </w:tcMar>
            <w:vAlign w:val="center"/>
          </w:tcPr>
          <w:p>
            <w:pPr>
              <w:pStyle w:val="TableContents"/>
              <w:bidi w:val="0"/>
              <w:spacing w:before="0" w:after="283"/>
              <w:jc w:val="left"/>
              <w:rPr/>
            </w:pPr>
            <w:r>
              <w:rPr/>
              <w:t> </w:t>
            </w:r>
          </w:p>
        </w:tc>
        <w:tc>
          <w:tcPr>
            <w:tcW w:w="971" w:type="dxa"/>
            <w:tcBorders>
              <w:bottom w:val="single" w:sz="12" w:space="0" w:color="636466"/>
            </w:tcBorders>
            <w:tcMar>
              <w:bottom w:w="40" w:type="dxa"/>
            </w:tcMar>
            <w:vAlign w:val="center"/>
          </w:tcPr>
          <w:p>
            <w:pPr>
              <w:pStyle w:val="TableContents"/>
              <w:bidi w:val="0"/>
              <w:spacing w:before="0" w:after="283"/>
              <w:jc w:val="right"/>
              <w:rPr/>
            </w:pPr>
            <w:r>
              <w:rPr/>
              <w:t>3.71%–4.38%</w:t>
            </w:r>
          </w:p>
        </w:tc>
        <w:tc>
          <w:tcPr>
            <w:tcW w:w="180" w:type="dxa"/>
            <w:tcBorders>
              <w:bottom w:val="single" w:sz="12" w:space="0" w:color="636466"/>
            </w:tcBorders>
            <w:tcMar>
              <w:bottom w:w="40" w:type="dxa"/>
            </w:tcMar>
            <w:vAlign w:val="center"/>
          </w:tcPr>
          <w:p>
            <w:pPr>
              <w:pStyle w:val="TableContents"/>
              <w:bidi w:val="0"/>
              <w:spacing w:before="0" w:after="283"/>
              <w:jc w:val="left"/>
              <w:rPr/>
            </w:pPr>
            <w:r>
              <w:rPr/>
              <w:t> </w:t>
            </w:r>
          </w:p>
        </w:tc>
        <w:tc>
          <w:tcPr>
            <w:tcW w:w="971" w:type="dxa"/>
            <w:tcBorders>
              <w:bottom w:val="single" w:sz="12" w:space="0" w:color="636466"/>
            </w:tcBorders>
            <w:tcMar>
              <w:bottom w:w="40" w:type="dxa"/>
            </w:tcMar>
            <w:vAlign w:val="center"/>
          </w:tcPr>
          <w:p>
            <w:pPr>
              <w:pStyle w:val="TableContents"/>
              <w:bidi w:val="0"/>
              <w:spacing w:before="0" w:after="283"/>
              <w:jc w:val="right"/>
              <w:rPr/>
            </w:pPr>
            <w:r>
              <w:rPr/>
              <w:t>3.62%–4.33%</w:t>
            </w:r>
          </w:p>
        </w:tc>
        <w:tc>
          <w:tcPr>
            <w:tcW w:w="180" w:type="dxa"/>
            <w:tcBorders>
              <w:bottom w:val="single" w:sz="12" w:space="0" w:color="636466"/>
            </w:tcBorders>
            <w:tcMar>
              <w:bottom w:w="40" w:type="dxa"/>
            </w:tcMar>
            <w:vAlign w:val="center"/>
          </w:tcPr>
          <w:p>
            <w:pPr>
              <w:pStyle w:val="TableContents"/>
              <w:bidi w:val="0"/>
              <w:spacing w:before="0" w:after="283"/>
              <w:jc w:val="left"/>
              <w:rPr/>
            </w:pPr>
            <w:r>
              <w:rPr/>
              <w:t> </w:t>
            </w:r>
          </w:p>
        </w:tc>
        <w:tc>
          <w:tcPr>
            <w:tcW w:w="971" w:type="dxa"/>
            <w:tcBorders>
              <w:bottom w:val="single" w:sz="12" w:space="0" w:color="636466"/>
            </w:tcBorders>
            <w:tcMar>
              <w:bottom w:w="40" w:type="dxa"/>
            </w:tcMar>
            <w:vAlign w:val="center"/>
          </w:tcPr>
          <w:p>
            <w:pPr>
              <w:pStyle w:val="TableContents"/>
              <w:bidi w:val="0"/>
              <w:spacing w:before="0" w:after="283"/>
              <w:jc w:val="right"/>
              <w:rPr/>
            </w:pPr>
            <w:r>
              <w:rPr/>
              <w:t>3.81%–4.28%</w:t>
            </w:r>
          </w:p>
        </w:tc>
        <w:tc>
          <w:tcPr>
            <w:tcW w:w="180" w:type="dxa"/>
            <w:tcBorders>
              <w:bottom w:val="single" w:sz="12" w:space="0" w:color="636466"/>
            </w:tcBorders>
            <w:tcMar>
              <w:bottom w:w="40" w:type="dxa"/>
            </w:tcMar>
            <w:vAlign w:val="center"/>
          </w:tcPr>
          <w:p>
            <w:pPr>
              <w:pStyle w:val="TableContents"/>
              <w:bidi w:val="0"/>
              <w:spacing w:before="0" w:after="283"/>
              <w:jc w:val="left"/>
              <w:rPr/>
            </w:pPr>
            <w:r>
              <w:rPr/>
              <w:t> </w:t>
            </w:r>
          </w:p>
        </w:tc>
        <w:tc>
          <w:tcPr>
            <w:tcW w:w="971" w:type="dxa"/>
            <w:tcBorders>
              <w:bottom w:val="single" w:sz="12" w:space="0" w:color="636466"/>
            </w:tcBorders>
            <w:tcMar>
              <w:bottom w:w="40" w:type="dxa"/>
            </w:tcMar>
            <w:vAlign w:val="center"/>
          </w:tcPr>
          <w:p>
            <w:pPr>
              <w:pStyle w:val="TableContents"/>
              <w:bidi w:val="0"/>
              <w:spacing w:before="0" w:after="283"/>
              <w:jc w:val="right"/>
              <w:rPr/>
            </w:pPr>
            <w:r>
              <w:rPr/>
              <w:t>0.76%–4.71%</w:t>
            </w:r>
          </w:p>
        </w:tc>
        <w:tc>
          <w:tcPr>
            <w:tcW w:w="180" w:type="dxa"/>
            <w:tcBorders>
              <w:bottom w:val="single" w:sz="12" w:space="0" w:color="636466"/>
            </w:tcBorders>
            <w:tcMar>
              <w:bottom w:w="40" w:type="dxa"/>
            </w:tcMar>
            <w:vAlign w:val="center"/>
          </w:tcPr>
          <w:p>
            <w:pPr>
              <w:pStyle w:val="TableContents"/>
              <w:bidi w:val="0"/>
              <w:spacing w:before="0" w:after="283"/>
              <w:jc w:val="left"/>
              <w:rPr/>
            </w:pPr>
            <w:r>
              <w:rPr/>
              <w:t> </w:t>
            </w:r>
          </w:p>
        </w:tc>
        <w:tc>
          <w:tcPr>
            <w:tcW w:w="971" w:type="dxa"/>
            <w:tcBorders>
              <w:bottom w:val="single" w:sz="12" w:space="0" w:color="636466"/>
            </w:tcBorders>
            <w:tcMar>
              <w:bottom w:w="40" w:type="dxa"/>
            </w:tcMar>
            <w:vAlign w:val="center"/>
          </w:tcPr>
          <w:p>
            <w:pPr>
              <w:pStyle w:val="TableContents"/>
              <w:bidi w:val="0"/>
              <w:spacing w:before="0" w:after="283"/>
              <w:jc w:val="right"/>
              <w:rPr/>
            </w:pPr>
            <w:r>
              <w:rPr/>
              <w:t>0.57%–4.16%</w:t>
            </w:r>
          </w:p>
        </w:tc>
        <w:tc>
          <w:tcPr>
            <w:tcW w:w="180" w:type="dxa"/>
            <w:tcBorders>
              <w:bottom w:val="single" w:sz="12" w:space="0" w:color="636466"/>
            </w:tcBorders>
            <w:tcMar>
              <w:bottom w:w="40" w:type="dxa"/>
            </w:tcMar>
            <w:vAlign w:val="center"/>
          </w:tcPr>
          <w:p>
            <w:pPr>
              <w:pStyle w:val="TableContents"/>
              <w:bidi w:val="0"/>
              <w:spacing w:before="0" w:after="283"/>
              <w:jc w:val="left"/>
              <w:rPr/>
            </w:pPr>
            <w:r>
              <w:rPr/>
              <w:t> </w:t>
            </w:r>
          </w:p>
        </w:tc>
        <w:tc>
          <w:tcPr>
            <w:tcW w:w="971" w:type="dxa"/>
            <w:tcBorders>
              <w:bottom w:val="single" w:sz="12" w:space="0" w:color="636466"/>
            </w:tcBorders>
            <w:tcMar>
              <w:bottom w:w="40" w:type="dxa"/>
            </w:tcMar>
            <w:vAlign w:val="center"/>
          </w:tcPr>
          <w:p>
            <w:pPr>
              <w:pStyle w:val="TableContents"/>
              <w:bidi w:val="0"/>
              <w:spacing w:before="0" w:after="283"/>
              <w:jc w:val="right"/>
              <w:rPr/>
            </w:pPr>
            <w:r>
              <w:rPr/>
              <w:t>0.32%–2.84%</w:t>
            </w:r>
          </w:p>
        </w:tc>
        <w:tc>
          <w:tcPr>
            <w:tcW w:w="180" w:type="dxa"/>
            <w:tcBorders>
              <w:bottom w:val="single" w:sz="12" w:space="0" w:color="636466"/>
            </w:tcBorders>
            <w:tcMar>
              <w:bottom w:w="40" w:type="dxa"/>
            </w:tcMar>
            <w:vAlign w:val="center"/>
          </w:tcPr>
          <w:p>
            <w:pPr>
              <w:pStyle w:val="TableContents"/>
              <w:bidi w:val="0"/>
              <w:spacing w:before="0" w:after="283"/>
              <w:jc w:val="left"/>
              <w:rPr/>
            </w:pPr>
            <w:r>
              <w:rPr/>
              <w:t> </w:t>
            </w:r>
          </w:p>
        </w:tc>
        <w:tc>
          <w:tcPr>
            <w:tcW w:w="993" w:type="dxa"/>
            <w:tcBorders>
              <w:bottom w:val="single" w:sz="12" w:space="0" w:color="636466"/>
            </w:tcBorders>
            <w:tcMar>
              <w:bottom w:w="40" w:type="dxa"/>
            </w:tcMar>
            <w:vAlign w:val="center"/>
          </w:tcPr>
          <w:p>
            <w:pPr>
              <w:pStyle w:val="TableContents"/>
              <w:bidi w:val="0"/>
              <w:spacing w:before="0" w:after="283"/>
              <w:jc w:val="right"/>
              <w:rPr/>
            </w:pPr>
            <w:r>
              <w:rPr/>
              <w:t>0.24%–1.67%</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0"/>
        <w:gridCol w:w="10025"/>
      </w:tblGrid>
      <w:tr>
        <w:trPr/>
        <w:tc>
          <w:tcPr>
            <w:tcW w:w="180" w:type="dxa"/>
            <w:tcBorders/>
            <w:vAlign w:val="center"/>
          </w:tcPr>
          <w:p>
            <w:pPr>
              <w:pStyle w:val="TableContents"/>
              <w:bidi w:val="0"/>
              <w:spacing w:before="0" w:after="283"/>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(5)</w:t>
            </w:r>
          </w:p>
        </w:tc>
        <w:tc>
          <w:tcPr>
            <w:tcW w:w="10025" w:type="dxa"/>
            <w:tcBorders/>
            <w:vAlign w:val="center"/>
          </w:tcPr>
          <w:p>
            <w:pPr>
              <w:pStyle w:val="TableContents"/>
              <w:bidi w:val="0"/>
              <w:spacing w:before="0" w:after="283"/>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The fair value of PSUs reported for CAP purposes in columns (c), (e) and (g) assumes actual performance results (if known) or estimated performance results as of the end of each reporting year for internal metrics (i.e., EPS and ROIC), and the Monte Carlo value of target-level performance for the market metrics (i.e., TSR vs. companies in the S&amp;P 500 Index and TSR vs. Core A&amp;D Peers), in accordance with FASB ACS 718. PSUs will ultimately vest based on measured performance through the end of the three-year performance period for all metrics.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10205" w:type="dxa"/>
        <w:jc w:val="left"/>
        <w:tblInd w:w="0" w:type="dxa"/>
        <w:tblLayout w:type="fixed"/>
        <w:tblCellMar>
          <w:top w:w="0" w:type="dxa"/>
          <w:left w:w="0" w:type="dxa"/>
          <w:bottom w:w="0" w:type="dxa"/>
          <w:right w:w="0" w:type="dxa"/>
        </w:tblCellMar>
      </w:tblPr>
      <w:tblGrid>
        <w:gridCol w:w="193"/>
        <w:gridCol w:w="10012"/>
      </w:tblGrid>
      <w:tr>
        <w:trPr/>
        <w:tc>
          <w:tcPr>
            <w:tcW w:w="193" w:type="dxa"/>
            <w:tcBorders/>
            <w:vAlign w:val="center"/>
          </w:tcPr>
          <w:p>
            <w:pPr>
              <w:pStyle w:val="TableContents"/>
              <w:bidi w:val="0"/>
              <w:spacing w:before="0" w:after="283"/>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(6)</w:t>
            </w:r>
          </w:p>
        </w:tc>
        <w:tc>
          <w:tcPr>
            <w:tcW w:w="10012" w:type="dxa"/>
            <w:tcBorders/>
            <w:vAlign w:val="center"/>
          </w:tcPr>
          <w:p>
            <w:pPr>
              <w:pStyle w:val="TableContents"/>
              <w:bidi w:val="0"/>
              <w:spacing w:before="0" w:after="283"/>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Reflects TSR indexed to $100 per share for RTX and the S&amp;P 500 Aerospace &amp; Defense Industry Index, which is the industry line peer group reported in our 2025 Form 10-K. See page 84 for the TSR measurement periods used for each reporting year.</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290" w:type="dxa"/>
        <w:jc w:val="left"/>
        <w:tblInd w:w="0" w:type="dxa"/>
        <w:tblLayout w:type="fixed"/>
        <w:tblCellMar>
          <w:top w:w="0" w:type="dxa"/>
          <w:left w:w="0" w:type="dxa"/>
          <w:bottom w:w="0" w:type="dxa"/>
          <w:right w:w="0" w:type="dxa"/>
        </w:tblCellMar>
      </w:tblPr>
      <w:tblGrid>
        <w:gridCol w:w="215"/>
        <w:gridCol w:w="2075"/>
      </w:tblGrid>
      <w:tr>
        <w:trPr/>
        <w:tc>
          <w:tcPr>
            <w:tcW w:w="215" w:type="dxa"/>
            <w:tcBorders/>
            <w:vAlign w:val="center"/>
          </w:tcPr>
          <w:p>
            <w:pPr>
              <w:pStyle w:val="TableContents"/>
              <w:bidi w:val="0"/>
              <w:spacing w:before="0" w:after="283"/>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(7)</w:t>
            </w:r>
          </w:p>
        </w:tc>
        <w:tc>
          <w:tcPr>
            <w:tcW w:w="2075" w:type="dxa"/>
            <w:tcBorders/>
            <w:vAlign w:val="center"/>
          </w:tcPr>
          <w:p>
            <w:pPr>
              <w:pStyle w:val="TableContents"/>
              <w:bidi w:val="0"/>
              <w:spacing w:before="0" w:after="283"/>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Values shown are in millions. </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10205" w:type="dxa"/>
        <w:jc w:val="left"/>
        <w:tblInd w:w="0" w:type="dxa"/>
        <w:tblLayout w:type="fixed"/>
        <w:tblCellMar>
          <w:top w:w="0" w:type="dxa"/>
          <w:left w:w="0" w:type="dxa"/>
          <w:bottom w:w="0" w:type="dxa"/>
          <w:right w:w="0" w:type="dxa"/>
        </w:tblCellMar>
      </w:tblPr>
      <w:tblGrid>
        <w:gridCol w:w="181"/>
        <w:gridCol w:w="10024"/>
      </w:tblGrid>
      <w:tr>
        <w:trPr/>
        <w:tc>
          <w:tcPr>
            <w:tcW w:w="181" w:type="dxa"/>
            <w:tcBorders/>
            <w:vAlign w:val="center"/>
          </w:tcPr>
          <w:p>
            <w:pPr>
              <w:pStyle w:val="TableContents"/>
              <w:bidi w:val="0"/>
              <w:spacing w:before="0" w:after="283"/>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(8)</w:t>
            </w:r>
          </w:p>
        </w:tc>
        <w:tc>
          <w:tcPr>
            <w:tcW w:w="10024" w:type="dxa"/>
            <w:tcBorders/>
            <w:vAlign w:val="center"/>
          </w:tcPr>
          <w:p>
            <w:pPr>
              <w:pStyle w:val="TableContents"/>
              <w:bidi w:val="0"/>
              <w:spacing w:before="0" w:after="283"/>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 xml:space="preserve">The value shown for 2025 reflects the 2025 </w:t>
            </w:r>
            <w:bookmarkStart w:id="259" w:name="xdx_904_eecd--CoSelectedMeasureName_c202"/>
            <w:bookmarkEnd w:id="259"/>
            <w:r>
              <w:rPr>
                <w:rFonts w:ascii="Arial;Helvetica;Sans-Serif" w:hAnsi="Arial;Helvetica;Sans-Serif"/>
                <w:b w:val="false"/>
                <w:i w:val="false"/>
                <w:caps w:val="false"/>
                <w:smallCaps w:val="false"/>
                <w:sz w:val="15"/>
              </w:rPr>
              <w:t>Adjusted EPS used to calculate performance for the 2023-2025 PSUs, as defined in Appendix B on page 102. The value shown for 2024 reflects the 2024 Adjusted EPS used to calculate performance for the 2022-2024 PSUs, as defined in Appendix B of our Proxy Statement filed on March 10, 2025. Adjusted EPS for 2023, 2022 and 2021 are detailed in Appendix A of our Proxy Statements filed on March 11, 2024, March 13, 2023, and March 14, 2022, respectively.</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Arial;Helvetica;Sans-Serif" w:hAnsi="Arial;Helvetica;Sans-Serif"/>
          <w:b w:val="false"/>
          <w:i w:val="false"/>
          <w:caps w:val="false"/>
          <w:smallCaps w:val="false"/>
          <w:sz w:val="15"/>
        </w:rPr>
      </w:pPr>
      <w:r>
        <w:rPr>
          <w:rFonts w:ascii="Arial;Helvetica;Sans-Serif" w:hAnsi="Arial;Helvetica;Sans-Serif"/>
          <w:b/>
          <w:i w:val="false"/>
          <w:caps w:val="false"/>
          <w:smallCaps w:val="false"/>
          <w:sz w:val="15"/>
        </w:rPr>
        <w:t xml:space="preserve">RTX </w:t>
      </w:r>
      <w:r>
        <w:rPr>
          <w:rFonts w:ascii="Arial;Helvetica;Sans-Serif" w:hAnsi="Arial;Helvetica;Sans-Serif"/>
          <w:b w:val="false"/>
          <w:i w:val="false"/>
          <w:caps w:val="false"/>
          <w:smallCaps w:val="false"/>
          <w:sz w:val="15"/>
        </w:rPr>
        <w:t>2026 PROXY STATEMENT    </w:t>
      </w:r>
      <w:r>
        <w:rPr>
          <w:rFonts w:ascii="Arial;Helvetica;Sans-Serif" w:hAnsi="Arial;Helvetica;Sans-Serif"/>
          <w:b/>
          <w:i w:val="false"/>
          <w:caps w:val="false"/>
          <w:smallCaps w:val="false"/>
          <w:sz w:val="15"/>
        </w:rPr>
        <w:t>83</w:t>
      </w:r>
    </w:p>
    <w:p>
      <w:pPr>
        <w:pStyle w:val="HorizontalLine"/>
        <w:pBdr>
          <w:bottom w:val="double" w:sz="2" w:space="0" w:color="808080"/>
        </w:pBdr>
        <w:bidi w:val="0"/>
        <w:spacing w:before="0" w:after="283"/>
        <w:jc w:val="left"/>
        <w:rPr/>
      </w:pPr>
      <w:r>
        <w:rPr/>
      </w:r>
    </w:p>
    <w:p>
      <w:pPr>
        <w:pStyle w:val="TextBody"/>
        <w:bidi w:val="0"/>
        <w:spacing w:before="200" w:after="200"/>
        <w:jc w:val="left"/>
        <w:rPr/>
      </w:pPr>
      <w:hyperlink w:anchor="toc">
        <w:r>
          <w:rPr>
            <w:rStyle w:val="InternetLink"/>
            <w:rFonts w:ascii="Arial;Helvetica;Sans-Serif" w:hAnsi="Arial;Helvetica;Sans-Serif"/>
            <w:b/>
            <w:i w:val="false"/>
            <w:caps w:val="false"/>
            <w:smallCaps w:val="false"/>
            <w:sz w:val="16"/>
          </w:rPr>
          <w:t>Table of Contents</w:t>
        </w:r>
      </w:hyperlink>
    </w:p>
    <w:p>
      <w:pPr>
        <w:pStyle w:val="TextBody"/>
        <w:bidi w:val="0"/>
        <w:spacing w:before="0" w:after="0"/>
        <w:ind w:left="0" w:right="0" w:hanging="0"/>
        <w:jc w:val="left"/>
        <w:rPr>
          <w:rFonts w:ascii="Arial;Helvetica;Sans-Serif" w:hAnsi="Arial;Helvetica;Sans-Serif"/>
          <w:b/>
          <w:i w:val="false"/>
          <w:caps w:val="false"/>
          <w:smallCaps w:val="false"/>
          <w:color w:val="C12E33"/>
          <w:sz w:val="15"/>
        </w:rPr>
      </w:pPr>
      <w:r>
        <w:rPr>
          <w:rFonts w:ascii="Arial;Helvetica;Sans-Serif" w:hAnsi="Arial;Helvetica;Sans-Serif"/>
          <w:b/>
          <w:i w:val="false"/>
          <w:caps w:val="false"/>
          <w:smallCaps w:val="false"/>
          <w:color w:val="C12E33"/>
          <w:sz w:val="15"/>
        </w:rPr>
        <w:t>PAY VERSUS PERFORMANCE</w:t>
      </w:r>
    </w:p>
    <w:p>
      <w:pPr>
        <w:pStyle w:val="TextBody"/>
        <w:bidi w:val="0"/>
        <w:spacing w:before="0" w:after="0"/>
        <w:ind w:left="0" w:right="0" w:hanging="0"/>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RELATIONSHIP BETWEEN CAP AND TSR</w:t>
      </w:r>
    </w:p>
    <w:p>
      <w:pPr>
        <w:pStyle w:val="TextBody"/>
        <w:bidi w:val="0"/>
        <w:spacing w:before="0" w:after="0"/>
        <w:ind w:left="0" w:right="0" w:hanging="0"/>
        <w:jc w:val="right"/>
        <w:rPr>
          <w:caps w:val="false"/>
          <w:smallCaps w:val="false"/>
        </w:rPr>
      </w:pPr>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0"/>
        <w:jc w:val="left"/>
        <w:rPr>
          <w:rFonts w:ascii="Arial;Helvetica;Sans-Serif" w:hAnsi="Arial;Helvetica;Sans-Serif"/>
          <w:b/>
          <w:i w:val="false"/>
          <w:caps w:val="false"/>
          <w:smallCaps w:val="false"/>
          <w:sz w:val="34"/>
        </w:rPr>
      </w:pPr>
      <w:r>
        <w:rPr>
          <w:rFonts w:ascii="Arial;Helvetica;Sans-Serif" w:hAnsi="Arial;Helvetica;Sans-Serif"/>
          <w:b/>
          <w:i w:val="false"/>
          <w:caps w:val="false"/>
          <w:smallCaps w:val="false"/>
          <w:sz w:val="34"/>
        </w:rPr>
        <w:t>Relationship between CAP and TSR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charts below reflect the relationship between the CEO and Average NEO CAP (per the SEC’s definition), RTX’s TSR and the SEC-mandated TSR Peer Group—the S&amp;P 500 Aerospace &amp; Defense Industry Index.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color w:val="C12E33"/>
          <w:sz w:val="20"/>
        </w:rPr>
      </w:pPr>
      <w:r>
        <w:rPr>
          <w:rFonts w:ascii="Arial;Helvetica;Sans-Serif" w:hAnsi="Arial;Helvetica;Sans-Serif"/>
          <w:b/>
          <w:i w:val="false"/>
          <w:caps w:val="false"/>
          <w:smallCaps w:val="false"/>
          <w:color w:val="C12E33"/>
          <w:sz w:val="20"/>
        </w:rPr>
        <w:t>CEO CAP vs. TSR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7620000" cy="5648325"/>
            <wp:effectExtent l="0" t="0" r="0" b="0"/>
            <wp:docPr id="359" name="Image2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9" name="Image234" descr=""/>
                    <pic:cNvPicPr>
                      <a:picLocks noChangeAspect="1" noChangeArrowheads="1"/>
                    </pic:cNvPicPr>
                  </pic:nvPicPr>
                  <pic:blipFill>
                    <a:blip r:embed="rId290"/>
                    <a:stretch>
                      <a:fillRect/>
                    </a:stretch>
                  </pic:blipFill>
                  <pic:spPr bwMode="auto">
                    <a:xfrm>
                      <a:off x="0" y="0"/>
                      <a:ext cx="7620000" cy="564832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color w:val="C12E33"/>
          <w:sz w:val="20"/>
        </w:rPr>
      </w:pPr>
      <w:r>
        <w:rPr>
          <w:rFonts w:ascii="Arial;Helvetica;Sans-Serif" w:hAnsi="Arial;Helvetica;Sans-Serif"/>
          <w:b/>
          <w:i w:val="false"/>
          <w:caps w:val="false"/>
          <w:smallCaps w:val="false"/>
          <w:color w:val="C12E33"/>
          <w:sz w:val="20"/>
        </w:rPr>
        <w:t>AVERAGE NEO CAP vs. TSR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7620000" cy="5895975"/>
            <wp:effectExtent l="0" t="0" r="0" b="0"/>
            <wp:docPr id="360" name="Image2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0" name="Image235" descr=""/>
                    <pic:cNvPicPr>
                      <a:picLocks noChangeAspect="1" noChangeArrowheads="1"/>
                    </pic:cNvPicPr>
                  </pic:nvPicPr>
                  <pic:blipFill>
                    <a:blip r:embed="rId291"/>
                    <a:stretch>
                      <a:fillRect/>
                    </a:stretch>
                  </pic:blipFill>
                  <pic:spPr bwMode="auto">
                    <a:xfrm>
                      <a:off x="0" y="0"/>
                      <a:ext cx="7620000" cy="589597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HOW TSR USED FOR THE PVP TABLE DIFFERS FROM HOW WE USE TSR IN OUR PSUS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SEC’s PvP disclosure rules require a comparison of CAP to RTX’s TSR and Peer Group TSR over differing time periods. This mandated comparison, and the performance measurement periods used, differ in the following ways from how our incentive plans are designed: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For our PSUs, we compare our TSR to both the companies within the S&amp;P 500 Index and our Core A&amp;D Peers (together “PSU Peer Groups”). For the SEC’s PvP disclosure, we compare our TSR only to the S&amp;P 500 Aerospace &amp; Defense Industry Index.</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For our PSUs, we calculate TSR for both RTX and the companies within our PSU Peer Groups using a November/ December trailing average adjusted closing stock price for both the beginning and ending of the performance period. However, the PvP disclosures require the use of a point-to-point calculation.</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For our PSUs, we measure performance using a three-year performance period, while the SEC rules require TSR to be calculated based on the following performance periods:</w:t>
            </w:r>
          </w:p>
        </w:tc>
      </w:tr>
    </w:tbl>
    <w:p>
      <w:pPr>
        <w:pStyle w:val="TextBody"/>
        <w:bidi w:val="0"/>
        <w:spacing w:before="0" w:after="0"/>
        <w:ind w:left="0" w:right="0" w:hanging="0"/>
        <w:jc w:val="left"/>
        <w:rPr>
          <w:caps w:val="false"/>
          <w:smallCaps w:val="false"/>
        </w:rPr>
      </w:pPr>
      <w:r>
        <w:rPr>
          <w:caps w:val="false"/>
          <w:smallCaps w:val="false"/>
        </w:rPr>
        <w:t> </w:t>
      </w:r>
    </w:p>
    <w:tbl>
      <w:tblPr>
        <w:tblW w:w="5960" w:type="dxa"/>
        <w:jc w:val="left"/>
        <w:tblInd w:w="0" w:type="dxa"/>
        <w:tblLayout w:type="fixed"/>
        <w:tblCellMar>
          <w:top w:w="0" w:type="dxa"/>
          <w:left w:w="0" w:type="dxa"/>
          <w:bottom w:w="40" w:type="dxa"/>
          <w:right w:w="0" w:type="dxa"/>
        </w:tblCellMar>
      </w:tblPr>
      <w:tblGrid>
        <w:gridCol w:w="1505"/>
        <w:gridCol w:w="60"/>
        <w:gridCol w:w="1010"/>
        <w:gridCol w:w="300"/>
        <w:gridCol w:w="1100"/>
        <w:gridCol w:w="300"/>
        <w:gridCol w:w="1685"/>
      </w:tblGrid>
      <w:tr>
        <w:trPr/>
        <w:tc>
          <w:tcPr>
            <w:tcW w:w="1505" w:type="dxa"/>
            <w:tcBorders>
              <w:bottom w:val="single" w:sz="12" w:space="0" w:color="C12E33"/>
            </w:tcBorders>
            <w:vAlign w:val="center"/>
          </w:tcPr>
          <w:p>
            <w:pPr>
              <w:pStyle w:val="TableContents"/>
              <w:bidi w:val="0"/>
              <w:spacing w:before="0" w:after="283"/>
              <w:jc w:val="left"/>
              <w:rPr/>
            </w:pPr>
            <w:r>
              <w:rPr/>
              <w:t>Reporting Year</w:t>
            </w:r>
          </w:p>
        </w:tc>
        <w:tc>
          <w:tcPr>
            <w:tcW w:w="60" w:type="dxa"/>
            <w:tcBorders>
              <w:bottom w:val="single" w:sz="12" w:space="0" w:color="C12E33"/>
            </w:tcBorders>
            <w:vAlign w:val="center"/>
          </w:tcPr>
          <w:p>
            <w:pPr>
              <w:pStyle w:val="TableContents"/>
              <w:bidi w:val="0"/>
              <w:spacing w:before="0" w:after="283"/>
              <w:jc w:val="left"/>
              <w:rPr/>
            </w:pPr>
            <w:r>
              <w:rPr/>
              <w:t> </w:t>
            </w:r>
          </w:p>
        </w:tc>
        <w:tc>
          <w:tcPr>
            <w:tcW w:w="1010" w:type="dxa"/>
            <w:tcBorders>
              <w:bottom w:val="single" w:sz="12" w:space="0" w:color="C12E33"/>
            </w:tcBorders>
            <w:vAlign w:val="center"/>
          </w:tcPr>
          <w:p>
            <w:pPr>
              <w:pStyle w:val="TableContents"/>
              <w:bidi w:val="0"/>
              <w:spacing w:before="0" w:after="283"/>
              <w:jc w:val="center"/>
              <w:rPr/>
            </w:pPr>
            <w:r>
              <w:rPr/>
              <w:t>Beginning</w:t>
            </w:r>
          </w:p>
        </w:tc>
        <w:tc>
          <w:tcPr>
            <w:tcW w:w="300" w:type="dxa"/>
            <w:tcBorders>
              <w:bottom w:val="single" w:sz="12" w:space="0" w:color="C12E33"/>
            </w:tcBorders>
            <w:vAlign w:val="center"/>
          </w:tcPr>
          <w:p>
            <w:pPr>
              <w:pStyle w:val="TableContents"/>
              <w:bidi w:val="0"/>
              <w:spacing w:before="0" w:after="283"/>
              <w:jc w:val="left"/>
              <w:rPr/>
            </w:pPr>
            <w:r>
              <w:rPr/>
              <w:t>     </w:t>
            </w:r>
          </w:p>
        </w:tc>
        <w:tc>
          <w:tcPr>
            <w:tcW w:w="1100" w:type="dxa"/>
            <w:tcBorders>
              <w:bottom w:val="single" w:sz="12" w:space="0" w:color="C12E33"/>
            </w:tcBorders>
            <w:vAlign w:val="center"/>
          </w:tcPr>
          <w:p>
            <w:pPr>
              <w:pStyle w:val="TableContents"/>
              <w:bidi w:val="0"/>
              <w:spacing w:before="0" w:after="283"/>
              <w:jc w:val="left"/>
              <w:rPr/>
            </w:pPr>
            <w:r>
              <w:rPr/>
              <w:t>End</w:t>
            </w:r>
          </w:p>
        </w:tc>
        <w:tc>
          <w:tcPr>
            <w:tcW w:w="300" w:type="dxa"/>
            <w:tcBorders>
              <w:bottom w:val="single" w:sz="12" w:space="0" w:color="C12E33"/>
            </w:tcBorders>
            <w:vAlign w:val="center"/>
          </w:tcPr>
          <w:p>
            <w:pPr>
              <w:pStyle w:val="TableContents"/>
              <w:bidi w:val="0"/>
              <w:spacing w:before="0" w:after="283"/>
              <w:jc w:val="left"/>
              <w:rPr/>
            </w:pPr>
            <w:r>
              <w:rPr/>
              <w:t>     </w:t>
            </w:r>
          </w:p>
        </w:tc>
        <w:tc>
          <w:tcPr>
            <w:tcW w:w="1685" w:type="dxa"/>
            <w:tcBorders>
              <w:bottom w:val="single" w:sz="12" w:space="0" w:color="C12E33"/>
            </w:tcBorders>
            <w:vAlign w:val="center"/>
          </w:tcPr>
          <w:p>
            <w:pPr>
              <w:pStyle w:val="TableContents"/>
              <w:bidi w:val="0"/>
              <w:spacing w:before="0" w:after="283"/>
              <w:jc w:val="left"/>
              <w:rPr/>
            </w:pPr>
            <w:r>
              <w:rPr/>
              <w:t>Number of Years</w:t>
            </w:r>
          </w:p>
        </w:tc>
      </w:tr>
      <w:tr>
        <w:trPr/>
        <w:tc>
          <w:tcPr>
            <w:tcW w:w="1505" w:type="dxa"/>
            <w:tcBorders>
              <w:bottom w:val="single" w:sz="2" w:space="0" w:color="000000"/>
            </w:tcBorders>
            <w:vAlign w:val="center"/>
          </w:tcPr>
          <w:p>
            <w:pPr>
              <w:pStyle w:val="TableContents"/>
              <w:bidi w:val="0"/>
              <w:spacing w:before="0" w:after="283"/>
              <w:jc w:val="left"/>
              <w:rPr>
                <w:b/>
                <w:sz w:val="20"/>
              </w:rPr>
            </w:pPr>
            <w:r>
              <w:rPr>
                <w:b/>
                <w:sz w:val="20"/>
              </w:rPr>
              <w:t>2025</w:t>
            </w:r>
          </w:p>
        </w:tc>
        <w:tc>
          <w:tcPr>
            <w:tcW w:w="60" w:type="dxa"/>
            <w:tcBorders>
              <w:bottom w:val="single" w:sz="2" w:space="0" w:color="000000"/>
            </w:tcBorders>
            <w:vAlign w:val="center"/>
          </w:tcPr>
          <w:p>
            <w:pPr>
              <w:pStyle w:val="TableContents"/>
              <w:bidi w:val="0"/>
              <w:spacing w:before="0" w:after="283"/>
              <w:jc w:val="left"/>
              <w:rPr/>
            </w:pPr>
            <w:r>
              <w:rPr/>
              <w:t> </w:t>
            </w:r>
          </w:p>
        </w:tc>
        <w:tc>
          <w:tcPr>
            <w:tcW w:w="1010" w:type="dxa"/>
            <w:tcBorders>
              <w:bottom w:val="single" w:sz="2" w:space="0" w:color="000000"/>
            </w:tcBorders>
            <w:vAlign w:val="center"/>
          </w:tcPr>
          <w:p>
            <w:pPr>
              <w:pStyle w:val="TableContents"/>
              <w:bidi w:val="0"/>
              <w:spacing w:before="0" w:after="283"/>
              <w:jc w:val="center"/>
              <w:rPr/>
            </w:pPr>
            <w:r>
              <w:rPr/>
              <w:t>1/2/2021</w:t>
            </w:r>
          </w:p>
        </w:tc>
        <w:tc>
          <w:tcPr>
            <w:tcW w:w="300" w:type="dxa"/>
            <w:tcBorders>
              <w:bottom w:val="single" w:sz="2" w:space="0" w:color="000000"/>
            </w:tcBorders>
            <w:vAlign w:val="center"/>
          </w:tcPr>
          <w:p>
            <w:pPr>
              <w:pStyle w:val="TableContents"/>
              <w:bidi w:val="0"/>
              <w:spacing w:before="0" w:after="283"/>
              <w:jc w:val="left"/>
              <w:rPr/>
            </w:pPr>
            <w:r>
              <w:rPr/>
              <w:t> </w:t>
            </w:r>
          </w:p>
        </w:tc>
        <w:tc>
          <w:tcPr>
            <w:tcW w:w="1100" w:type="dxa"/>
            <w:tcBorders>
              <w:bottom w:val="single" w:sz="2" w:space="0" w:color="000000"/>
            </w:tcBorders>
            <w:vAlign w:val="center"/>
          </w:tcPr>
          <w:p>
            <w:pPr>
              <w:pStyle w:val="TableContents"/>
              <w:bidi w:val="0"/>
              <w:spacing w:before="0" w:after="283"/>
              <w:jc w:val="left"/>
              <w:rPr/>
            </w:pPr>
            <w:r>
              <w:rPr/>
              <w:t>12/31/2025</w:t>
            </w:r>
          </w:p>
        </w:tc>
        <w:tc>
          <w:tcPr>
            <w:tcW w:w="300" w:type="dxa"/>
            <w:tcBorders>
              <w:bottom w:val="single" w:sz="2" w:space="0" w:color="000000"/>
            </w:tcBorders>
            <w:vAlign w:val="center"/>
          </w:tcPr>
          <w:p>
            <w:pPr>
              <w:pStyle w:val="TableContents"/>
              <w:bidi w:val="0"/>
              <w:spacing w:before="0" w:after="283"/>
              <w:jc w:val="left"/>
              <w:rPr/>
            </w:pPr>
            <w:r>
              <w:rPr/>
              <w:t> </w:t>
            </w:r>
          </w:p>
        </w:tc>
        <w:tc>
          <w:tcPr>
            <w:tcW w:w="1685" w:type="dxa"/>
            <w:tcBorders>
              <w:bottom w:val="single" w:sz="2" w:space="0" w:color="000000"/>
            </w:tcBorders>
            <w:vAlign w:val="center"/>
          </w:tcPr>
          <w:p>
            <w:pPr>
              <w:pStyle w:val="TableContents"/>
              <w:bidi w:val="0"/>
              <w:spacing w:before="0" w:after="283"/>
              <w:jc w:val="left"/>
              <w:rPr/>
            </w:pPr>
            <w:r>
              <w:rPr/>
              <w:t>5 years</w:t>
            </w:r>
          </w:p>
        </w:tc>
      </w:tr>
      <w:tr>
        <w:trPr/>
        <w:tc>
          <w:tcPr>
            <w:tcW w:w="1505" w:type="dxa"/>
            <w:tcBorders>
              <w:bottom w:val="single" w:sz="2" w:space="0" w:color="000000"/>
            </w:tcBorders>
            <w:vAlign w:val="center"/>
          </w:tcPr>
          <w:p>
            <w:pPr>
              <w:pStyle w:val="TableContents"/>
              <w:bidi w:val="0"/>
              <w:spacing w:before="0" w:after="283"/>
              <w:jc w:val="left"/>
              <w:rPr>
                <w:b/>
                <w:sz w:val="20"/>
              </w:rPr>
            </w:pPr>
            <w:r>
              <w:rPr>
                <w:b/>
                <w:sz w:val="20"/>
              </w:rPr>
              <w:t>2024</w:t>
            </w:r>
          </w:p>
        </w:tc>
        <w:tc>
          <w:tcPr>
            <w:tcW w:w="60" w:type="dxa"/>
            <w:tcBorders>
              <w:bottom w:val="single" w:sz="2" w:space="0" w:color="000000"/>
            </w:tcBorders>
            <w:vAlign w:val="center"/>
          </w:tcPr>
          <w:p>
            <w:pPr>
              <w:pStyle w:val="TableContents"/>
              <w:bidi w:val="0"/>
              <w:spacing w:before="0" w:after="283"/>
              <w:jc w:val="left"/>
              <w:rPr/>
            </w:pPr>
            <w:r>
              <w:rPr/>
              <w:t> </w:t>
            </w:r>
          </w:p>
        </w:tc>
        <w:tc>
          <w:tcPr>
            <w:tcW w:w="1010" w:type="dxa"/>
            <w:tcBorders>
              <w:bottom w:val="single" w:sz="2" w:space="0" w:color="000000"/>
            </w:tcBorders>
            <w:vAlign w:val="center"/>
          </w:tcPr>
          <w:p>
            <w:pPr>
              <w:pStyle w:val="TableContents"/>
              <w:bidi w:val="0"/>
              <w:spacing w:before="0" w:after="283"/>
              <w:jc w:val="center"/>
              <w:rPr/>
            </w:pPr>
            <w:r>
              <w:rPr/>
              <w:t>1/2/2021</w:t>
            </w:r>
          </w:p>
        </w:tc>
        <w:tc>
          <w:tcPr>
            <w:tcW w:w="300" w:type="dxa"/>
            <w:tcBorders>
              <w:bottom w:val="single" w:sz="2" w:space="0" w:color="000000"/>
            </w:tcBorders>
            <w:vAlign w:val="center"/>
          </w:tcPr>
          <w:p>
            <w:pPr>
              <w:pStyle w:val="TableContents"/>
              <w:bidi w:val="0"/>
              <w:spacing w:before="0" w:after="283"/>
              <w:jc w:val="left"/>
              <w:rPr/>
            </w:pPr>
            <w:r>
              <w:rPr/>
              <w:t> </w:t>
            </w:r>
          </w:p>
        </w:tc>
        <w:tc>
          <w:tcPr>
            <w:tcW w:w="1100" w:type="dxa"/>
            <w:tcBorders>
              <w:bottom w:val="single" w:sz="2" w:space="0" w:color="000000"/>
            </w:tcBorders>
            <w:vAlign w:val="center"/>
          </w:tcPr>
          <w:p>
            <w:pPr>
              <w:pStyle w:val="TableContents"/>
              <w:bidi w:val="0"/>
              <w:spacing w:before="0" w:after="283"/>
              <w:jc w:val="left"/>
              <w:rPr/>
            </w:pPr>
            <w:r>
              <w:rPr/>
              <w:t>12/31/2024</w:t>
            </w:r>
          </w:p>
        </w:tc>
        <w:tc>
          <w:tcPr>
            <w:tcW w:w="300" w:type="dxa"/>
            <w:tcBorders>
              <w:bottom w:val="single" w:sz="2" w:space="0" w:color="000000"/>
            </w:tcBorders>
            <w:vAlign w:val="center"/>
          </w:tcPr>
          <w:p>
            <w:pPr>
              <w:pStyle w:val="TableContents"/>
              <w:bidi w:val="0"/>
              <w:spacing w:before="0" w:after="283"/>
              <w:jc w:val="left"/>
              <w:rPr/>
            </w:pPr>
            <w:r>
              <w:rPr/>
              <w:t> </w:t>
            </w:r>
          </w:p>
        </w:tc>
        <w:tc>
          <w:tcPr>
            <w:tcW w:w="1685" w:type="dxa"/>
            <w:tcBorders>
              <w:bottom w:val="single" w:sz="2" w:space="0" w:color="000000"/>
            </w:tcBorders>
            <w:vAlign w:val="center"/>
          </w:tcPr>
          <w:p>
            <w:pPr>
              <w:pStyle w:val="TableContents"/>
              <w:bidi w:val="0"/>
              <w:spacing w:before="0" w:after="283"/>
              <w:jc w:val="left"/>
              <w:rPr/>
            </w:pPr>
            <w:r>
              <w:rPr/>
              <w:t>4 years</w:t>
            </w:r>
          </w:p>
        </w:tc>
      </w:tr>
      <w:tr>
        <w:trPr/>
        <w:tc>
          <w:tcPr>
            <w:tcW w:w="1505" w:type="dxa"/>
            <w:tcBorders>
              <w:bottom w:val="single" w:sz="2" w:space="0" w:color="000000"/>
            </w:tcBorders>
            <w:vAlign w:val="center"/>
          </w:tcPr>
          <w:p>
            <w:pPr>
              <w:pStyle w:val="TableContents"/>
              <w:bidi w:val="0"/>
              <w:spacing w:before="0" w:after="283"/>
              <w:jc w:val="left"/>
              <w:rPr>
                <w:b/>
                <w:sz w:val="20"/>
              </w:rPr>
            </w:pPr>
            <w:r>
              <w:rPr>
                <w:b/>
                <w:sz w:val="20"/>
              </w:rPr>
              <w:t>2023</w:t>
            </w:r>
          </w:p>
        </w:tc>
        <w:tc>
          <w:tcPr>
            <w:tcW w:w="60" w:type="dxa"/>
            <w:tcBorders>
              <w:bottom w:val="single" w:sz="2" w:space="0" w:color="000000"/>
            </w:tcBorders>
            <w:vAlign w:val="center"/>
          </w:tcPr>
          <w:p>
            <w:pPr>
              <w:pStyle w:val="TableContents"/>
              <w:bidi w:val="0"/>
              <w:spacing w:before="0" w:after="283"/>
              <w:jc w:val="left"/>
              <w:rPr/>
            </w:pPr>
            <w:r>
              <w:rPr/>
              <w:t> </w:t>
            </w:r>
          </w:p>
        </w:tc>
        <w:tc>
          <w:tcPr>
            <w:tcW w:w="1010" w:type="dxa"/>
            <w:tcBorders>
              <w:bottom w:val="single" w:sz="2" w:space="0" w:color="000000"/>
            </w:tcBorders>
            <w:vAlign w:val="center"/>
          </w:tcPr>
          <w:p>
            <w:pPr>
              <w:pStyle w:val="TableContents"/>
              <w:bidi w:val="0"/>
              <w:spacing w:before="0" w:after="283"/>
              <w:jc w:val="center"/>
              <w:rPr/>
            </w:pPr>
            <w:r>
              <w:rPr/>
              <w:t>1/2/2021</w:t>
            </w:r>
          </w:p>
        </w:tc>
        <w:tc>
          <w:tcPr>
            <w:tcW w:w="300" w:type="dxa"/>
            <w:tcBorders>
              <w:bottom w:val="single" w:sz="2" w:space="0" w:color="000000"/>
            </w:tcBorders>
            <w:vAlign w:val="center"/>
          </w:tcPr>
          <w:p>
            <w:pPr>
              <w:pStyle w:val="TableContents"/>
              <w:bidi w:val="0"/>
              <w:spacing w:before="0" w:after="283"/>
              <w:jc w:val="left"/>
              <w:rPr/>
            </w:pPr>
            <w:r>
              <w:rPr/>
              <w:t> </w:t>
            </w:r>
          </w:p>
        </w:tc>
        <w:tc>
          <w:tcPr>
            <w:tcW w:w="1100" w:type="dxa"/>
            <w:tcBorders>
              <w:bottom w:val="single" w:sz="2" w:space="0" w:color="000000"/>
            </w:tcBorders>
            <w:vAlign w:val="center"/>
          </w:tcPr>
          <w:p>
            <w:pPr>
              <w:pStyle w:val="TableContents"/>
              <w:bidi w:val="0"/>
              <w:spacing w:before="0" w:after="283"/>
              <w:jc w:val="left"/>
              <w:rPr/>
            </w:pPr>
            <w:r>
              <w:rPr/>
              <w:t>12/31/2023</w:t>
            </w:r>
          </w:p>
        </w:tc>
        <w:tc>
          <w:tcPr>
            <w:tcW w:w="300" w:type="dxa"/>
            <w:tcBorders>
              <w:bottom w:val="single" w:sz="2" w:space="0" w:color="000000"/>
            </w:tcBorders>
            <w:vAlign w:val="center"/>
          </w:tcPr>
          <w:p>
            <w:pPr>
              <w:pStyle w:val="TableContents"/>
              <w:bidi w:val="0"/>
              <w:spacing w:before="0" w:after="283"/>
              <w:jc w:val="left"/>
              <w:rPr/>
            </w:pPr>
            <w:r>
              <w:rPr/>
              <w:t> </w:t>
            </w:r>
          </w:p>
        </w:tc>
        <w:tc>
          <w:tcPr>
            <w:tcW w:w="1685" w:type="dxa"/>
            <w:tcBorders>
              <w:bottom w:val="single" w:sz="2" w:space="0" w:color="000000"/>
            </w:tcBorders>
            <w:vAlign w:val="center"/>
          </w:tcPr>
          <w:p>
            <w:pPr>
              <w:pStyle w:val="TableContents"/>
              <w:bidi w:val="0"/>
              <w:spacing w:before="0" w:after="283"/>
              <w:jc w:val="left"/>
              <w:rPr/>
            </w:pPr>
            <w:r>
              <w:rPr/>
              <w:t>3 years</w:t>
            </w:r>
          </w:p>
        </w:tc>
      </w:tr>
      <w:tr>
        <w:trPr/>
        <w:tc>
          <w:tcPr>
            <w:tcW w:w="1505" w:type="dxa"/>
            <w:tcBorders>
              <w:bottom w:val="single" w:sz="2" w:space="0" w:color="000000"/>
            </w:tcBorders>
            <w:vAlign w:val="center"/>
          </w:tcPr>
          <w:p>
            <w:pPr>
              <w:pStyle w:val="TableContents"/>
              <w:bidi w:val="0"/>
              <w:spacing w:before="0" w:after="283"/>
              <w:jc w:val="left"/>
              <w:rPr>
                <w:b/>
                <w:sz w:val="20"/>
              </w:rPr>
            </w:pPr>
            <w:r>
              <w:rPr>
                <w:b/>
                <w:sz w:val="20"/>
              </w:rPr>
              <w:t>2022</w:t>
            </w:r>
          </w:p>
        </w:tc>
        <w:tc>
          <w:tcPr>
            <w:tcW w:w="60" w:type="dxa"/>
            <w:tcBorders>
              <w:bottom w:val="single" w:sz="2" w:space="0" w:color="000000"/>
            </w:tcBorders>
            <w:vAlign w:val="center"/>
          </w:tcPr>
          <w:p>
            <w:pPr>
              <w:pStyle w:val="TableContents"/>
              <w:bidi w:val="0"/>
              <w:spacing w:before="0" w:after="283"/>
              <w:jc w:val="left"/>
              <w:rPr/>
            </w:pPr>
            <w:r>
              <w:rPr/>
              <w:t> </w:t>
            </w:r>
          </w:p>
        </w:tc>
        <w:tc>
          <w:tcPr>
            <w:tcW w:w="1010" w:type="dxa"/>
            <w:tcBorders>
              <w:bottom w:val="single" w:sz="2" w:space="0" w:color="000000"/>
            </w:tcBorders>
            <w:vAlign w:val="center"/>
          </w:tcPr>
          <w:p>
            <w:pPr>
              <w:pStyle w:val="TableContents"/>
              <w:bidi w:val="0"/>
              <w:spacing w:before="0" w:after="283"/>
              <w:jc w:val="center"/>
              <w:rPr/>
            </w:pPr>
            <w:r>
              <w:rPr/>
              <w:t>1/2/2021</w:t>
            </w:r>
          </w:p>
        </w:tc>
        <w:tc>
          <w:tcPr>
            <w:tcW w:w="300" w:type="dxa"/>
            <w:tcBorders>
              <w:bottom w:val="single" w:sz="2" w:space="0" w:color="000000"/>
            </w:tcBorders>
            <w:vAlign w:val="center"/>
          </w:tcPr>
          <w:p>
            <w:pPr>
              <w:pStyle w:val="TableContents"/>
              <w:bidi w:val="0"/>
              <w:spacing w:before="0" w:after="283"/>
              <w:jc w:val="left"/>
              <w:rPr/>
            </w:pPr>
            <w:r>
              <w:rPr/>
              <w:t> </w:t>
            </w:r>
          </w:p>
        </w:tc>
        <w:tc>
          <w:tcPr>
            <w:tcW w:w="1100" w:type="dxa"/>
            <w:tcBorders>
              <w:bottom w:val="single" w:sz="2" w:space="0" w:color="000000"/>
            </w:tcBorders>
            <w:vAlign w:val="center"/>
          </w:tcPr>
          <w:p>
            <w:pPr>
              <w:pStyle w:val="TableContents"/>
              <w:bidi w:val="0"/>
              <w:spacing w:before="0" w:after="283"/>
              <w:jc w:val="left"/>
              <w:rPr/>
            </w:pPr>
            <w:r>
              <w:rPr/>
              <w:t>12/31/2022</w:t>
            </w:r>
          </w:p>
        </w:tc>
        <w:tc>
          <w:tcPr>
            <w:tcW w:w="300" w:type="dxa"/>
            <w:tcBorders>
              <w:bottom w:val="single" w:sz="2" w:space="0" w:color="000000"/>
            </w:tcBorders>
            <w:vAlign w:val="center"/>
          </w:tcPr>
          <w:p>
            <w:pPr>
              <w:pStyle w:val="TableContents"/>
              <w:bidi w:val="0"/>
              <w:spacing w:before="0" w:after="283"/>
              <w:jc w:val="left"/>
              <w:rPr/>
            </w:pPr>
            <w:r>
              <w:rPr/>
              <w:t> </w:t>
            </w:r>
          </w:p>
        </w:tc>
        <w:tc>
          <w:tcPr>
            <w:tcW w:w="1685" w:type="dxa"/>
            <w:tcBorders>
              <w:bottom w:val="single" w:sz="2" w:space="0" w:color="000000"/>
            </w:tcBorders>
            <w:vAlign w:val="center"/>
          </w:tcPr>
          <w:p>
            <w:pPr>
              <w:pStyle w:val="TableContents"/>
              <w:bidi w:val="0"/>
              <w:spacing w:before="0" w:after="283"/>
              <w:jc w:val="left"/>
              <w:rPr/>
            </w:pPr>
            <w:r>
              <w:rPr/>
              <w:t>2 years</w:t>
            </w:r>
          </w:p>
        </w:tc>
      </w:tr>
      <w:tr>
        <w:trPr/>
        <w:tc>
          <w:tcPr>
            <w:tcW w:w="1505" w:type="dxa"/>
            <w:tcBorders>
              <w:bottom w:val="single" w:sz="12" w:space="0" w:color="636466"/>
            </w:tcBorders>
            <w:vAlign w:val="center"/>
          </w:tcPr>
          <w:p>
            <w:pPr>
              <w:pStyle w:val="TableContents"/>
              <w:bidi w:val="0"/>
              <w:spacing w:before="0" w:after="283"/>
              <w:jc w:val="left"/>
              <w:rPr>
                <w:b/>
                <w:sz w:val="20"/>
              </w:rPr>
            </w:pPr>
            <w:r>
              <w:rPr>
                <w:b/>
                <w:sz w:val="20"/>
              </w:rPr>
              <w:t>2021</w:t>
            </w:r>
          </w:p>
        </w:tc>
        <w:tc>
          <w:tcPr>
            <w:tcW w:w="60" w:type="dxa"/>
            <w:tcBorders>
              <w:bottom w:val="single" w:sz="12" w:space="0" w:color="636466"/>
            </w:tcBorders>
            <w:vAlign w:val="center"/>
          </w:tcPr>
          <w:p>
            <w:pPr>
              <w:pStyle w:val="TableContents"/>
              <w:bidi w:val="0"/>
              <w:spacing w:before="0" w:after="283"/>
              <w:jc w:val="left"/>
              <w:rPr/>
            </w:pPr>
            <w:r>
              <w:rPr/>
              <w:t> </w:t>
            </w:r>
          </w:p>
        </w:tc>
        <w:tc>
          <w:tcPr>
            <w:tcW w:w="1010" w:type="dxa"/>
            <w:tcBorders>
              <w:bottom w:val="single" w:sz="12" w:space="0" w:color="636466"/>
            </w:tcBorders>
            <w:vAlign w:val="center"/>
          </w:tcPr>
          <w:p>
            <w:pPr>
              <w:pStyle w:val="TableContents"/>
              <w:bidi w:val="0"/>
              <w:spacing w:before="0" w:after="283"/>
              <w:jc w:val="center"/>
              <w:rPr/>
            </w:pPr>
            <w:r>
              <w:rPr/>
              <w:t>1/2/2021</w:t>
            </w:r>
          </w:p>
        </w:tc>
        <w:tc>
          <w:tcPr>
            <w:tcW w:w="300" w:type="dxa"/>
            <w:tcBorders>
              <w:bottom w:val="single" w:sz="12" w:space="0" w:color="636466"/>
            </w:tcBorders>
            <w:vAlign w:val="center"/>
          </w:tcPr>
          <w:p>
            <w:pPr>
              <w:pStyle w:val="TableContents"/>
              <w:bidi w:val="0"/>
              <w:spacing w:before="0" w:after="283"/>
              <w:jc w:val="left"/>
              <w:rPr/>
            </w:pPr>
            <w:r>
              <w:rPr/>
              <w:t> </w:t>
            </w:r>
          </w:p>
        </w:tc>
        <w:tc>
          <w:tcPr>
            <w:tcW w:w="1100" w:type="dxa"/>
            <w:tcBorders>
              <w:bottom w:val="single" w:sz="12" w:space="0" w:color="636466"/>
            </w:tcBorders>
            <w:vAlign w:val="center"/>
          </w:tcPr>
          <w:p>
            <w:pPr>
              <w:pStyle w:val="TableContents"/>
              <w:bidi w:val="0"/>
              <w:spacing w:before="0" w:after="283"/>
              <w:jc w:val="left"/>
              <w:rPr/>
            </w:pPr>
            <w:r>
              <w:rPr/>
              <w:t>12/31/2021</w:t>
            </w:r>
          </w:p>
        </w:tc>
        <w:tc>
          <w:tcPr>
            <w:tcW w:w="300" w:type="dxa"/>
            <w:tcBorders>
              <w:bottom w:val="single" w:sz="12" w:space="0" w:color="636466"/>
            </w:tcBorders>
            <w:vAlign w:val="center"/>
          </w:tcPr>
          <w:p>
            <w:pPr>
              <w:pStyle w:val="TableContents"/>
              <w:bidi w:val="0"/>
              <w:spacing w:before="0" w:after="283"/>
              <w:jc w:val="left"/>
              <w:rPr/>
            </w:pPr>
            <w:r>
              <w:rPr/>
              <w:t> </w:t>
            </w:r>
          </w:p>
        </w:tc>
        <w:tc>
          <w:tcPr>
            <w:tcW w:w="1685" w:type="dxa"/>
            <w:tcBorders>
              <w:bottom w:val="single" w:sz="12" w:space="0" w:color="636466"/>
            </w:tcBorders>
            <w:vAlign w:val="center"/>
          </w:tcPr>
          <w:p>
            <w:pPr>
              <w:pStyle w:val="TableContents"/>
              <w:bidi w:val="0"/>
              <w:spacing w:before="0" w:after="283"/>
              <w:jc w:val="left"/>
              <w:rPr/>
            </w:pPr>
            <w:r>
              <w:rPr/>
              <w:t>1 year</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15"/>
        </w:rPr>
      </w:pPr>
      <w:r>
        <w:rPr>
          <w:rFonts w:ascii="Arial;Helvetica;Sans-Serif" w:hAnsi="Arial;Helvetica;Sans-Serif"/>
          <w:b/>
          <w:i w:val="false"/>
          <w:caps w:val="false"/>
          <w:smallCaps w:val="false"/>
          <w:sz w:val="15"/>
        </w:rPr>
        <w:t xml:space="preserve">84    RTX </w:t>
      </w:r>
      <w:r>
        <w:rPr>
          <w:rFonts w:ascii="Arial;Helvetica;Sans-Serif" w:hAnsi="Arial;Helvetica;Sans-Serif"/>
          <w:b w:val="false"/>
          <w:i w:val="false"/>
          <w:caps w:val="false"/>
          <w:smallCaps w:val="false"/>
          <w:sz w:val="15"/>
        </w:rPr>
        <w:t>2026 PROXY STATEMENT</w:t>
      </w:r>
    </w:p>
    <w:p>
      <w:pPr>
        <w:pStyle w:val="HorizontalLine"/>
        <w:pBdr>
          <w:bottom w:val="double" w:sz="2" w:space="0" w:color="808080"/>
        </w:pBdr>
        <w:bidi w:val="0"/>
        <w:spacing w:before="0" w:after="283"/>
        <w:jc w:val="left"/>
        <w:rPr/>
      </w:pPr>
      <w:r>
        <w:rPr/>
      </w:r>
    </w:p>
    <w:p>
      <w:pPr>
        <w:pStyle w:val="TextBody"/>
        <w:bidi w:val="0"/>
        <w:spacing w:before="200" w:after="200"/>
        <w:jc w:val="left"/>
        <w:rPr/>
      </w:pPr>
      <w:hyperlink w:anchor="toc">
        <w:r>
          <w:rPr>
            <w:rStyle w:val="InternetLink"/>
            <w:rFonts w:ascii="Arial;Helvetica;Sans-Serif" w:hAnsi="Arial;Helvetica;Sans-Serif"/>
            <w:b/>
            <w:i w:val="false"/>
            <w:caps w:val="false"/>
            <w:smallCaps w:val="false"/>
            <w:sz w:val="16"/>
          </w:rPr>
          <w:t>Table of Contents</w:t>
        </w:r>
      </w:hyperlink>
    </w:p>
    <w:p>
      <w:pPr>
        <w:pStyle w:val="TextBody"/>
        <w:bidi w:val="0"/>
        <w:spacing w:before="0" w:after="0"/>
        <w:ind w:left="0" w:right="0" w:hanging="0"/>
        <w:jc w:val="right"/>
        <w:rPr>
          <w:rFonts w:ascii="Arial;Helvetica;Sans-Serif" w:hAnsi="Arial;Helvetica;Sans-Serif"/>
          <w:b/>
          <w:i w:val="false"/>
          <w:caps w:val="false"/>
          <w:smallCaps w:val="false"/>
          <w:color w:val="C12E33"/>
          <w:sz w:val="15"/>
        </w:rPr>
      </w:pPr>
      <w:r>
        <w:rPr>
          <w:rFonts w:ascii="Arial;Helvetica;Sans-Serif" w:hAnsi="Arial;Helvetica;Sans-Serif"/>
          <w:b/>
          <w:i w:val="false"/>
          <w:caps w:val="false"/>
          <w:smallCaps w:val="false"/>
          <w:color w:val="C12E33"/>
          <w:sz w:val="15"/>
        </w:rPr>
        <w:t>PAY VERSUS PERFORMANCE</w:t>
      </w:r>
    </w:p>
    <w:p>
      <w:pPr>
        <w:pStyle w:val="TextBody"/>
        <w:bidi w:val="0"/>
        <w:spacing w:before="0" w:after="0"/>
        <w:ind w:left="0" w:right="0" w:hanging="0"/>
        <w:jc w:val="righ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RELATIONSHIP BETWEEN CAP AND NET INCOME (GAAP)</w:t>
      </w:r>
    </w:p>
    <w:p>
      <w:pPr>
        <w:pStyle w:val="TextBody"/>
        <w:bidi w:val="0"/>
        <w:spacing w:before="0" w:after="0"/>
        <w:ind w:left="0" w:right="0" w:hanging="0"/>
        <w:jc w:val="left"/>
        <w:rPr>
          <w:caps w:val="false"/>
          <w:smallCaps w:val="false"/>
        </w:rPr>
      </w:pPr>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0"/>
        <w:jc w:val="left"/>
        <w:rPr>
          <w:rFonts w:ascii="Arial;Helvetica;Sans-Serif" w:hAnsi="Arial;Helvetica;Sans-Serif"/>
          <w:b/>
          <w:i w:val="false"/>
          <w:caps w:val="false"/>
          <w:smallCaps w:val="false"/>
          <w:sz w:val="34"/>
        </w:rPr>
      </w:pPr>
      <w:r>
        <w:rPr>
          <w:rFonts w:ascii="Arial;Helvetica;Sans-Serif" w:hAnsi="Arial;Helvetica;Sans-Serif"/>
          <w:b/>
          <w:i w:val="false"/>
          <w:caps w:val="false"/>
          <w:smallCaps w:val="false"/>
          <w:sz w:val="34"/>
        </w:rPr>
        <w:t>Relationship between CAP and Net Income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charts below reflect the relationship between the CEO and Average NEO CAP, RTX’s GAAP net income (as required by the SEC), and a supplemental net income metric (adjusted net income) that we use for our annual incentive plan. Both GAAP and adjusted net income reflect a one-year performance measurement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do not use net income as a metric in our long-term incentive plan. Since long-term incentives comprise the largest portion of our NEOs’ pay, and CAP values include four years of LTI awards and only one year of annual incentives in each reporting year, the relationship between CAP and net income is less evident.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color w:val="C12E33"/>
          <w:sz w:val="20"/>
        </w:rPr>
      </w:pPr>
      <w:r>
        <w:rPr>
          <w:rFonts w:ascii="Arial;Helvetica;Sans-Serif" w:hAnsi="Arial;Helvetica;Sans-Serif"/>
          <w:b/>
          <w:i w:val="false"/>
          <w:caps w:val="false"/>
          <w:smallCaps w:val="false"/>
          <w:color w:val="C12E33"/>
          <w:sz w:val="20"/>
        </w:rPr>
        <w:t>CEO CAP vs. NET INCOME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7620000" cy="5562600"/>
            <wp:effectExtent l="0" t="0" r="0" b="0"/>
            <wp:docPr id="361" name="Image2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1" name="Image236" descr=""/>
                    <pic:cNvPicPr>
                      <a:picLocks noChangeAspect="1" noChangeArrowheads="1"/>
                    </pic:cNvPicPr>
                  </pic:nvPicPr>
                  <pic:blipFill>
                    <a:blip r:embed="rId292"/>
                    <a:stretch>
                      <a:fillRect/>
                    </a:stretch>
                  </pic:blipFill>
                  <pic:spPr bwMode="auto">
                    <a:xfrm>
                      <a:off x="0" y="0"/>
                      <a:ext cx="7620000" cy="556260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color w:val="C12E33"/>
          <w:sz w:val="20"/>
        </w:rPr>
      </w:pPr>
      <w:r>
        <w:rPr>
          <w:rFonts w:ascii="Arial;Helvetica;Sans-Serif" w:hAnsi="Arial;Helvetica;Sans-Serif"/>
          <w:b/>
          <w:i w:val="false"/>
          <w:caps w:val="false"/>
          <w:smallCaps w:val="false"/>
          <w:color w:val="C12E33"/>
          <w:sz w:val="20"/>
        </w:rPr>
        <w:t>AVERAGE NEO CAP vs. NET INCOME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7620000" cy="5848350"/>
            <wp:effectExtent l="0" t="0" r="0" b="0"/>
            <wp:docPr id="362" name="Image2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2" name="Image237" descr=""/>
                    <pic:cNvPicPr>
                      <a:picLocks noChangeAspect="1" noChangeArrowheads="1"/>
                    </pic:cNvPicPr>
                  </pic:nvPicPr>
                  <pic:blipFill>
                    <a:blip r:embed="rId293"/>
                    <a:stretch>
                      <a:fillRect/>
                    </a:stretch>
                  </pic:blipFill>
                  <pic:spPr bwMode="auto">
                    <a:xfrm>
                      <a:off x="0" y="0"/>
                      <a:ext cx="7620000" cy="584835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1"/>
        <w:gridCol w:w="10004"/>
      </w:tblGrid>
      <w:tr>
        <w:trPr/>
        <w:tc>
          <w:tcPr>
            <w:tcW w:w="201" w:type="dxa"/>
            <w:tcBorders/>
            <w:vAlign w:val="center"/>
          </w:tcPr>
          <w:p>
            <w:pPr>
              <w:pStyle w:val="TableContents"/>
              <w:bidi w:val="0"/>
              <w:spacing w:before="0" w:after="283"/>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(1)</w:t>
            </w:r>
          </w:p>
        </w:tc>
        <w:tc>
          <w:tcPr>
            <w:tcW w:w="10004" w:type="dxa"/>
            <w:tcBorders/>
            <w:vAlign w:val="center"/>
          </w:tcPr>
          <w:p>
            <w:pPr>
              <w:pStyle w:val="TableContents"/>
              <w:bidi w:val="0"/>
              <w:spacing w:before="0" w:after="283"/>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Adjusted net income is a financial metric used solely for AIP purposes and is defined in Appendix B on page 102. This metric may differ from other non-GAAP metrics used and described in Appendix A.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HOW NET INCOME USED FOR THE PVP TABLE DIFFERS FROM HOW WE USE NET INCOME IN OUR ANNUAL INCENTIVE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SEC’s PvP disclosure rules require disclosure of the relationship between CAP and RTX’s net income (GAAP) for each reporting year. This use of GAAP net income differs from the adjusted net income measure we use for annual incentive purposes, which more closely aligns with the non-GAAP financial expectations and results we communicate to shareowners.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For our annual incentive plan, GAAP net income is adjusted for changes in tax laws, tariffs and accounting rules, restructuring, the impact of acquisitions and divestitures (including acquisition accounting adjustments), and significant and/or nonrecurring items, as shown in Appendix B on page 102. Our use of this adjusted net income definition aligns with the HCC Committee’s belief that annual incentives should not be positively or negatively impacted by short-term decisions made in the best interests of RTX’s long-term business strategies. Adjusted net income encourages decision-making that considers long-term value creation but does not conflict with our short-term incentive metrics.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Arial;Helvetica;Sans-Serif" w:hAnsi="Arial;Helvetica;Sans-Serif"/>
          <w:b w:val="false"/>
          <w:i w:val="false"/>
          <w:caps w:val="false"/>
          <w:smallCaps w:val="false"/>
          <w:sz w:val="15"/>
        </w:rPr>
      </w:pPr>
      <w:r>
        <w:rPr>
          <w:rFonts w:ascii="Arial;Helvetica;Sans-Serif" w:hAnsi="Arial;Helvetica;Sans-Serif"/>
          <w:b/>
          <w:i w:val="false"/>
          <w:caps w:val="false"/>
          <w:smallCaps w:val="false"/>
          <w:sz w:val="15"/>
        </w:rPr>
        <w:t xml:space="preserve">RTX </w:t>
      </w:r>
      <w:r>
        <w:rPr>
          <w:rFonts w:ascii="Arial;Helvetica;Sans-Serif" w:hAnsi="Arial;Helvetica;Sans-Serif"/>
          <w:b w:val="false"/>
          <w:i w:val="false"/>
          <w:caps w:val="false"/>
          <w:smallCaps w:val="false"/>
          <w:sz w:val="15"/>
        </w:rPr>
        <w:t>2026 PROXY STATEMENT    </w:t>
      </w:r>
      <w:r>
        <w:rPr>
          <w:rFonts w:ascii="Arial;Helvetica;Sans-Serif" w:hAnsi="Arial;Helvetica;Sans-Serif"/>
          <w:b/>
          <w:i w:val="false"/>
          <w:caps w:val="false"/>
          <w:smallCaps w:val="false"/>
          <w:sz w:val="15"/>
        </w:rPr>
        <w:t>85</w:t>
      </w:r>
    </w:p>
    <w:p>
      <w:pPr>
        <w:pStyle w:val="HorizontalLine"/>
        <w:pBdr>
          <w:bottom w:val="double" w:sz="2" w:space="0" w:color="808080"/>
        </w:pBdr>
        <w:bidi w:val="0"/>
        <w:spacing w:before="0" w:after="283"/>
        <w:jc w:val="left"/>
        <w:rPr/>
      </w:pPr>
      <w:r>
        <w:rPr/>
      </w:r>
    </w:p>
    <w:p>
      <w:pPr>
        <w:pStyle w:val="TextBody"/>
        <w:bidi w:val="0"/>
        <w:spacing w:before="200" w:after="200"/>
        <w:jc w:val="left"/>
        <w:rPr/>
      </w:pPr>
      <w:hyperlink w:anchor="toc">
        <w:r>
          <w:rPr>
            <w:rStyle w:val="InternetLink"/>
            <w:rFonts w:ascii="Arial;Helvetica;Sans-Serif" w:hAnsi="Arial;Helvetica;Sans-Serif"/>
            <w:b/>
            <w:i w:val="false"/>
            <w:caps w:val="false"/>
            <w:smallCaps w:val="false"/>
            <w:sz w:val="16"/>
          </w:rPr>
          <w:t>Table of Contents</w:t>
        </w:r>
      </w:hyperlink>
    </w:p>
    <w:p>
      <w:pPr>
        <w:pStyle w:val="TextBody"/>
        <w:bidi w:val="0"/>
        <w:spacing w:before="0" w:after="0"/>
        <w:ind w:left="0" w:right="0" w:hanging="0"/>
        <w:jc w:val="left"/>
        <w:rPr>
          <w:rFonts w:ascii="Arial;Helvetica;Sans-Serif" w:hAnsi="Arial;Helvetica;Sans-Serif"/>
          <w:b/>
          <w:i w:val="false"/>
          <w:caps w:val="false"/>
          <w:smallCaps w:val="false"/>
          <w:color w:val="C12E33"/>
          <w:sz w:val="15"/>
        </w:rPr>
      </w:pPr>
      <w:r>
        <w:rPr>
          <w:rFonts w:ascii="Arial;Helvetica;Sans-Serif" w:hAnsi="Arial;Helvetica;Sans-Serif"/>
          <w:b/>
          <w:i w:val="false"/>
          <w:caps w:val="false"/>
          <w:smallCaps w:val="false"/>
          <w:color w:val="C12E33"/>
          <w:sz w:val="15"/>
        </w:rPr>
        <w:t>PAY VERSUS PERFORMANCE</w:t>
      </w:r>
    </w:p>
    <w:p>
      <w:pPr>
        <w:pStyle w:val="TextBody"/>
        <w:bidi w:val="0"/>
        <w:spacing w:before="0" w:after="0"/>
        <w:ind w:left="0" w:right="0" w:hanging="0"/>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RELATIONSHIP BETWEEN CAP AND THE COMPANY-SELECTED MEASURE (ADJUSTED EPS)</w:t>
      </w:r>
    </w:p>
    <w:p>
      <w:pPr>
        <w:pStyle w:val="TextBody"/>
        <w:bidi w:val="0"/>
        <w:spacing w:before="0" w:after="0"/>
        <w:ind w:left="0" w:right="0" w:hanging="0"/>
        <w:jc w:val="left"/>
        <w:rPr>
          <w:caps w:val="false"/>
          <w:smallCaps w:val="false"/>
        </w:rPr>
      </w:pPr>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0"/>
        <w:jc w:val="left"/>
        <w:rPr>
          <w:rFonts w:ascii="Arial;Helvetica;Sans-Serif" w:hAnsi="Arial;Helvetica;Sans-Serif"/>
          <w:b/>
          <w:i w:val="false"/>
          <w:caps w:val="false"/>
          <w:smallCaps w:val="false"/>
          <w:sz w:val="34"/>
        </w:rPr>
      </w:pPr>
      <w:r>
        <w:rPr>
          <w:rFonts w:ascii="Arial;Helvetica;Sans-Serif" w:hAnsi="Arial;Helvetica;Sans-Serif"/>
          <w:b/>
          <w:i w:val="false"/>
          <w:caps w:val="false"/>
          <w:smallCaps w:val="false"/>
          <w:sz w:val="34"/>
        </w:rPr>
        <w:t>Relationship between CAP and the Company-Selected Measure (Adjusted EPS)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charts below reflect the relationship between the CEO CAP and Average NEO CAP and RTX’s adjusted EPS for the applicable reporting year. This metric is used to determine vesting of our PSUs. We consider adjusted EPS to be the most important financial measure used to link pay to performance in 2024 because LTI is the largest component of NEO compensation, PSUs make up 60% of LTI and adjusted EPS performance determines 35% of total PSU vesting. Further, because we use adjusted EPS when we communicate our earnings expectations to our investors, we believe it is substantially correlated with our stock price performance, and thus to CAP.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color w:val="C12E33"/>
          <w:sz w:val="20"/>
        </w:rPr>
      </w:pPr>
      <w:r>
        <w:rPr>
          <w:rFonts w:ascii="Arial;Helvetica;Sans-Serif" w:hAnsi="Arial;Helvetica;Sans-Serif"/>
          <w:b/>
          <w:i w:val="false"/>
          <w:caps w:val="false"/>
          <w:smallCaps w:val="false"/>
          <w:color w:val="C12E33"/>
          <w:sz w:val="20"/>
        </w:rPr>
        <w:t>CEO CAP vs. ADJUSTED EPS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7620000" cy="5572125"/>
            <wp:effectExtent l="0" t="0" r="0" b="0"/>
            <wp:docPr id="363" name="Image2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3" name="Image238" descr=""/>
                    <pic:cNvPicPr>
                      <a:picLocks noChangeAspect="1" noChangeArrowheads="1"/>
                    </pic:cNvPicPr>
                  </pic:nvPicPr>
                  <pic:blipFill>
                    <a:blip r:embed="rId294"/>
                    <a:stretch>
                      <a:fillRect/>
                    </a:stretch>
                  </pic:blipFill>
                  <pic:spPr bwMode="auto">
                    <a:xfrm>
                      <a:off x="0" y="0"/>
                      <a:ext cx="7620000" cy="557212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color w:val="C12E33"/>
          <w:sz w:val="20"/>
        </w:rPr>
      </w:pPr>
      <w:r>
        <w:rPr>
          <w:rFonts w:ascii="Arial;Helvetica;Sans-Serif" w:hAnsi="Arial;Helvetica;Sans-Serif"/>
          <w:b/>
          <w:i w:val="false"/>
          <w:caps w:val="false"/>
          <w:smallCaps w:val="false"/>
          <w:color w:val="C12E33"/>
          <w:sz w:val="20"/>
        </w:rPr>
        <w:t>AVERAGE NEO CAP vs. ADJUSTED EPS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7620000" cy="5915025"/>
            <wp:effectExtent l="0" t="0" r="0" b="0"/>
            <wp:docPr id="364" name="Image2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4" name="Image239" descr=""/>
                    <pic:cNvPicPr>
                      <a:picLocks noChangeAspect="1" noChangeArrowheads="1"/>
                    </pic:cNvPicPr>
                  </pic:nvPicPr>
                  <pic:blipFill>
                    <a:blip r:embed="rId295"/>
                    <a:stretch>
                      <a:fillRect/>
                    </a:stretch>
                  </pic:blipFill>
                  <pic:spPr bwMode="auto">
                    <a:xfrm>
                      <a:off x="0" y="0"/>
                      <a:ext cx="7620000" cy="591502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1"/>
        <w:gridCol w:w="10024"/>
      </w:tblGrid>
      <w:tr>
        <w:trPr/>
        <w:tc>
          <w:tcPr>
            <w:tcW w:w="181" w:type="dxa"/>
            <w:tcBorders/>
            <w:vAlign w:val="center"/>
          </w:tcPr>
          <w:p>
            <w:pPr>
              <w:pStyle w:val="TableContents"/>
              <w:bidi w:val="0"/>
              <w:spacing w:before="0" w:after="283"/>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(1)</w:t>
            </w:r>
          </w:p>
        </w:tc>
        <w:tc>
          <w:tcPr>
            <w:tcW w:w="10024" w:type="dxa"/>
            <w:tcBorders/>
            <w:vAlign w:val="center"/>
          </w:tcPr>
          <w:p>
            <w:pPr>
              <w:pStyle w:val="TableContents"/>
              <w:bidi w:val="0"/>
              <w:spacing w:before="0" w:after="283"/>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The value shown for 2025 reflects the 2025 Adjusted EPS used to calculate performance for the 2023-2025 PSUs, as defined in Appendix B on page 102. The value shown for 2024 reflects the 2024 Adjusted EPS used to calculate performance for the 2022-2024 PSUs, as defined in Appendix B of our Proxy Statement filed on March 10, 2025. Adjusted EPS for 2023, 2022 and 2021 are detailed in Appendix A of our Proxy Statements filed on March 11, 2024, March 13, 2023, and March 14, 2022, respectively.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15"/>
        </w:rPr>
      </w:pPr>
      <w:r>
        <w:rPr>
          <w:rFonts w:ascii="Arial;Helvetica;Sans-Serif" w:hAnsi="Arial;Helvetica;Sans-Serif"/>
          <w:b/>
          <w:i w:val="false"/>
          <w:caps w:val="false"/>
          <w:smallCaps w:val="false"/>
          <w:sz w:val="15"/>
        </w:rPr>
        <w:t xml:space="preserve">86    RTX </w:t>
      </w:r>
      <w:r>
        <w:rPr>
          <w:rFonts w:ascii="Arial;Helvetica;Sans-Serif" w:hAnsi="Arial;Helvetica;Sans-Serif"/>
          <w:b w:val="false"/>
          <w:i w:val="false"/>
          <w:caps w:val="false"/>
          <w:smallCaps w:val="false"/>
          <w:sz w:val="15"/>
        </w:rPr>
        <w:t>2026 PROXY STATEMENT</w:t>
      </w:r>
    </w:p>
    <w:p>
      <w:pPr>
        <w:pStyle w:val="HorizontalLine"/>
        <w:pBdr>
          <w:bottom w:val="double" w:sz="2" w:space="0" w:color="808080"/>
        </w:pBdr>
        <w:bidi w:val="0"/>
        <w:spacing w:before="0" w:after="283"/>
        <w:jc w:val="left"/>
        <w:rPr/>
      </w:pPr>
      <w:r>
        <w:rPr/>
      </w:r>
    </w:p>
    <w:p>
      <w:pPr>
        <w:pStyle w:val="TextBody"/>
        <w:bidi w:val="0"/>
        <w:spacing w:before="200" w:after="200"/>
        <w:jc w:val="left"/>
        <w:rPr/>
      </w:pPr>
      <w:hyperlink w:anchor="toc">
        <w:r>
          <w:rPr>
            <w:rStyle w:val="InternetLink"/>
            <w:rFonts w:ascii="Arial;Helvetica;Sans-Serif" w:hAnsi="Arial;Helvetica;Sans-Serif"/>
            <w:b/>
            <w:i w:val="false"/>
            <w:caps w:val="false"/>
            <w:smallCaps w:val="false"/>
            <w:sz w:val="16"/>
          </w:rPr>
          <w:t>Table of Contents</w:t>
        </w:r>
      </w:hyperlink>
    </w:p>
    <w:p>
      <w:pPr>
        <w:pStyle w:val="TextBody"/>
        <w:bidi w:val="0"/>
        <w:spacing w:before="0" w:after="0"/>
        <w:ind w:left="0" w:right="0" w:hanging="0"/>
        <w:jc w:val="left"/>
        <w:rPr>
          <w:rFonts w:ascii="Arial;Helvetica;Sans-Serif" w:hAnsi="Arial;Helvetica;Sans-Serif"/>
          <w:b/>
          <w:i w:val="false"/>
          <w:caps w:val="false"/>
          <w:smallCaps w:val="false"/>
          <w:sz w:val="56"/>
        </w:rPr>
      </w:pPr>
      <w:bookmarkStart w:id="260" w:name="rtx014050a021"/>
      <w:bookmarkEnd w:id="260"/>
      <w:r>
        <w:rPr>
          <w:rFonts w:ascii="Arial;Helvetica;Sans-Serif" w:hAnsi="Arial;Helvetica;Sans-Serif"/>
          <w:b/>
          <w:i w:val="false"/>
          <w:caps w:val="false"/>
          <w:smallCaps w:val="false"/>
          <w:sz w:val="56"/>
        </w:rPr>
        <w:t>Audit Committee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Audit Committee assists the Board of Directors in its oversight responsibilities relating to: the integrity of RTX’s financial statements; the independence, qualifications and performance of RTX’s internal and external auditors; the Company’s compliance with its policies and procedures, internal controls, Code of Conduct and applicable laws and regulations; policies and procedures with respect to risk assessment and management; and such other responsibilities as delegated by the Board from time to time. The Committee’s specific responsibilities and duties are set forth in the Audit Committee Charter adopted by the Board, which is available on the Company’s website. The Committee is composed entirely of independent directors who meet the independence and financial literacy requirements of the NYSE and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Management has the primary responsibility for the financial statements and the financial reporting processes, including the system of internal control over financial reporting. PricewaterhouseCoopers LLP (“PwC”), the Company’s independent auditor, is responsible for auditing the financial statements prepared by management and expressing an opinion on both the conformity of the Company’s audited financial statements with U.S. generally accepted accounting principles and the effectiveness of our internal control over financial reporting. PwC is also responsible for discussing any issues they believe should be raised to the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 performing its oversight responsibilities, the Committee reviewed and discussed, with management and PwC, RTX’s consolidated financial statements as of and for the year ended December 31, 2025, and RTX’s internal control over financial reporting as of December 31, 2025. The Committee also discussed with RTX’s internal auditors and PwC the overall scope and plans for their respective audits. The Committee also met with the internal auditors and PwC, with and without management present, to discuss the results of their examinations, the evaluation of RTX’s internal control over financial reporting, management’s representations regarding internal control over financial reporting and the overall quality of RTX’s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Committee has discussed with PwC the matters required by the applicable requirements of the SEC and the Public Company Accounting and Oversight Board’s (“PCAOB”) Auditing Standard No. 1301 </w:t>
      </w:r>
      <w:r>
        <w:rPr>
          <w:rFonts w:ascii="Arial;Helvetica;Sans-Serif" w:hAnsi="Arial;Helvetica;Sans-Serif"/>
          <w:b w:val="false"/>
          <w:i/>
          <w:caps w:val="false"/>
          <w:smallCaps w:val="false"/>
          <w:sz w:val="20"/>
        </w:rPr>
        <w:t xml:space="preserve">Communications with Audit Committees. </w:t>
      </w:r>
      <w:r>
        <w:rPr>
          <w:rFonts w:ascii="Arial;Helvetica;Sans-Serif" w:hAnsi="Arial;Helvetica;Sans-Serif"/>
          <w:b w:val="false"/>
          <w:i w:val="false"/>
          <w:caps w:val="false"/>
          <w:smallCaps w:val="false"/>
          <w:sz w:val="20"/>
        </w:rPr>
        <w:t>It has also discussed with PwC its independence from RTX and its management, including communications from PwC required by the PCAOB’s Rule 3526, </w:t>
      </w:r>
      <w:r>
        <w:rPr>
          <w:rFonts w:ascii="Arial;Helvetica;Sans-Serif" w:hAnsi="Arial;Helvetica;Sans-Serif"/>
          <w:b w:val="false"/>
          <w:i/>
          <w:caps w:val="false"/>
          <w:smallCaps w:val="false"/>
          <w:sz w:val="20"/>
        </w:rPr>
        <w:t xml:space="preserve">Communication with Audit Committees Concerning Independence, </w:t>
      </w:r>
      <w:r>
        <w:rPr>
          <w:rFonts w:ascii="Arial;Helvetica;Sans-Serif" w:hAnsi="Arial;Helvetica;Sans-Serif"/>
          <w:b w:val="false"/>
          <w:i w:val="false"/>
          <w:caps w:val="false"/>
          <w:smallCaps w:val="false"/>
          <w:sz w:val="20"/>
        </w:rPr>
        <w:t>Rule 3524</w:t>
      </w:r>
      <w:r>
        <w:rPr>
          <w:rFonts w:ascii="Arial;Helvetica;Sans-Serif" w:hAnsi="Arial;Helvetica;Sans-Serif"/>
          <w:b w:val="false"/>
          <w:i/>
          <w:caps w:val="false"/>
          <w:smallCaps w:val="false"/>
          <w:sz w:val="20"/>
        </w:rPr>
        <w:t>, Audit Committee Pre-Approval of Certain Tax Services</w:t>
      </w:r>
      <w:r>
        <w:rPr>
          <w:rFonts w:ascii="Arial;Helvetica;Sans-Serif" w:hAnsi="Arial;Helvetica;Sans-Serif"/>
          <w:b w:val="false"/>
          <w:i w:val="false"/>
          <w:caps w:val="false"/>
          <w:smallCaps w:val="false"/>
          <w:sz w:val="20"/>
        </w:rPr>
        <w:t>, and Rule 3525, </w:t>
      </w:r>
      <w:r>
        <w:rPr>
          <w:rFonts w:ascii="Arial;Helvetica;Sans-Serif" w:hAnsi="Arial;Helvetica;Sans-Serif"/>
          <w:b w:val="false"/>
          <w:i/>
          <w:caps w:val="false"/>
          <w:smallCaps w:val="false"/>
          <w:sz w:val="20"/>
        </w:rPr>
        <w:t>Audit Committee Pre-approval of Non-audit Services Related to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Committee pre-approves all audit and non-audit services to be provided by PwC and the related fees for those services. The Committee has concluded that PwC’s provision of non-audit services, as described on pages 88-89, does not impair PwC’s independence as the external auditor.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PwC has reported to the Committee that RTX’s audited financial statements are fairly presented in accordance with U.S. generally accepted accounting principles. The Committee reviewed management’s assessment and report on the effectiveness of RTX’s internal control over financial reporting, as well as PwC’s audit report on the effectiveness of RTX’s internal control over financial reporting, which are both included in RTX’s Annual Report on Form 10-K for the fiscal year ending on December 31, 2025. Based on the reviews and discussions referred to above, the Committee has recommended to the Board of Directors that the audited financial statements be included in RTX’s Annual Report on Form 10-K for the year ending on December 31, 2025, for filing with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Committee has nominated PwC for appointment by the shareowners at the 2026 Annual Meeting to serve as RTX’s independent auditor for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Audit Committee</w:t>
      </w:r>
    </w:p>
    <w:tbl>
      <w:tblPr>
        <w:tblW w:w="4975" w:type="dxa"/>
        <w:jc w:val="left"/>
        <w:tblInd w:w="0" w:type="dxa"/>
        <w:tblLayout w:type="fixed"/>
        <w:tblCellMar>
          <w:top w:w="28" w:type="dxa"/>
          <w:left w:w="0" w:type="dxa"/>
          <w:bottom w:w="0" w:type="dxa"/>
          <w:right w:w="0" w:type="dxa"/>
        </w:tblCellMar>
      </w:tblPr>
      <w:tblGrid>
        <w:gridCol w:w="765"/>
        <w:gridCol w:w="2450"/>
        <w:gridCol w:w="1760"/>
      </w:tblGrid>
      <w:tr>
        <w:trPr/>
        <w:tc>
          <w:tcPr>
            <w:tcW w:w="765" w:type="dxa"/>
            <w:tcBorders>
              <w:top w:val="single" w:sz="2" w:space="0" w:color="636466"/>
            </w:tcBorders>
            <w:vAlign w:val="center"/>
          </w:tcPr>
          <w:p>
            <w:pPr>
              <w:pStyle w:val="TableContents"/>
              <w:bidi w:val="0"/>
              <w:spacing w:before="0" w:after="283"/>
              <w:jc w:val="center"/>
              <w:rPr/>
            </w:pPr>
            <w:r>
              <w:rPr/>
              <w:t> </w:t>
            </w:r>
          </w:p>
        </w:tc>
        <w:tc>
          <w:tcPr>
            <w:tcW w:w="2450" w:type="dxa"/>
            <w:tcBorders>
              <w:top w:val="single" w:sz="2" w:space="0" w:color="636466"/>
              <w:left w:val="single" w:sz="2" w:space="0" w:color="636466"/>
            </w:tcBorders>
            <w:tcMar>
              <w:left w:w="200" w:type="dxa"/>
            </w:tcMar>
            <w:vAlign w:val="center"/>
          </w:tcPr>
          <w:p>
            <w:pPr>
              <w:pStyle w:val="TableContents"/>
              <w:bidi w:val="0"/>
              <w:spacing w:before="0" w:after="283"/>
              <w:jc w:val="left"/>
              <w:rPr/>
            </w:pPr>
            <w:r>
              <w:rPr/>
              <w:t> </w:t>
            </w:r>
          </w:p>
        </w:tc>
        <w:tc>
          <w:tcPr>
            <w:tcW w:w="1760" w:type="dxa"/>
            <w:tcBorders>
              <w:top w:val="single" w:sz="2" w:space="0" w:color="636466"/>
              <w:left w:val="single" w:sz="2" w:space="0" w:color="636466"/>
            </w:tcBorders>
            <w:tcMar>
              <w:left w:w="200" w:type="dxa"/>
            </w:tcMar>
            <w:vAlign w:val="center"/>
          </w:tcPr>
          <w:p>
            <w:pPr>
              <w:pStyle w:val="TableContents"/>
              <w:bidi w:val="0"/>
              <w:spacing w:before="0" w:after="283"/>
              <w:jc w:val="left"/>
              <w:rPr/>
            </w:pPr>
            <w:r>
              <w:rPr/>
              <w:t> </w:t>
            </w:r>
          </w:p>
        </w:tc>
      </w:tr>
      <w:tr>
        <w:trPr/>
        <w:tc>
          <w:tcPr>
            <w:tcW w:w="765" w:type="dxa"/>
            <w:tcBorders/>
            <w:tcMar>
              <w:top w:w="0" w:type="dxa"/>
            </w:tcMar>
            <w:vAlign w:val="center"/>
          </w:tcPr>
          <w:p>
            <w:pPr>
              <w:pStyle w:val="TableContents"/>
              <w:bidi w:val="0"/>
              <w:spacing w:before="0" w:after="283"/>
              <w:jc w:val="center"/>
              <w:rPr/>
            </w:pPr>
            <w:r>
              <w:rPr/>
              <w:drawing>
                <wp:inline distT="0" distB="0" distL="0" distR="0">
                  <wp:extent cx="476250" cy="600710"/>
                  <wp:effectExtent l="0" t="0" r="0" b="0"/>
                  <wp:docPr id="365" name="Image2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5" name="Image240" descr=""/>
                          <pic:cNvPicPr>
                            <a:picLocks noChangeAspect="1" noChangeArrowheads="1"/>
                          </pic:cNvPicPr>
                        </pic:nvPicPr>
                        <pic:blipFill>
                          <a:blip r:embed="rId296"/>
                          <a:stretch>
                            <a:fillRect/>
                          </a:stretch>
                        </pic:blipFill>
                        <pic:spPr bwMode="auto">
                          <a:xfrm>
                            <a:off x="0" y="0"/>
                            <a:ext cx="476250" cy="600710"/>
                          </a:xfrm>
                          <a:prstGeom prst="rect">
                            <a:avLst/>
                          </a:prstGeom>
                        </pic:spPr>
                      </pic:pic>
                    </a:graphicData>
                  </a:graphic>
                </wp:inline>
              </w:drawing>
            </w:r>
          </w:p>
        </w:tc>
        <w:tc>
          <w:tcPr>
            <w:tcW w:w="2450" w:type="dxa"/>
            <w:tcBorders>
              <w:left w:val="single" w:sz="2" w:space="0" w:color="636466"/>
            </w:tcBorders>
            <w:tcMar>
              <w:top w:w="0" w:type="dxa"/>
              <w:left w:w="200" w:type="dxa"/>
            </w:tcMar>
            <w:vAlign w:val="center"/>
          </w:tcPr>
          <w:p>
            <w:pPr>
              <w:pStyle w:val="TableContents"/>
              <w:bidi w:val="0"/>
              <w:spacing w:before="0" w:after="0"/>
              <w:ind w:left="0" w:right="0" w:hanging="0"/>
              <w:jc w:val="left"/>
              <w:rPr>
                <w:b/>
              </w:rPr>
            </w:pPr>
            <w:r>
              <w:rPr>
                <w:b/>
              </w:rPr>
              <w:t>Leanne G. Caret, Chair</w:t>
            </w:r>
          </w:p>
          <w:p>
            <w:pPr>
              <w:pStyle w:val="TableContents"/>
              <w:bidi w:val="0"/>
              <w:spacing w:before="0" w:after="0"/>
              <w:ind w:left="0" w:right="0" w:hanging="0"/>
              <w:jc w:val="left"/>
              <w:rPr/>
            </w:pPr>
            <w:r>
              <w:rPr/>
              <w:t> </w:t>
            </w:r>
          </w:p>
          <w:p>
            <w:pPr>
              <w:pStyle w:val="TableContents"/>
              <w:bidi w:val="0"/>
              <w:spacing w:before="0" w:after="0"/>
              <w:ind w:left="0" w:right="0" w:hanging="0"/>
              <w:jc w:val="left"/>
              <w:rPr>
                <w:b/>
              </w:rPr>
            </w:pPr>
            <w:r>
              <w:rPr>
                <w:b/>
              </w:rPr>
              <w:t>Bernard A. Harris, Jr.</w:t>
            </w:r>
          </w:p>
        </w:tc>
        <w:tc>
          <w:tcPr>
            <w:tcW w:w="1760" w:type="dxa"/>
            <w:tcBorders>
              <w:left w:val="single" w:sz="2" w:space="0" w:color="636466"/>
            </w:tcBorders>
            <w:tcMar>
              <w:top w:w="0" w:type="dxa"/>
              <w:left w:w="200" w:type="dxa"/>
            </w:tcMar>
            <w:vAlign w:val="center"/>
          </w:tcPr>
          <w:p>
            <w:pPr>
              <w:pStyle w:val="TableContents"/>
              <w:bidi w:val="0"/>
              <w:spacing w:before="0" w:after="0"/>
              <w:ind w:left="0" w:right="0" w:hanging="0"/>
              <w:jc w:val="left"/>
              <w:rPr>
                <w:b/>
              </w:rPr>
            </w:pPr>
            <w:r>
              <w:rPr>
                <w:b/>
              </w:rPr>
              <w:t>Denise L. Ramos</w:t>
            </w:r>
          </w:p>
          <w:p>
            <w:pPr>
              <w:pStyle w:val="TableContents"/>
              <w:bidi w:val="0"/>
              <w:spacing w:before="0" w:after="0"/>
              <w:ind w:left="0" w:right="0" w:hanging="0"/>
              <w:jc w:val="left"/>
              <w:rPr/>
            </w:pPr>
            <w:r>
              <w:rPr/>
              <w:t> </w:t>
            </w:r>
          </w:p>
          <w:p>
            <w:pPr>
              <w:pStyle w:val="TableContents"/>
              <w:bidi w:val="0"/>
              <w:spacing w:before="0" w:after="0"/>
              <w:ind w:left="0" w:right="0" w:hanging="0"/>
              <w:jc w:val="left"/>
              <w:rPr>
                <w:b/>
              </w:rPr>
            </w:pPr>
            <w:r>
              <w:rPr>
                <w:b/>
              </w:rPr>
              <w:t>Robert O. Work</w:t>
            </w:r>
          </w:p>
        </w:tc>
      </w:tr>
    </w:tbl>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Arial;Helvetica;Sans-Serif" w:hAnsi="Arial;Helvetica;Sans-Serif"/>
          <w:b w:val="false"/>
          <w:i w:val="false"/>
          <w:caps w:val="false"/>
          <w:smallCaps w:val="false"/>
          <w:sz w:val="15"/>
        </w:rPr>
      </w:pPr>
      <w:r>
        <w:rPr>
          <w:rFonts w:ascii="Arial;Helvetica;Sans-Serif" w:hAnsi="Arial;Helvetica;Sans-Serif"/>
          <w:b/>
          <w:i w:val="false"/>
          <w:caps w:val="false"/>
          <w:smallCaps w:val="false"/>
          <w:sz w:val="15"/>
        </w:rPr>
        <w:t xml:space="preserve">RTX </w:t>
      </w:r>
      <w:r>
        <w:rPr>
          <w:rFonts w:ascii="Arial;Helvetica;Sans-Serif" w:hAnsi="Arial;Helvetica;Sans-Serif"/>
          <w:b w:val="false"/>
          <w:i w:val="false"/>
          <w:caps w:val="false"/>
          <w:smallCaps w:val="false"/>
          <w:sz w:val="15"/>
        </w:rPr>
        <w:t>2026 PROXY STATEMENT    </w:t>
      </w:r>
      <w:r>
        <w:rPr>
          <w:rFonts w:ascii="Arial;Helvetica;Sans-Serif" w:hAnsi="Arial;Helvetica;Sans-Serif"/>
          <w:b/>
          <w:i w:val="false"/>
          <w:caps w:val="false"/>
          <w:smallCaps w:val="false"/>
          <w:sz w:val="15"/>
        </w:rPr>
        <w:t>87</w:t>
      </w:r>
    </w:p>
    <w:p>
      <w:pPr>
        <w:pStyle w:val="HorizontalLine"/>
        <w:pBdr>
          <w:bottom w:val="double" w:sz="2" w:space="0" w:color="808080"/>
        </w:pBdr>
        <w:bidi w:val="0"/>
        <w:spacing w:before="0" w:after="283"/>
        <w:jc w:val="left"/>
        <w:rPr/>
      </w:pPr>
      <w:r>
        <w:rPr/>
      </w:r>
    </w:p>
    <w:p>
      <w:pPr>
        <w:pStyle w:val="TextBody"/>
        <w:bidi w:val="0"/>
        <w:spacing w:before="200" w:after="200"/>
        <w:jc w:val="left"/>
        <w:rPr/>
      </w:pPr>
      <w:hyperlink w:anchor="toc">
        <w:r>
          <w:rPr>
            <w:rStyle w:val="InternetLink"/>
            <w:rFonts w:ascii="Arial;Helvetica;Sans-Serif" w:hAnsi="Arial;Helvetica;Sans-Serif"/>
            <w:b/>
            <w:i w:val="false"/>
            <w:caps w:val="false"/>
            <w:smallCaps w:val="false"/>
            <w:sz w:val="16"/>
          </w:rPr>
          <w:t>Table of Contents</w:t>
        </w:r>
      </w:hyperlink>
    </w:p>
    <w:p>
      <w:pPr>
        <w:pStyle w:val="TextBody"/>
        <w:bidi w:val="0"/>
        <w:spacing w:before="0" w:after="0"/>
        <w:ind w:left="0" w:right="0" w:hanging="0"/>
        <w:jc w:val="left"/>
        <w:rPr>
          <w:rFonts w:ascii="Arial;Helvetica;Sans-Serif" w:hAnsi="Arial;Helvetica;Sans-Serif"/>
          <w:b w:val="false"/>
          <w:i w:val="false"/>
          <w:caps w:val="false"/>
          <w:smallCaps w:val="false"/>
          <w:sz w:val="56"/>
        </w:rPr>
      </w:pPr>
      <w:bookmarkStart w:id="261" w:name="rtx014050a022"/>
      <w:bookmarkEnd w:id="261"/>
      <w:r>
        <w:rPr>
          <w:rFonts w:ascii="Arial;Helvetica;Sans-Serif" w:hAnsi="Arial;Helvetica;Sans-Serif"/>
          <w:b/>
          <w:i w:val="false"/>
          <w:caps w:val="false"/>
          <w:smallCaps w:val="false"/>
          <w:color w:val="C12E33"/>
          <w:sz w:val="56"/>
        </w:rPr>
        <w:t>Proposal 3:</w:t>
      </w:r>
      <w:r>
        <w:rPr>
          <w:rFonts w:ascii="Arial;Helvetica;Sans-Serif" w:hAnsi="Arial;Helvetica;Sans-Serif"/>
          <w:b/>
          <w:i w:val="false"/>
          <w:caps w:val="false"/>
          <w:smallCaps w:val="false"/>
          <w:sz w:val="56"/>
        </w:rPr>
        <w:br/>
        <w:t>Appointment of</w:t>
        <w:br/>
        <w:t xml:space="preserve">PricewaterhouseCoopers LLP to </w:t>
        <w:br/>
        <w:t>Serve as Independent Auditor for 2026</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120" w:type="dxa"/>
          <w:left w:w="0" w:type="dxa"/>
          <w:bottom w:w="0" w:type="dxa"/>
          <w:right w:w="0" w:type="dxa"/>
        </w:tblCellMar>
      </w:tblPr>
      <w:tblGrid>
        <w:gridCol w:w="1814"/>
        <w:gridCol w:w="300"/>
        <w:gridCol w:w="8091"/>
      </w:tblGrid>
      <w:tr>
        <w:trPr/>
        <w:tc>
          <w:tcPr>
            <w:tcW w:w="1814" w:type="dxa"/>
            <w:tcBorders>
              <w:top w:val="single" w:sz="12" w:space="0" w:color="C12E33"/>
            </w:tcBorders>
            <w:vAlign w:val="center"/>
          </w:tcPr>
          <w:p>
            <w:pPr>
              <w:pStyle w:val="TableContents"/>
              <w:bidi w:val="0"/>
              <w:spacing w:before="0" w:after="283"/>
              <w:jc w:val="left"/>
              <w:rPr>
                <w:b/>
                <w:color w:val="C12E33"/>
                <w:sz w:val="44"/>
              </w:rPr>
            </w:pPr>
            <w:r>
              <w:rPr>
                <w:b/>
                <w:color w:val="C12E33"/>
                <w:sz w:val="44"/>
              </w:rPr>
              <w:t>What</w:t>
              <w:br/>
              <w:t>am I</w:t>
              <w:br/>
              <w:t>voting on?</w:t>
            </w:r>
          </w:p>
        </w:tc>
        <w:tc>
          <w:tcPr>
            <w:tcW w:w="300" w:type="dxa"/>
            <w:tcBorders>
              <w:top w:val="single" w:sz="12" w:space="0" w:color="C12E33"/>
            </w:tcBorders>
            <w:vAlign w:val="center"/>
          </w:tcPr>
          <w:p>
            <w:pPr>
              <w:pStyle w:val="TableContents"/>
              <w:bidi w:val="0"/>
              <w:spacing w:before="0" w:after="283"/>
              <w:jc w:val="left"/>
              <w:rPr/>
            </w:pPr>
            <w:r>
              <w:rPr/>
              <w:t>     </w:t>
            </w:r>
          </w:p>
        </w:tc>
        <w:tc>
          <w:tcPr>
            <w:tcW w:w="8091" w:type="dxa"/>
            <w:tcBorders>
              <w:top w:val="single" w:sz="12" w:space="0" w:color="C12E33"/>
            </w:tcBorders>
            <w:vAlign w:val="center"/>
          </w:tcPr>
          <w:p>
            <w:pPr>
              <w:pStyle w:val="TableContents"/>
              <w:bidi w:val="0"/>
              <w:spacing w:before="0" w:after="283"/>
              <w:jc w:val="left"/>
              <w:rPr/>
            </w:pPr>
            <w:r>
              <w:rPr/>
              <w:t xml:space="preserve">As required by our Bylaws, we are asking shareowners to vote on a proposal </w:t>
            </w:r>
            <w:r>
              <w:rPr>
                <w:b/>
              </w:rPr>
              <w:t xml:space="preserve">to appoint a firm of independent registered public accountants to serve as the Company’s independent auditor </w:t>
            </w:r>
            <w:r>
              <w:rPr/>
              <w:t>until the next Annual Meeting. PricewaterhouseCoopers LLP (“PwC”), an independent registered public accounting firm, served as RTX’s independent auditor in 2025. For 2026, the Audit Committee has again nominated PwC to be our independent auditor, and the Board of Directors has approved the firm for appointment by the shareowners to serve until the next Annual Meeting in 2027.</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34"/>
        </w:rPr>
      </w:pPr>
      <w:r>
        <w:rPr>
          <w:rFonts w:ascii="Arial;Helvetica;Sans-Serif" w:hAnsi="Arial;Helvetica;Sans-Serif"/>
          <w:b/>
          <w:i w:val="false"/>
          <w:caps w:val="false"/>
          <w:smallCaps w:val="false"/>
          <w:sz w:val="34"/>
        </w:rPr>
        <w:t>Frequently Asked Questions About the Auditor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HOW IS THE AUDITOR RETAINED AND REVIEWED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Audit Committee is directly responsible for the nomination, compensation, retention and oversight of the Company’s independent auditor. To fulfill this responsibility, the Committee engages in an annual evaluation of the independent auditor’s qualifications, performance and independence, and periodically considers the advisability of selecting a different independent registered public accounting firm to serve in that capacity. PwC, or one of its predecessor firms, has been retained as RTX’s independent audit firm continuously since 1947.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HOW LONG MAY AN AUDIT PARTNER PROVIDE SERVICES TO RTX?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 accordance with SEC rules and PwC policies, audit partners are subject to rotation requirements that limit the number of consecutive years an individual partner may provide service to RTX. For lead and concurring audit partners, the limit is five years. The selection process for the lead audit partner includes a meeting between the Chair of the Audit Committee and the candidate, as well as consideration of the candidate by the full Committee with input from 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WILL THE AUDITOR ATTEND THE ANNUAL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Representatives of PwC will attend the 2026 Annual Meeting. The representatives may make a statement and will be available to respond to appropriate questions from shareowners.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WHAT WERE THE AUDITOR’S FEES IN 2025 AND 2024?</w:t>
      </w:r>
    </w:p>
    <w:p>
      <w:pPr>
        <w:pStyle w:val="TextBody"/>
        <w:bidi w:val="0"/>
        <w:spacing w:before="0" w:after="0"/>
        <w:ind w:left="0" w:right="0" w:hanging="0"/>
        <w:jc w:val="left"/>
        <w:rPr>
          <w:caps w:val="false"/>
          <w:smallCaps w:val="false"/>
        </w:rPr>
      </w:pPr>
      <w:r>
        <w:rPr>
          <w:caps w:val="false"/>
          <w:smallCaps w:val="false"/>
        </w:rPr>
        <w:t> </w:t>
      </w:r>
    </w:p>
    <w:tbl>
      <w:tblPr>
        <w:tblW w:w="6645" w:type="dxa"/>
        <w:jc w:val="left"/>
        <w:tblInd w:w="0" w:type="dxa"/>
        <w:tblLayout w:type="fixed"/>
        <w:tblCellMar>
          <w:top w:w="0" w:type="dxa"/>
          <w:left w:w="0" w:type="dxa"/>
          <w:bottom w:w="40" w:type="dxa"/>
          <w:right w:w="0" w:type="dxa"/>
        </w:tblCellMar>
      </w:tblPr>
      <w:tblGrid>
        <w:gridCol w:w="980"/>
        <w:gridCol w:w="300"/>
        <w:gridCol w:w="800"/>
        <w:gridCol w:w="300"/>
        <w:gridCol w:w="920"/>
        <w:gridCol w:w="300"/>
        <w:gridCol w:w="680"/>
        <w:gridCol w:w="300"/>
        <w:gridCol w:w="950"/>
        <w:gridCol w:w="300"/>
        <w:gridCol w:w="815"/>
      </w:tblGrid>
      <w:tr>
        <w:trPr/>
        <w:tc>
          <w:tcPr>
            <w:tcW w:w="980" w:type="dxa"/>
            <w:tcBorders>
              <w:bottom w:val="single" w:sz="12" w:space="0" w:color="C12E33"/>
            </w:tcBorders>
            <w:vAlign w:val="center"/>
          </w:tcPr>
          <w:p>
            <w:pPr>
              <w:pStyle w:val="TableContents"/>
              <w:bidi w:val="0"/>
              <w:spacing w:before="0" w:after="283"/>
              <w:jc w:val="left"/>
              <w:rPr>
                <w:b/>
                <w:color w:val="636466"/>
                <w:sz w:val="15"/>
              </w:rPr>
            </w:pPr>
            <w:r>
              <w:rPr>
                <w:b/>
                <w:color w:val="636466"/>
                <w:sz w:val="15"/>
              </w:rPr>
              <w:t>(in thousands)</w:t>
            </w:r>
          </w:p>
        </w:tc>
        <w:tc>
          <w:tcPr>
            <w:tcW w:w="300" w:type="dxa"/>
            <w:tcBorders>
              <w:bottom w:val="single" w:sz="12" w:space="0" w:color="C12E33"/>
            </w:tcBorders>
            <w:vAlign w:val="center"/>
          </w:tcPr>
          <w:p>
            <w:pPr>
              <w:pStyle w:val="TableContents"/>
              <w:bidi w:val="0"/>
              <w:spacing w:before="0" w:after="283"/>
              <w:jc w:val="right"/>
              <w:rPr/>
            </w:pPr>
            <w:r>
              <w:rPr/>
              <w:t>     </w:t>
            </w:r>
          </w:p>
        </w:tc>
        <w:tc>
          <w:tcPr>
            <w:tcW w:w="800" w:type="dxa"/>
            <w:tcBorders>
              <w:bottom w:val="single" w:sz="12" w:space="0" w:color="C12E33"/>
            </w:tcBorders>
            <w:vAlign w:val="center"/>
          </w:tcPr>
          <w:p>
            <w:pPr>
              <w:pStyle w:val="TableContents"/>
              <w:bidi w:val="0"/>
              <w:spacing w:before="0" w:after="283"/>
              <w:jc w:val="right"/>
              <w:rPr>
                <w:b/>
                <w:color w:val="636466"/>
                <w:sz w:val="15"/>
              </w:rPr>
            </w:pPr>
            <w:r>
              <w:rPr>
                <w:b/>
                <w:color w:val="636466"/>
                <w:sz w:val="15"/>
              </w:rPr>
              <w:t>Audit</w:t>
            </w:r>
          </w:p>
        </w:tc>
        <w:tc>
          <w:tcPr>
            <w:tcW w:w="300" w:type="dxa"/>
            <w:tcBorders>
              <w:bottom w:val="single" w:sz="12" w:space="0" w:color="C12E33"/>
            </w:tcBorders>
            <w:vAlign w:val="center"/>
          </w:tcPr>
          <w:p>
            <w:pPr>
              <w:pStyle w:val="TableContents"/>
              <w:bidi w:val="0"/>
              <w:spacing w:before="0" w:after="283"/>
              <w:jc w:val="right"/>
              <w:rPr/>
            </w:pPr>
            <w:r>
              <w:rPr/>
              <w:t> </w:t>
            </w:r>
          </w:p>
        </w:tc>
        <w:tc>
          <w:tcPr>
            <w:tcW w:w="920" w:type="dxa"/>
            <w:tcBorders>
              <w:bottom w:val="single" w:sz="12" w:space="0" w:color="C12E33"/>
            </w:tcBorders>
            <w:vAlign w:val="center"/>
          </w:tcPr>
          <w:p>
            <w:pPr>
              <w:pStyle w:val="TableContents"/>
              <w:bidi w:val="0"/>
              <w:spacing w:before="0" w:after="283"/>
              <w:jc w:val="right"/>
              <w:rPr>
                <w:b/>
                <w:color w:val="636466"/>
                <w:sz w:val="15"/>
              </w:rPr>
            </w:pPr>
            <w:r>
              <w:rPr>
                <w:b/>
                <w:color w:val="636466"/>
                <w:sz w:val="15"/>
              </w:rPr>
              <w:t>Audit-Related</w:t>
            </w:r>
          </w:p>
        </w:tc>
        <w:tc>
          <w:tcPr>
            <w:tcW w:w="300" w:type="dxa"/>
            <w:tcBorders>
              <w:bottom w:val="single" w:sz="12" w:space="0" w:color="C12E33"/>
            </w:tcBorders>
            <w:vAlign w:val="center"/>
          </w:tcPr>
          <w:p>
            <w:pPr>
              <w:pStyle w:val="TableContents"/>
              <w:bidi w:val="0"/>
              <w:spacing w:before="0" w:after="283"/>
              <w:jc w:val="right"/>
              <w:rPr/>
            </w:pPr>
            <w:r>
              <w:rPr/>
              <w:t> </w:t>
            </w:r>
          </w:p>
        </w:tc>
        <w:tc>
          <w:tcPr>
            <w:tcW w:w="680" w:type="dxa"/>
            <w:tcBorders>
              <w:bottom w:val="single" w:sz="12" w:space="0" w:color="C12E33"/>
            </w:tcBorders>
            <w:vAlign w:val="center"/>
          </w:tcPr>
          <w:p>
            <w:pPr>
              <w:pStyle w:val="TableContents"/>
              <w:bidi w:val="0"/>
              <w:spacing w:before="0" w:after="283"/>
              <w:jc w:val="right"/>
              <w:rPr>
                <w:b/>
                <w:color w:val="636466"/>
                <w:sz w:val="15"/>
              </w:rPr>
            </w:pPr>
            <w:r>
              <w:rPr>
                <w:b/>
                <w:color w:val="636466"/>
                <w:sz w:val="15"/>
              </w:rPr>
              <w:t>Tax</w:t>
            </w:r>
          </w:p>
        </w:tc>
        <w:tc>
          <w:tcPr>
            <w:tcW w:w="300" w:type="dxa"/>
            <w:tcBorders>
              <w:bottom w:val="single" w:sz="12" w:space="0" w:color="C12E33"/>
            </w:tcBorders>
            <w:vAlign w:val="center"/>
          </w:tcPr>
          <w:p>
            <w:pPr>
              <w:pStyle w:val="TableContents"/>
              <w:bidi w:val="0"/>
              <w:spacing w:before="0" w:after="283"/>
              <w:jc w:val="right"/>
              <w:rPr/>
            </w:pPr>
            <w:r>
              <w:rPr/>
              <w:t> </w:t>
            </w:r>
          </w:p>
        </w:tc>
        <w:tc>
          <w:tcPr>
            <w:tcW w:w="950" w:type="dxa"/>
            <w:tcBorders>
              <w:bottom w:val="single" w:sz="12" w:space="0" w:color="C12E33"/>
            </w:tcBorders>
            <w:vAlign w:val="center"/>
          </w:tcPr>
          <w:p>
            <w:pPr>
              <w:pStyle w:val="TableContents"/>
              <w:bidi w:val="0"/>
              <w:spacing w:before="0" w:after="283"/>
              <w:jc w:val="right"/>
              <w:rPr>
                <w:b/>
                <w:color w:val="636466"/>
                <w:sz w:val="15"/>
              </w:rPr>
            </w:pPr>
            <w:r>
              <w:rPr>
                <w:b/>
                <w:color w:val="636466"/>
                <w:sz w:val="15"/>
              </w:rPr>
              <w:t>All Other Fees</w:t>
            </w:r>
          </w:p>
        </w:tc>
        <w:tc>
          <w:tcPr>
            <w:tcW w:w="300" w:type="dxa"/>
            <w:tcBorders>
              <w:bottom w:val="single" w:sz="12" w:space="0" w:color="C12E33"/>
            </w:tcBorders>
            <w:vAlign w:val="center"/>
          </w:tcPr>
          <w:p>
            <w:pPr>
              <w:pStyle w:val="TableContents"/>
              <w:bidi w:val="0"/>
              <w:spacing w:before="0" w:after="283"/>
              <w:jc w:val="right"/>
              <w:rPr/>
            </w:pPr>
            <w:r>
              <w:rPr/>
              <w:t> </w:t>
            </w:r>
          </w:p>
        </w:tc>
        <w:tc>
          <w:tcPr>
            <w:tcW w:w="815" w:type="dxa"/>
            <w:tcBorders>
              <w:bottom w:val="single" w:sz="12" w:space="0" w:color="C12E33"/>
            </w:tcBorders>
            <w:vAlign w:val="center"/>
          </w:tcPr>
          <w:p>
            <w:pPr>
              <w:pStyle w:val="TableContents"/>
              <w:bidi w:val="0"/>
              <w:spacing w:before="0" w:after="283"/>
              <w:jc w:val="right"/>
              <w:rPr>
                <w:b/>
                <w:color w:val="636466"/>
                <w:sz w:val="15"/>
              </w:rPr>
            </w:pPr>
            <w:r>
              <w:rPr>
                <w:b/>
                <w:color w:val="636466"/>
                <w:sz w:val="15"/>
              </w:rPr>
              <w:t>Total</w:t>
            </w:r>
          </w:p>
        </w:tc>
      </w:tr>
      <w:tr>
        <w:trPr/>
        <w:tc>
          <w:tcPr>
            <w:tcW w:w="980" w:type="dxa"/>
            <w:tcBorders>
              <w:bottom w:val="single" w:sz="2" w:space="0" w:color="000000"/>
            </w:tcBorders>
            <w:vAlign w:val="center"/>
          </w:tcPr>
          <w:p>
            <w:pPr>
              <w:pStyle w:val="TableContents"/>
              <w:bidi w:val="0"/>
              <w:spacing w:before="0" w:after="283"/>
              <w:jc w:val="left"/>
              <w:rPr>
                <w:b/>
              </w:rPr>
            </w:pPr>
            <w:r>
              <w:rPr>
                <w:b/>
              </w:rPr>
              <w:t>2025</w:t>
            </w:r>
          </w:p>
        </w:tc>
        <w:tc>
          <w:tcPr>
            <w:tcW w:w="300" w:type="dxa"/>
            <w:tcBorders>
              <w:bottom w:val="single" w:sz="2" w:space="0" w:color="000000"/>
            </w:tcBorders>
            <w:vAlign w:val="center"/>
          </w:tcPr>
          <w:p>
            <w:pPr>
              <w:pStyle w:val="TableContents"/>
              <w:bidi w:val="0"/>
              <w:spacing w:before="0" w:after="283"/>
              <w:jc w:val="right"/>
              <w:rPr/>
            </w:pPr>
            <w:r>
              <w:rPr/>
              <w:t> </w:t>
            </w:r>
          </w:p>
        </w:tc>
        <w:tc>
          <w:tcPr>
            <w:tcW w:w="800" w:type="dxa"/>
            <w:tcBorders>
              <w:bottom w:val="single" w:sz="2" w:space="0" w:color="000000"/>
            </w:tcBorders>
            <w:vAlign w:val="center"/>
          </w:tcPr>
          <w:p>
            <w:pPr>
              <w:pStyle w:val="TableContents"/>
              <w:bidi w:val="0"/>
              <w:spacing w:before="0" w:after="283"/>
              <w:jc w:val="right"/>
              <w:rPr/>
            </w:pPr>
            <w:r>
              <w:rPr/>
              <w:t>$35,195</w:t>
            </w:r>
          </w:p>
        </w:tc>
        <w:tc>
          <w:tcPr>
            <w:tcW w:w="300" w:type="dxa"/>
            <w:tcBorders>
              <w:bottom w:val="single" w:sz="2" w:space="0" w:color="000000"/>
            </w:tcBorders>
            <w:vAlign w:val="center"/>
          </w:tcPr>
          <w:p>
            <w:pPr>
              <w:pStyle w:val="TableContents"/>
              <w:bidi w:val="0"/>
              <w:spacing w:before="0" w:after="283"/>
              <w:jc w:val="right"/>
              <w:rPr/>
            </w:pPr>
            <w:r>
              <w:rPr/>
              <w:t>     </w:t>
            </w:r>
          </w:p>
        </w:tc>
        <w:tc>
          <w:tcPr>
            <w:tcW w:w="920" w:type="dxa"/>
            <w:tcBorders>
              <w:bottom w:val="single" w:sz="2" w:space="0" w:color="000000"/>
            </w:tcBorders>
            <w:vAlign w:val="center"/>
          </w:tcPr>
          <w:p>
            <w:pPr>
              <w:pStyle w:val="TableContents"/>
              <w:bidi w:val="0"/>
              <w:spacing w:before="0" w:after="283"/>
              <w:jc w:val="right"/>
              <w:rPr/>
            </w:pPr>
            <w:r>
              <w:rPr/>
              <w:t>$4,368</w:t>
            </w:r>
          </w:p>
        </w:tc>
        <w:tc>
          <w:tcPr>
            <w:tcW w:w="300" w:type="dxa"/>
            <w:tcBorders>
              <w:bottom w:val="single" w:sz="2" w:space="0" w:color="000000"/>
            </w:tcBorders>
            <w:vAlign w:val="center"/>
          </w:tcPr>
          <w:p>
            <w:pPr>
              <w:pStyle w:val="TableContents"/>
              <w:bidi w:val="0"/>
              <w:spacing w:before="0" w:after="283"/>
              <w:jc w:val="right"/>
              <w:rPr/>
            </w:pPr>
            <w:r>
              <w:rPr/>
              <w:t>     </w:t>
            </w:r>
          </w:p>
        </w:tc>
        <w:tc>
          <w:tcPr>
            <w:tcW w:w="680" w:type="dxa"/>
            <w:tcBorders>
              <w:bottom w:val="single" w:sz="2" w:space="0" w:color="000000"/>
            </w:tcBorders>
            <w:vAlign w:val="center"/>
          </w:tcPr>
          <w:p>
            <w:pPr>
              <w:pStyle w:val="TableContents"/>
              <w:bidi w:val="0"/>
              <w:spacing w:before="0" w:after="283"/>
              <w:jc w:val="right"/>
              <w:rPr/>
            </w:pPr>
            <w:r>
              <w:rPr/>
              <w:t>$8,054</w:t>
            </w:r>
          </w:p>
        </w:tc>
        <w:tc>
          <w:tcPr>
            <w:tcW w:w="300" w:type="dxa"/>
            <w:tcBorders>
              <w:bottom w:val="single" w:sz="2" w:space="0" w:color="000000"/>
            </w:tcBorders>
            <w:vAlign w:val="center"/>
          </w:tcPr>
          <w:p>
            <w:pPr>
              <w:pStyle w:val="TableContents"/>
              <w:bidi w:val="0"/>
              <w:spacing w:before="0" w:after="283"/>
              <w:jc w:val="right"/>
              <w:rPr/>
            </w:pPr>
            <w:r>
              <w:rPr/>
              <w:t>     </w:t>
            </w:r>
          </w:p>
        </w:tc>
        <w:tc>
          <w:tcPr>
            <w:tcW w:w="950" w:type="dxa"/>
            <w:tcBorders>
              <w:bottom w:val="single" w:sz="2" w:space="0" w:color="000000"/>
            </w:tcBorders>
            <w:vAlign w:val="center"/>
          </w:tcPr>
          <w:p>
            <w:pPr>
              <w:pStyle w:val="TableContents"/>
              <w:bidi w:val="0"/>
              <w:spacing w:before="0" w:after="283"/>
              <w:jc w:val="right"/>
              <w:rPr/>
            </w:pPr>
            <w:r>
              <w:rPr/>
              <w:t>$22</w:t>
            </w:r>
          </w:p>
        </w:tc>
        <w:tc>
          <w:tcPr>
            <w:tcW w:w="300" w:type="dxa"/>
            <w:tcBorders>
              <w:bottom w:val="single" w:sz="2" w:space="0" w:color="000000"/>
            </w:tcBorders>
            <w:vAlign w:val="center"/>
          </w:tcPr>
          <w:p>
            <w:pPr>
              <w:pStyle w:val="TableContents"/>
              <w:bidi w:val="0"/>
              <w:spacing w:before="0" w:after="283"/>
              <w:jc w:val="right"/>
              <w:rPr/>
            </w:pPr>
            <w:r>
              <w:rPr/>
              <w:t>     </w:t>
            </w:r>
          </w:p>
        </w:tc>
        <w:tc>
          <w:tcPr>
            <w:tcW w:w="815" w:type="dxa"/>
            <w:tcBorders>
              <w:bottom w:val="single" w:sz="2" w:space="0" w:color="000000"/>
            </w:tcBorders>
            <w:shd w:fill="EDEDEE" w:val="clear"/>
            <w:vAlign w:val="center"/>
          </w:tcPr>
          <w:p>
            <w:pPr>
              <w:pStyle w:val="TableContents"/>
              <w:bidi w:val="0"/>
              <w:spacing w:before="0" w:after="283"/>
              <w:jc w:val="right"/>
              <w:rPr>
                <w:b/>
              </w:rPr>
            </w:pPr>
            <w:r>
              <w:rPr>
                <w:b/>
              </w:rPr>
              <w:t>$47,639</w:t>
            </w:r>
          </w:p>
        </w:tc>
      </w:tr>
      <w:tr>
        <w:trPr/>
        <w:tc>
          <w:tcPr>
            <w:tcW w:w="980" w:type="dxa"/>
            <w:tcBorders>
              <w:bottom w:val="single" w:sz="12" w:space="0" w:color="636466"/>
            </w:tcBorders>
            <w:vAlign w:val="center"/>
          </w:tcPr>
          <w:p>
            <w:pPr>
              <w:pStyle w:val="TableContents"/>
              <w:bidi w:val="0"/>
              <w:spacing w:before="0" w:after="283"/>
              <w:jc w:val="left"/>
              <w:rPr>
                <w:b/>
              </w:rPr>
            </w:pPr>
            <w:r>
              <w:rPr>
                <w:b/>
              </w:rPr>
              <w:t>2024</w:t>
            </w:r>
          </w:p>
        </w:tc>
        <w:tc>
          <w:tcPr>
            <w:tcW w:w="300" w:type="dxa"/>
            <w:tcBorders>
              <w:bottom w:val="single" w:sz="12" w:space="0" w:color="636466"/>
            </w:tcBorders>
            <w:vAlign w:val="center"/>
          </w:tcPr>
          <w:p>
            <w:pPr>
              <w:pStyle w:val="TableContents"/>
              <w:bidi w:val="0"/>
              <w:spacing w:before="0" w:after="283"/>
              <w:jc w:val="right"/>
              <w:rPr/>
            </w:pPr>
            <w:r>
              <w:rPr/>
              <w:t> </w:t>
            </w:r>
          </w:p>
        </w:tc>
        <w:tc>
          <w:tcPr>
            <w:tcW w:w="800" w:type="dxa"/>
            <w:tcBorders>
              <w:bottom w:val="single" w:sz="12" w:space="0" w:color="636466"/>
            </w:tcBorders>
            <w:vAlign w:val="center"/>
          </w:tcPr>
          <w:p>
            <w:pPr>
              <w:pStyle w:val="TableContents"/>
              <w:bidi w:val="0"/>
              <w:spacing w:before="0" w:after="283"/>
              <w:jc w:val="right"/>
              <w:rPr/>
            </w:pPr>
            <w:r>
              <w:rPr/>
              <w:t>$34,840</w:t>
            </w:r>
          </w:p>
        </w:tc>
        <w:tc>
          <w:tcPr>
            <w:tcW w:w="300" w:type="dxa"/>
            <w:tcBorders>
              <w:bottom w:val="single" w:sz="12" w:space="0" w:color="636466"/>
            </w:tcBorders>
            <w:vAlign w:val="center"/>
          </w:tcPr>
          <w:p>
            <w:pPr>
              <w:pStyle w:val="TableContents"/>
              <w:bidi w:val="0"/>
              <w:spacing w:before="0" w:after="283"/>
              <w:jc w:val="right"/>
              <w:rPr/>
            </w:pPr>
            <w:r>
              <w:rPr/>
              <w:t> </w:t>
            </w:r>
          </w:p>
        </w:tc>
        <w:tc>
          <w:tcPr>
            <w:tcW w:w="920" w:type="dxa"/>
            <w:tcBorders>
              <w:bottom w:val="single" w:sz="12" w:space="0" w:color="636466"/>
            </w:tcBorders>
            <w:vAlign w:val="center"/>
          </w:tcPr>
          <w:p>
            <w:pPr>
              <w:pStyle w:val="TableContents"/>
              <w:bidi w:val="0"/>
              <w:spacing w:before="0" w:after="283"/>
              <w:jc w:val="right"/>
              <w:rPr/>
            </w:pPr>
            <w:r>
              <w:rPr/>
              <w:t>$6,445</w:t>
            </w:r>
          </w:p>
        </w:tc>
        <w:tc>
          <w:tcPr>
            <w:tcW w:w="300" w:type="dxa"/>
            <w:tcBorders>
              <w:bottom w:val="single" w:sz="12" w:space="0" w:color="636466"/>
            </w:tcBorders>
            <w:vAlign w:val="center"/>
          </w:tcPr>
          <w:p>
            <w:pPr>
              <w:pStyle w:val="TableContents"/>
              <w:bidi w:val="0"/>
              <w:spacing w:before="0" w:after="283"/>
              <w:jc w:val="right"/>
              <w:rPr/>
            </w:pPr>
            <w:r>
              <w:rPr/>
              <w:t> </w:t>
            </w:r>
          </w:p>
        </w:tc>
        <w:tc>
          <w:tcPr>
            <w:tcW w:w="680" w:type="dxa"/>
            <w:tcBorders>
              <w:bottom w:val="single" w:sz="12" w:space="0" w:color="636466"/>
            </w:tcBorders>
            <w:vAlign w:val="center"/>
          </w:tcPr>
          <w:p>
            <w:pPr>
              <w:pStyle w:val="TableContents"/>
              <w:bidi w:val="0"/>
              <w:spacing w:before="0" w:after="283"/>
              <w:jc w:val="right"/>
              <w:rPr/>
            </w:pPr>
            <w:r>
              <w:rPr/>
              <w:t>$5,850</w:t>
            </w:r>
          </w:p>
        </w:tc>
        <w:tc>
          <w:tcPr>
            <w:tcW w:w="300" w:type="dxa"/>
            <w:tcBorders>
              <w:bottom w:val="single" w:sz="12" w:space="0" w:color="636466"/>
            </w:tcBorders>
            <w:vAlign w:val="center"/>
          </w:tcPr>
          <w:p>
            <w:pPr>
              <w:pStyle w:val="TableContents"/>
              <w:bidi w:val="0"/>
              <w:spacing w:before="0" w:after="283"/>
              <w:jc w:val="right"/>
              <w:rPr/>
            </w:pPr>
            <w:r>
              <w:rPr/>
              <w:t> </w:t>
            </w:r>
          </w:p>
        </w:tc>
        <w:tc>
          <w:tcPr>
            <w:tcW w:w="950" w:type="dxa"/>
            <w:tcBorders>
              <w:bottom w:val="single" w:sz="12" w:space="0" w:color="636466"/>
            </w:tcBorders>
            <w:vAlign w:val="center"/>
          </w:tcPr>
          <w:p>
            <w:pPr>
              <w:pStyle w:val="TableContents"/>
              <w:bidi w:val="0"/>
              <w:spacing w:before="0" w:after="283"/>
              <w:jc w:val="right"/>
              <w:rPr/>
            </w:pPr>
            <w:r>
              <w:rPr/>
              <w:t>$36</w:t>
            </w:r>
          </w:p>
        </w:tc>
        <w:tc>
          <w:tcPr>
            <w:tcW w:w="300" w:type="dxa"/>
            <w:tcBorders>
              <w:bottom w:val="single" w:sz="12" w:space="0" w:color="636466"/>
            </w:tcBorders>
            <w:vAlign w:val="center"/>
          </w:tcPr>
          <w:p>
            <w:pPr>
              <w:pStyle w:val="TableContents"/>
              <w:bidi w:val="0"/>
              <w:spacing w:before="0" w:after="283"/>
              <w:jc w:val="right"/>
              <w:rPr/>
            </w:pPr>
            <w:r>
              <w:rPr/>
              <w:t> </w:t>
            </w:r>
          </w:p>
        </w:tc>
        <w:tc>
          <w:tcPr>
            <w:tcW w:w="815" w:type="dxa"/>
            <w:tcBorders>
              <w:bottom w:val="single" w:sz="12" w:space="0" w:color="636466"/>
            </w:tcBorders>
            <w:shd w:fill="EDEDEE" w:val="clear"/>
            <w:vAlign w:val="center"/>
          </w:tcPr>
          <w:p>
            <w:pPr>
              <w:pStyle w:val="TableContents"/>
              <w:bidi w:val="0"/>
              <w:spacing w:before="0" w:after="283"/>
              <w:jc w:val="right"/>
              <w:rPr>
                <w:b/>
              </w:rPr>
            </w:pPr>
            <w:r>
              <w:rPr>
                <w:b/>
              </w:rPr>
              <w:t>$47,171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15"/>
        </w:rPr>
      </w:pPr>
      <w:r>
        <w:rPr>
          <w:rFonts w:ascii="Arial;Helvetica;Sans-Serif" w:hAnsi="Arial;Helvetica;Sans-Serif"/>
          <w:b/>
          <w:i w:val="false"/>
          <w:caps w:val="false"/>
          <w:smallCaps w:val="false"/>
          <w:sz w:val="15"/>
        </w:rPr>
        <w:t xml:space="preserve">88    RTX </w:t>
      </w:r>
      <w:r>
        <w:rPr>
          <w:rFonts w:ascii="Arial;Helvetica;Sans-Serif" w:hAnsi="Arial;Helvetica;Sans-Serif"/>
          <w:b w:val="false"/>
          <w:i w:val="false"/>
          <w:caps w:val="false"/>
          <w:smallCaps w:val="false"/>
          <w:sz w:val="15"/>
        </w:rPr>
        <w:t>2026 PROXY STATEMENT</w:t>
      </w:r>
    </w:p>
    <w:p>
      <w:pPr>
        <w:pStyle w:val="HorizontalLine"/>
        <w:pBdr>
          <w:bottom w:val="double" w:sz="2" w:space="0" w:color="808080"/>
        </w:pBdr>
        <w:bidi w:val="0"/>
        <w:spacing w:before="0" w:after="283"/>
        <w:jc w:val="left"/>
        <w:rPr/>
      </w:pPr>
      <w:r>
        <w:rPr/>
      </w:r>
    </w:p>
    <w:p>
      <w:pPr>
        <w:pStyle w:val="TextBody"/>
        <w:bidi w:val="0"/>
        <w:spacing w:before="200" w:after="200"/>
        <w:jc w:val="left"/>
        <w:rPr/>
      </w:pPr>
      <w:hyperlink w:anchor="toc">
        <w:r>
          <w:rPr>
            <w:rStyle w:val="InternetLink"/>
            <w:rFonts w:ascii="Arial;Helvetica;Sans-Serif" w:hAnsi="Arial;Helvetica;Sans-Serif"/>
            <w:b/>
            <w:i w:val="false"/>
            <w:caps w:val="false"/>
            <w:smallCaps w:val="false"/>
            <w:sz w:val="16"/>
          </w:rPr>
          <w:t>Table of Contents</w:t>
        </w:r>
      </w:hyperlink>
    </w:p>
    <w:p>
      <w:pPr>
        <w:pStyle w:val="TextBody"/>
        <w:bidi w:val="0"/>
        <w:spacing w:before="0" w:after="0"/>
        <w:ind w:left="0" w:right="0" w:hanging="0"/>
        <w:jc w:val="right"/>
        <w:rPr>
          <w:rFonts w:ascii="Arial;Helvetica;Sans-Serif" w:hAnsi="Arial;Helvetica;Sans-Serif"/>
          <w:b/>
          <w:i w:val="false"/>
          <w:caps w:val="false"/>
          <w:smallCaps w:val="false"/>
          <w:color w:val="C12E33"/>
          <w:sz w:val="15"/>
        </w:rPr>
      </w:pPr>
      <w:r>
        <w:rPr>
          <w:rFonts w:ascii="Arial;Helvetica;Sans-Serif" w:hAnsi="Arial;Helvetica;Sans-Serif"/>
          <w:b/>
          <w:i w:val="false"/>
          <w:caps w:val="false"/>
          <w:smallCaps w:val="false"/>
          <w:color w:val="C12E33"/>
          <w:sz w:val="15"/>
        </w:rPr>
        <w:t>PROPOSAL 3: APPOINTMENT OF PRICEWATERHOUSECOOPERS LLP TO SERVE AS INDEPENDENT AUDITOR FOR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 xml:space="preserve">Audit Fees. </w:t>
      </w:r>
      <w:r>
        <w:rPr>
          <w:rFonts w:ascii="Arial;Helvetica;Sans-Serif" w:hAnsi="Arial;Helvetica;Sans-Serif"/>
          <w:b w:val="false"/>
          <w:i w:val="false"/>
          <w:caps w:val="false"/>
          <w:smallCaps w:val="false"/>
          <w:sz w:val="20"/>
        </w:rPr>
        <w:t>Audit fees in both years consisted of fees for the audit of RTX’s consolidated annual financial statements and the effectiveness of its internal control over financial reporting, the review of interim financial statements in RTX’s quarterly reports on Form 10-Q and the performance of audits in accordance with statutory requirements. Audit fees for statutory audits were approximately $12,700,000 in 2025 and $11,700,000 in 2024. In both years, audit fees also included fees associated with various SEC filings.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 xml:space="preserve">Audit-Related Fees. </w:t>
      </w:r>
      <w:r>
        <w:rPr>
          <w:rFonts w:ascii="Arial;Helvetica;Sans-Serif" w:hAnsi="Arial;Helvetica;Sans-Serif"/>
          <w:b w:val="false"/>
          <w:i w:val="false"/>
          <w:caps w:val="false"/>
          <w:smallCaps w:val="false"/>
          <w:sz w:val="20"/>
        </w:rPr>
        <w:t>Audit-related fees in both years included fees for employee benefit plan audits, special reports pursuant to contractually required attestations and compliance assessments. Audit-related fees also included approximately $2,640,000 in 2024 for fees associated with carve-out audits.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 xml:space="preserve">Tax Fees. </w:t>
      </w:r>
      <w:r>
        <w:rPr>
          <w:rFonts w:ascii="Arial;Helvetica;Sans-Serif" w:hAnsi="Arial;Helvetica;Sans-Serif"/>
          <w:b w:val="false"/>
          <w:i w:val="false"/>
          <w:caps w:val="false"/>
          <w:smallCaps w:val="false"/>
          <w:sz w:val="20"/>
        </w:rPr>
        <w:t>Tax fees in 2025 and 2024 consisted of approximately $4,761,000 and $3,225,000, respectively, for U.S. and non-U.S. tax compliance, related planning and assistance with tax refund claims and expatriate tax services, and approximately $3,293,000 and $2,625,000, respectively, for tax advisory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 xml:space="preserve">All Other Fees. </w:t>
      </w:r>
      <w:r>
        <w:rPr>
          <w:rFonts w:ascii="Arial;Helvetica;Sans-Serif" w:hAnsi="Arial;Helvetica;Sans-Serif"/>
          <w:b w:val="false"/>
          <w:i w:val="false"/>
          <w:caps w:val="false"/>
          <w:smallCaps w:val="false"/>
          <w:sz w:val="20"/>
        </w:rPr>
        <w:t>All other fees in 2025 and 2024 consisted of fees for subscriptions to a benchmarking tool and licenses to technical accounting research software.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HOW DOES THE COMMITTEE MONITOR AND CONTROL NON-AUDIT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Audit Committee has established procedures requiring its review and advance approval of all engagements for non-audit services provided by PwC. The Committee Chair has the delegated authority to pre-approve non-audit services with certain limitations and must notify the Committee at its next meeting of each service so approved. The Committee approved all of PwC’s engagements and fees for 2025 and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Committee reviews with PwC whether non-audit services to be provided are compatible with maintaining the firm’s independence. In addition, the Committee monitors the fees paid to PwC to ensure that fees paid in any year to PwC for non-audit services do not exceed the fees paid for audit and audit-related services. Non-audit services consist of those described above, as included in the tax fees and all other fees categories.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WHY SHOULD I VOTE FOR THIS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Through its review process, the Audit Committee determined that PwC has acquired extensive knowledge of the Company’s operations, performance and development through its previous service as the independent auditor for RTX. The Audit Committee and the Board of Directors believe that the continued retention of PwC as our independent auditor is in the best interest of the Company and our shareowners.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25"/>
        <w:gridCol w:w="300"/>
        <w:gridCol w:w="9080"/>
      </w:tblGrid>
      <w:tr>
        <w:trPr/>
        <w:tc>
          <w:tcPr>
            <w:tcW w:w="825" w:type="dxa"/>
            <w:tcBorders/>
            <w:shd w:fill="EDEDEE" w:val="clear"/>
            <w:vAlign w:val="center"/>
          </w:tcPr>
          <w:p>
            <w:pPr>
              <w:pStyle w:val="TableContents"/>
              <w:bidi w:val="0"/>
              <w:spacing w:before="0" w:after="283"/>
              <w:jc w:val="left"/>
              <w:rPr/>
            </w:pPr>
            <w:r>
              <w:rPr/>
              <w:drawing>
                <wp:inline distT="0" distB="0" distL="0" distR="0">
                  <wp:extent cx="514350" cy="476250"/>
                  <wp:effectExtent l="0" t="0" r="0" b="0"/>
                  <wp:docPr id="366" name="Image2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6" name="Image241" descr=""/>
                          <pic:cNvPicPr>
                            <a:picLocks noChangeAspect="1" noChangeArrowheads="1"/>
                          </pic:cNvPicPr>
                        </pic:nvPicPr>
                        <pic:blipFill>
                          <a:blip r:embed="rId297"/>
                          <a:stretch>
                            <a:fillRect/>
                          </a:stretch>
                        </pic:blipFill>
                        <pic:spPr bwMode="auto">
                          <a:xfrm>
                            <a:off x="0" y="0"/>
                            <a:ext cx="514350" cy="476250"/>
                          </a:xfrm>
                          <a:prstGeom prst="rect">
                            <a:avLst/>
                          </a:prstGeom>
                        </pic:spPr>
                      </pic:pic>
                    </a:graphicData>
                  </a:graphic>
                </wp:inline>
              </w:drawing>
            </w:r>
          </w:p>
        </w:tc>
        <w:tc>
          <w:tcPr>
            <w:tcW w:w="300" w:type="dxa"/>
            <w:tcBorders/>
            <w:shd w:fill="EDEDEE" w:val="clear"/>
            <w:vAlign w:val="center"/>
          </w:tcPr>
          <w:p>
            <w:pPr>
              <w:pStyle w:val="TableContents"/>
              <w:bidi w:val="0"/>
              <w:spacing w:before="0" w:after="283"/>
              <w:jc w:val="left"/>
              <w:rPr/>
            </w:pPr>
            <w:r>
              <w:rPr/>
              <w:t>     </w:t>
            </w:r>
          </w:p>
        </w:tc>
        <w:tc>
          <w:tcPr>
            <w:tcW w:w="9080" w:type="dxa"/>
            <w:tcBorders/>
            <w:shd w:fill="EDEDEE" w:val="clear"/>
            <w:vAlign w:val="center"/>
          </w:tcPr>
          <w:p>
            <w:pPr>
              <w:pStyle w:val="TableContents"/>
              <w:bidi w:val="0"/>
              <w:spacing w:before="0" w:after="283"/>
              <w:jc w:val="left"/>
              <w:rPr>
                <w:b/>
              </w:rPr>
            </w:pPr>
            <w:r>
              <w:rPr>
                <w:b/>
              </w:rPr>
              <w:t xml:space="preserve">The Board of Directors unanimously recommends a vote </w:t>
            </w:r>
            <w:r>
              <w:rPr>
                <w:b/>
                <w:color w:val="C12E33"/>
              </w:rPr>
              <w:t xml:space="preserve">FOR </w:t>
            </w:r>
            <w:r>
              <w:rPr>
                <w:b/>
              </w:rPr>
              <w:t>the appointment of PwC to serve as the Company’s Independent Auditor for 2026.</w:t>
            </w:r>
          </w:p>
        </w:tc>
      </w:tr>
    </w:tbl>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Arial;Helvetica;Sans-Serif" w:hAnsi="Arial;Helvetica;Sans-Serif"/>
          <w:b w:val="false"/>
          <w:i w:val="false"/>
          <w:caps w:val="false"/>
          <w:smallCaps w:val="false"/>
          <w:sz w:val="15"/>
        </w:rPr>
      </w:pPr>
      <w:r>
        <w:rPr>
          <w:rFonts w:ascii="Arial;Helvetica;Sans-Serif" w:hAnsi="Arial;Helvetica;Sans-Serif"/>
          <w:b/>
          <w:i w:val="false"/>
          <w:caps w:val="false"/>
          <w:smallCaps w:val="false"/>
          <w:sz w:val="15"/>
        </w:rPr>
        <w:t xml:space="preserve">RTX </w:t>
      </w:r>
      <w:r>
        <w:rPr>
          <w:rFonts w:ascii="Arial;Helvetica;Sans-Serif" w:hAnsi="Arial;Helvetica;Sans-Serif"/>
          <w:b w:val="false"/>
          <w:i w:val="false"/>
          <w:caps w:val="false"/>
          <w:smallCaps w:val="false"/>
          <w:sz w:val="15"/>
        </w:rPr>
        <w:t>2026 PROXY STATEMENT    </w:t>
      </w:r>
      <w:r>
        <w:rPr>
          <w:rFonts w:ascii="Arial;Helvetica;Sans-Serif" w:hAnsi="Arial;Helvetica;Sans-Serif"/>
          <w:b/>
          <w:i w:val="false"/>
          <w:caps w:val="false"/>
          <w:smallCaps w:val="false"/>
          <w:sz w:val="15"/>
        </w:rPr>
        <w:t>89</w:t>
      </w:r>
    </w:p>
    <w:p>
      <w:pPr>
        <w:pStyle w:val="HorizontalLine"/>
        <w:pBdr>
          <w:bottom w:val="double" w:sz="2" w:space="0" w:color="808080"/>
        </w:pBdr>
        <w:bidi w:val="0"/>
        <w:spacing w:before="0" w:after="283"/>
        <w:jc w:val="left"/>
        <w:rPr/>
      </w:pPr>
      <w:r>
        <w:rPr/>
      </w:r>
    </w:p>
    <w:p>
      <w:pPr>
        <w:pStyle w:val="TextBody"/>
        <w:bidi w:val="0"/>
        <w:spacing w:before="200" w:after="200"/>
        <w:jc w:val="left"/>
        <w:rPr/>
      </w:pPr>
      <w:hyperlink w:anchor="toc">
        <w:r>
          <w:rPr>
            <w:rStyle w:val="InternetLink"/>
            <w:rFonts w:ascii="Arial;Helvetica;Sans-Serif" w:hAnsi="Arial;Helvetica;Sans-Serif"/>
            <w:b/>
            <w:i w:val="false"/>
            <w:caps w:val="false"/>
            <w:smallCaps w:val="false"/>
            <w:sz w:val="16"/>
          </w:rPr>
          <w:t>Table of Contents</w:t>
        </w:r>
      </w:hyperlink>
    </w:p>
    <w:p>
      <w:pPr>
        <w:pStyle w:val="TextBody"/>
        <w:bidi w:val="0"/>
        <w:spacing w:before="0" w:after="0"/>
        <w:ind w:left="0" w:right="0" w:hanging="0"/>
        <w:jc w:val="left"/>
        <w:rPr>
          <w:rFonts w:ascii="Arial;Helvetica;Sans-Serif" w:hAnsi="Arial;Helvetica;Sans-Serif"/>
          <w:b/>
          <w:i w:val="false"/>
          <w:caps w:val="false"/>
          <w:smallCaps w:val="false"/>
          <w:sz w:val="56"/>
        </w:rPr>
      </w:pPr>
      <w:bookmarkStart w:id="262" w:name="rtx014050a023"/>
      <w:bookmarkEnd w:id="262"/>
      <w:r>
        <w:rPr>
          <w:rFonts w:ascii="Arial;Helvetica;Sans-Serif" w:hAnsi="Arial;Helvetica;Sans-Serif"/>
          <w:b/>
          <w:i w:val="false"/>
          <w:caps w:val="false"/>
          <w:smallCaps w:val="false"/>
          <w:sz w:val="56"/>
        </w:rPr>
        <w:t>Frequently Asked Questions</w:t>
        <w:br/>
        <w:t>About the Annual Meeting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00" w:type="dxa"/>
          <w:left w:w="0" w:type="dxa"/>
          <w:bottom w:w="0" w:type="dxa"/>
          <w:right w:w="0" w:type="dxa"/>
        </w:tblCellMar>
      </w:tblPr>
      <w:tblGrid>
        <w:gridCol w:w="1985"/>
        <w:gridCol w:w="300"/>
        <w:gridCol w:w="7920"/>
      </w:tblGrid>
      <w:tr>
        <w:trPr/>
        <w:tc>
          <w:tcPr>
            <w:tcW w:w="1985" w:type="dxa"/>
            <w:tcBorders>
              <w:top w:val="single" w:sz="12" w:space="0" w:color="C12E33"/>
            </w:tcBorders>
            <w:vAlign w:val="center"/>
          </w:tcPr>
          <w:p>
            <w:pPr>
              <w:pStyle w:val="TableContents"/>
              <w:bidi w:val="0"/>
              <w:spacing w:before="0" w:after="283"/>
              <w:jc w:val="left"/>
              <w:rPr>
                <w:b/>
                <w:color w:val="C12E33"/>
                <w:sz w:val="44"/>
              </w:rPr>
            </w:pPr>
            <w:r>
              <w:rPr>
                <w:b/>
                <w:color w:val="C12E33"/>
                <w:sz w:val="44"/>
              </w:rPr>
              <w:t>Your vote</w:t>
              <w:br/>
              <w:t>is very</w:t>
              <w:br/>
              <w:t>important!</w:t>
            </w:r>
          </w:p>
        </w:tc>
        <w:tc>
          <w:tcPr>
            <w:tcW w:w="300" w:type="dxa"/>
            <w:tcBorders>
              <w:top w:val="single" w:sz="12" w:space="0" w:color="C12E33"/>
            </w:tcBorders>
            <w:tcMar>
              <w:top w:w="120" w:type="dxa"/>
            </w:tcMar>
            <w:vAlign w:val="center"/>
          </w:tcPr>
          <w:p>
            <w:pPr>
              <w:pStyle w:val="TableContents"/>
              <w:bidi w:val="0"/>
              <w:spacing w:before="0" w:after="283"/>
              <w:jc w:val="left"/>
              <w:rPr/>
            </w:pPr>
            <w:r>
              <w:rPr/>
              <w:t>     </w:t>
            </w:r>
          </w:p>
        </w:tc>
        <w:tc>
          <w:tcPr>
            <w:tcW w:w="7920" w:type="dxa"/>
            <w:tcBorders>
              <w:top w:val="single" w:sz="12" w:space="0" w:color="C12E33"/>
            </w:tcBorders>
            <w:vAlign w:val="center"/>
          </w:tcPr>
          <w:p>
            <w:pPr>
              <w:pStyle w:val="TableContents"/>
              <w:bidi w:val="0"/>
              <w:spacing w:before="0" w:after="0"/>
              <w:ind w:left="0" w:right="0" w:hanging="0"/>
              <w:jc w:val="left"/>
              <w:rPr>
                <w:b/>
                <w:sz w:val="22"/>
              </w:rPr>
            </w:pPr>
            <w:r>
              <w:rPr>
                <w:b/>
                <w:sz w:val="22"/>
              </w:rPr>
              <w:t>WHY AM I BEING PROVIDED WITH THESE PROXY MATERIALS?</w:t>
            </w:r>
          </w:p>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We are providing these proxy materials to you in connection with the solicitation by the Board of Directors of RTX Corporation of proxies to be voted at our 2026 Annual Meeting of Shareowners and at any postponed or reconvened meeting.</w:t>
            </w:r>
          </w:p>
          <w:p>
            <w:pPr>
              <w:pStyle w:val="TableContents"/>
              <w:bidi w:val="0"/>
              <w:spacing w:before="0" w:after="0"/>
              <w:ind w:left="0" w:right="0" w:hanging="0"/>
              <w:jc w:val="left"/>
              <w:rPr/>
            </w:pPr>
            <w:r>
              <w:rPr/>
              <w:t> </w:t>
            </w:r>
          </w:p>
          <w:p>
            <w:pPr>
              <w:pStyle w:val="TableContents"/>
              <w:bidi w:val="0"/>
              <w:spacing w:before="0" w:after="0"/>
              <w:ind w:left="0" w:right="0" w:hanging="0"/>
              <w:jc w:val="left"/>
              <w:rPr>
                <w:b/>
                <w:sz w:val="22"/>
              </w:rPr>
            </w:pPr>
            <w:r>
              <w:rPr>
                <w:b/>
                <w:sz w:val="22"/>
              </w:rPr>
              <w:t>WILL THE ANNUAL MEETING ALSO BE HELD IN PERSON OR ONLY VIRTUALLY?</w:t>
            </w:r>
          </w:p>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As noted in the Notice at the beginning of this Proxy Statement, the 2026 Annual Meeting will be in a virtual format only.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WHO CAN ATTEND THE ANNUAL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Shareowners holding RTX stock as of the close of business on the record date, March 3, 2026, are entitled to attend the Annual Meeting to be held virtually via </w:t>
      </w:r>
      <w:r>
        <w:rPr>
          <w:rFonts w:ascii="Arial;Helvetica;Sans-Serif" w:hAnsi="Arial;Helvetica;Sans-Serif"/>
          <w:b w:val="false"/>
          <w:i w:val="false"/>
          <w:caps w:val="false"/>
          <w:smallCaps w:val="false"/>
          <w:color w:val="C12E33"/>
          <w:sz w:val="20"/>
          <w:u w:val="single"/>
        </w:rPr>
        <w:t>www.virtualshareholdermeeting.com/RTX2026</w:t>
      </w:r>
      <w:r>
        <w:rPr>
          <w:rFonts w:ascii="Arial;Helvetica;Sans-Serif" w:hAnsi="Arial;Helvetica;Sans-Serif"/>
          <w:b w:val="false"/>
          <w:i w:val="false"/>
          <w:caps w:val="false"/>
          <w:smallCaps w:val="false"/>
          <w:sz w:val="20"/>
        </w:rPr>
        <w:t>. To be admitted to the Annual Meeting via the website, shareowners must enter the 16-digit voting control number found on their proxy card, voting instruction form, notice of internet availability of proxy materials or email notification.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WHO CAN VOTE AT THE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Shareowners of record as of March 3, 2026, and shareowners holding a proxy for the 2026 Annual Meeting provided by their bank, broker or nominee may vote during the Annual Meeting to be held virtually by following the instructions available on the meeting website. If you vote prior to the meeting by using the internet, toll-free telephone number, proxy card or voting instruction form, you do not need to take any action during the meeting unless you wish to change your vote. A list of shareowners of record will be available at </w:t>
      </w:r>
      <w:r>
        <w:rPr>
          <w:rFonts w:ascii="Arial;Helvetica;Sans-Serif" w:hAnsi="Arial;Helvetica;Sans-Serif"/>
          <w:b w:val="false"/>
          <w:i w:val="false"/>
          <w:caps w:val="false"/>
          <w:smallCaps w:val="false"/>
          <w:color w:val="C12E33"/>
          <w:sz w:val="20"/>
          <w:u w:val="single"/>
        </w:rPr>
        <w:t>www.virtualshareholdermeeting.com/RTX2026</w:t>
      </w:r>
      <w:r>
        <w:rPr>
          <w:rFonts w:ascii="Arial;Helvetica;Sans-Serif" w:hAnsi="Arial;Helvetica;Sans-Serif"/>
          <w:b w:val="false"/>
          <w:i w:val="false"/>
          <w:caps w:val="false"/>
          <w:smallCaps w:val="false"/>
          <w:sz w:val="20"/>
        </w:rPr>
        <w:t> during the Annual Meeting for inspection by shareowners for any legally valid purpose related to the Annual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WHEN IS THE ANNUAL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will hold our Annual Meeting on April 30, 2026, at 8:00 a.m. Eastern time. If you plan to attend the Annual Meeting, you should log into the website at </w:t>
      </w:r>
      <w:r>
        <w:rPr>
          <w:rFonts w:ascii="Arial;Helvetica;Sans-Serif" w:hAnsi="Arial;Helvetica;Sans-Serif"/>
          <w:b w:val="false"/>
          <w:i w:val="false"/>
          <w:caps w:val="false"/>
          <w:smallCaps w:val="false"/>
          <w:color w:val="C12E33"/>
          <w:sz w:val="20"/>
          <w:u w:val="single"/>
        </w:rPr>
        <w:t>www.virtualshareholdermeeting.com/RTX2026</w:t>
      </w:r>
      <w:r>
        <w:rPr>
          <w:rFonts w:ascii="Arial;Helvetica;Sans-Serif" w:hAnsi="Arial;Helvetica;Sans-Serif"/>
          <w:b w:val="false"/>
          <w:i w:val="false"/>
          <w:caps w:val="false"/>
          <w:smallCaps w:val="false"/>
          <w:sz w:val="20"/>
        </w:rPr>
        <w:t> approximately fifteen minutes before the meeting is scheduled to begin.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WILL THERE BE AN OPPORTUNITY TO ASK QUESTIONS BEFORE OR DURING THE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Time will be allotted after the adjournment of the formal meeting for a Question and Answer period. Shareowners will be able to submit questions relevant to the business of the meeting either in advance of the Annual Meeting via </w:t>
      </w:r>
      <w:r>
        <w:rPr>
          <w:rFonts w:ascii="Arial;Helvetica;Sans-Serif" w:hAnsi="Arial;Helvetica;Sans-Serif"/>
          <w:b w:val="false"/>
          <w:i w:val="false"/>
          <w:caps w:val="false"/>
          <w:smallCaps w:val="false"/>
          <w:color w:val="C12E33"/>
          <w:sz w:val="20"/>
          <w:u w:val="single"/>
        </w:rPr>
        <w:t>www.proxyvote.com</w:t>
      </w:r>
      <w:r>
        <w:rPr>
          <w:rFonts w:ascii="Arial;Helvetica;Sans-Serif" w:hAnsi="Arial;Helvetica;Sans-Serif"/>
          <w:b w:val="false"/>
          <w:i w:val="false"/>
          <w:caps w:val="false"/>
          <w:smallCaps w:val="false"/>
          <w:sz w:val="20"/>
        </w:rPr>
        <w:t xml:space="preserve"> or during the meeting via </w:t>
      </w:r>
      <w:r>
        <w:rPr>
          <w:rFonts w:ascii="Arial;Helvetica;Sans-Serif" w:hAnsi="Arial;Helvetica;Sans-Serif"/>
          <w:b w:val="false"/>
          <w:i w:val="false"/>
          <w:caps w:val="false"/>
          <w:smallCaps w:val="false"/>
          <w:color w:val="C12E33"/>
          <w:sz w:val="20"/>
          <w:u w:val="single"/>
        </w:rPr>
        <w:t>www.virtualshareholdermeeting.com/RTX2026</w:t>
      </w:r>
      <w:r>
        <w:rPr>
          <w:rFonts w:ascii="Arial;Helvetica;Sans-Serif" w:hAnsi="Arial;Helvetica;Sans-Serif"/>
          <w:b w:val="false"/>
          <w:i w:val="false"/>
          <w:caps w:val="false"/>
          <w:smallCaps w:val="false"/>
          <w:sz w:val="20"/>
        </w:rPr>
        <w:t xml:space="preserve"> by typing the question into the indicated question box and clicking “Submit.” Time may not permit the answering of every question submitted. Questions relevant to the business of the meeting to which a response is not provided during the Question and Answer period will be addressed on </w:t>
      </w:r>
      <w:r>
        <w:rPr>
          <w:rFonts w:ascii="Arial;Helvetica;Sans-Serif" w:hAnsi="Arial;Helvetica;Sans-Serif"/>
          <w:b w:val="false"/>
          <w:i w:val="false"/>
          <w:caps w:val="false"/>
          <w:smallCaps w:val="false"/>
          <w:color w:val="C12E33"/>
          <w:sz w:val="20"/>
          <w:u w:val="single"/>
        </w:rPr>
        <w:t>www.rtx.com/Investors</w:t>
      </w:r>
      <w:r>
        <w:rPr>
          <w:rFonts w:ascii="Arial;Helvetica;Sans-Serif" w:hAnsi="Arial;Helvetica;Sans-Serif"/>
          <w:b w:val="false"/>
          <w:i w:val="false"/>
          <w:caps w:val="false"/>
          <w:smallCaps w:val="false"/>
          <w:sz w:val="20"/>
        </w:rPr>
        <w:t xml:space="preserve"> following the meeting. To ask questions, you will need to have your voting control number found on your proxy card, voting instruction form, notice of internet availability of proxy materials or email notification.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15"/>
        </w:rPr>
      </w:pPr>
      <w:r>
        <w:rPr>
          <w:rFonts w:ascii="Arial;Helvetica;Sans-Serif" w:hAnsi="Arial;Helvetica;Sans-Serif"/>
          <w:b/>
          <w:i w:val="false"/>
          <w:caps w:val="false"/>
          <w:smallCaps w:val="false"/>
          <w:sz w:val="15"/>
        </w:rPr>
        <w:t xml:space="preserve">90    RTX </w:t>
      </w:r>
      <w:r>
        <w:rPr>
          <w:rFonts w:ascii="Arial;Helvetica;Sans-Serif" w:hAnsi="Arial;Helvetica;Sans-Serif"/>
          <w:b w:val="false"/>
          <w:i w:val="false"/>
          <w:caps w:val="false"/>
          <w:smallCaps w:val="false"/>
          <w:sz w:val="15"/>
        </w:rPr>
        <w:t>2026 PROXY STATEMENT</w:t>
      </w:r>
    </w:p>
    <w:p>
      <w:pPr>
        <w:pStyle w:val="HorizontalLine"/>
        <w:pBdr>
          <w:bottom w:val="double" w:sz="2" w:space="0" w:color="808080"/>
        </w:pBdr>
        <w:bidi w:val="0"/>
        <w:spacing w:before="0" w:after="283"/>
        <w:jc w:val="left"/>
        <w:rPr/>
      </w:pPr>
      <w:r>
        <w:rPr/>
      </w:r>
    </w:p>
    <w:p>
      <w:pPr>
        <w:pStyle w:val="TextBody"/>
        <w:bidi w:val="0"/>
        <w:spacing w:before="200" w:after="200"/>
        <w:jc w:val="left"/>
        <w:rPr/>
      </w:pPr>
      <w:hyperlink w:anchor="toc">
        <w:r>
          <w:rPr>
            <w:rStyle w:val="InternetLink"/>
            <w:rFonts w:ascii="Arial;Helvetica;Sans-Serif" w:hAnsi="Arial;Helvetica;Sans-Serif"/>
            <w:b/>
            <w:i w:val="false"/>
            <w:caps w:val="false"/>
            <w:smallCaps w:val="false"/>
            <w:sz w:val="16"/>
          </w:rPr>
          <w:t>Table of Contents</w:t>
        </w:r>
      </w:hyperlink>
    </w:p>
    <w:p>
      <w:pPr>
        <w:pStyle w:val="TextBody"/>
        <w:bidi w:val="0"/>
        <w:spacing w:before="0" w:after="0"/>
        <w:ind w:left="0" w:right="0" w:hanging="0"/>
        <w:jc w:val="right"/>
        <w:rPr>
          <w:rFonts w:ascii="Arial;Helvetica;Sans-Serif" w:hAnsi="Arial;Helvetica;Sans-Serif"/>
          <w:b/>
          <w:i w:val="false"/>
          <w:caps w:val="false"/>
          <w:smallCaps w:val="false"/>
          <w:color w:val="C12E33"/>
          <w:sz w:val="15"/>
        </w:rPr>
      </w:pPr>
      <w:r>
        <w:rPr>
          <w:rFonts w:ascii="Arial;Helvetica;Sans-Serif" w:hAnsi="Arial;Helvetica;Sans-Serif"/>
          <w:b/>
          <w:i w:val="false"/>
          <w:caps w:val="false"/>
          <w:smallCaps w:val="false"/>
          <w:color w:val="C12E33"/>
          <w:sz w:val="15"/>
        </w:rPr>
        <w:t>FREQUENTLY ASKED QUESTIONS ABOUT THE ANNUAL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WHAT IF I HAVE TROUBLE LOGGING INTO THE ANNUAL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If you encounter any difficulties accessing the virtual meeting during the check-in or meeting time, please call the technical support number that will be posted on the Annual Meeting login page.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DOES THE COMPANY HAVE A POLICY ABOUT DIRECTORS’ ATTENDANCE AT THE ANNUAL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Company does not have a formal policy requiring that directors attend the Annual Meeting, but directors are encouraged to do so unless there is an unavoidable scheduling conflict. All directors at the time attended the 2025 Annual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WHAT IS THE QUORUM REQUIREMENT FOR THE ANNUAL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Under the Company’s Bylaws, a quorum is required to transact business at the Annual Meeting. The holders of a majority of the outstanding shares of RTX Common Stock as of the record date, present either virtually in person or by proxy and entitled to vote, will constitute a quorum. As of the record date, March 3, 2026, 1,345,974,220 shares of Common Stock were issued and outstanding. Abstentions and “broker non-votes” are counted as present and entitled to vote for purposes of determining a quorum.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HOW DO I VOTE?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Registered Shareowners: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00" w:type="dxa"/>
          <w:left w:w="0" w:type="dxa"/>
          <w:bottom w:w="200" w:type="dxa"/>
          <w:right w:w="0" w:type="dxa"/>
        </w:tblCellMar>
      </w:tblPr>
      <w:tblGrid>
        <w:gridCol w:w="735"/>
        <w:gridCol w:w="4590"/>
        <w:gridCol w:w="4880"/>
      </w:tblGrid>
      <w:tr>
        <w:trPr/>
        <w:tc>
          <w:tcPr>
            <w:tcW w:w="735" w:type="dxa"/>
            <w:tcBorders>
              <w:top w:val="single" w:sz="2" w:space="0" w:color="636466"/>
              <w:bottom w:val="single" w:sz="2" w:space="0" w:color="636466"/>
            </w:tcBorders>
            <w:vAlign w:val="center"/>
          </w:tcPr>
          <w:p>
            <w:pPr>
              <w:pStyle w:val="TableContents"/>
              <w:bidi w:val="0"/>
              <w:spacing w:before="0" w:after="283"/>
              <w:jc w:val="center"/>
              <w:rPr/>
            </w:pPr>
            <w:r>
              <w:rPr/>
              <w:drawing>
                <wp:inline distT="0" distB="0" distL="0" distR="0">
                  <wp:extent cx="419100" cy="271145"/>
                  <wp:effectExtent l="0" t="0" r="0" b="0"/>
                  <wp:docPr id="367" name="Image2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7" name="Image242" descr=""/>
                          <pic:cNvPicPr>
                            <a:picLocks noChangeAspect="1" noChangeArrowheads="1"/>
                          </pic:cNvPicPr>
                        </pic:nvPicPr>
                        <pic:blipFill>
                          <a:blip r:embed="rId298"/>
                          <a:stretch>
                            <a:fillRect/>
                          </a:stretch>
                        </pic:blipFill>
                        <pic:spPr bwMode="auto">
                          <a:xfrm>
                            <a:off x="0" y="0"/>
                            <a:ext cx="419100" cy="271145"/>
                          </a:xfrm>
                          <a:prstGeom prst="rect">
                            <a:avLst/>
                          </a:prstGeom>
                        </pic:spPr>
                      </pic:pic>
                    </a:graphicData>
                  </a:graphic>
                </wp:inline>
              </w:drawing>
            </w:r>
          </w:p>
        </w:tc>
        <w:tc>
          <w:tcPr>
            <w:tcW w:w="4590" w:type="dxa"/>
            <w:tcBorders>
              <w:top w:val="single" w:sz="2" w:space="0" w:color="636466"/>
              <w:bottom w:val="single" w:sz="2" w:space="0" w:color="636466"/>
            </w:tcBorders>
            <w:vAlign w:val="center"/>
          </w:tcPr>
          <w:p>
            <w:pPr>
              <w:pStyle w:val="TableContents"/>
              <w:bidi w:val="0"/>
              <w:spacing w:before="0" w:after="0"/>
              <w:ind w:left="0" w:right="0" w:hanging="0"/>
              <w:jc w:val="left"/>
              <w:rPr>
                <w:b/>
                <w:color w:val="C12E33"/>
              </w:rPr>
            </w:pPr>
            <w:r>
              <w:rPr>
                <w:b/>
                <w:color w:val="C12E33"/>
              </w:rPr>
              <w:t>Internet</w:t>
            </w:r>
          </w:p>
          <w:p>
            <w:pPr>
              <w:pStyle w:val="TableContents"/>
              <w:bidi w:val="0"/>
              <w:spacing w:before="0" w:after="0"/>
              <w:ind w:left="0" w:right="0" w:hanging="0"/>
              <w:jc w:val="left"/>
              <w:rPr/>
            </w:pPr>
            <w:r>
              <w:rPr/>
              <w:t>You can vote online at: </w:t>
            </w:r>
            <w:r>
              <w:rPr>
                <w:color w:val="C12E33"/>
                <w:u w:val="single"/>
              </w:rPr>
              <w:t>www.proxyvote.com</w:t>
            </w:r>
            <w:r>
              <w:rPr/>
              <w:t>.</w:t>
            </w:r>
          </w:p>
        </w:tc>
        <w:tc>
          <w:tcPr>
            <w:tcW w:w="4880" w:type="dxa"/>
            <w:vMerge w:val="restart"/>
            <w:tcBorders>
              <w:top w:val="single" w:sz="2" w:space="0" w:color="636466"/>
              <w:left w:val="single" w:sz="2" w:space="0" w:color="636466"/>
              <w:bottom w:val="single" w:sz="2" w:space="0" w:color="636466"/>
            </w:tcBorders>
            <w:tcMar>
              <w:left w:w="200" w:type="dxa"/>
            </w:tcMar>
            <w:vAlign w:val="center"/>
          </w:tcPr>
          <w:p>
            <w:pPr>
              <w:pStyle w:val="TableContents"/>
              <w:bidi w:val="0"/>
              <w:spacing w:before="0" w:after="0"/>
              <w:ind w:left="0" w:right="0" w:hanging="0"/>
              <w:jc w:val="left"/>
              <w:rPr/>
            </w:pPr>
            <w:r>
              <w:rPr/>
              <w:t>Internet and telephone voting facilities will be available 24 hours a day until 11:59 p.m. Eastern time on April 29, 2026 (except for participants in a company savings plan as described on page 92 and beneficial holders who must vote by the time specified in their voting instruction form).</w:t>
            </w:r>
          </w:p>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To authenticate your internet or telephone vote, you will need to enter your confidential voter control number as shown on the voting materials you received. If you vote online or by telephone, you do not need to return a proxy card or voting instruction form.</w:t>
            </w:r>
          </w:p>
        </w:tc>
      </w:tr>
      <w:tr>
        <w:trPr/>
        <w:tc>
          <w:tcPr>
            <w:tcW w:w="735" w:type="dxa"/>
            <w:tcBorders>
              <w:bottom w:val="single" w:sz="2" w:space="0" w:color="636466"/>
            </w:tcBorders>
            <w:tcMar>
              <w:top w:w="0" w:type="dxa"/>
            </w:tcMar>
            <w:vAlign w:val="center"/>
          </w:tcPr>
          <w:p>
            <w:pPr>
              <w:pStyle w:val="TableContents"/>
              <w:bidi w:val="0"/>
              <w:spacing w:before="0" w:after="283"/>
              <w:jc w:val="left"/>
              <w:rPr/>
            </w:pPr>
            <w:r>
              <w:rPr/>
              <w:t> </w:t>
            </w:r>
            <w:r>
              <w:rPr/>
              <w:drawing>
                <wp:inline distT="0" distB="0" distL="0" distR="0">
                  <wp:extent cx="419100" cy="393065"/>
                  <wp:effectExtent l="0" t="0" r="0" b="0"/>
                  <wp:docPr id="368" name="Image2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8" name="Image243" descr=""/>
                          <pic:cNvPicPr>
                            <a:picLocks noChangeAspect="1" noChangeArrowheads="1"/>
                          </pic:cNvPicPr>
                        </pic:nvPicPr>
                        <pic:blipFill>
                          <a:blip r:embed="rId299"/>
                          <a:stretch>
                            <a:fillRect/>
                          </a:stretch>
                        </pic:blipFill>
                        <pic:spPr bwMode="auto">
                          <a:xfrm>
                            <a:off x="0" y="0"/>
                            <a:ext cx="419100" cy="393065"/>
                          </a:xfrm>
                          <a:prstGeom prst="rect">
                            <a:avLst/>
                          </a:prstGeom>
                        </pic:spPr>
                      </pic:pic>
                    </a:graphicData>
                  </a:graphic>
                </wp:inline>
              </w:drawing>
            </w:r>
          </w:p>
        </w:tc>
        <w:tc>
          <w:tcPr>
            <w:tcW w:w="4590" w:type="dxa"/>
            <w:tcBorders>
              <w:bottom w:val="single" w:sz="2" w:space="0" w:color="636466"/>
            </w:tcBorders>
            <w:tcMar>
              <w:top w:w="0" w:type="dxa"/>
            </w:tcMar>
            <w:vAlign w:val="center"/>
          </w:tcPr>
          <w:p>
            <w:pPr>
              <w:pStyle w:val="TableContents"/>
              <w:bidi w:val="0"/>
              <w:spacing w:before="0" w:after="0"/>
              <w:ind w:left="0" w:right="0" w:hanging="0"/>
              <w:jc w:val="left"/>
              <w:rPr>
                <w:b/>
                <w:color w:val="C12E33"/>
              </w:rPr>
            </w:pPr>
            <w:r>
              <w:rPr>
                <w:b/>
                <w:color w:val="C12E33"/>
              </w:rPr>
              <w:t>Telephone</w:t>
            </w:r>
          </w:p>
          <w:p>
            <w:pPr>
              <w:pStyle w:val="TableContents"/>
              <w:bidi w:val="0"/>
              <w:spacing w:before="0" w:after="0"/>
              <w:ind w:left="0" w:right="0" w:hanging="0"/>
              <w:jc w:val="left"/>
              <w:rPr/>
            </w:pPr>
            <w:r>
              <w:rPr/>
              <w:t>In the United States or Canada, you can vote by telephone. Easy-to-follow voice prompts allow you to vote your shares and confirm that your instructions have been properly recorded.</w:t>
            </w:r>
          </w:p>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You can find the telephone number on your proxy card, voting instruction form or other communications.</w:t>
            </w:r>
          </w:p>
          <w:p>
            <w:pPr>
              <w:pStyle w:val="TableContents"/>
              <w:bidi w:val="0"/>
              <w:spacing w:before="0" w:after="0"/>
              <w:ind w:left="0" w:right="0" w:hanging="0"/>
              <w:jc w:val="left"/>
              <w:rPr/>
            </w:pPr>
            <w:r>
              <w:rPr/>
              <w:t> </w:t>
            </w:r>
          </w:p>
        </w:tc>
        <w:tc>
          <w:tcPr>
            <w:tcW w:w="4880" w:type="dxa"/>
            <w:vMerge w:val="continue"/>
            <w:tcBorders>
              <w:top w:val="single" w:sz="2" w:space="0" w:color="636466"/>
              <w:left w:val="single" w:sz="2" w:space="0" w:color="636466"/>
              <w:bottom w:val="single" w:sz="2" w:space="0" w:color="636466"/>
            </w:tcBorders>
            <w:tcMar>
              <w:left w:w="200" w:type="dxa"/>
            </w:tcMar>
            <w:vAlign w:val="center"/>
          </w:tcPr>
          <w:p>
            <w:pPr>
              <w:pStyle w:val="Normal"/>
              <w:bidi w:val="0"/>
              <w:jc w:val="left"/>
              <w:rPr/>
            </w:pPr>
            <w:r>
              <w:rPr/>
            </w:r>
          </w:p>
        </w:tc>
      </w:tr>
      <w:tr>
        <w:trPr/>
        <w:tc>
          <w:tcPr>
            <w:tcW w:w="735" w:type="dxa"/>
            <w:tcBorders>
              <w:bottom w:val="single" w:sz="2" w:space="0" w:color="636466"/>
            </w:tcBorders>
            <w:tcMar>
              <w:top w:w="0" w:type="dxa"/>
            </w:tcMar>
            <w:vAlign w:val="center"/>
          </w:tcPr>
          <w:p>
            <w:pPr>
              <w:pStyle w:val="TableContents"/>
              <w:bidi w:val="0"/>
              <w:spacing w:before="0" w:after="283"/>
              <w:jc w:val="left"/>
              <w:rPr/>
            </w:pPr>
            <w:r>
              <w:rPr/>
              <w:drawing>
                <wp:inline distT="0" distB="0" distL="0" distR="0">
                  <wp:extent cx="419100" cy="362585"/>
                  <wp:effectExtent l="0" t="0" r="0" b="0"/>
                  <wp:docPr id="369" name="Image2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9" name="Image244" descr=""/>
                          <pic:cNvPicPr>
                            <a:picLocks noChangeAspect="1" noChangeArrowheads="1"/>
                          </pic:cNvPicPr>
                        </pic:nvPicPr>
                        <pic:blipFill>
                          <a:blip r:embed="rId300"/>
                          <a:stretch>
                            <a:fillRect/>
                          </a:stretch>
                        </pic:blipFill>
                        <pic:spPr bwMode="auto">
                          <a:xfrm>
                            <a:off x="0" y="0"/>
                            <a:ext cx="419100" cy="362585"/>
                          </a:xfrm>
                          <a:prstGeom prst="rect">
                            <a:avLst/>
                          </a:prstGeom>
                        </pic:spPr>
                      </pic:pic>
                    </a:graphicData>
                  </a:graphic>
                </wp:inline>
              </w:drawing>
            </w:r>
            <w:r>
              <w:rPr/>
              <w:t> </w:t>
            </w:r>
          </w:p>
        </w:tc>
        <w:tc>
          <w:tcPr>
            <w:tcW w:w="9470" w:type="dxa"/>
            <w:gridSpan w:val="2"/>
            <w:tcBorders>
              <w:bottom w:val="single" w:sz="2" w:space="0" w:color="636466"/>
            </w:tcBorders>
            <w:tcMar>
              <w:top w:w="0" w:type="dxa"/>
            </w:tcMar>
            <w:vAlign w:val="center"/>
          </w:tcPr>
          <w:p>
            <w:pPr>
              <w:pStyle w:val="TableContents"/>
              <w:bidi w:val="0"/>
              <w:spacing w:before="0" w:after="0"/>
              <w:ind w:left="0" w:right="0" w:hanging="0"/>
              <w:jc w:val="left"/>
              <w:rPr>
                <w:b/>
                <w:color w:val="C12E33"/>
              </w:rPr>
            </w:pPr>
            <w:r>
              <w:rPr>
                <w:b/>
                <w:color w:val="C12E33"/>
              </w:rPr>
              <w:t>Mail</w:t>
            </w:r>
          </w:p>
          <w:p>
            <w:pPr>
              <w:pStyle w:val="TableContents"/>
              <w:bidi w:val="0"/>
              <w:spacing w:before="0" w:after="0"/>
              <w:ind w:left="0" w:right="0" w:hanging="0"/>
              <w:jc w:val="left"/>
              <w:rPr/>
            </w:pPr>
            <w:r>
              <w:rPr/>
              <w:t>You can mail the proxy card or voting instruction form enclosed with your printed proxy materials. Mark, sign and date your proxy card or voting instruction form, and return it in the prepaid envelope we have provided, or in an envelope addressed to:</w:t>
            </w:r>
          </w:p>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Vote Processing, c/o Broadridge, 51 Mercedes Way, Edgewood, NY 11717</w:t>
            </w:r>
          </w:p>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Please allow sufficient time for delivery of your proxy card or voting instruction form if you decide to vote by mail.</w:t>
            </w:r>
          </w:p>
        </w:tc>
      </w:tr>
      <w:tr>
        <w:trPr/>
        <w:tc>
          <w:tcPr>
            <w:tcW w:w="735" w:type="dxa"/>
            <w:tcBorders>
              <w:bottom w:val="single" w:sz="2" w:space="0" w:color="636466"/>
            </w:tcBorders>
            <w:tcMar>
              <w:top w:w="0" w:type="dxa"/>
            </w:tcMar>
            <w:vAlign w:val="center"/>
          </w:tcPr>
          <w:p>
            <w:pPr>
              <w:pStyle w:val="TableContents"/>
              <w:bidi w:val="0"/>
              <w:spacing w:before="0" w:after="283"/>
              <w:jc w:val="left"/>
              <w:rPr/>
            </w:pPr>
            <w:r>
              <w:rPr/>
              <w:drawing>
                <wp:inline distT="0" distB="0" distL="0" distR="0">
                  <wp:extent cx="419100" cy="405130"/>
                  <wp:effectExtent l="0" t="0" r="0" b="0"/>
                  <wp:docPr id="370" name="Image2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0" name="Image245" descr=""/>
                          <pic:cNvPicPr>
                            <a:picLocks noChangeAspect="1" noChangeArrowheads="1"/>
                          </pic:cNvPicPr>
                        </pic:nvPicPr>
                        <pic:blipFill>
                          <a:blip r:embed="rId301"/>
                          <a:stretch>
                            <a:fillRect/>
                          </a:stretch>
                        </pic:blipFill>
                        <pic:spPr bwMode="auto">
                          <a:xfrm>
                            <a:off x="0" y="0"/>
                            <a:ext cx="419100" cy="405130"/>
                          </a:xfrm>
                          <a:prstGeom prst="rect">
                            <a:avLst/>
                          </a:prstGeom>
                        </pic:spPr>
                      </pic:pic>
                    </a:graphicData>
                  </a:graphic>
                </wp:inline>
              </w:drawing>
            </w:r>
            <w:r>
              <w:rPr/>
              <w:t> </w:t>
            </w:r>
          </w:p>
        </w:tc>
        <w:tc>
          <w:tcPr>
            <w:tcW w:w="9470" w:type="dxa"/>
            <w:gridSpan w:val="2"/>
            <w:tcBorders>
              <w:bottom w:val="single" w:sz="2" w:space="0" w:color="636466"/>
            </w:tcBorders>
            <w:tcMar>
              <w:top w:w="0" w:type="dxa"/>
            </w:tcMar>
            <w:vAlign w:val="center"/>
          </w:tcPr>
          <w:p>
            <w:pPr>
              <w:pStyle w:val="TableContents"/>
              <w:bidi w:val="0"/>
              <w:spacing w:before="0" w:after="0"/>
              <w:ind w:left="0" w:right="0" w:hanging="0"/>
              <w:jc w:val="left"/>
              <w:rPr>
                <w:b/>
                <w:color w:val="C12E33"/>
              </w:rPr>
            </w:pPr>
            <w:r>
              <w:rPr>
                <w:b/>
                <w:color w:val="C12E33"/>
              </w:rPr>
              <w:t>During the Meeting</w:t>
            </w:r>
          </w:p>
          <w:p>
            <w:pPr>
              <w:pStyle w:val="TableContents"/>
              <w:bidi w:val="0"/>
              <w:spacing w:before="0" w:after="0"/>
              <w:ind w:left="0" w:right="0" w:hanging="0"/>
              <w:jc w:val="left"/>
              <w:rPr/>
            </w:pPr>
            <w:r>
              <w:rPr/>
              <w:t xml:space="preserve">Shareowners as of the close of business on the record date, March 3, 2026, are entitled to virtually attend and vote during the Annual Meeting online via </w:t>
            </w:r>
            <w:r>
              <w:rPr>
                <w:color w:val="C12E33"/>
                <w:u w:val="single"/>
              </w:rPr>
              <w:t>www.virtualshareholdermeeting.com/RTX2026</w:t>
            </w:r>
            <w:r>
              <w:rPr/>
              <w:t>.</w:t>
            </w:r>
          </w:p>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If you have already voted online, by telephone or by mail, your vote during the Annual Meeting will supersede your earlier vote.</w:t>
            </w:r>
          </w:p>
        </w:tc>
      </w:tr>
    </w:tbl>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Arial;Helvetica;Sans-Serif" w:hAnsi="Arial;Helvetica;Sans-Serif"/>
          <w:b w:val="false"/>
          <w:i w:val="false"/>
          <w:caps w:val="false"/>
          <w:smallCaps w:val="false"/>
          <w:sz w:val="15"/>
        </w:rPr>
      </w:pPr>
      <w:r>
        <w:rPr>
          <w:rFonts w:ascii="Arial;Helvetica;Sans-Serif" w:hAnsi="Arial;Helvetica;Sans-Serif"/>
          <w:b/>
          <w:i w:val="false"/>
          <w:caps w:val="false"/>
          <w:smallCaps w:val="false"/>
          <w:sz w:val="15"/>
        </w:rPr>
        <w:t xml:space="preserve">RTX </w:t>
      </w:r>
      <w:r>
        <w:rPr>
          <w:rFonts w:ascii="Arial;Helvetica;Sans-Serif" w:hAnsi="Arial;Helvetica;Sans-Serif"/>
          <w:b w:val="false"/>
          <w:i w:val="false"/>
          <w:caps w:val="false"/>
          <w:smallCaps w:val="false"/>
          <w:sz w:val="15"/>
        </w:rPr>
        <w:t>2026 PROXY STATEMENT    </w:t>
      </w:r>
      <w:r>
        <w:rPr>
          <w:rFonts w:ascii="Arial;Helvetica;Sans-Serif" w:hAnsi="Arial;Helvetica;Sans-Serif"/>
          <w:b/>
          <w:i w:val="false"/>
          <w:caps w:val="false"/>
          <w:smallCaps w:val="false"/>
          <w:sz w:val="15"/>
        </w:rPr>
        <w:t>91</w:t>
      </w:r>
    </w:p>
    <w:p>
      <w:pPr>
        <w:pStyle w:val="HorizontalLine"/>
        <w:pBdr>
          <w:bottom w:val="double" w:sz="2" w:space="0" w:color="808080"/>
        </w:pBdr>
        <w:bidi w:val="0"/>
        <w:spacing w:before="0" w:after="283"/>
        <w:jc w:val="left"/>
        <w:rPr/>
      </w:pPr>
      <w:r>
        <w:rPr/>
      </w:r>
    </w:p>
    <w:p>
      <w:pPr>
        <w:pStyle w:val="TextBody"/>
        <w:bidi w:val="0"/>
        <w:spacing w:before="200" w:after="200"/>
        <w:jc w:val="left"/>
        <w:rPr/>
      </w:pPr>
      <w:hyperlink w:anchor="toc">
        <w:r>
          <w:rPr>
            <w:rStyle w:val="InternetLink"/>
            <w:rFonts w:ascii="Arial;Helvetica;Sans-Serif" w:hAnsi="Arial;Helvetica;Sans-Serif"/>
            <w:b/>
            <w:i w:val="false"/>
            <w:caps w:val="false"/>
            <w:smallCaps w:val="false"/>
            <w:sz w:val="16"/>
          </w:rPr>
          <w:t>Table of Contents</w:t>
        </w:r>
      </w:hyperlink>
    </w:p>
    <w:p>
      <w:pPr>
        <w:pStyle w:val="TextBody"/>
        <w:bidi w:val="0"/>
        <w:spacing w:before="0" w:after="0"/>
        <w:ind w:left="0" w:right="0" w:hanging="0"/>
        <w:jc w:val="left"/>
        <w:rPr>
          <w:rFonts w:ascii="Arial;Helvetica;Sans-Serif" w:hAnsi="Arial;Helvetica;Sans-Serif"/>
          <w:b/>
          <w:i w:val="false"/>
          <w:caps w:val="false"/>
          <w:smallCaps w:val="false"/>
          <w:color w:val="C12E33"/>
          <w:sz w:val="15"/>
        </w:rPr>
      </w:pPr>
      <w:r>
        <w:rPr>
          <w:rFonts w:ascii="Arial;Helvetica;Sans-Serif" w:hAnsi="Arial;Helvetica;Sans-Serif"/>
          <w:b/>
          <w:i w:val="false"/>
          <w:caps w:val="false"/>
          <w:smallCaps w:val="false"/>
          <w:color w:val="C12E33"/>
          <w:sz w:val="15"/>
        </w:rPr>
        <w:t>FREQUENTLY ASKED QUESTIONS ABOUT THE ANNUAL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Beneficial Shareowners.</w:t>
      </w:r>
      <w:r>
        <w:rPr>
          <w:rFonts w:ascii="Arial;Helvetica;Sans-Serif" w:hAnsi="Arial;Helvetica;Sans-Serif"/>
          <w:b w:val="false"/>
          <w:i w:val="false"/>
          <w:caps w:val="false"/>
          <w:smallCaps w:val="false"/>
          <w:sz w:val="20"/>
        </w:rPr>
        <w:t> If you own shares in street name through an account with a bank, brokerage firm or other intermediary, then your intermediary will send you printed copies of the proxy materials or provide instructions on how to access proxy materials electronically. You are entitled to direct the intermediary how to vote your shares by following the voting instructions that the intermediary provides to you.</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Shares Held in a Savings Plan Sponsored by RTX.</w:t>
      </w:r>
      <w:r>
        <w:rPr>
          <w:rFonts w:ascii="Arial;Helvetica;Sans-Serif" w:hAnsi="Arial;Helvetica;Sans-Serif"/>
          <w:b w:val="false"/>
          <w:i w:val="false"/>
          <w:caps w:val="false"/>
          <w:smallCaps w:val="false"/>
          <w:sz w:val="20"/>
        </w:rPr>
        <w:t> You can direct the voting of your proportionate interest in shares of RTX Common Stock held by the ESOP Fund and the Company Stock Fund under an RTX savings plan by returning a voting instruction card or providing voting instructions by the internet or by telephone. If you do not provide voting instructions (or if your instructions are incomplete or unclear) as to one or more of the matters to be voted on, the plan trustees will vote your proportionate interest in shares held by the ESOP Fund for the voting choice with respect to each applicable proposal that receives the greatest number of votes based on voting instructions received from ESOP Fund participants. Similarly, the plan trustees will vote your uninstructed proportionate interest in shares held by the Company Stock Fund for the voting choice with respect to each applicable proposal that receives the greatest number of votes based on voting instructions received from the Company Stock Fund participants. For shares of RTX Common Stock held in the ESOP Fund that are not allocated to participant accounts, the plan trustees will vote the unallocated shares for the voting choice with respect to each applicable proposal that receives the greatest number of votes from those ESOP Fund participants who have submitted voting instructions.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Earlier Voting Deadline for Participants in a Savings Plan Sponsored by RTX.</w:t>
      </w:r>
      <w:r>
        <w:rPr>
          <w:rFonts w:ascii="Arial;Helvetica;Sans-Serif" w:hAnsi="Arial;Helvetica;Sans-Serif"/>
          <w:b w:val="false"/>
          <w:i w:val="false"/>
          <w:caps w:val="false"/>
          <w:smallCaps w:val="false"/>
          <w:sz w:val="20"/>
        </w:rPr>
        <w:t> Broadridge Financial Solutions must receive your voting instructions by 11:59 p.m. Eastern time on Monday, April 27, 2026, so that it will have time to tabulate all voting instructions of participants and communicate those instructions to the trustees, who will vote the shares held by the savings plans. Because the plan trustees are designated to vote on your behalf, you will not be able to vote your shares held in a savings plan virtually at the Annual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HOW CAN I CHANGE MY VOTE?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 xml:space="preserve">Registered shareowners. </w:t>
      </w:r>
      <w:r>
        <w:rPr>
          <w:rFonts w:ascii="Arial;Helvetica;Sans-Serif" w:hAnsi="Arial;Helvetica;Sans-Serif"/>
          <w:b w:val="false"/>
          <w:i w:val="false"/>
          <w:caps w:val="false"/>
          <w:smallCaps w:val="false"/>
          <w:sz w:val="20"/>
        </w:rPr>
        <w:t>If you voted by telephone or online, you may change your vote by accessing the same method you used and following the instructions for revoking a proxy. If you mailed a signed proxy card, you may override your vote by mailing a new proxy card with a later date. And no matter what voting method you originally used, you can change your vote by voting virtually during the Annual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 xml:space="preserve">Beneficial shareowners. </w:t>
      </w:r>
      <w:r>
        <w:rPr>
          <w:rFonts w:ascii="Arial;Helvetica;Sans-Serif" w:hAnsi="Arial;Helvetica;Sans-Serif"/>
          <w:b w:val="false"/>
          <w:i w:val="false"/>
          <w:caps w:val="false"/>
          <w:smallCaps w:val="false"/>
          <w:sz w:val="20"/>
        </w:rPr>
        <w:t>Ask your bank, brokerage firm or other intermediary how to revoke or change your previous voting instructions.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HOW WILL MY SHARES BE VOTED?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Each share of RTX Common Stock is entitled to one vote. Your shares will be voted in accordance with your instructions. In addition, if you have returned a signed proxy card or submitted voting instructions by telephone or the internet, the proxy holders will have, and intend to exercise, discretion to vote your shares (other than shares held in an RTX employee savings plan) in accordance with their best judgment on any matters not identified in this Proxy Statement that are brought to a vote at the Annual Meeting. We do not know of any such additional matters at this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If your shares are registered in your name and you sign and return a proxy card or vote by telephone or the internet but do not give voting instructions on a particular matter, the proxy holders will be authorized to vote your shares on that matter in accordance with the Board’s recommendation. If you hold your shares through an account with a broker and do not give voting instructions on a matter, your broker is entitled under New York Stock Exchange rules to vote your shares in its discretion only on Proposal 3 (appointment of the Independent Auditor) and is required to withhold a vote on each of the other Proposals, resulting in a so-called “broker non-vote.”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15"/>
        </w:rPr>
      </w:pPr>
      <w:r>
        <w:rPr>
          <w:rFonts w:ascii="Arial;Helvetica;Sans-Serif" w:hAnsi="Arial;Helvetica;Sans-Serif"/>
          <w:b/>
          <w:i w:val="false"/>
          <w:caps w:val="false"/>
          <w:smallCaps w:val="false"/>
          <w:sz w:val="15"/>
        </w:rPr>
        <w:t xml:space="preserve">92    RTX </w:t>
      </w:r>
      <w:r>
        <w:rPr>
          <w:rFonts w:ascii="Arial;Helvetica;Sans-Serif" w:hAnsi="Arial;Helvetica;Sans-Serif"/>
          <w:b w:val="false"/>
          <w:i w:val="false"/>
          <w:caps w:val="false"/>
          <w:smallCaps w:val="false"/>
          <w:sz w:val="15"/>
        </w:rPr>
        <w:t>2026 PROXY STATEMENT</w:t>
      </w:r>
    </w:p>
    <w:p>
      <w:pPr>
        <w:pStyle w:val="HorizontalLine"/>
        <w:pBdr>
          <w:bottom w:val="double" w:sz="2" w:space="0" w:color="808080"/>
        </w:pBdr>
        <w:bidi w:val="0"/>
        <w:spacing w:before="0" w:after="283"/>
        <w:jc w:val="left"/>
        <w:rPr/>
      </w:pPr>
      <w:r>
        <w:rPr/>
      </w:r>
    </w:p>
    <w:p>
      <w:pPr>
        <w:pStyle w:val="TextBody"/>
        <w:bidi w:val="0"/>
        <w:spacing w:before="200" w:after="200"/>
        <w:jc w:val="left"/>
        <w:rPr/>
      </w:pPr>
      <w:hyperlink w:anchor="toc">
        <w:r>
          <w:rPr>
            <w:rStyle w:val="InternetLink"/>
            <w:rFonts w:ascii="Arial;Helvetica;Sans-Serif" w:hAnsi="Arial;Helvetica;Sans-Serif"/>
            <w:b/>
            <w:i w:val="false"/>
            <w:caps w:val="false"/>
            <w:smallCaps w:val="false"/>
            <w:sz w:val="16"/>
          </w:rPr>
          <w:t>Table of Contents</w:t>
        </w:r>
      </w:hyperlink>
    </w:p>
    <w:p>
      <w:pPr>
        <w:pStyle w:val="TextBody"/>
        <w:bidi w:val="0"/>
        <w:spacing w:before="0" w:after="0"/>
        <w:jc w:val="right"/>
        <w:rPr>
          <w:rFonts w:ascii="Arial;Helvetica;Sans-Serif" w:hAnsi="Arial;Helvetica;Sans-Serif"/>
          <w:b/>
          <w:i w:val="false"/>
          <w:caps w:val="false"/>
          <w:smallCaps w:val="false"/>
          <w:color w:val="C12E33"/>
          <w:sz w:val="15"/>
        </w:rPr>
      </w:pPr>
      <w:r>
        <w:rPr>
          <w:rFonts w:ascii="Arial;Helvetica;Sans-Serif" w:hAnsi="Arial;Helvetica;Sans-Serif"/>
          <w:b/>
          <w:i w:val="false"/>
          <w:caps w:val="false"/>
          <w:smallCaps w:val="false"/>
          <w:color w:val="C12E33"/>
          <w:sz w:val="15"/>
        </w:rPr>
        <w:t>FREQUENTLY ASKED QUESTIONS ABOUT THE ANNUAL MEETING</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HOW DO ABSTENTIONS AND BROKER NON-VOTES AFFECT THE VOTING RESULTS?</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40" w:type="dxa"/>
          <w:right w:w="0" w:type="dxa"/>
        </w:tblCellMar>
      </w:tblPr>
      <w:tblGrid>
        <w:gridCol w:w="3249"/>
        <w:gridCol w:w="60"/>
        <w:gridCol w:w="2855"/>
        <w:gridCol w:w="60"/>
        <w:gridCol w:w="2145"/>
        <w:gridCol w:w="60"/>
        <w:gridCol w:w="1776"/>
      </w:tblGrid>
      <w:tr>
        <w:trPr/>
        <w:tc>
          <w:tcPr>
            <w:tcW w:w="3249" w:type="dxa"/>
            <w:tcBorders>
              <w:bottom w:val="single" w:sz="12" w:space="0" w:color="C12E33"/>
            </w:tcBorders>
            <w:vAlign w:val="center"/>
          </w:tcPr>
          <w:p>
            <w:pPr>
              <w:pStyle w:val="TableContents"/>
              <w:bidi w:val="0"/>
              <w:spacing w:before="0" w:after="283"/>
              <w:jc w:val="left"/>
              <w:rPr>
                <w:b/>
                <w:color w:val="636466"/>
              </w:rPr>
            </w:pPr>
            <w:r>
              <w:rPr>
                <w:b/>
                <w:color w:val="636466"/>
              </w:rPr>
              <w:t>Matter</w:t>
            </w:r>
          </w:p>
        </w:tc>
        <w:tc>
          <w:tcPr>
            <w:tcW w:w="60" w:type="dxa"/>
            <w:tcBorders>
              <w:bottom w:val="single" w:sz="12" w:space="0" w:color="C12E33"/>
            </w:tcBorders>
            <w:vAlign w:val="center"/>
          </w:tcPr>
          <w:p>
            <w:pPr>
              <w:pStyle w:val="TableContents"/>
              <w:bidi w:val="0"/>
              <w:spacing w:before="0" w:after="283"/>
              <w:jc w:val="left"/>
              <w:rPr/>
            </w:pPr>
            <w:r>
              <w:rPr/>
              <w:t> </w:t>
            </w:r>
          </w:p>
        </w:tc>
        <w:tc>
          <w:tcPr>
            <w:tcW w:w="2855" w:type="dxa"/>
            <w:tcBorders>
              <w:bottom w:val="single" w:sz="12" w:space="0" w:color="C12E33"/>
            </w:tcBorders>
            <w:vAlign w:val="center"/>
          </w:tcPr>
          <w:p>
            <w:pPr>
              <w:pStyle w:val="TableContents"/>
              <w:bidi w:val="0"/>
              <w:spacing w:before="0" w:after="283"/>
              <w:jc w:val="left"/>
              <w:rPr>
                <w:b/>
                <w:color w:val="636466"/>
              </w:rPr>
            </w:pPr>
            <w:r>
              <w:rPr>
                <w:b/>
                <w:color w:val="636466"/>
              </w:rPr>
              <w:t>Vote Required for Approval</w:t>
            </w:r>
          </w:p>
        </w:tc>
        <w:tc>
          <w:tcPr>
            <w:tcW w:w="60" w:type="dxa"/>
            <w:tcBorders>
              <w:bottom w:val="single" w:sz="12" w:space="0" w:color="C12E33"/>
            </w:tcBorders>
            <w:vAlign w:val="center"/>
          </w:tcPr>
          <w:p>
            <w:pPr>
              <w:pStyle w:val="TableContents"/>
              <w:bidi w:val="0"/>
              <w:spacing w:before="0" w:after="283"/>
              <w:jc w:val="left"/>
              <w:rPr/>
            </w:pPr>
            <w:r>
              <w:rPr/>
              <w:t> </w:t>
            </w:r>
          </w:p>
        </w:tc>
        <w:tc>
          <w:tcPr>
            <w:tcW w:w="2145" w:type="dxa"/>
            <w:tcBorders>
              <w:bottom w:val="single" w:sz="12" w:space="0" w:color="C12E33"/>
            </w:tcBorders>
            <w:vAlign w:val="center"/>
          </w:tcPr>
          <w:p>
            <w:pPr>
              <w:pStyle w:val="TableContents"/>
              <w:bidi w:val="0"/>
              <w:spacing w:before="0" w:after="283"/>
              <w:jc w:val="left"/>
              <w:rPr>
                <w:b/>
                <w:color w:val="636466"/>
              </w:rPr>
            </w:pPr>
            <w:r>
              <w:rPr>
                <w:b/>
                <w:color w:val="636466"/>
              </w:rPr>
              <w:t>Impact of Abstentions</w:t>
            </w:r>
          </w:p>
        </w:tc>
        <w:tc>
          <w:tcPr>
            <w:tcW w:w="60" w:type="dxa"/>
            <w:tcBorders>
              <w:bottom w:val="single" w:sz="12" w:space="0" w:color="C12E33"/>
            </w:tcBorders>
            <w:vAlign w:val="center"/>
          </w:tcPr>
          <w:p>
            <w:pPr>
              <w:pStyle w:val="TableContents"/>
              <w:bidi w:val="0"/>
              <w:spacing w:before="0" w:after="283"/>
              <w:jc w:val="left"/>
              <w:rPr/>
            </w:pPr>
            <w:r>
              <w:rPr/>
              <w:t> </w:t>
            </w:r>
          </w:p>
        </w:tc>
        <w:tc>
          <w:tcPr>
            <w:tcW w:w="1776" w:type="dxa"/>
            <w:tcBorders>
              <w:bottom w:val="single" w:sz="12" w:space="0" w:color="C12E33"/>
            </w:tcBorders>
            <w:vAlign w:val="center"/>
          </w:tcPr>
          <w:p>
            <w:pPr>
              <w:pStyle w:val="TableContents"/>
              <w:bidi w:val="0"/>
              <w:spacing w:before="0" w:after="283"/>
              <w:jc w:val="left"/>
              <w:rPr>
                <w:b/>
                <w:color w:val="636466"/>
              </w:rPr>
            </w:pPr>
            <w:r>
              <w:rPr>
                <w:b/>
                <w:color w:val="636466"/>
              </w:rPr>
              <w:t>Impact of Broker Non-Votes</w:t>
            </w:r>
          </w:p>
        </w:tc>
      </w:tr>
      <w:tr>
        <w:trPr/>
        <w:tc>
          <w:tcPr>
            <w:tcW w:w="3249" w:type="dxa"/>
            <w:tcBorders>
              <w:bottom w:val="single" w:sz="2" w:space="0" w:color="000000"/>
            </w:tcBorders>
            <w:vAlign w:val="center"/>
          </w:tcPr>
          <w:p>
            <w:pPr>
              <w:pStyle w:val="TableContents"/>
              <w:bidi w:val="0"/>
              <w:spacing w:before="0" w:after="283"/>
              <w:jc w:val="left"/>
              <w:rPr>
                <w:b/>
              </w:rPr>
            </w:pPr>
            <w:r>
              <w:rPr>
                <w:b/>
              </w:rPr>
              <w:t>Election of Directors</w:t>
            </w:r>
          </w:p>
        </w:tc>
        <w:tc>
          <w:tcPr>
            <w:tcW w:w="60" w:type="dxa"/>
            <w:tcBorders>
              <w:bottom w:val="single" w:sz="2" w:space="0" w:color="000000"/>
            </w:tcBorders>
            <w:vAlign w:val="center"/>
          </w:tcPr>
          <w:p>
            <w:pPr>
              <w:pStyle w:val="TableContents"/>
              <w:bidi w:val="0"/>
              <w:spacing w:before="0" w:after="283"/>
              <w:jc w:val="left"/>
              <w:rPr/>
            </w:pPr>
            <w:r>
              <w:rPr/>
              <w:t> </w:t>
            </w:r>
          </w:p>
        </w:tc>
        <w:tc>
          <w:tcPr>
            <w:tcW w:w="2855" w:type="dxa"/>
            <w:tcBorders>
              <w:bottom w:val="single" w:sz="2" w:space="0" w:color="000000"/>
            </w:tcBorders>
            <w:vAlign w:val="center"/>
          </w:tcPr>
          <w:p>
            <w:pPr>
              <w:pStyle w:val="TableContents"/>
              <w:bidi w:val="0"/>
              <w:spacing w:before="0" w:after="283"/>
              <w:jc w:val="left"/>
              <w:rPr/>
            </w:pPr>
            <w:r>
              <w:rPr/>
              <w:t>Votes for a nominee must exceed 50% of the votes cast with respect to that nominee.</w:t>
            </w:r>
          </w:p>
        </w:tc>
        <w:tc>
          <w:tcPr>
            <w:tcW w:w="60" w:type="dxa"/>
            <w:tcBorders>
              <w:bottom w:val="single" w:sz="2" w:space="0" w:color="000000"/>
            </w:tcBorders>
            <w:vAlign w:val="center"/>
          </w:tcPr>
          <w:p>
            <w:pPr>
              <w:pStyle w:val="TableContents"/>
              <w:bidi w:val="0"/>
              <w:spacing w:before="0" w:after="283"/>
              <w:jc w:val="left"/>
              <w:rPr/>
            </w:pPr>
            <w:r>
              <w:rPr/>
              <w:t> </w:t>
            </w:r>
          </w:p>
        </w:tc>
        <w:tc>
          <w:tcPr>
            <w:tcW w:w="2145" w:type="dxa"/>
            <w:tcBorders>
              <w:bottom w:val="single" w:sz="2" w:space="0" w:color="000000"/>
            </w:tcBorders>
            <w:vAlign w:val="center"/>
          </w:tcPr>
          <w:p>
            <w:pPr>
              <w:pStyle w:val="TableContents"/>
              <w:bidi w:val="0"/>
              <w:spacing w:before="0" w:after="283"/>
              <w:jc w:val="left"/>
              <w:rPr/>
            </w:pPr>
            <w:r>
              <w:rPr/>
              <w:t>Not counted as votes cast; no impact on outcome.</w:t>
            </w:r>
          </w:p>
        </w:tc>
        <w:tc>
          <w:tcPr>
            <w:tcW w:w="60" w:type="dxa"/>
            <w:tcBorders>
              <w:bottom w:val="single" w:sz="2" w:space="0" w:color="000000"/>
            </w:tcBorders>
            <w:vAlign w:val="center"/>
          </w:tcPr>
          <w:p>
            <w:pPr>
              <w:pStyle w:val="TableContents"/>
              <w:bidi w:val="0"/>
              <w:spacing w:before="0" w:after="283"/>
              <w:jc w:val="left"/>
              <w:rPr/>
            </w:pPr>
            <w:r>
              <w:rPr/>
              <w:t> </w:t>
            </w:r>
          </w:p>
        </w:tc>
        <w:tc>
          <w:tcPr>
            <w:tcW w:w="1776" w:type="dxa"/>
            <w:tcBorders>
              <w:bottom w:val="single" w:sz="2" w:space="0" w:color="000000"/>
            </w:tcBorders>
            <w:vAlign w:val="center"/>
          </w:tcPr>
          <w:p>
            <w:pPr>
              <w:pStyle w:val="TableContents"/>
              <w:bidi w:val="0"/>
              <w:spacing w:before="0" w:after="283"/>
              <w:jc w:val="left"/>
              <w:rPr/>
            </w:pPr>
            <w:r>
              <w:rPr/>
              <w:t>Not counted as votes cast; no impact on outcome.</w:t>
            </w:r>
          </w:p>
        </w:tc>
      </w:tr>
      <w:tr>
        <w:trPr/>
        <w:tc>
          <w:tcPr>
            <w:tcW w:w="3249" w:type="dxa"/>
            <w:tcBorders>
              <w:bottom w:val="single" w:sz="2" w:space="0" w:color="000000"/>
            </w:tcBorders>
            <w:vAlign w:val="center"/>
          </w:tcPr>
          <w:p>
            <w:pPr>
              <w:pStyle w:val="TableContents"/>
              <w:bidi w:val="0"/>
              <w:spacing w:before="0" w:after="283"/>
              <w:jc w:val="left"/>
              <w:rPr/>
            </w:pPr>
            <w:r>
              <w:rPr>
                <w:b/>
              </w:rPr>
              <w:t>Advisory Vote to</w:t>
            </w:r>
            <w:r>
              <w:rPr/>
              <w:t xml:space="preserve"> </w:t>
            </w:r>
            <w:r>
              <w:rPr>
                <w:b/>
              </w:rPr>
              <w:t>Approve Executive</w:t>
            </w:r>
            <w:r>
              <w:rPr/>
              <w:t xml:space="preserve"> </w:t>
            </w:r>
            <w:r>
              <w:rPr>
                <w:b/>
              </w:rPr>
              <w:t>Compensation</w:t>
            </w:r>
          </w:p>
        </w:tc>
        <w:tc>
          <w:tcPr>
            <w:tcW w:w="60" w:type="dxa"/>
            <w:tcBorders>
              <w:bottom w:val="single" w:sz="2" w:space="0" w:color="000000"/>
            </w:tcBorders>
            <w:vAlign w:val="center"/>
          </w:tcPr>
          <w:p>
            <w:pPr>
              <w:pStyle w:val="TableContents"/>
              <w:bidi w:val="0"/>
              <w:spacing w:before="0" w:after="283"/>
              <w:jc w:val="left"/>
              <w:rPr/>
            </w:pPr>
            <w:r>
              <w:rPr/>
              <w:t> </w:t>
            </w:r>
          </w:p>
        </w:tc>
        <w:tc>
          <w:tcPr>
            <w:tcW w:w="2855" w:type="dxa"/>
            <w:tcBorders>
              <w:bottom w:val="single" w:sz="2" w:space="0" w:color="000000"/>
            </w:tcBorders>
            <w:vAlign w:val="center"/>
          </w:tcPr>
          <w:p>
            <w:pPr>
              <w:pStyle w:val="TableContents"/>
              <w:bidi w:val="0"/>
              <w:spacing w:before="0" w:after="283"/>
              <w:jc w:val="left"/>
              <w:rPr/>
            </w:pPr>
            <w:r>
              <w:rPr/>
              <w:t>The affirmative vote of the holders of a majority of shares of our common stock, present at the Annual Meeting or represented by proxy and entitled to vote, is required for approval.</w:t>
            </w:r>
          </w:p>
        </w:tc>
        <w:tc>
          <w:tcPr>
            <w:tcW w:w="60" w:type="dxa"/>
            <w:tcBorders>
              <w:bottom w:val="single" w:sz="2" w:space="0" w:color="000000"/>
            </w:tcBorders>
            <w:vAlign w:val="center"/>
          </w:tcPr>
          <w:p>
            <w:pPr>
              <w:pStyle w:val="TableContents"/>
              <w:bidi w:val="0"/>
              <w:spacing w:before="0" w:after="283"/>
              <w:jc w:val="left"/>
              <w:rPr/>
            </w:pPr>
            <w:r>
              <w:rPr/>
              <w:t> </w:t>
            </w:r>
          </w:p>
        </w:tc>
        <w:tc>
          <w:tcPr>
            <w:tcW w:w="2145" w:type="dxa"/>
            <w:tcBorders>
              <w:bottom w:val="single" w:sz="2" w:space="0" w:color="000000"/>
            </w:tcBorders>
            <w:vAlign w:val="center"/>
          </w:tcPr>
          <w:p>
            <w:pPr>
              <w:pStyle w:val="TableContents"/>
              <w:bidi w:val="0"/>
              <w:spacing w:before="0" w:after="283"/>
              <w:jc w:val="left"/>
              <w:rPr/>
            </w:pPr>
            <w:r>
              <w:rPr/>
              <w:t>An abstention is treated as present and entitled to vote and therefore has the effect of a vote against approval.</w:t>
            </w:r>
          </w:p>
        </w:tc>
        <w:tc>
          <w:tcPr>
            <w:tcW w:w="60" w:type="dxa"/>
            <w:tcBorders>
              <w:bottom w:val="single" w:sz="2" w:space="0" w:color="000000"/>
            </w:tcBorders>
            <w:vAlign w:val="center"/>
          </w:tcPr>
          <w:p>
            <w:pPr>
              <w:pStyle w:val="TableContents"/>
              <w:bidi w:val="0"/>
              <w:spacing w:before="0" w:after="283"/>
              <w:jc w:val="left"/>
              <w:rPr/>
            </w:pPr>
            <w:r>
              <w:rPr/>
              <w:t> </w:t>
            </w:r>
          </w:p>
        </w:tc>
        <w:tc>
          <w:tcPr>
            <w:tcW w:w="1776" w:type="dxa"/>
            <w:tcBorders>
              <w:bottom w:val="single" w:sz="2" w:space="0" w:color="000000"/>
            </w:tcBorders>
            <w:vAlign w:val="center"/>
          </w:tcPr>
          <w:p>
            <w:pPr>
              <w:pStyle w:val="TableContents"/>
              <w:bidi w:val="0"/>
              <w:spacing w:before="0" w:after="283"/>
              <w:jc w:val="left"/>
              <w:rPr/>
            </w:pPr>
            <w:r>
              <w:rPr/>
              <w:t>Not counted as shares entitled to vote; no impact on outcome.</w:t>
            </w:r>
          </w:p>
        </w:tc>
      </w:tr>
      <w:tr>
        <w:trPr/>
        <w:tc>
          <w:tcPr>
            <w:tcW w:w="3249" w:type="dxa"/>
            <w:tcBorders>
              <w:bottom w:val="single" w:sz="12" w:space="0" w:color="636466"/>
            </w:tcBorders>
            <w:vAlign w:val="center"/>
          </w:tcPr>
          <w:p>
            <w:pPr>
              <w:pStyle w:val="TableContents"/>
              <w:bidi w:val="0"/>
              <w:spacing w:before="0" w:after="283"/>
              <w:jc w:val="left"/>
              <w:rPr/>
            </w:pPr>
            <w:r>
              <w:rPr>
                <w:b/>
              </w:rPr>
              <w:t>Appointment of</w:t>
            </w:r>
            <w:r>
              <w:rPr/>
              <w:t xml:space="preserve"> </w:t>
            </w:r>
            <w:r>
              <w:rPr>
                <w:b/>
              </w:rPr>
              <w:t>PricewaterhouseCoopers</w:t>
            </w:r>
            <w:r>
              <w:rPr/>
              <w:t xml:space="preserve"> </w:t>
            </w:r>
            <w:r>
              <w:rPr>
                <w:b/>
              </w:rPr>
              <w:t>LLP to Serve as</w:t>
            </w:r>
            <w:r>
              <w:rPr/>
              <w:t xml:space="preserve"> </w:t>
            </w:r>
            <w:r>
              <w:rPr>
                <w:b/>
              </w:rPr>
              <w:t>Independent Auditor</w:t>
            </w:r>
            <w:r>
              <w:rPr/>
              <w:t xml:space="preserve"> </w:t>
            </w:r>
            <w:r>
              <w:rPr>
                <w:b/>
              </w:rPr>
              <w:t>for 2026</w:t>
            </w:r>
          </w:p>
        </w:tc>
        <w:tc>
          <w:tcPr>
            <w:tcW w:w="60" w:type="dxa"/>
            <w:tcBorders>
              <w:bottom w:val="single" w:sz="12" w:space="0" w:color="636466"/>
            </w:tcBorders>
            <w:vAlign w:val="center"/>
          </w:tcPr>
          <w:p>
            <w:pPr>
              <w:pStyle w:val="TableContents"/>
              <w:bidi w:val="0"/>
              <w:spacing w:before="0" w:after="283"/>
              <w:jc w:val="left"/>
              <w:rPr/>
            </w:pPr>
            <w:r>
              <w:rPr/>
              <w:t> </w:t>
            </w:r>
          </w:p>
        </w:tc>
        <w:tc>
          <w:tcPr>
            <w:tcW w:w="2855" w:type="dxa"/>
            <w:tcBorders>
              <w:bottom w:val="single" w:sz="12" w:space="0" w:color="636466"/>
            </w:tcBorders>
            <w:vAlign w:val="center"/>
          </w:tcPr>
          <w:p>
            <w:pPr>
              <w:pStyle w:val="TableContents"/>
              <w:bidi w:val="0"/>
              <w:spacing w:before="0" w:after="283"/>
              <w:jc w:val="left"/>
              <w:rPr/>
            </w:pPr>
            <w:r>
              <w:rPr/>
              <w:t>The affirmative vote of the holders of a majority of shares of our common stock, present at the Annual Meeting or represented by proxy and entitled to vote, is required for approval.</w:t>
            </w:r>
          </w:p>
        </w:tc>
        <w:tc>
          <w:tcPr>
            <w:tcW w:w="60" w:type="dxa"/>
            <w:tcBorders>
              <w:bottom w:val="single" w:sz="12" w:space="0" w:color="636466"/>
            </w:tcBorders>
            <w:vAlign w:val="center"/>
          </w:tcPr>
          <w:p>
            <w:pPr>
              <w:pStyle w:val="TableContents"/>
              <w:bidi w:val="0"/>
              <w:spacing w:before="0" w:after="283"/>
              <w:jc w:val="left"/>
              <w:rPr/>
            </w:pPr>
            <w:r>
              <w:rPr/>
              <w:t> </w:t>
            </w:r>
          </w:p>
        </w:tc>
        <w:tc>
          <w:tcPr>
            <w:tcW w:w="2145" w:type="dxa"/>
            <w:tcBorders>
              <w:bottom w:val="single" w:sz="12" w:space="0" w:color="636466"/>
            </w:tcBorders>
            <w:vAlign w:val="center"/>
          </w:tcPr>
          <w:p>
            <w:pPr>
              <w:pStyle w:val="TableContents"/>
              <w:bidi w:val="0"/>
              <w:spacing w:before="0" w:after="283"/>
              <w:jc w:val="left"/>
              <w:rPr/>
            </w:pPr>
            <w:r>
              <w:rPr/>
              <w:t>An abstention is treated as present and entitled to vote and therefore has the effect of a vote against approval.</w:t>
            </w:r>
          </w:p>
        </w:tc>
        <w:tc>
          <w:tcPr>
            <w:tcW w:w="60" w:type="dxa"/>
            <w:tcBorders>
              <w:bottom w:val="single" w:sz="12" w:space="0" w:color="636466"/>
            </w:tcBorders>
            <w:vAlign w:val="center"/>
          </w:tcPr>
          <w:p>
            <w:pPr>
              <w:pStyle w:val="TableContents"/>
              <w:bidi w:val="0"/>
              <w:spacing w:before="0" w:after="283"/>
              <w:jc w:val="left"/>
              <w:rPr/>
            </w:pPr>
            <w:r>
              <w:rPr/>
              <w:t> </w:t>
            </w:r>
          </w:p>
        </w:tc>
        <w:tc>
          <w:tcPr>
            <w:tcW w:w="1776" w:type="dxa"/>
            <w:tcBorders>
              <w:bottom w:val="single" w:sz="12" w:space="0" w:color="636466"/>
            </w:tcBorders>
            <w:vAlign w:val="center"/>
          </w:tcPr>
          <w:p>
            <w:pPr>
              <w:pStyle w:val="TableContents"/>
              <w:bidi w:val="0"/>
              <w:spacing w:before="0" w:after="283"/>
              <w:jc w:val="left"/>
              <w:rPr/>
            </w:pPr>
            <w:r>
              <w:rPr/>
              <w:t>Discretionary voting permitted.</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WHAT HAPPENS IF A DIRECTOR IN AN UNCONTESTED ELECTION RECEIVES MORE VOTES “AGAINST” THAN “FOR” THEIR ELECTION?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 an uncontested election of directors, any nominee who is an incumbent director and who receives a greater number of votes cast “against” than votes cast “for” their election must, under RTX’s Corporate Governance Guidelines, promptly tender their resignation to the Chair of the Governance Committee following certification of the shareowner vote. The Governance Committee must promptly make a recommendation to the Board about whether to accept or reject the tendered resignation. The director who tendered a resignation may not participate in the Governance Committee’s recommendation or the Board’s consideration.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Under our Corporate Governance Guidelines, the Board must act on the Governance Committee’s recommendation no later than 90 days after the date of the shareowners’ meeting. Regardless of whether the Board accepts or rejects the resignation, RTX must promptly file a Report on Form 8-K with the SEC that explains the process by which the decision was reached and, if applicable, the reasons for rejecting the tendered resignation.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If a director’s resignation is accepted, the Governance Committee also will recommend to the Board whether to fill the vacancy or to reduce the size of the Board. Under the RTX Bylaws, a vacancy arising in these circumstances may be filled, at the discretion of the Board, by a majority vote of the directors or at a special meeting of shareowners called by the Board in accordance with the Bylaws.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WHO COUNTS THE VOTES?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Broadridge Financial Solutions (“Broadridge”), an independent entity, will tabulate the votes. At the Annual Meeting, a representative of Broadridge will act as the independent Inspector of Election and in this capacity will supervise the voting, decide the validity of proxies and certify the results.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Broadridge has been instructed to keep the vote of each shareowner confidential and the vote may not be disclosed, except in legal proceedings or for the purpose of soliciting shareowner votes in a contested proxy solicitation.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right"/>
        <w:rPr>
          <w:rFonts w:ascii="Arial;Helvetica;Sans-Serif" w:hAnsi="Arial;Helvetica;Sans-Serif"/>
          <w:b w:val="false"/>
          <w:i w:val="false"/>
          <w:caps w:val="false"/>
          <w:smallCaps w:val="false"/>
          <w:sz w:val="15"/>
        </w:rPr>
      </w:pPr>
      <w:r>
        <w:rPr>
          <w:rFonts w:ascii="Arial;Helvetica;Sans-Serif" w:hAnsi="Arial;Helvetica;Sans-Serif"/>
          <w:b/>
          <w:i w:val="false"/>
          <w:caps w:val="false"/>
          <w:smallCaps w:val="false"/>
          <w:sz w:val="15"/>
        </w:rPr>
        <w:t xml:space="preserve">RTX </w:t>
      </w:r>
      <w:r>
        <w:rPr>
          <w:rFonts w:ascii="Arial;Helvetica;Sans-Serif" w:hAnsi="Arial;Helvetica;Sans-Serif"/>
          <w:b w:val="false"/>
          <w:i w:val="false"/>
          <w:caps w:val="false"/>
          <w:smallCaps w:val="false"/>
          <w:sz w:val="15"/>
        </w:rPr>
        <w:t>2026 PROXY STATEMENT    </w:t>
      </w:r>
      <w:r>
        <w:rPr>
          <w:rFonts w:ascii="Arial;Helvetica;Sans-Serif" w:hAnsi="Arial;Helvetica;Sans-Serif"/>
          <w:b/>
          <w:i w:val="false"/>
          <w:caps w:val="false"/>
          <w:smallCaps w:val="false"/>
          <w:sz w:val="15"/>
        </w:rPr>
        <w:t>93</w:t>
      </w:r>
    </w:p>
    <w:p>
      <w:pPr>
        <w:pStyle w:val="HorizontalLine"/>
        <w:pBdr>
          <w:bottom w:val="double" w:sz="2" w:space="0" w:color="808080"/>
        </w:pBdr>
        <w:bidi w:val="0"/>
        <w:spacing w:before="0" w:after="283"/>
        <w:jc w:val="left"/>
        <w:rPr/>
      </w:pPr>
      <w:r>
        <w:rPr/>
      </w:r>
    </w:p>
    <w:p>
      <w:pPr>
        <w:pStyle w:val="TextBody"/>
        <w:bidi w:val="0"/>
        <w:spacing w:before="200" w:after="200"/>
        <w:jc w:val="left"/>
        <w:rPr/>
      </w:pPr>
      <w:hyperlink w:anchor="toc">
        <w:r>
          <w:rPr>
            <w:rStyle w:val="InternetLink"/>
            <w:rFonts w:ascii="Arial;Helvetica;Sans-Serif" w:hAnsi="Arial;Helvetica;Sans-Serif"/>
            <w:b/>
            <w:i w:val="false"/>
            <w:caps w:val="false"/>
            <w:smallCaps w:val="false"/>
            <w:sz w:val="16"/>
          </w:rPr>
          <w:t>Table of Contents</w:t>
        </w:r>
      </w:hyperlink>
    </w:p>
    <w:p>
      <w:pPr>
        <w:pStyle w:val="TextBody"/>
        <w:bidi w:val="0"/>
        <w:spacing w:before="0" w:after="0"/>
        <w:jc w:val="left"/>
        <w:rPr>
          <w:rFonts w:ascii="Arial;Helvetica;Sans-Serif" w:hAnsi="Arial;Helvetica;Sans-Serif"/>
          <w:b/>
          <w:i w:val="false"/>
          <w:caps w:val="false"/>
          <w:smallCaps w:val="false"/>
          <w:color w:val="C12E33"/>
          <w:sz w:val="15"/>
        </w:rPr>
      </w:pPr>
      <w:r>
        <w:rPr>
          <w:rFonts w:ascii="Arial;Helvetica;Sans-Serif" w:hAnsi="Arial;Helvetica;Sans-Serif"/>
          <w:b/>
          <w:i w:val="false"/>
          <w:caps w:val="false"/>
          <w:smallCaps w:val="false"/>
          <w:color w:val="C12E33"/>
          <w:sz w:val="15"/>
        </w:rPr>
        <w:t>FREQUENTLY ASKED QUESTIONS ABOUT THE ANNUAL MEETING</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HOW MAY THE COMPANY SOLICIT MY PROXY?</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will pay the cost of soliciting proxies. Proxies may be solicited on behalf of RTX by directors, officers or employees of RTX in person or by telephone, facsimile or other electronic means. We have retained D.F. King &amp; Co., Inc. (“D.F. King”) to assist in the distribution and solicitation of proxies. Based on our agreement with D.F. King, we anticipate paying fees ranging from approximately $35,000 up to approximately $100,000, plus out-of-pocket expenses, for these services, depending upon the extent of proxy solicitation efforts undertaken.</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As required by the SEC and the NYSE, we also will reimburse brokerage firms and other custodians, nominees and fiduciaries for their expenses incurred in sending proxies and proxy materials to beneficial owners of our Common Stock.</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WHY DID I RECEIVE A NOTICE OF INTERNET AVAILABILITY?</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To conserve natural resources and reduce costs, we are sending most shareowners a notice of internet availability of proxy materials, as permitted by SEC rules. The notice of internet availability of proxy materials explains how you can access RTX’s proxy materials on the internet and how to obtain printed copies if you prefer. It also explains how you can choose either electronic or print delivery of proxy materials for future annual meetings.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HOW CAN I RECEIVE MY PROXY MATERIALS ELECTRONICALLY?</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To conserve resources and reduce costs, we encourage shareowners to access their proxy materials electronically.</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If you are a registered shareowner, you can sign up at </w:t>
      </w:r>
      <w:r>
        <w:rPr>
          <w:rFonts w:ascii="Arial;Helvetica;Sans-Serif" w:hAnsi="Arial;Helvetica;Sans-Serif"/>
          <w:b w:val="false"/>
          <w:i w:val="false"/>
          <w:caps w:val="false"/>
          <w:smallCaps w:val="false"/>
          <w:color w:val="C12E33"/>
          <w:sz w:val="20"/>
          <w:u w:val="single"/>
        </w:rPr>
        <w:t>https://landing.computershare.com/green</w:t>
      </w:r>
      <w:r>
        <w:rPr>
          <w:rFonts w:ascii="Arial;Helvetica;Sans-Serif" w:hAnsi="Arial;Helvetica;Sans-Serif"/>
          <w:b w:val="false"/>
          <w:i w:val="false"/>
          <w:caps w:val="false"/>
          <w:smallCaps w:val="false"/>
          <w:sz w:val="20"/>
        </w:rPr>
        <w:t> to get electronic access to proxy materials for future meetings, rather than receiving them in the mail. Once you sign up, you will receive an email each year explaining how to access RTX’s Annual Report and Proxy Statement, and how to vote online. Your enrollment for electronic access will remain in effect unless you cancel it, which you can do up to two weeks before the record date for any future annual meeting.</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If you are a beneficial shareowner, you may obtain electronic access to proxy materials by contacting your bank, brokerage firm or other intermediary, or by contacting Broadridge at </w:t>
      </w:r>
      <w:r>
        <w:rPr>
          <w:rFonts w:ascii="Arial;Helvetica;Sans-Serif" w:hAnsi="Arial;Helvetica;Sans-Serif"/>
          <w:b w:val="false"/>
          <w:i w:val="false"/>
          <w:caps w:val="false"/>
          <w:smallCaps w:val="false"/>
          <w:color w:val="C12E33"/>
          <w:sz w:val="20"/>
          <w:u w:val="single"/>
        </w:rPr>
        <w:t>https://enroll.icsdelivery.com/rtx</w:t>
      </w:r>
      <w:r>
        <w:rPr>
          <w:rFonts w:ascii="Arial;Helvetica;Sans-Serif" w:hAnsi="Arial;Helvetica;San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WHAT IF I SHARE THE SAME ADDRESS AS ANOTHER RTX SHAREOWNER?</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If you share an address with one or more other RTX shareowners, you may have received only a single copy of the Annual Report, Proxy Statement or notice of internet availability of proxy materials for your entire household. This practice, known as “householding,” is intended to conserve resources and reduce printing and mailing costs.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If you are a registered shareowner and you prefer to receive a separate Annual Report, Proxy Statement or notice of internet availability of proxy materials this year or in the future, or if you are receiving multiple copies at your address and would like to enroll in “householding” and receive a single copy, please contact Computershare at 1-800-488-9281. If you are a beneficial shareowner, please contact your bank, brokerage firm or other intermediary to make your request. There is no charge for separate copies.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HOW CAN I RECEIVE A COPY OF THE COMPANY’S 2025 ANNUAL REPORT ON FORM 10-K?</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RTX will provide, without charge, a copy of the Annual Report on Form 10-K to any shareowner upon a request directed to the RTX Corporate Secretary (see page 95 for contact information).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HOW DO I SUBMIT PROPOSALS AND NOMINATIONS FOR THE 2027 ANNUAL MEETING?</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Shareowner Proposals.</w:t>
      </w:r>
      <w:r>
        <w:rPr>
          <w:rFonts w:ascii="Arial;Helvetica;Sans-Serif" w:hAnsi="Arial;Helvetica;Sans-Serif"/>
          <w:b w:val="false"/>
          <w:i w:val="false"/>
          <w:caps w:val="false"/>
          <w:smallCaps w:val="false"/>
          <w:sz w:val="20"/>
        </w:rPr>
        <w:t> To submit a shareowner proposal to be considered for inclusion in RTX’s Proxy Statement for the 2027 Annual Meeting under SEC Rule 14a-8, you must send the proposal to our Corporate Secretary. The Corporate Secretary must receive the proposal in writing by close of the Company’s regular business hours at 5:00 p.m. Eastern time on November 9, 2026.</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15"/>
        </w:rPr>
      </w:pPr>
      <w:r>
        <w:rPr>
          <w:rFonts w:ascii="Arial;Helvetica;Sans-Serif" w:hAnsi="Arial;Helvetica;Sans-Serif"/>
          <w:b/>
          <w:i w:val="false"/>
          <w:caps w:val="false"/>
          <w:smallCaps w:val="false"/>
          <w:sz w:val="15"/>
        </w:rPr>
        <w:t xml:space="preserve">94    RTX </w:t>
      </w:r>
      <w:r>
        <w:rPr>
          <w:rFonts w:ascii="Arial;Helvetica;Sans-Serif" w:hAnsi="Arial;Helvetica;Sans-Serif"/>
          <w:b w:val="false"/>
          <w:i w:val="false"/>
          <w:caps w:val="false"/>
          <w:smallCaps w:val="false"/>
          <w:sz w:val="15"/>
        </w:rPr>
        <w:t>2026 PROXY STATEMENT</w:t>
      </w:r>
    </w:p>
    <w:p>
      <w:pPr>
        <w:pStyle w:val="HorizontalLine"/>
        <w:pBdr>
          <w:bottom w:val="double" w:sz="2" w:space="0" w:color="808080"/>
        </w:pBdr>
        <w:bidi w:val="0"/>
        <w:spacing w:before="0" w:after="283"/>
        <w:jc w:val="left"/>
        <w:rPr/>
      </w:pPr>
      <w:r>
        <w:rPr/>
      </w:r>
    </w:p>
    <w:p>
      <w:pPr>
        <w:pStyle w:val="TextBody"/>
        <w:bidi w:val="0"/>
        <w:spacing w:before="200" w:after="200"/>
        <w:jc w:val="left"/>
        <w:rPr/>
      </w:pPr>
      <w:hyperlink w:anchor="toc">
        <w:r>
          <w:rPr>
            <w:rStyle w:val="InternetLink"/>
            <w:rFonts w:ascii="Arial;Helvetica;Sans-Serif" w:hAnsi="Arial;Helvetica;Sans-Serif"/>
            <w:b/>
            <w:i w:val="false"/>
            <w:caps w:val="false"/>
            <w:smallCaps w:val="false"/>
            <w:sz w:val="16"/>
          </w:rPr>
          <w:t>Table of Contents</w:t>
        </w:r>
      </w:hyperlink>
    </w:p>
    <w:p>
      <w:pPr>
        <w:pStyle w:val="TextBody"/>
        <w:bidi w:val="0"/>
        <w:spacing w:before="0" w:after="0"/>
        <w:jc w:val="right"/>
        <w:rPr>
          <w:rFonts w:ascii="Arial;Helvetica;Sans-Serif" w:hAnsi="Arial;Helvetica;Sans-Serif"/>
          <w:b/>
          <w:i w:val="false"/>
          <w:caps w:val="false"/>
          <w:smallCaps w:val="false"/>
          <w:color w:val="C12E33"/>
          <w:sz w:val="15"/>
        </w:rPr>
      </w:pPr>
      <w:r>
        <w:rPr>
          <w:rFonts w:ascii="Arial;Helvetica;Sans-Serif" w:hAnsi="Arial;Helvetica;Sans-Serif"/>
          <w:b/>
          <w:i w:val="false"/>
          <w:caps w:val="false"/>
          <w:smallCaps w:val="false"/>
          <w:color w:val="C12E33"/>
          <w:sz w:val="15"/>
        </w:rPr>
        <w:t>FREQUENTLY ASKED QUESTIONS ABOUT THE ANNUAL MEETING</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To introduce a proposal for vote at the 2027 Annual Meeting (other than a shareowner proposal included in the Proxy Statement in accordance with SEC Rule 14a-8), RTX’s Bylaws require that the shareowner send advance written notice to the RTX Corporate Secretary for receipt no earlier than close of the Company’s regular business hours at 5:00 p.m. Eastern time on December 31, 2026, and no later than close of the Company’s regular business hours at 5:00 p.m. Eastern time on February 1, 2027. This notice must include the information specified by Section 1.10 of the Bylaws, a copy of which is available on our website at </w:t>
      </w:r>
      <w:r>
        <w:rPr>
          <w:rFonts w:ascii="Arial;Helvetica;Sans-Serif" w:hAnsi="Arial;Helvetica;Sans-Serif"/>
          <w:b w:val="false"/>
          <w:i w:val="false"/>
          <w:caps w:val="false"/>
          <w:smallCaps w:val="false"/>
          <w:color w:val="C12E33"/>
          <w:sz w:val="20"/>
          <w:u w:val="single"/>
        </w:rPr>
        <w:t>www.rtx.com</w:t>
      </w:r>
      <w:r>
        <w:rPr>
          <w:rFonts w:ascii="Arial;Helvetica;Sans-Serif" w:hAnsi="Arial;Helvetica;San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Director Nominations at the 2027 Annual Meeting.</w:t>
      </w:r>
      <w:r>
        <w:rPr>
          <w:rFonts w:ascii="Arial;Helvetica;Sans-Serif" w:hAnsi="Arial;Helvetica;Sans-Serif"/>
          <w:b w:val="false"/>
          <w:i w:val="false"/>
          <w:caps w:val="false"/>
          <w:smallCaps w:val="false"/>
          <w:sz w:val="20"/>
        </w:rPr>
        <w:t> RTX’s Bylaws require that a shareowner who wishes to nominate a candidate for election as a director at the 2027 Annual Meeting (other than pursuant to the “proxy access” provisions of Section 1.12 of the Bylaws) must send advance written notice to the RTX Corporate Secretary for receipt no earlier than close of the Company’s regular business hours at 5:00 p.m. Eastern time on December 31, 2026, and no later than close of the Company’s regular business hours at 5:00 p.m. Eastern time on February 1, 2027. This notice must include the information, documents and agreements specified by Section 1.12 of the Bylaws, a copy of which is available on our website at </w:t>
      </w:r>
      <w:r>
        <w:rPr>
          <w:rFonts w:ascii="Arial;Helvetica;Sans-Serif" w:hAnsi="Arial;Helvetica;Sans-Serif"/>
          <w:b w:val="false"/>
          <w:i w:val="false"/>
          <w:caps w:val="false"/>
          <w:smallCaps w:val="false"/>
          <w:color w:val="C12E33"/>
          <w:sz w:val="20"/>
          <w:u w:val="single"/>
        </w:rPr>
        <w:t>www.rtx.com</w:t>
      </w:r>
      <w:r>
        <w:rPr>
          <w:rFonts w:ascii="Arial;Helvetica;Sans-Serif" w:hAnsi="Arial;Helvetica;San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Director Nominations by Proxy Access.</w:t>
      </w:r>
      <w:r>
        <w:rPr>
          <w:rFonts w:ascii="Arial;Helvetica;Sans-Serif" w:hAnsi="Arial;Helvetica;Sans-Serif"/>
          <w:b w:val="false"/>
          <w:i w:val="false"/>
          <w:caps w:val="false"/>
          <w:smallCaps w:val="false"/>
          <w:sz w:val="20"/>
        </w:rPr>
        <w:t> RTX’s Bylaws require that an eligible shareowner who wishes to have a nominee of that shareowner included in RTX’s proxy materials for the 2027 Annual Meeting pursuant to the “proxy access” provisions of Section 1.12 of our Bylaws send advance written notice to the RTX Corporate Secretary for receipt no earlier than close of the Company’s regular business hours at 5:00 p.m. Eastern time on October 9, 2026, and no later than close of the Company’s regular business hours at 5:00 p.m. Eastern time on November 9, 2026. This notice must include the information, documents and agreements specified by Section 1.12 of the Bylaws, a copy of which is available on our website at </w:t>
      </w:r>
      <w:r>
        <w:rPr>
          <w:rFonts w:ascii="Arial;Helvetica;Sans-Serif" w:hAnsi="Arial;Helvetica;Sans-Serif"/>
          <w:b w:val="false"/>
          <w:i w:val="false"/>
          <w:caps w:val="false"/>
          <w:smallCaps w:val="false"/>
          <w:color w:val="C12E33"/>
          <w:sz w:val="20"/>
          <w:u w:val="single"/>
        </w:rPr>
        <w:t>www.rtx.com</w:t>
      </w:r>
      <w:r>
        <w:rPr>
          <w:rFonts w:ascii="Arial;Helvetica;Sans-Serif" w:hAnsi="Arial;Helvetica;San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HOW DO I CONTACT THE CORPORATE SECRETARY’S OFFICE?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Shareowners may contact RTX’s Corporate Secretary’s Office by one of the two methods shown below:</w:t>
      </w:r>
    </w:p>
    <w:p>
      <w:pPr>
        <w:pStyle w:val="TextBody"/>
        <w:bidi w:val="0"/>
        <w:spacing w:before="0" w:after="0"/>
        <w:jc w:val="left"/>
        <w:rPr>
          <w:caps w:val="false"/>
          <w:smallCaps w:val="false"/>
        </w:rPr>
      </w:pPr>
      <w:r>
        <w:rPr>
          <w:caps w:val="false"/>
          <w:smallCaps w:val="false"/>
        </w:rPr>
        <w:t> </w:t>
      </w:r>
    </w:p>
    <w:tbl>
      <w:tblPr>
        <w:tblW w:w="4000" w:type="dxa"/>
        <w:jc w:val="left"/>
        <w:tblInd w:w="0" w:type="dxa"/>
        <w:tblLayout w:type="fixed"/>
        <w:tblCellMar>
          <w:top w:w="0" w:type="dxa"/>
          <w:left w:w="0" w:type="dxa"/>
          <w:bottom w:w="40" w:type="dxa"/>
          <w:right w:w="0" w:type="dxa"/>
        </w:tblCellMar>
      </w:tblPr>
      <w:tblGrid>
        <w:gridCol w:w="1520"/>
        <w:gridCol w:w="2480"/>
      </w:tblGrid>
      <w:tr>
        <w:trPr/>
        <w:tc>
          <w:tcPr>
            <w:tcW w:w="1520" w:type="dxa"/>
            <w:tcBorders>
              <w:bottom w:val="single" w:sz="12" w:space="0" w:color="C12E33"/>
            </w:tcBorders>
            <w:vAlign w:val="center"/>
          </w:tcPr>
          <w:p>
            <w:pPr>
              <w:pStyle w:val="TableContents"/>
              <w:bidi w:val="0"/>
              <w:spacing w:before="0" w:after="283"/>
              <w:jc w:val="left"/>
              <w:rPr>
                <w:color w:val="636466"/>
                <w:sz w:val="15"/>
              </w:rPr>
            </w:pPr>
            <w:r>
              <w:rPr>
                <w:color w:val="636466"/>
                <w:sz w:val="15"/>
              </w:rPr>
              <w:t>Communication Method</w:t>
            </w:r>
          </w:p>
        </w:tc>
        <w:tc>
          <w:tcPr>
            <w:tcW w:w="2480" w:type="dxa"/>
            <w:tcBorders>
              <w:bottom w:val="single" w:sz="12" w:space="0" w:color="C12E33"/>
            </w:tcBorders>
            <w:vAlign w:val="center"/>
          </w:tcPr>
          <w:p>
            <w:pPr>
              <w:pStyle w:val="TableContents"/>
              <w:bidi w:val="0"/>
              <w:spacing w:before="0" w:after="283"/>
              <w:jc w:val="left"/>
              <w:rPr>
                <w:color w:val="636466"/>
                <w:sz w:val="15"/>
              </w:rPr>
            </w:pPr>
            <w:r>
              <w:rPr>
                <w:color w:val="636466"/>
                <w:sz w:val="15"/>
              </w:rPr>
              <w:t>Contact Information</w:t>
            </w:r>
          </w:p>
        </w:tc>
      </w:tr>
      <w:tr>
        <w:trPr/>
        <w:tc>
          <w:tcPr>
            <w:tcW w:w="1520" w:type="dxa"/>
            <w:tcBorders>
              <w:bottom w:val="single" w:sz="2" w:space="0" w:color="000000"/>
            </w:tcBorders>
            <w:vAlign w:val="center"/>
          </w:tcPr>
          <w:p>
            <w:pPr>
              <w:pStyle w:val="TableContents"/>
              <w:bidi w:val="0"/>
              <w:spacing w:before="0" w:after="283"/>
              <w:jc w:val="left"/>
              <w:rPr/>
            </w:pPr>
            <w:r>
              <w:rPr/>
              <w:t>Write a letter</w:t>
            </w:r>
          </w:p>
        </w:tc>
        <w:tc>
          <w:tcPr>
            <w:tcW w:w="2480" w:type="dxa"/>
            <w:tcBorders>
              <w:bottom w:val="single" w:sz="2" w:space="0" w:color="000000"/>
            </w:tcBorders>
            <w:vAlign w:val="center"/>
          </w:tcPr>
          <w:p>
            <w:pPr>
              <w:pStyle w:val="TableContents"/>
              <w:bidi w:val="0"/>
              <w:spacing w:before="0" w:after="283"/>
              <w:jc w:val="left"/>
              <w:rPr/>
            </w:pPr>
            <w:r>
              <w:rPr/>
              <w:t>RTX Corporate Secretary</w:t>
              <w:br/>
              <w:t>RTX Corporation</w:t>
              <w:br/>
              <w:t>1000 Wilson Blvd.</w:t>
              <w:br/>
              <w:t>Arlington, VA 22209</w:t>
            </w:r>
          </w:p>
        </w:tc>
      </w:tr>
      <w:tr>
        <w:trPr/>
        <w:tc>
          <w:tcPr>
            <w:tcW w:w="1520" w:type="dxa"/>
            <w:tcBorders>
              <w:bottom w:val="single" w:sz="12" w:space="0" w:color="636466"/>
            </w:tcBorders>
            <w:vAlign w:val="center"/>
          </w:tcPr>
          <w:p>
            <w:pPr>
              <w:pStyle w:val="TableContents"/>
              <w:bidi w:val="0"/>
              <w:spacing w:before="0" w:after="283"/>
              <w:jc w:val="left"/>
              <w:rPr/>
            </w:pPr>
            <w:r>
              <w:rPr/>
              <w:t>Send an email</w:t>
            </w:r>
          </w:p>
        </w:tc>
        <w:tc>
          <w:tcPr>
            <w:tcW w:w="2480" w:type="dxa"/>
            <w:tcBorders>
              <w:bottom w:val="single" w:sz="12" w:space="0" w:color="636466"/>
            </w:tcBorders>
            <w:vAlign w:val="center"/>
          </w:tcPr>
          <w:p>
            <w:pPr>
              <w:pStyle w:val="TableContents"/>
              <w:bidi w:val="0"/>
              <w:spacing w:before="0" w:after="283"/>
              <w:jc w:val="left"/>
              <w:rPr/>
            </w:pPr>
            <w:r>
              <w:rPr/>
              <w:t>corpsec@rtx.com</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shd w:fill="EDEDEE" w:val="clear"/>
            <w:vAlign w:val="center"/>
          </w:tcPr>
          <w:p>
            <w:pPr>
              <w:pStyle w:val="TableContents"/>
              <w:bidi w:val="0"/>
              <w:spacing w:before="0" w:after="283"/>
              <w:jc w:val="left"/>
              <w:rPr>
                <w:b/>
              </w:rPr>
            </w:pPr>
            <w:r>
              <w:rPr>
                <w:b/>
              </w:rPr>
              <w:t>Our Bylaws</w:t>
            </w:r>
            <w:r>
              <w:rPr>
                <w:b/>
                <w:color w:val="C12E33"/>
              </w:rPr>
              <w:t> </w:t>
            </w:r>
            <w:r>
              <w:rPr>
                <w:b/>
              </w:rPr>
              <w:t>and other governance documents are available under the Corporate Governance section of the Company website at </w:t>
            </w:r>
            <w:r>
              <w:rPr>
                <w:b/>
                <w:u w:val="single"/>
              </w:rPr>
              <w:t>www.rtx.com</w:t>
            </w:r>
            <w:r>
              <w:rPr>
                <w:b/>
              </w:rPr>
              <w: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right"/>
        <w:rPr>
          <w:rFonts w:ascii="Arial;Helvetica;Sans-Serif" w:hAnsi="Arial;Helvetica;Sans-Serif"/>
          <w:b w:val="false"/>
          <w:i w:val="false"/>
          <w:caps w:val="false"/>
          <w:smallCaps w:val="false"/>
          <w:sz w:val="15"/>
        </w:rPr>
      </w:pPr>
      <w:r>
        <w:rPr>
          <w:rFonts w:ascii="Arial;Helvetica;Sans-Serif" w:hAnsi="Arial;Helvetica;Sans-Serif"/>
          <w:b/>
          <w:i w:val="false"/>
          <w:caps w:val="false"/>
          <w:smallCaps w:val="false"/>
          <w:sz w:val="15"/>
        </w:rPr>
        <w:t xml:space="preserve">RTX </w:t>
      </w:r>
      <w:r>
        <w:rPr>
          <w:rFonts w:ascii="Arial;Helvetica;Sans-Serif" w:hAnsi="Arial;Helvetica;Sans-Serif"/>
          <w:b w:val="false"/>
          <w:i w:val="false"/>
          <w:caps w:val="false"/>
          <w:smallCaps w:val="false"/>
          <w:sz w:val="15"/>
        </w:rPr>
        <w:t>2026 PROXY STATEMENT    </w:t>
      </w:r>
      <w:r>
        <w:rPr>
          <w:rFonts w:ascii="Arial;Helvetica;Sans-Serif" w:hAnsi="Arial;Helvetica;Sans-Serif"/>
          <w:b/>
          <w:i w:val="false"/>
          <w:caps w:val="false"/>
          <w:smallCaps w:val="false"/>
          <w:sz w:val="15"/>
        </w:rPr>
        <w:t>95</w:t>
      </w:r>
    </w:p>
    <w:p>
      <w:pPr>
        <w:pStyle w:val="HorizontalLine"/>
        <w:pBdr>
          <w:bottom w:val="double" w:sz="2" w:space="0" w:color="808080"/>
        </w:pBdr>
        <w:bidi w:val="0"/>
        <w:spacing w:before="0" w:after="283"/>
        <w:jc w:val="left"/>
        <w:rPr/>
      </w:pPr>
      <w:r>
        <w:rPr/>
      </w:r>
    </w:p>
    <w:p>
      <w:pPr>
        <w:pStyle w:val="TextBody"/>
        <w:bidi w:val="0"/>
        <w:spacing w:before="200" w:after="200"/>
        <w:jc w:val="left"/>
        <w:rPr/>
      </w:pPr>
      <w:hyperlink w:anchor="toc">
        <w:r>
          <w:rPr>
            <w:rStyle w:val="InternetLink"/>
            <w:rFonts w:ascii="Arial;Helvetica;Sans-Serif" w:hAnsi="Arial;Helvetica;Sans-Serif"/>
            <w:b/>
            <w:i w:val="false"/>
            <w:caps w:val="false"/>
            <w:smallCaps w:val="false"/>
            <w:sz w:val="16"/>
          </w:rPr>
          <w:t>Table of Contents</w:t>
        </w:r>
      </w:hyperlink>
    </w:p>
    <w:p>
      <w:pPr>
        <w:pStyle w:val="TextBody"/>
        <w:bidi w:val="0"/>
        <w:spacing w:before="0" w:after="0"/>
        <w:jc w:val="left"/>
        <w:rPr>
          <w:rFonts w:ascii="Arial;Helvetica;Sans-Serif" w:hAnsi="Arial;Helvetica;Sans-Serif"/>
          <w:b/>
          <w:i w:val="false"/>
          <w:caps w:val="false"/>
          <w:smallCaps w:val="false"/>
          <w:sz w:val="56"/>
        </w:rPr>
      </w:pPr>
      <w:bookmarkStart w:id="263" w:name="rtx014050a024"/>
      <w:bookmarkEnd w:id="263"/>
      <w:r>
        <w:rPr>
          <w:rFonts w:ascii="Arial;Helvetica;Sans-Serif" w:hAnsi="Arial;Helvetica;Sans-Serif"/>
          <w:b/>
          <w:i w:val="false"/>
          <w:caps w:val="false"/>
          <w:smallCaps w:val="false"/>
          <w:sz w:val="56"/>
        </w:rPr>
        <w:t>Other Important Information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 xml:space="preserve">Cautionary Note Concerning Factors That May Affect Future Results. </w:t>
      </w:r>
      <w:r>
        <w:rPr>
          <w:rFonts w:ascii="Arial;Helvetica;Sans-Serif" w:hAnsi="Arial;Helvetica;Sans-Serif"/>
          <w:b w:val="false"/>
          <w:i w:val="false"/>
          <w:caps w:val="false"/>
          <w:smallCaps w:val="false"/>
          <w:sz w:val="20"/>
        </w:rPr>
        <w:t>This Proxy Statement contains statements which, to the extent they are not statements of historical or present fact, constitute “forward-looking statements” under the securities laws. These forward-looking statements are intended to provide management’s current expectations or plans for our future operating and financial performance, based on assumptions currently believed to be valid, and are not statements of historical fact. Forward-looking statements can be identified by the use of words such as “believe,” “expect,” “expectations,” “plans,” “strategy,” “prospects,” “estimate,” “project,” “target,” “commit,” “commitment,” “anticipate,” “will,” “should,” “see,” “guidance,” “outlook,” “goals,” “objectives,” “confident,” “on track,” “designed to,” and other words of similar meaning. Forward-looking statements may include, among other things, statements relating to future sales, earnings, cash flow, results of operations, uses of cash, share repurchases, tax payments and rates, research and development spending, cost savings, other measures of financial performance, potential future plans, strategies or transactions, credit ratings and net indebtedness, a rare condition in powder metal used to manufacture certain engine parts requiring accelerated inspection of the PW1100G-JM Geared Turbofan fleet, which powers the A320neo family of aircraft (the “Powder Metal Matter”), and related matters and activities, including without limitation other engine models that may be impacted, targets and commitments (including for share repurchases or otherwise), and other statements which are not solely historical facts. All forward-looking statements involve risks, uncertainties, changes in circumstances, and other factors that are hard to predict, and each of which may cause actual results to differ materially from those expressed or implied in the forward-looking statements. For those statements, we claim the protection of the safe harbor for forward-looking statements contained in the U.S. Private Securities Litigation Reform Act of 1995, as amended. Such risks, uncertainties, and other factors include, without limitation:</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pPr>
            <w:r>
              <w:rPr/>
              <w:t>changes in economic, capital market, and political conditions in the U.S. and globally;</w:t>
            </w:r>
          </w:p>
        </w:tc>
      </w:tr>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pPr>
            <w:r>
              <w:rPr/>
              <w:t>changes in U.S. government defense spending, national priorities, and policy positions;</w:t>
            </w:r>
          </w:p>
        </w:tc>
      </w:tr>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pPr>
            <w:r>
              <w:rPr/>
              <w:t>our performance on our contracts and programs, including our ability to control costs, and our dependence on U.S. government approvals for certain international contracts;</w:t>
            </w:r>
          </w:p>
        </w:tc>
      </w:tr>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pPr>
            <w:r>
              <w:rPr/>
              <w:t>challenges in the development, certification, production, delivery, support, and performance of RTX’s advanced technologies and new products and services and the realization of anticipated benefits;</w:t>
            </w:r>
          </w:p>
        </w:tc>
      </w:tr>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pPr>
            <w:r>
              <w:rPr/>
              <w:t>the challenges of operating in RTX’s highly competitive industries both domestically and abroad;</w:t>
            </w:r>
          </w:p>
        </w:tc>
      </w:tr>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pPr>
            <w:r>
              <w:rPr/>
              <w:t>our reliance on U.S. and non-U.S. suppliers and commodity markets, including cost increases and disruptions in the delivery of materials and services to RTX or our suppliers;</w:t>
            </w:r>
          </w:p>
        </w:tc>
      </w:tr>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pPr>
            <w:r>
              <w:rPr/>
              <w:t>changes in trade policies, implementation of sanctions, imposition of tariffs (and counter-tariffs), and other trade measures and restrictions, foreign currency fluctuations, and sales methods;</w:t>
            </w:r>
          </w:p>
        </w:tc>
      </w:tr>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pPr>
            <w:r>
              <w:rPr/>
              <w:t>the economic condition of the aerospace industry;</w:t>
            </w:r>
          </w:p>
        </w:tc>
      </w:tr>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pPr>
            <w:r>
              <w:rPr/>
              <w:t>the ability of RTX to attract, train, qualify, and retain qualified personnel and maintain its culture and high ethical standards, and the ability of our personnel to continue to operate our facilities and businesses around the world;</w:t>
            </w:r>
          </w:p>
        </w:tc>
      </w:tr>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pPr>
            <w:r>
              <w:rPr/>
              <w:t>the scope, nature, timing, and challenges of managing and completing acquisitions, investments, divestitures, and other transactions;</w:t>
            </w:r>
          </w:p>
        </w:tc>
      </w:tr>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pPr>
            <w:r>
              <w:rPr/>
              <w:t>compliance with legal, environmental, regulatory, and other requirements in the U.S. and other countries in which RTX and its businesses operate;</w:t>
            </w:r>
          </w:p>
        </w:tc>
      </w:tr>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pPr>
            <w:r>
              <w:rPr/>
              <w:t>pending, threatened, and future legal proceedings, investigations, audits, and other contingencies;</w:t>
            </w:r>
          </w:p>
        </w:tc>
      </w:tr>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pPr>
            <w:r>
              <w:rPr/>
              <w:t>the previously disclosed deferred prosecution agreements entered into between the Company and the Department of Justice (“DOJ”), the Securities and Exchange Commission (“SEC”) administrative order imposed on the Company, and the related investigations by the SEC and DOJ, and the consent agreement between the Company and the Department of State;</w:t>
            </w:r>
          </w:p>
        </w:tc>
      </w:tr>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pPr>
            <w:r>
              <w:rPr/>
              <w:t>RTX’s ability to engage in desirable capital-raising or strategic transactions;</w:t>
            </w:r>
          </w:p>
        </w:tc>
      </w:tr>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pPr>
            <w:r>
              <w:rPr/>
              <w:t>repurchases by RTX of its common stock, or declarations of cash dividends, which may be discontinued, accelerated, suspended, or delayed at any time due to various factors;</w:t>
            </w:r>
          </w:p>
        </w:tc>
      </w:tr>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pPr>
            <w:r>
              <w:rPr/>
              <w:t>realizing expected benefits from, incurring costs for, and successfully managing strategic initiatives such as cost reduction, restructuring, digital transformation, and other operational initiatives;</w:t>
            </w:r>
          </w:p>
        </w:tc>
      </w:tr>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pPr>
            <w:r>
              <w:rPr/>
              <w:t>additional tax exposures due to new tax legislation or other developments in the U.S. and other countries in which RTX and its businesses operate;</w:t>
            </w:r>
          </w:p>
        </w:tc>
      </w:tr>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pPr>
            <w:r>
              <w:rPr/>
              <w:t>the Powder Metal Matter;</w:t>
            </w:r>
          </w:p>
        </w:tc>
      </w:tr>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pPr>
            <w:r>
              <w:rPr/>
              <w:t>changes in production volumes of one or more of our significant customers as a result of business, labor, or other challenges, and the resulting effect on its or their demand for our products and services;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15"/>
        </w:rPr>
      </w:pPr>
      <w:r>
        <w:rPr>
          <w:rFonts w:ascii="Arial;Helvetica;Sans-Serif" w:hAnsi="Arial;Helvetica;Sans-Serif"/>
          <w:b/>
          <w:i w:val="false"/>
          <w:caps w:val="false"/>
          <w:smallCaps w:val="false"/>
          <w:sz w:val="15"/>
        </w:rPr>
        <w:t xml:space="preserve">96    RTX </w:t>
      </w:r>
      <w:r>
        <w:rPr>
          <w:rFonts w:ascii="Arial;Helvetica;Sans-Serif" w:hAnsi="Arial;Helvetica;Sans-Serif"/>
          <w:b w:val="false"/>
          <w:i w:val="false"/>
          <w:caps w:val="false"/>
          <w:smallCaps w:val="false"/>
          <w:sz w:val="15"/>
        </w:rPr>
        <w:t>2026 PROXY STATEMENT</w:t>
      </w:r>
    </w:p>
    <w:p>
      <w:pPr>
        <w:pStyle w:val="HorizontalLine"/>
        <w:pBdr>
          <w:bottom w:val="double" w:sz="2" w:space="0" w:color="808080"/>
        </w:pBdr>
        <w:bidi w:val="0"/>
        <w:spacing w:before="0" w:after="283"/>
        <w:jc w:val="left"/>
        <w:rPr/>
      </w:pPr>
      <w:r>
        <w:rPr/>
      </w:r>
    </w:p>
    <w:p>
      <w:pPr>
        <w:pStyle w:val="TextBody"/>
        <w:bidi w:val="0"/>
        <w:spacing w:before="200" w:after="200"/>
        <w:jc w:val="left"/>
        <w:rPr/>
      </w:pPr>
      <w:hyperlink w:anchor="toc">
        <w:r>
          <w:rPr>
            <w:rStyle w:val="InternetLink"/>
            <w:rFonts w:ascii="Arial;Helvetica;Sans-Serif" w:hAnsi="Arial;Helvetica;Sans-Serif"/>
            <w:b/>
            <w:i w:val="false"/>
            <w:caps w:val="false"/>
            <w:smallCaps w:val="false"/>
            <w:sz w:val="16"/>
          </w:rPr>
          <w:t>Table of Contents</w:t>
        </w:r>
      </w:hyperlink>
    </w:p>
    <w:p>
      <w:pPr>
        <w:pStyle w:val="TextBody"/>
        <w:bidi w:val="0"/>
        <w:spacing w:before="0" w:after="0"/>
        <w:jc w:val="right"/>
        <w:rPr>
          <w:rFonts w:ascii="Arial;Helvetica;Sans-Serif" w:hAnsi="Arial;Helvetica;Sans-Serif"/>
          <w:b/>
          <w:i w:val="false"/>
          <w:caps w:val="false"/>
          <w:smallCaps w:val="false"/>
          <w:color w:val="C12E33"/>
          <w:sz w:val="15"/>
        </w:rPr>
      </w:pPr>
      <w:r>
        <w:rPr>
          <w:rFonts w:ascii="Arial;Helvetica;Sans-Serif" w:hAnsi="Arial;Helvetica;Sans-Serif"/>
          <w:b/>
          <w:i w:val="false"/>
          <w:caps w:val="false"/>
          <w:smallCaps w:val="false"/>
          <w:color w:val="C12E33"/>
          <w:sz w:val="15"/>
        </w:rPr>
        <w:t>OTHER IMPORTANT INFORMATION</w:t>
      </w:r>
    </w:p>
    <w:p>
      <w:pPr>
        <w:pStyle w:val="TextBody"/>
        <w:bidi w:val="0"/>
        <w:spacing w:before="0" w:after="0"/>
        <w:jc w:val="right"/>
        <w:rPr>
          <w:caps w:val="false"/>
          <w:smallCaps w:val="false"/>
          <w:color w:val="C12E33"/>
        </w:rPr>
      </w:pPr>
      <w:r>
        <w:rPr>
          <w:caps w:val="false"/>
          <w:smallCaps w:val="false"/>
          <w:color w:val="C12E33"/>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pPr>
            <w:r>
              <w:rPr/>
              <w:t>an RTX product safety failure, quality issue, or other failure affecting RTX’s or its customers’ or suppliers’ products or systems;</w:t>
            </w:r>
          </w:p>
        </w:tc>
      </w:tr>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pPr>
            <w:r>
              <w:rPr/>
              <w:t>cybersecurity, including cyber-attacks on RTX’s information technology (IT) infrastructure, products, suppliers, customers and partners, and cybersecurity-related regulations;</w:t>
            </w:r>
          </w:p>
        </w:tc>
      </w:tr>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pPr>
            <w:r>
              <w:rPr/>
              <w:t>insufficient indemnity or insurance coverage;</w:t>
            </w:r>
          </w:p>
        </w:tc>
      </w:tr>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pPr>
            <w:r>
              <w:rPr/>
              <w:t>our intellectual property and certain third-party intellectual property;</w:t>
            </w:r>
          </w:p>
        </w:tc>
      </w:tr>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pPr>
            <w:r>
              <w:rPr/>
              <w:t>threats to RTX facilities and personnel, or those of its suppliers or customers, as well as public health crises, damaging weather, acts of nature, or other similar events outside of RTX’s control that may affect RTX or its suppliers or customers;</w:t>
            </w:r>
          </w:p>
        </w:tc>
      </w:tr>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pPr>
            <w:r>
              <w:rPr/>
              <w:t>changes in accounting estimates for our programs on our financial results;</w:t>
            </w:r>
          </w:p>
        </w:tc>
      </w:tr>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pPr>
            <w:r>
              <w:rPr/>
              <w:t>changes in pension and other postretirement plan estimates and assumptions and contributions;</w:t>
            </w:r>
          </w:p>
        </w:tc>
      </w:tr>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pPr>
            <w:r>
              <w:rPr/>
              <w:t>an impairment of goodwill and other intangible assets; and</w:t>
            </w:r>
          </w:p>
        </w:tc>
      </w:tr>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pPr>
            <w:r>
              <w:rPr/>
              <w:t>climate change and climate-related regulations, and any related customer and market demands, products, and technologies.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 addition, our 2025 Annual Report on Form 10-K includes important information as to risks, uncertainties, and other factors that may cause actual results to differ materially from those expressed or implied in the forward-looking statements. The forward-looking statements speak only as of the date of this Proxy Statement or, in the case of any document incorporated by reference, the date of that document. We undertake no obligation to publicly update or revise any forward-looking statements, whether as a result of new information, future events or otherwise, except as required by applicable law. Additional information as to factors that may cause actual results to differ materially from those expressed or implied in the forward-looking statements is disclosed from time to time in our other filings with the SEC.</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 xml:space="preserve">Corporate Governance Information, our Code of Conduct and How to Contact the Board. </w:t>
      </w:r>
      <w:r>
        <w:rPr>
          <w:rFonts w:ascii="Arial;Helvetica;Sans-Serif" w:hAnsi="Arial;Helvetica;Sans-Serif"/>
          <w:b w:val="false"/>
          <w:i w:val="false"/>
          <w:caps w:val="false"/>
          <w:smallCaps w:val="false"/>
          <w:sz w:val="20"/>
        </w:rPr>
        <w:t>RTX’s Corporate Governance Guidelines (and related documents), the charters for each Board Committee and RTX’s Code of Conduct are available on RTX’s website (</w:t>
      </w:r>
      <w:r>
        <w:rPr>
          <w:rFonts w:ascii="Arial;Helvetica;Sans-Serif" w:hAnsi="Arial;Helvetica;Sans-Serif"/>
          <w:b w:val="false"/>
          <w:i w:val="false"/>
          <w:caps w:val="false"/>
          <w:smallCaps w:val="false"/>
          <w:color w:val="C12E33"/>
          <w:sz w:val="20"/>
          <w:u w:val="single"/>
        </w:rPr>
        <w:t>www.rtx.com</w:t>
      </w:r>
      <w:r>
        <w:rPr>
          <w:rFonts w:ascii="Arial;Helvetica;Sans-Serif" w:hAnsi="Arial;Helvetica;Sans-Serif"/>
          <w:b w:val="false"/>
          <w:i w:val="false"/>
          <w:caps w:val="false"/>
          <w:smallCaps w:val="false"/>
          <w:sz w:val="20"/>
        </w:rPr>
        <w:t>). Printed copies will be provided, without charge, to any shareowner upon a request addressed to the RTX Corporate Secretary through the contact information provided on page 95. The Code of Conduct applies to all directors and employees, including the principal executive, financial and accounting officers. Shareowners and other interested persons may send communications to the Board, the Independent Lead Director or one or more independent directors by: (i) using the contact information provided on the Corporate Governance section of RTX’s website (</w:t>
      </w:r>
      <w:r>
        <w:rPr>
          <w:rFonts w:ascii="Arial;Helvetica;Sans-Serif" w:hAnsi="Arial;Helvetica;Sans-Serif"/>
          <w:b w:val="false"/>
          <w:i w:val="false"/>
          <w:caps w:val="false"/>
          <w:smallCaps w:val="false"/>
          <w:color w:val="C12E33"/>
          <w:sz w:val="20"/>
          <w:u w:val="single"/>
        </w:rPr>
        <w:t>www.rtx.com</w:t>
      </w:r>
      <w:r>
        <w:rPr>
          <w:rFonts w:ascii="Arial;Helvetica;Sans-Serif" w:hAnsi="Arial;Helvetica;Sans-Serif"/>
          <w:b w:val="false"/>
          <w:i w:val="false"/>
          <w:caps w:val="false"/>
          <w:smallCaps w:val="false"/>
          <w:sz w:val="20"/>
        </w:rPr>
        <w:t>); or (ii) letters addressed to the RTX Corporate Secretary (see page 95 for contact information). Communications relating to RTX’s accounting, internal controls, auditing matters or business practices will be reviewed by the Senior Vice President &amp; Chief Compliance Officer, and reported to the Audit Committee pursuant to the RTX Corporate Governance Guidelines. All other communications will be reviewed by the RTX Corporate Secretary and reported to the Board, as appropriate, pursuant to the Corporate Governance Guidelines.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 xml:space="preserve">Transactions with Related Persons. </w:t>
      </w:r>
      <w:r>
        <w:rPr>
          <w:rFonts w:ascii="Arial;Helvetica;Sans-Serif" w:hAnsi="Arial;Helvetica;Sans-Serif"/>
          <w:b w:val="false"/>
          <w:i w:val="false"/>
          <w:caps w:val="false"/>
          <w:smallCaps w:val="false"/>
          <w:sz w:val="20"/>
        </w:rPr>
        <w:t>RTX has a written policy that requires the Governance Committee to review and determine whether to approve or ratify transactions exceeding $120,000 in which RTX or a subsidiary is a participant and in which a related person has a direct or indirect material interest. A related person is defined as an RTX director or executive officer, a beneficial owner of more than 5% of RTX’s outstanding shares, or an immediate family member of any of the foregoing persons. Under the policy, any potential related person transaction must be reported for review by the RTX Corporate Secretary who will, in consultation with the Senior Vice President &amp; Chief Compliance Officer, assess whether the transaction may require review, approval or ratification by the Governance Committee. The Governance Committee determines whether each transaction presented to it should be approved (or, where applicable, ratified) or disapproved based on whether the transaction is determined to be in, or not inconsistent with, the best interests of RTX and its shareowners. In making this determination, the Governance Committee must take into consideration whether the transaction is on terms no less favorable to RTX than those available under similar circumstances with unaffiliated third parties and the extent of the related person’s interest in the transaction. The policy generally permits employment of relatives of related persons possessing qualifications consistent with RTX’s requirements for non-related persons in similar circumstances, provided the employment is approved by the Executive Vice President &amp; Chief Human Resources Officer and the Senior Vice President &amp; Chief Compliance Officer.</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State Street Corporation (“State Street”), acting in various fiduciary capacities, filed a Schedule 13F with the SEC reporting that as of December 31, 2025, State Street and certain of its subsidiaries collectively were the beneficial owners of more than 5% of RTX’s outstanding shares of Common Stock. A subsidiary of State Street is the trustee for the RTX Savings Plan Master Trust. Other State Street subsidiaries provide investment management services. During 2025, RTX paid State Street and its subsidiaries approximately $7.4 million for services as trustee, as investment managers and for administrative and other services.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right"/>
        <w:rPr>
          <w:rFonts w:ascii="Arial;Helvetica;Sans-Serif" w:hAnsi="Arial;Helvetica;Sans-Serif"/>
          <w:b w:val="false"/>
          <w:i w:val="false"/>
          <w:caps w:val="false"/>
          <w:smallCaps w:val="false"/>
          <w:sz w:val="15"/>
        </w:rPr>
      </w:pPr>
      <w:r>
        <w:rPr>
          <w:rFonts w:ascii="Arial;Helvetica;Sans-Serif" w:hAnsi="Arial;Helvetica;Sans-Serif"/>
          <w:b/>
          <w:i w:val="false"/>
          <w:caps w:val="false"/>
          <w:smallCaps w:val="false"/>
          <w:sz w:val="15"/>
        </w:rPr>
        <w:t xml:space="preserve">RTX </w:t>
      </w:r>
      <w:r>
        <w:rPr>
          <w:rFonts w:ascii="Arial;Helvetica;Sans-Serif" w:hAnsi="Arial;Helvetica;Sans-Serif"/>
          <w:b w:val="false"/>
          <w:i w:val="false"/>
          <w:caps w:val="false"/>
          <w:smallCaps w:val="false"/>
          <w:sz w:val="15"/>
        </w:rPr>
        <w:t>2026 PROXY STATEMENT    </w:t>
      </w:r>
      <w:r>
        <w:rPr>
          <w:rFonts w:ascii="Arial;Helvetica;Sans-Serif" w:hAnsi="Arial;Helvetica;Sans-Serif"/>
          <w:b/>
          <w:i w:val="false"/>
          <w:caps w:val="false"/>
          <w:smallCaps w:val="false"/>
          <w:sz w:val="15"/>
        </w:rPr>
        <w:t>97</w:t>
      </w:r>
    </w:p>
    <w:p>
      <w:pPr>
        <w:pStyle w:val="HorizontalLine"/>
        <w:pBdr>
          <w:bottom w:val="double" w:sz="2" w:space="0" w:color="808080"/>
        </w:pBdr>
        <w:bidi w:val="0"/>
        <w:spacing w:before="0" w:after="283"/>
        <w:jc w:val="left"/>
        <w:rPr/>
      </w:pPr>
      <w:r>
        <w:rPr/>
      </w:r>
    </w:p>
    <w:p>
      <w:pPr>
        <w:pStyle w:val="TextBody"/>
        <w:bidi w:val="0"/>
        <w:spacing w:before="200" w:after="200"/>
        <w:jc w:val="left"/>
        <w:rPr/>
      </w:pPr>
      <w:hyperlink w:anchor="toc">
        <w:r>
          <w:rPr>
            <w:rStyle w:val="InternetLink"/>
            <w:rFonts w:ascii="Arial;Helvetica;Sans-Serif" w:hAnsi="Arial;Helvetica;Sans-Serif"/>
            <w:b/>
            <w:i w:val="false"/>
            <w:caps w:val="false"/>
            <w:smallCaps w:val="false"/>
            <w:sz w:val="16"/>
          </w:rPr>
          <w:t>Table of Contents</w:t>
        </w:r>
      </w:hyperlink>
    </w:p>
    <w:p>
      <w:pPr>
        <w:pStyle w:val="TextBody"/>
        <w:bidi w:val="0"/>
        <w:spacing w:before="0" w:after="0"/>
        <w:jc w:val="left"/>
        <w:rPr>
          <w:rFonts w:ascii="Arial;Helvetica;Sans-Serif" w:hAnsi="Arial;Helvetica;Sans-Serif"/>
          <w:b/>
          <w:i w:val="false"/>
          <w:caps w:val="false"/>
          <w:smallCaps w:val="false"/>
          <w:color w:val="C12E33"/>
          <w:sz w:val="15"/>
        </w:rPr>
      </w:pPr>
      <w:r>
        <w:rPr>
          <w:rFonts w:ascii="Arial;Helvetica;Sans-Serif" w:hAnsi="Arial;Helvetica;Sans-Serif"/>
          <w:b/>
          <w:i w:val="false"/>
          <w:caps w:val="false"/>
          <w:smallCaps w:val="false"/>
          <w:color w:val="C12E33"/>
          <w:sz w:val="15"/>
        </w:rPr>
        <w:t>OTHER IMPORTANT INFORMATION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BlackRock, Inc. (“BlackRock”) filed a Schedule 13F with the SEC reporting that as of December 31, 2025, BlackRock and certain of its subsidiaries collectively were the beneficial owners of more than 5% of RTX’s outstanding shares of Common Stock. During 2025, BlackRock acted as an investment manager for certain assets within RTX’s global pension plans and employee savings plans. BlackRock received approximately $1.8 million for such services.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Zachary Hayes, an employee of Collins Aerospace, is the son of RTX’s former Executive Chairman, Gregory Hayes. In 2025, Zachary Hayes received approximately $152,936 in total compensation, consisting of his salary and participation in employee benefit plans and programs generally made available to employees of similar responsibility levels.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Uri Shafir, an employee of RTX’s Corporate Office, is the brother-in-law of RTX’s former Executive Chairman, Gregory Hayes. In 2025, Mr. Shafir received approximately $362,513 in total compensation, consisting of his salary and participation in employee benefit plans and programs generally made available to employees of similar responsibility levels.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Emiliya S. West, an employee of RTX’s Corporate Office, is the sister-in-law of RTX’s former Executive Chairman, Gregory Hayes. In 2025, Ms. West received approximately $253,177 in total compensation, consisting of her salary and participation in employee benefit plans and programs generally made available to employees of similar responsibility levels.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Roderick Williams, an employee of Pratt &amp; Whitney, is the spouse of Dantaya Williams, RTX’s Executive Vice President &amp; Chief Human Resources Officer. In 2025, Mr. Williams received approximately $301,993 in total compensation, consisting of his salary and participation in employee benefit plans and programs generally made available to employees of similar responsibility levels.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Hunter Brunk, an employee of Collins Aerospace, is the son of Troy Brunk, the President of Collins Aerospace. In 2025, Mr. Hunter Brunk received approximately $161,260 in total compensation, consisting of his salary and participation in employee benefit plans and programs generally made available to employees of similar responsibility levels.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Trevor Brunk, an employee of Collins Aerospace, is the son of Troy Brunk, the President of Collins Aerospace. In 2025, Mr. Trevor Brunk received approximately $148,032 in total compensation, consisting of his salary and participation in employee benefit plans and programs generally made available to employees of similar responsibility levels.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Each of the relationships described above was reviewed and approved in accordance with RTX’s Related Person Transactions Policy, which is available on our website (</w:t>
      </w:r>
      <w:r>
        <w:rPr>
          <w:rFonts w:ascii="Arial;Helvetica;Sans-Serif" w:hAnsi="Arial;Helvetica;Sans-Serif"/>
          <w:b w:val="false"/>
          <w:i w:val="false"/>
          <w:caps w:val="false"/>
          <w:smallCaps w:val="false"/>
          <w:color w:val="C12E33"/>
          <w:sz w:val="20"/>
          <w:u w:val="single"/>
        </w:rPr>
        <w:t>www.rtx.com</w:t>
      </w:r>
      <w:r>
        <w:rPr>
          <w:rFonts w:ascii="Arial;Helvetica;Sans-Serif" w:hAnsi="Arial;Helvetica;San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 xml:space="preserve">Delinquent Section 16(a) Reports. </w:t>
      </w:r>
      <w:r>
        <w:rPr>
          <w:rFonts w:ascii="Arial;Helvetica;Sans-Serif" w:hAnsi="Arial;Helvetica;Sans-Serif"/>
          <w:b w:val="false"/>
          <w:i w:val="false"/>
          <w:caps w:val="false"/>
          <w:smallCaps w:val="false"/>
          <w:sz w:val="20"/>
        </w:rPr>
        <w:t>Section 16(a) of the Securities Exchange Act of 1934 requires our directors, executive officers and persons who beneficially own more than 10% of a registered class of our equity securities to file reports of holdings and transactions in our Common Stock with the SEC and the NYSE. Based on our records and other information, we believe that, in 2025, none of our directors, executive officers or 10% shareowners failed to file a required report on time.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 xml:space="preserve">Incorporation by Reference. </w:t>
      </w:r>
      <w:r>
        <w:rPr>
          <w:rFonts w:ascii="Arial;Helvetica;Sans-Serif" w:hAnsi="Arial;Helvetica;Sans-Serif"/>
          <w:b w:val="false"/>
          <w:i w:val="false"/>
          <w:caps w:val="false"/>
          <w:smallCaps w:val="false"/>
          <w:sz w:val="20"/>
        </w:rPr>
        <w:t>In connection with our discussion of director and executive compensation, we have incorporated by reference in this Proxy Statement certain information from Note 10: Employee Benefit Plans and Note 19: Stock-Based Compensation, to the Consolidated Financial Statements in RTX’s 2025 Annual Report on Form 10-K filed on February 6, 2026. These are the only portions of such filings that are incorporated by reference in this Proxy Statement.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 xml:space="preserve">Company Names, Trademarks and Trade Names. </w:t>
      </w:r>
      <w:r>
        <w:rPr>
          <w:rFonts w:ascii="Arial;Helvetica;Sans-Serif" w:hAnsi="Arial;Helvetica;Sans-Serif"/>
          <w:b w:val="false"/>
          <w:i w:val="false"/>
          <w:caps w:val="false"/>
          <w:smallCaps w:val="false"/>
          <w:sz w:val="20"/>
        </w:rPr>
        <w:t>RTX Corporation and its subsidiaries’ names, abbreviations thereof, logos and product and service designators are either the registered or unregistered trademarks or trade names of RTX Corporation and its subsidiaries. Names of other companies and organizations, abbreviations thereof, logos of other companies and organizations, and product and service designators of other companies are either the registered or unregistered trademarks or trade names of their respective owners.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 xml:space="preserve">Websites. </w:t>
      </w:r>
      <w:r>
        <w:rPr>
          <w:rFonts w:ascii="Arial;Helvetica;Sans-Serif" w:hAnsi="Arial;Helvetica;Sans-Serif"/>
          <w:b w:val="false"/>
          <w:i w:val="false"/>
          <w:caps w:val="false"/>
          <w:smallCaps w:val="false"/>
          <w:sz w:val="20"/>
        </w:rPr>
        <w:t>The links to our website or any third-party website provided in these proxy materials have been provided for convenience purposes only, and the content contained therein is not incorporated by reference into these proxy materials unless otherwise specified.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15"/>
        </w:rPr>
      </w:pPr>
      <w:r>
        <w:rPr>
          <w:rFonts w:ascii="Arial;Helvetica;Sans-Serif" w:hAnsi="Arial;Helvetica;Sans-Serif"/>
          <w:b/>
          <w:i w:val="false"/>
          <w:caps w:val="false"/>
          <w:smallCaps w:val="false"/>
          <w:sz w:val="15"/>
        </w:rPr>
        <w:t xml:space="preserve">98    RTX </w:t>
      </w:r>
      <w:r>
        <w:rPr>
          <w:rFonts w:ascii="Arial;Helvetica;Sans-Serif" w:hAnsi="Arial;Helvetica;Sans-Serif"/>
          <w:b w:val="false"/>
          <w:i w:val="false"/>
          <w:caps w:val="false"/>
          <w:smallCaps w:val="false"/>
          <w:sz w:val="15"/>
        </w:rPr>
        <w:t>2026 PROXY STATEMENT</w:t>
      </w:r>
    </w:p>
    <w:p>
      <w:pPr>
        <w:pStyle w:val="HorizontalLine"/>
        <w:pBdr>
          <w:bottom w:val="double" w:sz="2" w:space="0" w:color="808080"/>
        </w:pBdr>
        <w:bidi w:val="0"/>
        <w:spacing w:before="0" w:after="283"/>
        <w:jc w:val="left"/>
        <w:rPr/>
      </w:pPr>
      <w:r>
        <w:rPr/>
      </w:r>
    </w:p>
    <w:p>
      <w:pPr>
        <w:pStyle w:val="TextBody"/>
        <w:bidi w:val="0"/>
        <w:spacing w:before="200" w:after="200"/>
        <w:jc w:val="left"/>
        <w:rPr/>
      </w:pPr>
      <w:hyperlink w:anchor="toc">
        <w:r>
          <w:rPr>
            <w:rStyle w:val="InternetLink"/>
            <w:rFonts w:ascii="Arial;Helvetica;Sans-Serif" w:hAnsi="Arial;Helvetica;Sans-Serif"/>
            <w:b/>
            <w:i w:val="false"/>
            <w:caps w:val="false"/>
            <w:smallCaps w:val="false"/>
            <w:sz w:val="16"/>
          </w:rPr>
          <w:t>Table of Contents</w:t>
        </w:r>
      </w:hyperlink>
    </w:p>
    <w:p>
      <w:pPr>
        <w:pStyle w:val="TextBody"/>
        <w:bidi w:val="0"/>
        <w:spacing w:before="0" w:after="0"/>
        <w:jc w:val="left"/>
        <w:rPr>
          <w:rFonts w:ascii="Arial;Helvetica;Sans-Serif" w:hAnsi="Arial;Helvetica;Sans-Serif"/>
          <w:b/>
          <w:i w:val="false"/>
          <w:caps w:val="false"/>
          <w:smallCaps w:val="false"/>
          <w:sz w:val="56"/>
        </w:rPr>
      </w:pPr>
      <w:bookmarkStart w:id="264" w:name="rtx014050a025"/>
      <w:bookmarkEnd w:id="264"/>
      <w:r>
        <w:rPr>
          <w:rFonts w:ascii="Arial;Helvetica;Sans-Serif" w:hAnsi="Arial;Helvetica;Sans-Serif"/>
          <w:b/>
          <w:i w:val="false"/>
          <w:caps w:val="false"/>
          <w:smallCaps w:val="false"/>
          <w:sz w:val="56"/>
        </w:rPr>
        <w:t xml:space="preserve">Appendix A: Reconciliation of </w:t>
        <w:br/>
        <w:t>GAAP Measures to Corresponding</w:t>
        <w:br/>
        <w:t>Non-GAAP Measures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RECONCILIATION OF NET SALES (GAAP) TO ADJUSTED NET SALES (NON-GAAP) AND SEGMENT OPERATING PROFIT MARGIN (GAAP) TO ADJUSTED SEGMENT OPERATING PROFIT MARGIN (NON-GAAP)</w:t>
      </w:r>
    </w:p>
    <w:tbl>
      <w:tblPr>
        <w:tblW w:w="8870" w:type="dxa"/>
        <w:jc w:val="left"/>
        <w:tblInd w:w="0" w:type="dxa"/>
        <w:tblLayout w:type="fixed"/>
        <w:tblCellMar>
          <w:top w:w="0" w:type="dxa"/>
          <w:left w:w="0" w:type="dxa"/>
          <w:bottom w:w="40" w:type="dxa"/>
          <w:right w:w="0" w:type="dxa"/>
        </w:tblCellMar>
      </w:tblPr>
      <w:tblGrid>
        <w:gridCol w:w="5285"/>
        <w:gridCol w:w="360"/>
        <w:gridCol w:w="830"/>
        <w:gridCol w:w="360"/>
        <w:gridCol w:w="830"/>
        <w:gridCol w:w="360"/>
        <w:gridCol w:w="845"/>
      </w:tblGrid>
      <w:tr>
        <w:trPr/>
        <w:tc>
          <w:tcPr>
            <w:tcW w:w="5285" w:type="dxa"/>
            <w:tcBorders>
              <w:bottom w:val="single" w:sz="12" w:space="0" w:color="636466"/>
            </w:tcBorders>
            <w:vAlign w:val="center"/>
          </w:tcPr>
          <w:p>
            <w:pPr>
              <w:pStyle w:val="TableContents"/>
              <w:bidi w:val="0"/>
              <w:spacing w:before="0" w:after="283"/>
              <w:jc w:val="left"/>
              <w:rPr/>
            </w:pPr>
            <w:r>
              <w:rPr/>
              <w:t>(dollars in millions)</w:t>
            </w:r>
          </w:p>
        </w:tc>
        <w:tc>
          <w:tcPr>
            <w:tcW w:w="360" w:type="dxa"/>
            <w:tcBorders>
              <w:bottom w:val="single" w:sz="12" w:space="0" w:color="636466"/>
            </w:tcBorders>
            <w:vAlign w:val="center"/>
          </w:tcPr>
          <w:p>
            <w:pPr>
              <w:pStyle w:val="TableContents"/>
              <w:bidi w:val="0"/>
              <w:spacing w:before="0" w:after="283"/>
              <w:jc w:val="left"/>
              <w:rPr/>
            </w:pPr>
            <w:r>
              <w:rPr/>
              <w:t>      </w:t>
            </w:r>
          </w:p>
        </w:tc>
        <w:tc>
          <w:tcPr>
            <w:tcW w:w="830" w:type="dxa"/>
            <w:tcBorders>
              <w:bottom w:val="single" w:sz="12" w:space="0" w:color="636466"/>
            </w:tcBorders>
            <w:vAlign w:val="center"/>
          </w:tcPr>
          <w:p>
            <w:pPr>
              <w:pStyle w:val="TableContents"/>
              <w:bidi w:val="0"/>
              <w:spacing w:before="0" w:after="283"/>
              <w:jc w:val="right"/>
              <w:rPr/>
            </w:pPr>
            <w:r>
              <w:rPr/>
              <w:t>2023</w:t>
            </w:r>
          </w:p>
        </w:tc>
        <w:tc>
          <w:tcPr>
            <w:tcW w:w="360" w:type="dxa"/>
            <w:tcBorders>
              <w:bottom w:val="single" w:sz="12" w:space="0" w:color="636466"/>
            </w:tcBorders>
            <w:vAlign w:val="center"/>
          </w:tcPr>
          <w:p>
            <w:pPr>
              <w:pStyle w:val="TableContents"/>
              <w:bidi w:val="0"/>
              <w:spacing w:before="0" w:after="283"/>
              <w:jc w:val="left"/>
              <w:rPr/>
            </w:pPr>
            <w:r>
              <w:rPr/>
              <w:t>      </w:t>
            </w:r>
          </w:p>
        </w:tc>
        <w:tc>
          <w:tcPr>
            <w:tcW w:w="830" w:type="dxa"/>
            <w:tcBorders>
              <w:bottom w:val="single" w:sz="12" w:space="0" w:color="636466"/>
            </w:tcBorders>
            <w:vAlign w:val="center"/>
          </w:tcPr>
          <w:p>
            <w:pPr>
              <w:pStyle w:val="TableContents"/>
              <w:bidi w:val="0"/>
              <w:spacing w:before="0" w:after="283"/>
              <w:jc w:val="right"/>
              <w:rPr/>
            </w:pPr>
            <w:r>
              <w:rPr/>
              <w:t>2024</w:t>
            </w:r>
          </w:p>
        </w:tc>
        <w:tc>
          <w:tcPr>
            <w:tcW w:w="360" w:type="dxa"/>
            <w:tcBorders>
              <w:bottom w:val="single" w:sz="12" w:space="0" w:color="636466"/>
            </w:tcBorders>
            <w:vAlign w:val="center"/>
          </w:tcPr>
          <w:p>
            <w:pPr>
              <w:pStyle w:val="TableContents"/>
              <w:bidi w:val="0"/>
              <w:spacing w:before="0" w:after="283"/>
              <w:jc w:val="left"/>
              <w:rPr/>
            </w:pPr>
            <w:r>
              <w:rPr/>
              <w:t>      </w:t>
            </w:r>
          </w:p>
        </w:tc>
        <w:tc>
          <w:tcPr>
            <w:tcW w:w="845" w:type="dxa"/>
            <w:tcBorders>
              <w:bottom w:val="single" w:sz="12" w:space="0" w:color="636466"/>
            </w:tcBorders>
            <w:vAlign w:val="center"/>
          </w:tcPr>
          <w:p>
            <w:pPr>
              <w:pStyle w:val="TableContents"/>
              <w:bidi w:val="0"/>
              <w:spacing w:before="0" w:after="283"/>
              <w:jc w:val="right"/>
              <w:rPr/>
            </w:pPr>
            <w:r>
              <w:rPr/>
              <w:t>2025</w:t>
            </w:r>
          </w:p>
        </w:tc>
      </w:tr>
      <w:tr>
        <w:trPr/>
        <w:tc>
          <w:tcPr>
            <w:tcW w:w="5285" w:type="dxa"/>
            <w:tcBorders>
              <w:bottom w:val="single" w:sz="2" w:space="0" w:color="000000"/>
            </w:tcBorders>
            <w:vAlign w:val="center"/>
          </w:tcPr>
          <w:p>
            <w:pPr>
              <w:pStyle w:val="TableContents"/>
              <w:bidi w:val="0"/>
              <w:spacing w:before="0" w:after="283"/>
              <w:jc w:val="left"/>
              <w:rPr/>
            </w:pPr>
            <w:r>
              <w:rPr/>
              <w:t>Net sales</w:t>
            </w:r>
          </w:p>
        </w:tc>
        <w:tc>
          <w:tcPr>
            <w:tcW w:w="360" w:type="dxa"/>
            <w:tcBorders>
              <w:bottom w:val="single" w:sz="2" w:space="0" w:color="000000"/>
            </w:tcBorders>
            <w:vAlign w:val="center"/>
          </w:tcPr>
          <w:p>
            <w:pPr>
              <w:pStyle w:val="TableContents"/>
              <w:bidi w:val="0"/>
              <w:spacing w:before="0" w:after="283"/>
              <w:jc w:val="left"/>
              <w:rPr/>
            </w:pPr>
            <w:r>
              <w:rPr/>
              <w:t> </w:t>
            </w:r>
          </w:p>
        </w:tc>
        <w:tc>
          <w:tcPr>
            <w:tcW w:w="830" w:type="dxa"/>
            <w:tcBorders>
              <w:bottom w:val="single" w:sz="2" w:space="0" w:color="000000"/>
            </w:tcBorders>
            <w:vAlign w:val="center"/>
          </w:tcPr>
          <w:p>
            <w:pPr>
              <w:pStyle w:val="TableContents"/>
              <w:bidi w:val="0"/>
              <w:spacing w:before="0" w:after="283"/>
              <w:jc w:val="right"/>
              <w:rPr/>
            </w:pPr>
            <w:r>
              <w:rPr/>
              <w:t>$68,920</w:t>
            </w:r>
          </w:p>
        </w:tc>
        <w:tc>
          <w:tcPr>
            <w:tcW w:w="360" w:type="dxa"/>
            <w:tcBorders>
              <w:bottom w:val="single" w:sz="2" w:space="0" w:color="000000"/>
            </w:tcBorders>
            <w:vAlign w:val="center"/>
          </w:tcPr>
          <w:p>
            <w:pPr>
              <w:pStyle w:val="TableContents"/>
              <w:bidi w:val="0"/>
              <w:spacing w:before="0" w:after="283"/>
              <w:jc w:val="left"/>
              <w:rPr/>
            </w:pPr>
            <w:r>
              <w:rPr/>
              <w:t> </w:t>
            </w:r>
          </w:p>
        </w:tc>
        <w:tc>
          <w:tcPr>
            <w:tcW w:w="830" w:type="dxa"/>
            <w:tcBorders>
              <w:bottom w:val="single" w:sz="2" w:space="0" w:color="000000"/>
            </w:tcBorders>
            <w:vAlign w:val="center"/>
          </w:tcPr>
          <w:p>
            <w:pPr>
              <w:pStyle w:val="TableContents"/>
              <w:bidi w:val="0"/>
              <w:spacing w:before="0" w:after="283"/>
              <w:jc w:val="right"/>
              <w:rPr/>
            </w:pPr>
            <w:r>
              <w:rPr/>
              <w:t>$80,738</w:t>
            </w:r>
          </w:p>
        </w:tc>
        <w:tc>
          <w:tcPr>
            <w:tcW w:w="360" w:type="dxa"/>
            <w:tcBorders>
              <w:bottom w:val="single" w:sz="2" w:space="0" w:color="000000"/>
            </w:tcBorders>
            <w:vAlign w:val="center"/>
          </w:tcPr>
          <w:p>
            <w:pPr>
              <w:pStyle w:val="TableContents"/>
              <w:bidi w:val="0"/>
              <w:spacing w:before="0" w:after="283"/>
              <w:jc w:val="left"/>
              <w:rPr/>
            </w:pPr>
            <w:r>
              <w:rPr/>
              <w:t> </w:t>
            </w:r>
          </w:p>
        </w:tc>
        <w:tc>
          <w:tcPr>
            <w:tcW w:w="845" w:type="dxa"/>
            <w:tcBorders>
              <w:bottom w:val="single" w:sz="2" w:space="0" w:color="000000"/>
            </w:tcBorders>
            <w:vAlign w:val="center"/>
          </w:tcPr>
          <w:p>
            <w:pPr>
              <w:pStyle w:val="TableContents"/>
              <w:bidi w:val="0"/>
              <w:spacing w:before="0" w:after="283"/>
              <w:jc w:val="right"/>
              <w:rPr/>
            </w:pPr>
            <w:r>
              <w:rPr/>
              <w:t>$86,603</w:t>
            </w:r>
          </w:p>
        </w:tc>
      </w:tr>
      <w:tr>
        <w:trPr/>
        <w:tc>
          <w:tcPr>
            <w:tcW w:w="5285" w:type="dxa"/>
            <w:tcBorders>
              <w:bottom w:val="single" w:sz="2" w:space="0" w:color="000000"/>
            </w:tcBorders>
            <w:vAlign w:val="center"/>
          </w:tcPr>
          <w:p>
            <w:pPr>
              <w:pStyle w:val="TableContents"/>
              <w:bidi w:val="0"/>
              <w:spacing w:before="0" w:after="283"/>
              <w:jc w:val="left"/>
              <w:rPr>
                <w:b/>
                <w:color w:val="636466"/>
              </w:rPr>
            </w:pPr>
            <w:r>
              <w:rPr>
                <w:b/>
                <w:color w:val="636466"/>
              </w:rPr>
              <w:t>Reconciliation to segment net sales:</w:t>
            </w:r>
          </w:p>
        </w:tc>
        <w:tc>
          <w:tcPr>
            <w:tcW w:w="360" w:type="dxa"/>
            <w:tcBorders>
              <w:bottom w:val="single" w:sz="2" w:space="0" w:color="000000"/>
            </w:tcBorders>
            <w:vAlign w:val="center"/>
          </w:tcPr>
          <w:p>
            <w:pPr>
              <w:pStyle w:val="TableContents"/>
              <w:bidi w:val="0"/>
              <w:spacing w:before="0" w:after="283"/>
              <w:jc w:val="left"/>
              <w:rPr/>
            </w:pPr>
            <w:r>
              <w:rPr/>
              <w:t> </w:t>
            </w:r>
          </w:p>
        </w:tc>
        <w:tc>
          <w:tcPr>
            <w:tcW w:w="830" w:type="dxa"/>
            <w:tcBorders>
              <w:bottom w:val="single" w:sz="2" w:space="0" w:color="000000"/>
            </w:tcBorders>
            <w:vAlign w:val="center"/>
          </w:tcPr>
          <w:p>
            <w:pPr>
              <w:pStyle w:val="TableContents"/>
              <w:bidi w:val="0"/>
              <w:spacing w:before="0" w:after="283"/>
              <w:jc w:val="right"/>
              <w:rPr/>
            </w:pPr>
            <w:r>
              <w:rPr/>
              <w:t> </w:t>
            </w:r>
          </w:p>
        </w:tc>
        <w:tc>
          <w:tcPr>
            <w:tcW w:w="360" w:type="dxa"/>
            <w:tcBorders>
              <w:bottom w:val="single" w:sz="2" w:space="0" w:color="000000"/>
            </w:tcBorders>
            <w:vAlign w:val="center"/>
          </w:tcPr>
          <w:p>
            <w:pPr>
              <w:pStyle w:val="TableContents"/>
              <w:bidi w:val="0"/>
              <w:spacing w:before="0" w:after="283"/>
              <w:jc w:val="left"/>
              <w:rPr/>
            </w:pPr>
            <w:r>
              <w:rPr/>
              <w:t> </w:t>
            </w:r>
          </w:p>
        </w:tc>
        <w:tc>
          <w:tcPr>
            <w:tcW w:w="830" w:type="dxa"/>
            <w:tcBorders>
              <w:bottom w:val="single" w:sz="2" w:space="0" w:color="000000"/>
            </w:tcBorders>
            <w:vAlign w:val="center"/>
          </w:tcPr>
          <w:p>
            <w:pPr>
              <w:pStyle w:val="TableContents"/>
              <w:bidi w:val="0"/>
              <w:spacing w:before="0" w:after="283"/>
              <w:jc w:val="right"/>
              <w:rPr/>
            </w:pPr>
            <w:r>
              <w:rPr/>
              <w:t> </w:t>
            </w:r>
          </w:p>
        </w:tc>
        <w:tc>
          <w:tcPr>
            <w:tcW w:w="360" w:type="dxa"/>
            <w:tcBorders>
              <w:bottom w:val="single" w:sz="2" w:space="0" w:color="000000"/>
            </w:tcBorders>
            <w:vAlign w:val="center"/>
          </w:tcPr>
          <w:p>
            <w:pPr>
              <w:pStyle w:val="TableContents"/>
              <w:bidi w:val="0"/>
              <w:spacing w:before="0" w:after="283"/>
              <w:jc w:val="left"/>
              <w:rPr/>
            </w:pPr>
            <w:r>
              <w:rPr/>
              <w:t> </w:t>
            </w:r>
          </w:p>
        </w:tc>
        <w:tc>
          <w:tcPr>
            <w:tcW w:w="845" w:type="dxa"/>
            <w:tcBorders>
              <w:bottom w:val="single" w:sz="2" w:space="0" w:color="000000"/>
            </w:tcBorders>
            <w:vAlign w:val="center"/>
          </w:tcPr>
          <w:p>
            <w:pPr>
              <w:pStyle w:val="TableContents"/>
              <w:bidi w:val="0"/>
              <w:spacing w:before="0" w:after="283"/>
              <w:jc w:val="right"/>
              <w:rPr/>
            </w:pPr>
            <w:r>
              <w:rPr/>
              <w:t> </w:t>
            </w:r>
          </w:p>
        </w:tc>
      </w:tr>
      <w:tr>
        <w:trPr/>
        <w:tc>
          <w:tcPr>
            <w:tcW w:w="5285" w:type="dxa"/>
            <w:tcBorders>
              <w:bottom w:val="single" w:sz="2" w:space="0" w:color="000000"/>
            </w:tcBorders>
            <w:vAlign w:val="center"/>
          </w:tcPr>
          <w:p>
            <w:pPr>
              <w:pStyle w:val="TableContents"/>
              <w:bidi w:val="0"/>
              <w:spacing w:before="0" w:after="283"/>
              <w:jc w:val="left"/>
              <w:rPr/>
            </w:pPr>
            <w:r>
              <w:rPr/>
              <w:t>Eliminations and other</w:t>
            </w:r>
          </w:p>
        </w:tc>
        <w:tc>
          <w:tcPr>
            <w:tcW w:w="360" w:type="dxa"/>
            <w:tcBorders>
              <w:bottom w:val="single" w:sz="2" w:space="0" w:color="000000"/>
            </w:tcBorders>
            <w:vAlign w:val="center"/>
          </w:tcPr>
          <w:p>
            <w:pPr>
              <w:pStyle w:val="TableContents"/>
              <w:bidi w:val="0"/>
              <w:spacing w:before="0" w:after="283"/>
              <w:jc w:val="left"/>
              <w:rPr/>
            </w:pPr>
            <w:r>
              <w:rPr/>
              <w:t> </w:t>
            </w:r>
          </w:p>
        </w:tc>
        <w:tc>
          <w:tcPr>
            <w:tcW w:w="830" w:type="dxa"/>
            <w:tcBorders>
              <w:bottom w:val="single" w:sz="2" w:space="0" w:color="000000"/>
            </w:tcBorders>
            <w:vAlign w:val="center"/>
          </w:tcPr>
          <w:p>
            <w:pPr>
              <w:pStyle w:val="TableContents"/>
              <w:bidi w:val="0"/>
              <w:spacing w:before="0" w:after="283"/>
              <w:jc w:val="right"/>
              <w:rPr/>
            </w:pPr>
            <w:r>
              <w:rPr/>
              <w:t>$1,979</w:t>
            </w:r>
          </w:p>
        </w:tc>
        <w:tc>
          <w:tcPr>
            <w:tcW w:w="360" w:type="dxa"/>
            <w:tcBorders>
              <w:bottom w:val="single" w:sz="2" w:space="0" w:color="000000"/>
            </w:tcBorders>
            <w:vAlign w:val="center"/>
          </w:tcPr>
          <w:p>
            <w:pPr>
              <w:pStyle w:val="TableContents"/>
              <w:bidi w:val="0"/>
              <w:spacing w:before="0" w:after="283"/>
              <w:jc w:val="left"/>
              <w:rPr/>
            </w:pPr>
            <w:r>
              <w:rPr/>
              <w:t> </w:t>
            </w:r>
          </w:p>
        </w:tc>
        <w:tc>
          <w:tcPr>
            <w:tcW w:w="830" w:type="dxa"/>
            <w:tcBorders>
              <w:bottom w:val="single" w:sz="2" w:space="0" w:color="000000"/>
            </w:tcBorders>
            <w:vAlign w:val="center"/>
          </w:tcPr>
          <w:p>
            <w:pPr>
              <w:pStyle w:val="TableContents"/>
              <w:bidi w:val="0"/>
              <w:spacing w:before="0" w:after="283"/>
              <w:jc w:val="right"/>
              <w:rPr/>
            </w:pPr>
            <w:r>
              <w:rPr/>
              <w:t>$2,325</w:t>
            </w:r>
          </w:p>
        </w:tc>
        <w:tc>
          <w:tcPr>
            <w:tcW w:w="360" w:type="dxa"/>
            <w:tcBorders>
              <w:bottom w:val="single" w:sz="2" w:space="0" w:color="000000"/>
            </w:tcBorders>
            <w:vAlign w:val="center"/>
          </w:tcPr>
          <w:p>
            <w:pPr>
              <w:pStyle w:val="TableContents"/>
              <w:bidi w:val="0"/>
              <w:spacing w:before="0" w:after="283"/>
              <w:jc w:val="left"/>
              <w:rPr/>
            </w:pPr>
            <w:r>
              <w:rPr/>
              <w:t> </w:t>
            </w:r>
          </w:p>
        </w:tc>
        <w:tc>
          <w:tcPr>
            <w:tcW w:w="845" w:type="dxa"/>
            <w:tcBorders>
              <w:bottom w:val="single" w:sz="2" w:space="0" w:color="000000"/>
            </w:tcBorders>
            <w:vAlign w:val="center"/>
          </w:tcPr>
          <w:p>
            <w:pPr>
              <w:pStyle w:val="TableContents"/>
              <w:bidi w:val="0"/>
              <w:spacing w:before="0" w:after="283"/>
              <w:jc w:val="right"/>
              <w:rPr/>
            </w:pPr>
            <w:r>
              <w:rPr/>
              <w:t>$2,552</w:t>
            </w:r>
          </w:p>
        </w:tc>
      </w:tr>
      <w:tr>
        <w:trPr/>
        <w:tc>
          <w:tcPr>
            <w:tcW w:w="5285" w:type="dxa"/>
            <w:tcBorders>
              <w:bottom w:val="single" w:sz="2" w:space="0" w:color="000000"/>
            </w:tcBorders>
            <w:vAlign w:val="center"/>
          </w:tcPr>
          <w:p>
            <w:pPr>
              <w:pStyle w:val="TableContents"/>
              <w:bidi w:val="0"/>
              <w:spacing w:before="0" w:after="283"/>
              <w:jc w:val="left"/>
              <w:rPr/>
            </w:pPr>
            <w:r>
              <w:rPr/>
              <w:t>Segment net sales</w:t>
            </w:r>
          </w:p>
        </w:tc>
        <w:tc>
          <w:tcPr>
            <w:tcW w:w="360" w:type="dxa"/>
            <w:tcBorders>
              <w:bottom w:val="single" w:sz="2" w:space="0" w:color="000000"/>
            </w:tcBorders>
            <w:vAlign w:val="center"/>
          </w:tcPr>
          <w:p>
            <w:pPr>
              <w:pStyle w:val="TableContents"/>
              <w:bidi w:val="0"/>
              <w:spacing w:before="0" w:after="283"/>
              <w:jc w:val="left"/>
              <w:rPr/>
            </w:pPr>
            <w:r>
              <w:rPr/>
              <w:t> </w:t>
            </w:r>
          </w:p>
        </w:tc>
        <w:tc>
          <w:tcPr>
            <w:tcW w:w="830" w:type="dxa"/>
            <w:tcBorders>
              <w:bottom w:val="single" w:sz="2" w:space="0" w:color="000000"/>
            </w:tcBorders>
            <w:vAlign w:val="center"/>
          </w:tcPr>
          <w:p>
            <w:pPr>
              <w:pStyle w:val="TableContents"/>
              <w:bidi w:val="0"/>
              <w:spacing w:before="0" w:after="283"/>
              <w:jc w:val="right"/>
              <w:rPr/>
            </w:pPr>
            <w:r>
              <w:rPr/>
              <w:t>$70,899</w:t>
            </w:r>
          </w:p>
        </w:tc>
        <w:tc>
          <w:tcPr>
            <w:tcW w:w="360" w:type="dxa"/>
            <w:tcBorders>
              <w:bottom w:val="single" w:sz="2" w:space="0" w:color="000000"/>
            </w:tcBorders>
            <w:vAlign w:val="center"/>
          </w:tcPr>
          <w:p>
            <w:pPr>
              <w:pStyle w:val="TableContents"/>
              <w:bidi w:val="0"/>
              <w:spacing w:before="0" w:after="283"/>
              <w:jc w:val="left"/>
              <w:rPr/>
            </w:pPr>
            <w:r>
              <w:rPr/>
              <w:t> </w:t>
            </w:r>
          </w:p>
        </w:tc>
        <w:tc>
          <w:tcPr>
            <w:tcW w:w="830" w:type="dxa"/>
            <w:tcBorders>
              <w:bottom w:val="single" w:sz="2" w:space="0" w:color="000000"/>
            </w:tcBorders>
            <w:vAlign w:val="center"/>
          </w:tcPr>
          <w:p>
            <w:pPr>
              <w:pStyle w:val="TableContents"/>
              <w:bidi w:val="0"/>
              <w:spacing w:before="0" w:after="283"/>
              <w:jc w:val="right"/>
              <w:rPr/>
            </w:pPr>
            <w:r>
              <w:rPr/>
              <w:t>$83,063</w:t>
            </w:r>
          </w:p>
        </w:tc>
        <w:tc>
          <w:tcPr>
            <w:tcW w:w="360" w:type="dxa"/>
            <w:tcBorders>
              <w:bottom w:val="single" w:sz="2" w:space="0" w:color="000000"/>
            </w:tcBorders>
            <w:vAlign w:val="center"/>
          </w:tcPr>
          <w:p>
            <w:pPr>
              <w:pStyle w:val="TableContents"/>
              <w:bidi w:val="0"/>
              <w:spacing w:before="0" w:after="283"/>
              <w:jc w:val="left"/>
              <w:rPr/>
            </w:pPr>
            <w:r>
              <w:rPr/>
              <w:t> </w:t>
            </w:r>
          </w:p>
        </w:tc>
        <w:tc>
          <w:tcPr>
            <w:tcW w:w="845" w:type="dxa"/>
            <w:tcBorders>
              <w:bottom w:val="single" w:sz="2" w:space="0" w:color="000000"/>
            </w:tcBorders>
            <w:vAlign w:val="center"/>
          </w:tcPr>
          <w:p>
            <w:pPr>
              <w:pStyle w:val="TableContents"/>
              <w:bidi w:val="0"/>
              <w:spacing w:before="0" w:after="283"/>
              <w:jc w:val="right"/>
              <w:rPr/>
            </w:pPr>
            <w:r>
              <w:rPr/>
              <w:t>$91,155</w:t>
            </w:r>
          </w:p>
        </w:tc>
      </w:tr>
      <w:tr>
        <w:trPr/>
        <w:tc>
          <w:tcPr>
            <w:tcW w:w="5285" w:type="dxa"/>
            <w:tcBorders>
              <w:bottom w:val="single" w:sz="2" w:space="0" w:color="000000"/>
            </w:tcBorders>
            <w:vAlign w:val="center"/>
          </w:tcPr>
          <w:p>
            <w:pPr>
              <w:pStyle w:val="TableContents"/>
              <w:bidi w:val="0"/>
              <w:spacing w:before="0" w:after="283"/>
              <w:jc w:val="left"/>
              <w:rPr>
                <w:b/>
                <w:color w:val="636466"/>
              </w:rPr>
            </w:pPr>
            <w:r>
              <w:rPr>
                <w:b/>
                <w:color w:val="636466"/>
              </w:rPr>
              <w:t>Reconciliation to adjusted segment net sales:</w:t>
            </w:r>
          </w:p>
        </w:tc>
        <w:tc>
          <w:tcPr>
            <w:tcW w:w="360" w:type="dxa"/>
            <w:tcBorders>
              <w:bottom w:val="single" w:sz="2" w:space="0" w:color="000000"/>
            </w:tcBorders>
            <w:vAlign w:val="center"/>
          </w:tcPr>
          <w:p>
            <w:pPr>
              <w:pStyle w:val="TableContents"/>
              <w:bidi w:val="0"/>
              <w:spacing w:before="0" w:after="283"/>
              <w:jc w:val="left"/>
              <w:rPr/>
            </w:pPr>
            <w:r>
              <w:rPr/>
              <w:t> </w:t>
            </w:r>
          </w:p>
        </w:tc>
        <w:tc>
          <w:tcPr>
            <w:tcW w:w="830" w:type="dxa"/>
            <w:tcBorders>
              <w:bottom w:val="single" w:sz="2" w:space="0" w:color="000000"/>
            </w:tcBorders>
            <w:vAlign w:val="center"/>
          </w:tcPr>
          <w:p>
            <w:pPr>
              <w:pStyle w:val="TableContents"/>
              <w:bidi w:val="0"/>
              <w:spacing w:before="0" w:after="283"/>
              <w:jc w:val="right"/>
              <w:rPr/>
            </w:pPr>
            <w:r>
              <w:rPr/>
              <w:t> </w:t>
            </w:r>
          </w:p>
        </w:tc>
        <w:tc>
          <w:tcPr>
            <w:tcW w:w="360" w:type="dxa"/>
            <w:tcBorders>
              <w:bottom w:val="single" w:sz="2" w:space="0" w:color="000000"/>
            </w:tcBorders>
            <w:vAlign w:val="center"/>
          </w:tcPr>
          <w:p>
            <w:pPr>
              <w:pStyle w:val="TableContents"/>
              <w:bidi w:val="0"/>
              <w:spacing w:before="0" w:after="283"/>
              <w:jc w:val="left"/>
              <w:rPr/>
            </w:pPr>
            <w:r>
              <w:rPr/>
              <w:t> </w:t>
            </w:r>
          </w:p>
        </w:tc>
        <w:tc>
          <w:tcPr>
            <w:tcW w:w="830" w:type="dxa"/>
            <w:tcBorders>
              <w:bottom w:val="single" w:sz="2" w:space="0" w:color="000000"/>
            </w:tcBorders>
            <w:vAlign w:val="center"/>
          </w:tcPr>
          <w:p>
            <w:pPr>
              <w:pStyle w:val="TableContents"/>
              <w:bidi w:val="0"/>
              <w:spacing w:before="0" w:after="283"/>
              <w:jc w:val="right"/>
              <w:rPr/>
            </w:pPr>
            <w:r>
              <w:rPr/>
              <w:t> </w:t>
            </w:r>
          </w:p>
        </w:tc>
        <w:tc>
          <w:tcPr>
            <w:tcW w:w="360" w:type="dxa"/>
            <w:tcBorders>
              <w:bottom w:val="single" w:sz="2" w:space="0" w:color="000000"/>
            </w:tcBorders>
            <w:vAlign w:val="center"/>
          </w:tcPr>
          <w:p>
            <w:pPr>
              <w:pStyle w:val="TableContents"/>
              <w:bidi w:val="0"/>
              <w:spacing w:before="0" w:after="283"/>
              <w:jc w:val="left"/>
              <w:rPr/>
            </w:pPr>
            <w:r>
              <w:rPr/>
              <w:t> </w:t>
            </w:r>
          </w:p>
        </w:tc>
        <w:tc>
          <w:tcPr>
            <w:tcW w:w="845" w:type="dxa"/>
            <w:tcBorders>
              <w:bottom w:val="single" w:sz="2" w:space="0" w:color="000000"/>
            </w:tcBorders>
            <w:vAlign w:val="center"/>
          </w:tcPr>
          <w:p>
            <w:pPr>
              <w:pStyle w:val="TableContents"/>
              <w:bidi w:val="0"/>
              <w:spacing w:before="0" w:after="283"/>
              <w:jc w:val="right"/>
              <w:rPr/>
            </w:pPr>
            <w:r>
              <w:rPr/>
              <w:t> </w:t>
            </w:r>
          </w:p>
        </w:tc>
      </w:tr>
      <w:tr>
        <w:trPr/>
        <w:tc>
          <w:tcPr>
            <w:tcW w:w="5285" w:type="dxa"/>
            <w:tcBorders>
              <w:bottom w:val="single" w:sz="2" w:space="0" w:color="000000"/>
            </w:tcBorders>
            <w:vAlign w:val="center"/>
          </w:tcPr>
          <w:p>
            <w:pPr>
              <w:pStyle w:val="TableContents"/>
              <w:bidi w:val="0"/>
              <w:spacing w:before="0" w:after="283"/>
              <w:jc w:val="left"/>
              <w:rPr/>
            </w:pPr>
            <w:r>
              <w:rPr/>
              <w:t>Net significant and/or non-recurring items</w:t>
            </w:r>
          </w:p>
        </w:tc>
        <w:tc>
          <w:tcPr>
            <w:tcW w:w="360" w:type="dxa"/>
            <w:tcBorders>
              <w:bottom w:val="single" w:sz="2" w:space="0" w:color="000000"/>
            </w:tcBorders>
            <w:vAlign w:val="center"/>
          </w:tcPr>
          <w:p>
            <w:pPr>
              <w:pStyle w:val="TableContents"/>
              <w:bidi w:val="0"/>
              <w:spacing w:before="0" w:after="283"/>
              <w:jc w:val="left"/>
              <w:rPr/>
            </w:pPr>
            <w:r>
              <w:rPr/>
              <w:t> </w:t>
            </w:r>
          </w:p>
        </w:tc>
        <w:tc>
          <w:tcPr>
            <w:tcW w:w="830" w:type="dxa"/>
            <w:tcBorders>
              <w:bottom w:val="single" w:sz="2" w:space="0" w:color="000000"/>
            </w:tcBorders>
            <w:vAlign w:val="center"/>
          </w:tcPr>
          <w:p>
            <w:pPr>
              <w:pStyle w:val="TableContents"/>
              <w:bidi w:val="0"/>
              <w:spacing w:before="0" w:after="283"/>
              <w:jc w:val="right"/>
              <w:rPr/>
            </w:pPr>
            <w:r>
              <w:rPr/>
              <w:t>$5,346</w:t>
            </w:r>
          </w:p>
        </w:tc>
        <w:tc>
          <w:tcPr>
            <w:tcW w:w="360" w:type="dxa"/>
            <w:tcBorders>
              <w:bottom w:val="single" w:sz="2" w:space="0" w:color="000000"/>
            </w:tcBorders>
            <w:vAlign w:val="center"/>
          </w:tcPr>
          <w:p>
            <w:pPr>
              <w:pStyle w:val="TableContents"/>
              <w:bidi w:val="0"/>
              <w:spacing w:before="0" w:after="283"/>
              <w:jc w:val="left"/>
              <w:rPr/>
            </w:pPr>
            <w:r>
              <w:rPr/>
              <w:t> </w:t>
            </w:r>
          </w:p>
        </w:tc>
        <w:tc>
          <w:tcPr>
            <w:tcW w:w="830" w:type="dxa"/>
            <w:tcBorders>
              <w:bottom w:val="single" w:sz="2" w:space="0" w:color="000000"/>
            </w:tcBorders>
            <w:vAlign w:val="center"/>
          </w:tcPr>
          <w:p>
            <w:pPr>
              <w:pStyle w:val="TableContents"/>
              <w:bidi w:val="0"/>
              <w:spacing w:before="0" w:after="283"/>
              <w:jc w:val="right"/>
              <w:rPr/>
            </w:pPr>
            <w:r>
              <w:rPr/>
              <w:t>$70</w:t>
            </w:r>
          </w:p>
        </w:tc>
        <w:tc>
          <w:tcPr>
            <w:tcW w:w="360" w:type="dxa"/>
            <w:tcBorders>
              <w:bottom w:val="single" w:sz="2" w:space="0" w:color="000000"/>
            </w:tcBorders>
            <w:vAlign w:val="center"/>
          </w:tcPr>
          <w:p>
            <w:pPr>
              <w:pStyle w:val="TableContents"/>
              <w:bidi w:val="0"/>
              <w:spacing w:before="0" w:after="283"/>
              <w:jc w:val="left"/>
              <w:rPr/>
            </w:pPr>
            <w:r>
              <w:rPr/>
              <w:t> </w:t>
            </w:r>
          </w:p>
        </w:tc>
        <w:tc>
          <w:tcPr>
            <w:tcW w:w="845" w:type="dxa"/>
            <w:tcBorders>
              <w:bottom w:val="single" w:sz="2" w:space="0" w:color="000000"/>
            </w:tcBorders>
            <w:vAlign w:val="center"/>
          </w:tcPr>
          <w:p>
            <w:pPr>
              <w:pStyle w:val="TableContents"/>
              <w:bidi w:val="0"/>
              <w:spacing w:before="0" w:after="283"/>
              <w:jc w:val="right"/>
              <w:rPr/>
            </w:pPr>
            <w:r>
              <w:rPr/>
              <w:t>–</w:t>
            </w:r>
          </w:p>
        </w:tc>
      </w:tr>
      <w:tr>
        <w:trPr/>
        <w:tc>
          <w:tcPr>
            <w:tcW w:w="5285" w:type="dxa"/>
            <w:tcBorders>
              <w:bottom w:val="single" w:sz="2" w:space="0" w:color="000000"/>
            </w:tcBorders>
            <w:shd w:fill="EDEDEE" w:val="clear"/>
            <w:vAlign w:val="center"/>
          </w:tcPr>
          <w:p>
            <w:pPr>
              <w:pStyle w:val="TableContents"/>
              <w:bidi w:val="0"/>
              <w:spacing w:before="0" w:after="283"/>
              <w:jc w:val="left"/>
              <w:rPr/>
            </w:pPr>
            <w:r>
              <w:rPr/>
              <w:t>Adjusted segment net sales</w:t>
            </w:r>
          </w:p>
        </w:tc>
        <w:tc>
          <w:tcPr>
            <w:tcW w:w="360" w:type="dxa"/>
            <w:tcBorders>
              <w:bottom w:val="single" w:sz="2" w:space="0" w:color="000000"/>
            </w:tcBorders>
            <w:shd w:fill="EDEDEE" w:val="clear"/>
            <w:vAlign w:val="center"/>
          </w:tcPr>
          <w:p>
            <w:pPr>
              <w:pStyle w:val="TableContents"/>
              <w:bidi w:val="0"/>
              <w:spacing w:before="0" w:after="283"/>
              <w:jc w:val="left"/>
              <w:rPr/>
            </w:pPr>
            <w:r>
              <w:rPr/>
              <w:t> </w:t>
            </w:r>
          </w:p>
        </w:tc>
        <w:tc>
          <w:tcPr>
            <w:tcW w:w="830" w:type="dxa"/>
            <w:tcBorders>
              <w:bottom w:val="single" w:sz="2" w:space="0" w:color="000000"/>
            </w:tcBorders>
            <w:shd w:fill="EDEDEE" w:val="clear"/>
            <w:vAlign w:val="center"/>
          </w:tcPr>
          <w:p>
            <w:pPr>
              <w:pStyle w:val="TableContents"/>
              <w:bidi w:val="0"/>
              <w:spacing w:before="0" w:after="283"/>
              <w:jc w:val="right"/>
              <w:rPr/>
            </w:pPr>
            <w:r>
              <w:rPr/>
              <w:t>$76,245</w:t>
            </w:r>
          </w:p>
        </w:tc>
        <w:tc>
          <w:tcPr>
            <w:tcW w:w="360" w:type="dxa"/>
            <w:tcBorders>
              <w:bottom w:val="single" w:sz="2" w:space="0" w:color="000000"/>
            </w:tcBorders>
            <w:shd w:fill="EDEDEE" w:val="clear"/>
            <w:vAlign w:val="center"/>
          </w:tcPr>
          <w:p>
            <w:pPr>
              <w:pStyle w:val="TableContents"/>
              <w:bidi w:val="0"/>
              <w:spacing w:before="0" w:after="283"/>
              <w:jc w:val="left"/>
              <w:rPr/>
            </w:pPr>
            <w:r>
              <w:rPr/>
              <w:t> </w:t>
            </w:r>
          </w:p>
        </w:tc>
        <w:tc>
          <w:tcPr>
            <w:tcW w:w="830" w:type="dxa"/>
            <w:tcBorders>
              <w:bottom w:val="single" w:sz="2" w:space="0" w:color="000000"/>
            </w:tcBorders>
            <w:shd w:fill="EDEDEE" w:val="clear"/>
            <w:vAlign w:val="center"/>
          </w:tcPr>
          <w:p>
            <w:pPr>
              <w:pStyle w:val="TableContents"/>
              <w:bidi w:val="0"/>
              <w:spacing w:before="0" w:after="283"/>
              <w:jc w:val="right"/>
              <w:rPr/>
            </w:pPr>
            <w:r>
              <w:rPr/>
              <w:t>$83,133</w:t>
            </w:r>
          </w:p>
        </w:tc>
        <w:tc>
          <w:tcPr>
            <w:tcW w:w="360" w:type="dxa"/>
            <w:tcBorders>
              <w:bottom w:val="single" w:sz="2" w:space="0" w:color="000000"/>
            </w:tcBorders>
            <w:shd w:fill="EDEDEE" w:val="clear"/>
            <w:vAlign w:val="center"/>
          </w:tcPr>
          <w:p>
            <w:pPr>
              <w:pStyle w:val="TableContents"/>
              <w:bidi w:val="0"/>
              <w:spacing w:before="0" w:after="283"/>
              <w:jc w:val="left"/>
              <w:rPr/>
            </w:pPr>
            <w:r>
              <w:rPr/>
              <w:t> </w:t>
            </w:r>
          </w:p>
        </w:tc>
        <w:tc>
          <w:tcPr>
            <w:tcW w:w="845" w:type="dxa"/>
            <w:tcBorders>
              <w:bottom w:val="single" w:sz="2" w:space="0" w:color="000000"/>
            </w:tcBorders>
            <w:shd w:fill="EDEDEE" w:val="clear"/>
            <w:vAlign w:val="center"/>
          </w:tcPr>
          <w:p>
            <w:pPr>
              <w:pStyle w:val="TableContents"/>
              <w:bidi w:val="0"/>
              <w:spacing w:before="0" w:after="283"/>
              <w:jc w:val="right"/>
              <w:rPr/>
            </w:pPr>
            <w:r>
              <w:rPr/>
              <w:t>$91,155</w:t>
            </w:r>
          </w:p>
        </w:tc>
      </w:tr>
      <w:tr>
        <w:trPr/>
        <w:tc>
          <w:tcPr>
            <w:tcW w:w="5285" w:type="dxa"/>
            <w:tcBorders>
              <w:bottom w:val="single" w:sz="2" w:space="0" w:color="000000"/>
            </w:tcBorders>
            <w:vAlign w:val="center"/>
          </w:tcPr>
          <w:p>
            <w:pPr>
              <w:pStyle w:val="TableContents"/>
              <w:bidi w:val="0"/>
              <w:spacing w:before="0" w:after="283"/>
              <w:jc w:val="left"/>
              <w:rPr>
                <w:b/>
                <w:color w:val="636466"/>
              </w:rPr>
            </w:pPr>
            <w:r>
              <w:rPr>
                <w:b/>
                <w:color w:val="636466"/>
              </w:rPr>
              <w:t>Reconciliation to adjusted net sales:</w:t>
            </w:r>
          </w:p>
        </w:tc>
        <w:tc>
          <w:tcPr>
            <w:tcW w:w="360" w:type="dxa"/>
            <w:tcBorders>
              <w:bottom w:val="single" w:sz="2" w:space="0" w:color="000000"/>
            </w:tcBorders>
            <w:vAlign w:val="center"/>
          </w:tcPr>
          <w:p>
            <w:pPr>
              <w:pStyle w:val="TableContents"/>
              <w:bidi w:val="0"/>
              <w:spacing w:before="0" w:after="283"/>
              <w:jc w:val="left"/>
              <w:rPr/>
            </w:pPr>
            <w:r>
              <w:rPr/>
              <w:t> </w:t>
            </w:r>
          </w:p>
        </w:tc>
        <w:tc>
          <w:tcPr>
            <w:tcW w:w="830" w:type="dxa"/>
            <w:tcBorders>
              <w:bottom w:val="single" w:sz="2" w:space="0" w:color="000000"/>
            </w:tcBorders>
            <w:vAlign w:val="center"/>
          </w:tcPr>
          <w:p>
            <w:pPr>
              <w:pStyle w:val="TableContents"/>
              <w:bidi w:val="0"/>
              <w:spacing w:before="0" w:after="283"/>
              <w:jc w:val="right"/>
              <w:rPr/>
            </w:pPr>
            <w:r>
              <w:rPr/>
              <w:t> </w:t>
            </w:r>
          </w:p>
        </w:tc>
        <w:tc>
          <w:tcPr>
            <w:tcW w:w="360" w:type="dxa"/>
            <w:tcBorders>
              <w:bottom w:val="single" w:sz="2" w:space="0" w:color="000000"/>
            </w:tcBorders>
            <w:vAlign w:val="center"/>
          </w:tcPr>
          <w:p>
            <w:pPr>
              <w:pStyle w:val="TableContents"/>
              <w:bidi w:val="0"/>
              <w:spacing w:before="0" w:after="283"/>
              <w:jc w:val="left"/>
              <w:rPr/>
            </w:pPr>
            <w:r>
              <w:rPr/>
              <w:t> </w:t>
            </w:r>
          </w:p>
        </w:tc>
        <w:tc>
          <w:tcPr>
            <w:tcW w:w="830" w:type="dxa"/>
            <w:tcBorders>
              <w:bottom w:val="single" w:sz="2" w:space="0" w:color="000000"/>
            </w:tcBorders>
            <w:vAlign w:val="center"/>
          </w:tcPr>
          <w:p>
            <w:pPr>
              <w:pStyle w:val="TableContents"/>
              <w:bidi w:val="0"/>
              <w:spacing w:before="0" w:after="283"/>
              <w:jc w:val="right"/>
              <w:rPr/>
            </w:pPr>
            <w:r>
              <w:rPr/>
              <w:t> </w:t>
            </w:r>
          </w:p>
        </w:tc>
        <w:tc>
          <w:tcPr>
            <w:tcW w:w="360" w:type="dxa"/>
            <w:tcBorders>
              <w:bottom w:val="single" w:sz="2" w:space="0" w:color="000000"/>
            </w:tcBorders>
            <w:vAlign w:val="center"/>
          </w:tcPr>
          <w:p>
            <w:pPr>
              <w:pStyle w:val="TableContents"/>
              <w:bidi w:val="0"/>
              <w:spacing w:before="0" w:after="283"/>
              <w:jc w:val="left"/>
              <w:rPr/>
            </w:pPr>
            <w:r>
              <w:rPr/>
              <w:t> </w:t>
            </w:r>
          </w:p>
        </w:tc>
        <w:tc>
          <w:tcPr>
            <w:tcW w:w="845" w:type="dxa"/>
            <w:tcBorders>
              <w:bottom w:val="single" w:sz="2" w:space="0" w:color="000000"/>
            </w:tcBorders>
            <w:vAlign w:val="center"/>
          </w:tcPr>
          <w:p>
            <w:pPr>
              <w:pStyle w:val="TableContents"/>
              <w:bidi w:val="0"/>
              <w:spacing w:before="0" w:after="283"/>
              <w:jc w:val="right"/>
              <w:rPr/>
            </w:pPr>
            <w:r>
              <w:rPr/>
              <w:t> </w:t>
            </w:r>
          </w:p>
        </w:tc>
      </w:tr>
      <w:tr>
        <w:trPr/>
        <w:tc>
          <w:tcPr>
            <w:tcW w:w="5285" w:type="dxa"/>
            <w:tcBorders>
              <w:bottom w:val="single" w:sz="2" w:space="0" w:color="000000"/>
            </w:tcBorders>
            <w:vAlign w:val="center"/>
          </w:tcPr>
          <w:p>
            <w:pPr>
              <w:pStyle w:val="TableContents"/>
              <w:bidi w:val="0"/>
              <w:spacing w:before="0" w:after="283"/>
              <w:jc w:val="left"/>
              <w:rPr/>
            </w:pPr>
            <w:r>
              <w:rPr/>
              <w:t>Eliminations and other</w:t>
            </w:r>
          </w:p>
        </w:tc>
        <w:tc>
          <w:tcPr>
            <w:tcW w:w="360" w:type="dxa"/>
            <w:tcBorders>
              <w:bottom w:val="single" w:sz="2" w:space="0" w:color="000000"/>
            </w:tcBorders>
            <w:vAlign w:val="center"/>
          </w:tcPr>
          <w:p>
            <w:pPr>
              <w:pStyle w:val="TableContents"/>
              <w:bidi w:val="0"/>
              <w:spacing w:before="0" w:after="283"/>
              <w:jc w:val="left"/>
              <w:rPr/>
            </w:pPr>
            <w:r>
              <w:rPr/>
              <w:t> </w:t>
            </w:r>
          </w:p>
        </w:tc>
        <w:tc>
          <w:tcPr>
            <w:tcW w:w="830" w:type="dxa"/>
            <w:tcBorders>
              <w:bottom w:val="single" w:sz="2" w:space="0" w:color="000000"/>
            </w:tcBorders>
            <w:vAlign w:val="center"/>
          </w:tcPr>
          <w:p>
            <w:pPr>
              <w:pStyle w:val="TableContents"/>
              <w:bidi w:val="0"/>
              <w:spacing w:before="0" w:after="283"/>
              <w:jc w:val="right"/>
              <w:rPr/>
            </w:pPr>
            <w:r>
              <w:rPr/>
              <w:t>($1,940)</w:t>
            </w:r>
          </w:p>
        </w:tc>
        <w:tc>
          <w:tcPr>
            <w:tcW w:w="360" w:type="dxa"/>
            <w:tcBorders>
              <w:bottom w:val="single" w:sz="2" w:space="0" w:color="000000"/>
            </w:tcBorders>
            <w:vAlign w:val="center"/>
          </w:tcPr>
          <w:p>
            <w:pPr>
              <w:pStyle w:val="TableContents"/>
              <w:bidi w:val="0"/>
              <w:spacing w:before="0" w:after="283"/>
              <w:jc w:val="left"/>
              <w:rPr/>
            </w:pPr>
            <w:r>
              <w:rPr/>
              <w:t> </w:t>
            </w:r>
          </w:p>
        </w:tc>
        <w:tc>
          <w:tcPr>
            <w:tcW w:w="830" w:type="dxa"/>
            <w:tcBorders>
              <w:bottom w:val="single" w:sz="2" w:space="0" w:color="000000"/>
            </w:tcBorders>
            <w:vAlign w:val="center"/>
          </w:tcPr>
          <w:p>
            <w:pPr>
              <w:pStyle w:val="TableContents"/>
              <w:bidi w:val="0"/>
              <w:spacing w:before="0" w:after="283"/>
              <w:jc w:val="right"/>
              <w:rPr/>
            </w:pPr>
            <w:r>
              <w:rPr/>
              <w:t>($2,325)</w:t>
            </w:r>
          </w:p>
        </w:tc>
        <w:tc>
          <w:tcPr>
            <w:tcW w:w="360" w:type="dxa"/>
            <w:tcBorders>
              <w:bottom w:val="single" w:sz="2" w:space="0" w:color="000000"/>
            </w:tcBorders>
            <w:vAlign w:val="center"/>
          </w:tcPr>
          <w:p>
            <w:pPr>
              <w:pStyle w:val="TableContents"/>
              <w:bidi w:val="0"/>
              <w:spacing w:before="0" w:after="283"/>
              <w:jc w:val="left"/>
              <w:rPr/>
            </w:pPr>
            <w:r>
              <w:rPr/>
              <w:t> </w:t>
            </w:r>
          </w:p>
        </w:tc>
        <w:tc>
          <w:tcPr>
            <w:tcW w:w="845" w:type="dxa"/>
            <w:tcBorders>
              <w:bottom w:val="single" w:sz="2" w:space="0" w:color="000000"/>
            </w:tcBorders>
            <w:vAlign w:val="center"/>
          </w:tcPr>
          <w:p>
            <w:pPr>
              <w:pStyle w:val="TableContents"/>
              <w:bidi w:val="0"/>
              <w:spacing w:before="0" w:after="283"/>
              <w:jc w:val="right"/>
              <w:rPr/>
            </w:pPr>
            <w:r>
              <w:rPr/>
              <w:t>($2,552)</w:t>
            </w:r>
          </w:p>
        </w:tc>
      </w:tr>
      <w:tr>
        <w:trPr/>
        <w:tc>
          <w:tcPr>
            <w:tcW w:w="5285" w:type="dxa"/>
            <w:tcBorders>
              <w:bottom w:val="single" w:sz="2" w:space="0" w:color="000000"/>
            </w:tcBorders>
            <w:shd w:fill="EDEDEE" w:val="clear"/>
            <w:vAlign w:val="center"/>
          </w:tcPr>
          <w:p>
            <w:pPr>
              <w:pStyle w:val="TableContents"/>
              <w:bidi w:val="0"/>
              <w:spacing w:before="0" w:after="283"/>
              <w:jc w:val="left"/>
              <w:rPr/>
            </w:pPr>
            <w:r>
              <w:rPr/>
              <w:t>Adjusted net sales</w:t>
            </w:r>
          </w:p>
        </w:tc>
        <w:tc>
          <w:tcPr>
            <w:tcW w:w="360" w:type="dxa"/>
            <w:tcBorders>
              <w:bottom w:val="single" w:sz="2" w:space="0" w:color="000000"/>
            </w:tcBorders>
            <w:shd w:fill="EDEDEE" w:val="clear"/>
            <w:vAlign w:val="center"/>
          </w:tcPr>
          <w:p>
            <w:pPr>
              <w:pStyle w:val="TableContents"/>
              <w:bidi w:val="0"/>
              <w:spacing w:before="0" w:after="283"/>
              <w:jc w:val="left"/>
              <w:rPr/>
            </w:pPr>
            <w:r>
              <w:rPr/>
              <w:t> </w:t>
            </w:r>
          </w:p>
        </w:tc>
        <w:tc>
          <w:tcPr>
            <w:tcW w:w="830" w:type="dxa"/>
            <w:tcBorders>
              <w:bottom w:val="single" w:sz="2" w:space="0" w:color="000000"/>
            </w:tcBorders>
            <w:shd w:fill="EDEDEE" w:val="clear"/>
            <w:vAlign w:val="center"/>
          </w:tcPr>
          <w:p>
            <w:pPr>
              <w:pStyle w:val="TableContents"/>
              <w:bidi w:val="0"/>
              <w:spacing w:before="0" w:after="283"/>
              <w:jc w:val="right"/>
              <w:rPr/>
            </w:pPr>
            <w:r>
              <w:rPr/>
              <w:t>$74,305</w:t>
            </w:r>
          </w:p>
        </w:tc>
        <w:tc>
          <w:tcPr>
            <w:tcW w:w="360" w:type="dxa"/>
            <w:tcBorders>
              <w:bottom w:val="single" w:sz="2" w:space="0" w:color="000000"/>
            </w:tcBorders>
            <w:shd w:fill="EDEDEE" w:val="clear"/>
            <w:vAlign w:val="center"/>
          </w:tcPr>
          <w:p>
            <w:pPr>
              <w:pStyle w:val="TableContents"/>
              <w:bidi w:val="0"/>
              <w:spacing w:before="0" w:after="283"/>
              <w:jc w:val="left"/>
              <w:rPr/>
            </w:pPr>
            <w:r>
              <w:rPr/>
              <w:t> </w:t>
            </w:r>
          </w:p>
        </w:tc>
        <w:tc>
          <w:tcPr>
            <w:tcW w:w="830" w:type="dxa"/>
            <w:tcBorders>
              <w:bottom w:val="single" w:sz="2" w:space="0" w:color="000000"/>
            </w:tcBorders>
            <w:shd w:fill="EDEDEE" w:val="clear"/>
            <w:vAlign w:val="center"/>
          </w:tcPr>
          <w:p>
            <w:pPr>
              <w:pStyle w:val="TableContents"/>
              <w:bidi w:val="0"/>
              <w:spacing w:before="0" w:after="283"/>
              <w:jc w:val="right"/>
              <w:rPr/>
            </w:pPr>
            <w:r>
              <w:rPr/>
              <w:t>$80,808</w:t>
            </w:r>
          </w:p>
        </w:tc>
        <w:tc>
          <w:tcPr>
            <w:tcW w:w="360" w:type="dxa"/>
            <w:tcBorders>
              <w:bottom w:val="single" w:sz="2" w:space="0" w:color="000000"/>
            </w:tcBorders>
            <w:shd w:fill="EDEDEE" w:val="clear"/>
            <w:vAlign w:val="center"/>
          </w:tcPr>
          <w:p>
            <w:pPr>
              <w:pStyle w:val="TableContents"/>
              <w:bidi w:val="0"/>
              <w:spacing w:before="0" w:after="283"/>
              <w:jc w:val="left"/>
              <w:rPr/>
            </w:pPr>
            <w:r>
              <w:rPr/>
              <w:t> </w:t>
            </w:r>
          </w:p>
        </w:tc>
        <w:tc>
          <w:tcPr>
            <w:tcW w:w="845" w:type="dxa"/>
            <w:tcBorders>
              <w:bottom w:val="single" w:sz="2" w:space="0" w:color="000000"/>
            </w:tcBorders>
            <w:shd w:fill="EDEDEE" w:val="clear"/>
            <w:vAlign w:val="center"/>
          </w:tcPr>
          <w:p>
            <w:pPr>
              <w:pStyle w:val="TableContents"/>
              <w:bidi w:val="0"/>
              <w:spacing w:before="0" w:after="283"/>
              <w:jc w:val="right"/>
              <w:rPr/>
            </w:pPr>
            <w:r>
              <w:rPr/>
              <w:t>$88,603</w:t>
            </w:r>
          </w:p>
        </w:tc>
      </w:tr>
      <w:tr>
        <w:trPr/>
        <w:tc>
          <w:tcPr>
            <w:tcW w:w="5285" w:type="dxa"/>
            <w:tcBorders>
              <w:bottom w:val="single" w:sz="2" w:space="0" w:color="000000"/>
            </w:tcBorders>
            <w:vAlign w:val="center"/>
          </w:tcPr>
          <w:p>
            <w:pPr>
              <w:pStyle w:val="TableContents"/>
              <w:bidi w:val="0"/>
              <w:spacing w:before="0" w:after="283"/>
              <w:jc w:val="left"/>
              <w:rPr/>
            </w:pPr>
            <w:r>
              <w:rPr/>
              <w:t>Operating profit</w:t>
            </w:r>
          </w:p>
        </w:tc>
        <w:tc>
          <w:tcPr>
            <w:tcW w:w="360" w:type="dxa"/>
            <w:tcBorders>
              <w:bottom w:val="single" w:sz="2" w:space="0" w:color="000000"/>
            </w:tcBorders>
            <w:vAlign w:val="center"/>
          </w:tcPr>
          <w:p>
            <w:pPr>
              <w:pStyle w:val="TableContents"/>
              <w:bidi w:val="0"/>
              <w:spacing w:before="0" w:after="283"/>
              <w:jc w:val="left"/>
              <w:rPr/>
            </w:pPr>
            <w:r>
              <w:rPr/>
              <w:t> </w:t>
            </w:r>
          </w:p>
        </w:tc>
        <w:tc>
          <w:tcPr>
            <w:tcW w:w="830" w:type="dxa"/>
            <w:tcBorders>
              <w:bottom w:val="single" w:sz="2" w:space="0" w:color="000000"/>
            </w:tcBorders>
            <w:vAlign w:val="center"/>
          </w:tcPr>
          <w:p>
            <w:pPr>
              <w:pStyle w:val="TableContents"/>
              <w:bidi w:val="0"/>
              <w:spacing w:before="0" w:after="283"/>
              <w:jc w:val="right"/>
              <w:rPr/>
            </w:pPr>
            <w:r>
              <w:rPr/>
              <w:t>$3,561</w:t>
            </w:r>
          </w:p>
        </w:tc>
        <w:tc>
          <w:tcPr>
            <w:tcW w:w="360" w:type="dxa"/>
            <w:tcBorders>
              <w:bottom w:val="single" w:sz="2" w:space="0" w:color="000000"/>
            </w:tcBorders>
            <w:vAlign w:val="center"/>
          </w:tcPr>
          <w:p>
            <w:pPr>
              <w:pStyle w:val="TableContents"/>
              <w:bidi w:val="0"/>
              <w:spacing w:before="0" w:after="283"/>
              <w:jc w:val="left"/>
              <w:rPr/>
            </w:pPr>
            <w:r>
              <w:rPr/>
              <w:t> </w:t>
            </w:r>
          </w:p>
        </w:tc>
        <w:tc>
          <w:tcPr>
            <w:tcW w:w="830" w:type="dxa"/>
            <w:tcBorders>
              <w:bottom w:val="single" w:sz="2" w:space="0" w:color="000000"/>
            </w:tcBorders>
            <w:vAlign w:val="center"/>
          </w:tcPr>
          <w:p>
            <w:pPr>
              <w:pStyle w:val="TableContents"/>
              <w:bidi w:val="0"/>
              <w:spacing w:before="0" w:after="283"/>
              <w:jc w:val="right"/>
              <w:rPr/>
            </w:pPr>
            <w:r>
              <w:rPr/>
              <w:t>$6,538</w:t>
            </w:r>
          </w:p>
        </w:tc>
        <w:tc>
          <w:tcPr>
            <w:tcW w:w="360" w:type="dxa"/>
            <w:tcBorders>
              <w:bottom w:val="single" w:sz="2" w:space="0" w:color="000000"/>
            </w:tcBorders>
            <w:vAlign w:val="center"/>
          </w:tcPr>
          <w:p>
            <w:pPr>
              <w:pStyle w:val="TableContents"/>
              <w:bidi w:val="0"/>
              <w:spacing w:before="0" w:after="283"/>
              <w:jc w:val="left"/>
              <w:rPr/>
            </w:pPr>
            <w:r>
              <w:rPr/>
              <w:t> </w:t>
            </w:r>
          </w:p>
        </w:tc>
        <w:tc>
          <w:tcPr>
            <w:tcW w:w="845" w:type="dxa"/>
            <w:tcBorders>
              <w:bottom w:val="single" w:sz="2" w:space="0" w:color="000000"/>
            </w:tcBorders>
            <w:vAlign w:val="center"/>
          </w:tcPr>
          <w:p>
            <w:pPr>
              <w:pStyle w:val="TableContents"/>
              <w:bidi w:val="0"/>
              <w:spacing w:before="0" w:after="283"/>
              <w:jc w:val="right"/>
              <w:rPr/>
            </w:pPr>
            <w:r>
              <w:rPr/>
              <w:t>$9,300</w:t>
            </w:r>
          </w:p>
        </w:tc>
      </w:tr>
      <w:tr>
        <w:trPr/>
        <w:tc>
          <w:tcPr>
            <w:tcW w:w="5285" w:type="dxa"/>
            <w:tcBorders>
              <w:bottom w:val="single" w:sz="2" w:space="0" w:color="000000"/>
            </w:tcBorders>
            <w:vAlign w:val="center"/>
          </w:tcPr>
          <w:p>
            <w:pPr>
              <w:pStyle w:val="TableContents"/>
              <w:bidi w:val="0"/>
              <w:spacing w:before="0" w:after="283"/>
              <w:jc w:val="left"/>
              <w:rPr/>
            </w:pPr>
            <w:r>
              <w:rPr/>
              <w:t>Operating profit margin</w:t>
            </w:r>
          </w:p>
        </w:tc>
        <w:tc>
          <w:tcPr>
            <w:tcW w:w="360" w:type="dxa"/>
            <w:tcBorders>
              <w:bottom w:val="single" w:sz="2" w:space="0" w:color="000000"/>
            </w:tcBorders>
            <w:vAlign w:val="center"/>
          </w:tcPr>
          <w:p>
            <w:pPr>
              <w:pStyle w:val="TableContents"/>
              <w:bidi w:val="0"/>
              <w:spacing w:before="0" w:after="283"/>
              <w:jc w:val="left"/>
              <w:rPr/>
            </w:pPr>
            <w:r>
              <w:rPr/>
              <w:t> </w:t>
            </w:r>
          </w:p>
        </w:tc>
        <w:tc>
          <w:tcPr>
            <w:tcW w:w="830" w:type="dxa"/>
            <w:tcBorders>
              <w:bottom w:val="single" w:sz="2" w:space="0" w:color="000000"/>
            </w:tcBorders>
            <w:vAlign w:val="center"/>
          </w:tcPr>
          <w:p>
            <w:pPr>
              <w:pStyle w:val="TableContents"/>
              <w:bidi w:val="0"/>
              <w:spacing w:before="0" w:after="283"/>
              <w:jc w:val="right"/>
              <w:rPr/>
            </w:pPr>
            <w:r>
              <w:rPr/>
              <w:t>5.2%</w:t>
            </w:r>
          </w:p>
        </w:tc>
        <w:tc>
          <w:tcPr>
            <w:tcW w:w="360" w:type="dxa"/>
            <w:tcBorders>
              <w:bottom w:val="single" w:sz="2" w:space="0" w:color="000000"/>
            </w:tcBorders>
            <w:vAlign w:val="center"/>
          </w:tcPr>
          <w:p>
            <w:pPr>
              <w:pStyle w:val="TableContents"/>
              <w:bidi w:val="0"/>
              <w:spacing w:before="0" w:after="283"/>
              <w:jc w:val="left"/>
              <w:rPr/>
            </w:pPr>
            <w:r>
              <w:rPr/>
              <w:t> </w:t>
            </w:r>
          </w:p>
        </w:tc>
        <w:tc>
          <w:tcPr>
            <w:tcW w:w="830" w:type="dxa"/>
            <w:tcBorders>
              <w:bottom w:val="single" w:sz="2" w:space="0" w:color="000000"/>
            </w:tcBorders>
            <w:vAlign w:val="center"/>
          </w:tcPr>
          <w:p>
            <w:pPr>
              <w:pStyle w:val="TableContents"/>
              <w:bidi w:val="0"/>
              <w:spacing w:before="0" w:after="283"/>
              <w:jc w:val="right"/>
              <w:rPr/>
            </w:pPr>
            <w:r>
              <w:rPr/>
              <w:t>8.1%</w:t>
            </w:r>
          </w:p>
        </w:tc>
        <w:tc>
          <w:tcPr>
            <w:tcW w:w="360" w:type="dxa"/>
            <w:tcBorders>
              <w:bottom w:val="single" w:sz="2" w:space="0" w:color="000000"/>
            </w:tcBorders>
            <w:vAlign w:val="center"/>
          </w:tcPr>
          <w:p>
            <w:pPr>
              <w:pStyle w:val="TableContents"/>
              <w:bidi w:val="0"/>
              <w:spacing w:before="0" w:after="283"/>
              <w:jc w:val="left"/>
              <w:rPr/>
            </w:pPr>
            <w:r>
              <w:rPr/>
              <w:t> </w:t>
            </w:r>
          </w:p>
        </w:tc>
        <w:tc>
          <w:tcPr>
            <w:tcW w:w="845" w:type="dxa"/>
            <w:tcBorders>
              <w:bottom w:val="single" w:sz="2" w:space="0" w:color="000000"/>
            </w:tcBorders>
            <w:vAlign w:val="center"/>
          </w:tcPr>
          <w:p>
            <w:pPr>
              <w:pStyle w:val="TableContents"/>
              <w:bidi w:val="0"/>
              <w:spacing w:before="0" w:after="283"/>
              <w:jc w:val="right"/>
              <w:rPr/>
            </w:pPr>
            <w:r>
              <w:rPr/>
              <w:t>10.5%</w:t>
            </w:r>
          </w:p>
        </w:tc>
      </w:tr>
      <w:tr>
        <w:trPr/>
        <w:tc>
          <w:tcPr>
            <w:tcW w:w="5285" w:type="dxa"/>
            <w:tcBorders>
              <w:bottom w:val="single" w:sz="2" w:space="0" w:color="000000"/>
            </w:tcBorders>
            <w:vAlign w:val="center"/>
          </w:tcPr>
          <w:p>
            <w:pPr>
              <w:pStyle w:val="TableContents"/>
              <w:bidi w:val="0"/>
              <w:spacing w:before="0" w:after="283"/>
              <w:jc w:val="left"/>
              <w:rPr>
                <w:b/>
                <w:color w:val="636466"/>
              </w:rPr>
            </w:pPr>
            <w:r>
              <w:rPr>
                <w:b/>
                <w:color w:val="636466"/>
              </w:rPr>
              <w:t>Reconciliation to segment operating profit:</w:t>
            </w:r>
          </w:p>
        </w:tc>
        <w:tc>
          <w:tcPr>
            <w:tcW w:w="360" w:type="dxa"/>
            <w:tcBorders>
              <w:bottom w:val="single" w:sz="2" w:space="0" w:color="000000"/>
            </w:tcBorders>
            <w:vAlign w:val="center"/>
          </w:tcPr>
          <w:p>
            <w:pPr>
              <w:pStyle w:val="TableContents"/>
              <w:bidi w:val="0"/>
              <w:spacing w:before="0" w:after="283"/>
              <w:jc w:val="left"/>
              <w:rPr/>
            </w:pPr>
            <w:r>
              <w:rPr/>
              <w:t> </w:t>
            </w:r>
          </w:p>
        </w:tc>
        <w:tc>
          <w:tcPr>
            <w:tcW w:w="830" w:type="dxa"/>
            <w:tcBorders>
              <w:bottom w:val="single" w:sz="2" w:space="0" w:color="000000"/>
            </w:tcBorders>
            <w:vAlign w:val="center"/>
          </w:tcPr>
          <w:p>
            <w:pPr>
              <w:pStyle w:val="TableContents"/>
              <w:bidi w:val="0"/>
              <w:spacing w:before="0" w:after="283"/>
              <w:jc w:val="right"/>
              <w:rPr/>
            </w:pPr>
            <w:r>
              <w:rPr/>
              <w:t> </w:t>
            </w:r>
          </w:p>
        </w:tc>
        <w:tc>
          <w:tcPr>
            <w:tcW w:w="360" w:type="dxa"/>
            <w:tcBorders>
              <w:bottom w:val="single" w:sz="2" w:space="0" w:color="000000"/>
            </w:tcBorders>
            <w:vAlign w:val="center"/>
          </w:tcPr>
          <w:p>
            <w:pPr>
              <w:pStyle w:val="TableContents"/>
              <w:bidi w:val="0"/>
              <w:spacing w:before="0" w:after="283"/>
              <w:jc w:val="left"/>
              <w:rPr/>
            </w:pPr>
            <w:r>
              <w:rPr/>
              <w:t> </w:t>
            </w:r>
          </w:p>
        </w:tc>
        <w:tc>
          <w:tcPr>
            <w:tcW w:w="830" w:type="dxa"/>
            <w:tcBorders>
              <w:bottom w:val="single" w:sz="2" w:space="0" w:color="000000"/>
            </w:tcBorders>
            <w:vAlign w:val="center"/>
          </w:tcPr>
          <w:p>
            <w:pPr>
              <w:pStyle w:val="TableContents"/>
              <w:bidi w:val="0"/>
              <w:spacing w:before="0" w:after="283"/>
              <w:jc w:val="right"/>
              <w:rPr/>
            </w:pPr>
            <w:r>
              <w:rPr/>
              <w:t> </w:t>
            </w:r>
          </w:p>
        </w:tc>
        <w:tc>
          <w:tcPr>
            <w:tcW w:w="360" w:type="dxa"/>
            <w:tcBorders>
              <w:bottom w:val="single" w:sz="2" w:space="0" w:color="000000"/>
            </w:tcBorders>
            <w:vAlign w:val="center"/>
          </w:tcPr>
          <w:p>
            <w:pPr>
              <w:pStyle w:val="TableContents"/>
              <w:bidi w:val="0"/>
              <w:spacing w:before="0" w:after="283"/>
              <w:jc w:val="left"/>
              <w:rPr/>
            </w:pPr>
            <w:r>
              <w:rPr/>
              <w:t> </w:t>
            </w:r>
          </w:p>
        </w:tc>
        <w:tc>
          <w:tcPr>
            <w:tcW w:w="845" w:type="dxa"/>
            <w:tcBorders>
              <w:bottom w:val="single" w:sz="2" w:space="0" w:color="000000"/>
            </w:tcBorders>
            <w:vAlign w:val="center"/>
          </w:tcPr>
          <w:p>
            <w:pPr>
              <w:pStyle w:val="TableContents"/>
              <w:bidi w:val="0"/>
              <w:spacing w:before="0" w:after="283"/>
              <w:jc w:val="right"/>
              <w:rPr/>
            </w:pPr>
            <w:r>
              <w:rPr/>
              <w:t> </w:t>
            </w:r>
          </w:p>
        </w:tc>
      </w:tr>
      <w:tr>
        <w:trPr/>
        <w:tc>
          <w:tcPr>
            <w:tcW w:w="5285" w:type="dxa"/>
            <w:tcBorders>
              <w:bottom w:val="single" w:sz="2" w:space="0" w:color="000000"/>
            </w:tcBorders>
            <w:vAlign w:val="center"/>
          </w:tcPr>
          <w:p>
            <w:pPr>
              <w:pStyle w:val="TableContents"/>
              <w:bidi w:val="0"/>
              <w:spacing w:before="0" w:after="283"/>
              <w:jc w:val="left"/>
              <w:rPr/>
            </w:pPr>
            <w:r>
              <w:rPr/>
              <w:t>Eliminations and other</w:t>
            </w:r>
          </w:p>
        </w:tc>
        <w:tc>
          <w:tcPr>
            <w:tcW w:w="360" w:type="dxa"/>
            <w:tcBorders>
              <w:bottom w:val="single" w:sz="2" w:space="0" w:color="000000"/>
            </w:tcBorders>
            <w:vAlign w:val="center"/>
          </w:tcPr>
          <w:p>
            <w:pPr>
              <w:pStyle w:val="TableContents"/>
              <w:bidi w:val="0"/>
              <w:spacing w:before="0" w:after="283"/>
              <w:jc w:val="left"/>
              <w:rPr/>
            </w:pPr>
            <w:r>
              <w:rPr/>
              <w:t> </w:t>
            </w:r>
          </w:p>
        </w:tc>
        <w:tc>
          <w:tcPr>
            <w:tcW w:w="830" w:type="dxa"/>
            <w:tcBorders>
              <w:bottom w:val="single" w:sz="2" w:space="0" w:color="000000"/>
            </w:tcBorders>
            <w:vAlign w:val="center"/>
          </w:tcPr>
          <w:p>
            <w:pPr>
              <w:pStyle w:val="TableContents"/>
              <w:bidi w:val="0"/>
              <w:spacing w:before="0" w:after="283"/>
              <w:jc w:val="right"/>
              <w:rPr/>
            </w:pPr>
            <w:r>
              <w:rPr/>
              <w:t>$42</w:t>
            </w:r>
          </w:p>
        </w:tc>
        <w:tc>
          <w:tcPr>
            <w:tcW w:w="360" w:type="dxa"/>
            <w:tcBorders>
              <w:bottom w:val="single" w:sz="2" w:space="0" w:color="000000"/>
            </w:tcBorders>
            <w:vAlign w:val="center"/>
          </w:tcPr>
          <w:p>
            <w:pPr>
              <w:pStyle w:val="TableContents"/>
              <w:bidi w:val="0"/>
              <w:spacing w:before="0" w:after="283"/>
              <w:jc w:val="left"/>
              <w:rPr/>
            </w:pPr>
            <w:r>
              <w:rPr/>
              <w:t> </w:t>
            </w:r>
          </w:p>
        </w:tc>
        <w:tc>
          <w:tcPr>
            <w:tcW w:w="830" w:type="dxa"/>
            <w:tcBorders>
              <w:bottom w:val="single" w:sz="2" w:space="0" w:color="000000"/>
            </w:tcBorders>
            <w:vAlign w:val="center"/>
          </w:tcPr>
          <w:p>
            <w:pPr>
              <w:pStyle w:val="TableContents"/>
              <w:bidi w:val="0"/>
              <w:spacing w:before="0" w:after="283"/>
              <w:jc w:val="right"/>
              <w:rPr/>
            </w:pPr>
            <w:r>
              <w:rPr/>
              <w:t>$48</w:t>
            </w:r>
          </w:p>
        </w:tc>
        <w:tc>
          <w:tcPr>
            <w:tcW w:w="360" w:type="dxa"/>
            <w:tcBorders>
              <w:bottom w:val="single" w:sz="2" w:space="0" w:color="000000"/>
            </w:tcBorders>
            <w:vAlign w:val="center"/>
          </w:tcPr>
          <w:p>
            <w:pPr>
              <w:pStyle w:val="TableContents"/>
              <w:bidi w:val="0"/>
              <w:spacing w:before="0" w:after="283"/>
              <w:jc w:val="left"/>
              <w:rPr/>
            </w:pPr>
            <w:r>
              <w:rPr/>
              <w:t> </w:t>
            </w:r>
          </w:p>
        </w:tc>
        <w:tc>
          <w:tcPr>
            <w:tcW w:w="845" w:type="dxa"/>
            <w:tcBorders>
              <w:bottom w:val="single" w:sz="2" w:space="0" w:color="000000"/>
            </w:tcBorders>
            <w:vAlign w:val="center"/>
          </w:tcPr>
          <w:p>
            <w:pPr>
              <w:pStyle w:val="TableContents"/>
              <w:bidi w:val="0"/>
              <w:spacing w:before="0" w:after="283"/>
              <w:jc w:val="right"/>
              <w:rPr/>
            </w:pPr>
            <w:r>
              <w:rPr/>
              <w:t>($54)</w:t>
            </w:r>
          </w:p>
        </w:tc>
      </w:tr>
      <w:tr>
        <w:trPr/>
        <w:tc>
          <w:tcPr>
            <w:tcW w:w="5285" w:type="dxa"/>
            <w:tcBorders>
              <w:bottom w:val="single" w:sz="2" w:space="0" w:color="000000"/>
            </w:tcBorders>
            <w:vAlign w:val="center"/>
          </w:tcPr>
          <w:p>
            <w:pPr>
              <w:pStyle w:val="TableContents"/>
              <w:bidi w:val="0"/>
              <w:spacing w:before="0" w:after="283"/>
              <w:jc w:val="left"/>
              <w:rPr/>
            </w:pPr>
            <w:r>
              <w:rPr/>
              <w:t>Corporate expenses and other unallocated items</w:t>
            </w:r>
          </w:p>
        </w:tc>
        <w:tc>
          <w:tcPr>
            <w:tcW w:w="360" w:type="dxa"/>
            <w:tcBorders>
              <w:bottom w:val="single" w:sz="2" w:space="0" w:color="000000"/>
            </w:tcBorders>
            <w:vAlign w:val="center"/>
          </w:tcPr>
          <w:p>
            <w:pPr>
              <w:pStyle w:val="TableContents"/>
              <w:bidi w:val="0"/>
              <w:spacing w:before="0" w:after="283"/>
              <w:jc w:val="left"/>
              <w:rPr/>
            </w:pPr>
            <w:r>
              <w:rPr/>
              <w:t> </w:t>
            </w:r>
          </w:p>
        </w:tc>
        <w:tc>
          <w:tcPr>
            <w:tcW w:w="830" w:type="dxa"/>
            <w:tcBorders>
              <w:bottom w:val="single" w:sz="2" w:space="0" w:color="000000"/>
            </w:tcBorders>
            <w:vAlign w:val="center"/>
          </w:tcPr>
          <w:p>
            <w:pPr>
              <w:pStyle w:val="TableContents"/>
              <w:bidi w:val="0"/>
              <w:spacing w:before="0" w:after="283"/>
              <w:jc w:val="right"/>
              <w:rPr/>
            </w:pPr>
            <w:r>
              <w:rPr/>
              <w:t>$275</w:t>
            </w:r>
          </w:p>
        </w:tc>
        <w:tc>
          <w:tcPr>
            <w:tcW w:w="360" w:type="dxa"/>
            <w:tcBorders>
              <w:bottom w:val="single" w:sz="2" w:space="0" w:color="000000"/>
            </w:tcBorders>
            <w:vAlign w:val="center"/>
          </w:tcPr>
          <w:p>
            <w:pPr>
              <w:pStyle w:val="TableContents"/>
              <w:bidi w:val="0"/>
              <w:spacing w:before="0" w:after="283"/>
              <w:jc w:val="left"/>
              <w:rPr/>
            </w:pPr>
            <w:r>
              <w:rPr/>
              <w:t> </w:t>
            </w:r>
          </w:p>
        </w:tc>
        <w:tc>
          <w:tcPr>
            <w:tcW w:w="830" w:type="dxa"/>
            <w:tcBorders>
              <w:bottom w:val="single" w:sz="2" w:space="0" w:color="000000"/>
            </w:tcBorders>
            <w:vAlign w:val="center"/>
          </w:tcPr>
          <w:p>
            <w:pPr>
              <w:pStyle w:val="TableContents"/>
              <w:bidi w:val="0"/>
              <w:spacing w:before="0" w:after="283"/>
              <w:jc w:val="right"/>
              <w:rPr/>
            </w:pPr>
            <w:r>
              <w:rPr/>
              <w:t>$933</w:t>
            </w:r>
          </w:p>
        </w:tc>
        <w:tc>
          <w:tcPr>
            <w:tcW w:w="360" w:type="dxa"/>
            <w:tcBorders>
              <w:bottom w:val="single" w:sz="2" w:space="0" w:color="000000"/>
            </w:tcBorders>
            <w:vAlign w:val="center"/>
          </w:tcPr>
          <w:p>
            <w:pPr>
              <w:pStyle w:val="TableContents"/>
              <w:bidi w:val="0"/>
              <w:spacing w:before="0" w:after="283"/>
              <w:jc w:val="left"/>
              <w:rPr/>
            </w:pPr>
            <w:r>
              <w:rPr/>
              <w:t> </w:t>
            </w:r>
          </w:p>
        </w:tc>
        <w:tc>
          <w:tcPr>
            <w:tcW w:w="845" w:type="dxa"/>
            <w:tcBorders>
              <w:bottom w:val="single" w:sz="2" w:space="0" w:color="000000"/>
            </w:tcBorders>
            <w:vAlign w:val="center"/>
          </w:tcPr>
          <w:p>
            <w:pPr>
              <w:pStyle w:val="TableContents"/>
              <w:bidi w:val="0"/>
              <w:spacing w:before="0" w:after="283"/>
              <w:jc w:val="right"/>
              <w:rPr/>
            </w:pPr>
            <w:r>
              <w:rPr/>
              <w:t>$248</w:t>
            </w:r>
          </w:p>
        </w:tc>
      </w:tr>
      <w:tr>
        <w:trPr/>
        <w:tc>
          <w:tcPr>
            <w:tcW w:w="5285" w:type="dxa"/>
            <w:tcBorders>
              <w:bottom w:val="single" w:sz="2" w:space="0" w:color="000000"/>
            </w:tcBorders>
            <w:vAlign w:val="center"/>
          </w:tcPr>
          <w:p>
            <w:pPr>
              <w:pStyle w:val="TableContents"/>
              <w:bidi w:val="0"/>
              <w:spacing w:before="0" w:after="283"/>
              <w:jc w:val="left"/>
              <w:rPr/>
            </w:pPr>
            <w:r>
              <w:rPr/>
              <w:t>FAS/CAS operating adjustment</w:t>
            </w:r>
          </w:p>
        </w:tc>
        <w:tc>
          <w:tcPr>
            <w:tcW w:w="360" w:type="dxa"/>
            <w:tcBorders>
              <w:bottom w:val="single" w:sz="2" w:space="0" w:color="000000"/>
            </w:tcBorders>
            <w:vAlign w:val="center"/>
          </w:tcPr>
          <w:p>
            <w:pPr>
              <w:pStyle w:val="TableContents"/>
              <w:bidi w:val="0"/>
              <w:spacing w:before="0" w:after="283"/>
              <w:jc w:val="left"/>
              <w:rPr/>
            </w:pPr>
            <w:r>
              <w:rPr/>
              <w:t> </w:t>
            </w:r>
          </w:p>
        </w:tc>
        <w:tc>
          <w:tcPr>
            <w:tcW w:w="830" w:type="dxa"/>
            <w:tcBorders>
              <w:bottom w:val="single" w:sz="2" w:space="0" w:color="000000"/>
            </w:tcBorders>
            <w:vAlign w:val="center"/>
          </w:tcPr>
          <w:p>
            <w:pPr>
              <w:pStyle w:val="TableContents"/>
              <w:bidi w:val="0"/>
              <w:spacing w:before="0" w:after="283"/>
              <w:jc w:val="right"/>
              <w:rPr/>
            </w:pPr>
            <w:r>
              <w:rPr/>
              <w:t>($1,127)</w:t>
            </w:r>
          </w:p>
        </w:tc>
        <w:tc>
          <w:tcPr>
            <w:tcW w:w="360" w:type="dxa"/>
            <w:tcBorders>
              <w:bottom w:val="single" w:sz="2" w:space="0" w:color="000000"/>
            </w:tcBorders>
            <w:vAlign w:val="center"/>
          </w:tcPr>
          <w:p>
            <w:pPr>
              <w:pStyle w:val="TableContents"/>
              <w:bidi w:val="0"/>
              <w:spacing w:before="0" w:after="283"/>
              <w:jc w:val="left"/>
              <w:rPr/>
            </w:pPr>
            <w:r>
              <w:rPr/>
              <w:t> </w:t>
            </w:r>
          </w:p>
        </w:tc>
        <w:tc>
          <w:tcPr>
            <w:tcW w:w="830" w:type="dxa"/>
            <w:tcBorders>
              <w:bottom w:val="single" w:sz="2" w:space="0" w:color="000000"/>
            </w:tcBorders>
            <w:vAlign w:val="center"/>
          </w:tcPr>
          <w:p>
            <w:pPr>
              <w:pStyle w:val="TableContents"/>
              <w:bidi w:val="0"/>
              <w:spacing w:before="0" w:after="283"/>
              <w:jc w:val="right"/>
              <w:rPr/>
            </w:pPr>
            <w:r>
              <w:rPr/>
              <w:t>($833)</w:t>
            </w:r>
          </w:p>
        </w:tc>
        <w:tc>
          <w:tcPr>
            <w:tcW w:w="360" w:type="dxa"/>
            <w:tcBorders>
              <w:bottom w:val="single" w:sz="2" w:space="0" w:color="000000"/>
            </w:tcBorders>
            <w:vAlign w:val="center"/>
          </w:tcPr>
          <w:p>
            <w:pPr>
              <w:pStyle w:val="TableContents"/>
              <w:bidi w:val="0"/>
              <w:spacing w:before="0" w:after="283"/>
              <w:jc w:val="left"/>
              <w:rPr/>
            </w:pPr>
            <w:r>
              <w:rPr/>
              <w:t> </w:t>
            </w:r>
          </w:p>
        </w:tc>
        <w:tc>
          <w:tcPr>
            <w:tcW w:w="845" w:type="dxa"/>
            <w:tcBorders>
              <w:bottom w:val="single" w:sz="2" w:space="0" w:color="000000"/>
            </w:tcBorders>
            <w:vAlign w:val="center"/>
          </w:tcPr>
          <w:p>
            <w:pPr>
              <w:pStyle w:val="TableContents"/>
              <w:bidi w:val="0"/>
              <w:spacing w:before="0" w:after="283"/>
              <w:jc w:val="right"/>
              <w:rPr/>
            </w:pPr>
            <w:r>
              <w:rPr/>
              <w:t>($753)</w:t>
            </w:r>
          </w:p>
        </w:tc>
      </w:tr>
      <w:tr>
        <w:trPr/>
        <w:tc>
          <w:tcPr>
            <w:tcW w:w="5285" w:type="dxa"/>
            <w:tcBorders>
              <w:bottom w:val="single" w:sz="2" w:space="0" w:color="000000"/>
            </w:tcBorders>
            <w:vAlign w:val="center"/>
          </w:tcPr>
          <w:p>
            <w:pPr>
              <w:pStyle w:val="TableContents"/>
              <w:bidi w:val="0"/>
              <w:spacing w:before="0" w:after="283"/>
              <w:jc w:val="left"/>
              <w:rPr/>
            </w:pPr>
            <w:r>
              <w:rPr/>
              <w:t>Acquisition accounting adjustments</w:t>
            </w:r>
          </w:p>
        </w:tc>
        <w:tc>
          <w:tcPr>
            <w:tcW w:w="360" w:type="dxa"/>
            <w:tcBorders>
              <w:bottom w:val="single" w:sz="2" w:space="0" w:color="000000"/>
            </w:tcBorders>
            <w:vAlign w:val="center"/>
          </w:tcPr>
          <w:p>
            <w:pPr>
              <w:pStyle w:val="TableContents"/>
              <w:bidi w:val="0"/>
              <w:spacing w:before="0" w:after="283"/>
              <w:jc w:val="left"/>
              <w:rPr/>
            </w:pPr>
            <w:r>
              <w:rPr/>
              <w:t> </w:t>
            </w:r>
          </w:p>
        </w:tc>
        <w:tc>
          <w:tcPr>
            <w:tcW w:w="830" w:type="dxa"/>
            <w:tcBorders>
              <w:bottom w:val="single" w:sz="2" w:space="0" w:color="000000"/>
            </w:tcBorders>
            <w:vAlign w:val="center"/>
          </w:tcPr>
          <w:p>
            <w:pPr>
              <w:pStyle w:val="TableContents"/>
              <w:bidi w:val="0"/>
              <w:spacing w:before="0" w:after="283"/>
              <w:jc w:val="right"/>
              <w:rPr/>
            </w:pPr>
            <w:r>
              <w:rPr/>
              <w:t>$1,998</w:t>
            </w:r>
          </w:p>
        </w:tc>
        <w:tc>
          <w:tcPr>
            <w:tcW w:w="360" w:type="dxa"/>
            <w:tcBorders>
              <w:bottom w:val="single" w:sz="2" w:space="0" w:color="000000"/>
            </w:tcBorders>
            <w:vAlign w:val="center"/>
          </w:tcPr>
          <w:p>
            <w:pPr>
              <w:pStyle w:val="TableContents"/>
              <w:bidi w:val="0"/>
              <w:spacing w:before="0" w:after="283"/>
              <w:jc w:val="left"/>
              <w:rPr/>
            </w:pPr>
            <w:r>
              <w:rPr/>
              <w:t> </w:t>
            </w:r>
          </w:p>
        </w:tc>
        <w:tc>
          <w:tcPr>
            <w:tcW w:w="830" w:type="dxa"/>
            <w:tcBorders>
              <w:bottom w:val="single" w:sz="2" w:space="0" w:color="000000"/>
            </w:tcBorders>
            <w:vAlign w:val="center"/>
          </w:tcPr>
          <w:p>
            <w:pPr>
              <w:pStyle w:val="TableContents"/>
              <w:bidi w:val="0"/>
              <w:spacing w:before="0" w:after="283"/>
              <w:jc w:val="right"/>
              <w:rPr/>
            </w:pPr>
            <w:r>
              <w:rPr/>
              <w:t>$2,058</w:t>
            </w:r>
          </w:p>
        </w:tc>
        <w:tc>
          <w:tcPr>
            <w:tcW w:w="360" w:type="dxa"/>
            <w:tcBorders>
              <w:bottom w:val="single" w:sz="2" w:space="0" w:color="000000"/>
            </w:tcBorders>
            <w:vAlign w:val="center"/>
          </w:tcPr>
          <w:p>
            <w:pPr>
              <w:pStyle w:val="TableContents"/>
              <w:bidi w:val="0"/>
              <w:spacing w:before="0" w:after="283"/>
              <w:jc w:val="left"/>
              <w:rPr/>
            </w:pPr>
            <w:r>
              <w:rPr/>
              <w:t> </w:t>
            </w:r>
          </w:p>
        </w:tc>
        <w:tc>
          <w:tcPr>
            <w:tcW w:w="845" w:type="dxa"/>
            <w:tcBorders>
              <w:bottom w:val="single" w:sz="2" w:space="0" w:color="000000"/>
            </w:tcBorders>
            <w:vAlign w:val="center"/>
          </w:tcPr>
          <w:p>
            <w:pPr>
              <w:pStyle w:val="TableContents"/>
              <w:bidi w:val="0"/>
              <w:spacing w:before="0" w:after="283"/>
              <w:jc w:val="right"/>
              <w:rPr/>
            </w:pPr>
            <w:r>
              <w:rPr/>
              <w:t>$2,005</w:t>
            </w:r>
          </w:p>
        </w:tc>
      </w:tr>
      <w:tr>
        <w:trPr/>
        <w:tc>
          <w:tcPr>
            <w:tcW w:w="5285" w:type="dxa"/>
            <w:tcBorders>
              <w:bottom w:val="single" w:sz="2" w:space="0" w:color="000000"/>
            </w:tcBorders>
            <w:vAlign w:val="center"/>
          </w:tcPr>
          <w:p>
            <w:pPr>
              <w:pStyle w:val="TableContents"/>
              <w:bidi w:val="0"/>
              <w:spacing w:before="0" w:after="283"/>
              <w:jc w:val="left"/>
              <w:rPr/>
            </w:pPr>
            <w:r>
              <w:rPr/>
              <w:t>Segment operating profit</w:t>
            </w:r>
          </w:p>
        </w:tc>
        <w:tc>
          <w:tcPr>
            <w:tcW w:w="360" w:type="dxa"/>
            <w:tcBorders>
              <w:bottom w:val="single" w:sz="2" w:space="0" w:color="000000"/>
            </w:tcBorders>
            <w:vAlign w:val="center"/>
          </w:tcPr>
          <w:p>
            <w:pPr>
              <w:pStyle w:val="TableContents"/>
              <w:bidi w:val="0"/>
              <w:spacing w:before="0" w:after="283"/>
              <w:jc w:val="left"/>
              <w:rPr/>
            </w:pPr>
            <w:r>
              <w:rPr/>
              <w:t> </w:t>
            </w:r>
          </w:p>
        </w:tc>
        <w:tc>
          <w:tcPr>
            <w:tcW w:w="830" w:type="dxa"/>
            <w:tcBorders>
              <w:bottom w:val="single" w:sz="2" w:space="0" w:color="000000"/>
            </w:tcBorders>
            <w:vAlign w:val="center"/>
          </w:tcPr>
          <w:p>
            <w:pPr>
              <w:pStyle w:val="TableContents"/>
              <w:bidi w:val="0"/>
              <w:spacing w:before="0" w:after="283"/>
              <w:jc w:val="right"/>
              <w:rPr/>
            </w:pPr>
            <w:r>
              <w:rPr/>
              <w:t>$4,749</w:t>
            </w:r>
          </w:p>
        </w:tc>
        <w:tc>
          <w:tcPr>
            <w:tcW w:w="360" w:type="dxa"/>
            <w:tcBorders>
              <w:bottom w:val="single" w:sz="2" w:space="0" w:color="000000"/>
            </w:tcBorders>
            <w:vAlign w:val="center"/>
          </w:tcPr>
          <w:p>
            <w:pPr>
              <w:pStyle w:val="TableContents"/>
              <w:bidi w:val="0"/>
              <w:spacing w:before="0" w:after="283"/>
              <w:jc w:val="left"/>
              <w:rPr/>
            </w:pPr>
            <w:r>
              <w:rPr/>
              <w:t> </w:t>
            </w:r>
          </w:p>
        </w:tc>
        <w:tc>
          <w:tcPr>
            <w:tcW w:w="830" w:type="dxa"/>
            <w:tcBorders>
              <w:bottom w:val="single" w:sz="2" w:space="0" w:color="000000"/>
            </w:tcBorders>
            <w:vAlign w:val="center"/>
          </w:tcPr>
          <w:p>
            <w:pPr>
              <w:pStyle w:val="TableContents"/>
              <w:bidi w:val="0"/>
              <w:spacing w:before="0" w:after="283"/>
              <w:jc w:val="right"/>
              <w:rPr/>
            </w:pPr>
            <w:r>
              <w:rPr/>
              <w:t>$8,744</w:t>
            </w:r>
          </w:p>
        </w:tc>
        <w:tc>
          <w:tcPr>
            <w:tcW w:w="360" w:type="dxa"/>
            <w:tcBorders>
              <w:bottom w:val="single" w:sz="2" w:space="0" w:color="000000"/>
            </w:tcBorders>
            <w:vAlign w:val="center"/>
          </w:tcPr>
          <w:p>
            <w:pPr>
              <w:pStyle w:val="TableContents"/>
              <w:bidi w:val="0"/>
              <w:spacing w:before="0" w:after="283"/>
              <w:jc w:val="left"/>
              <w:rPr/>
            </w:pPr>
            <w:r>
              <w:rPr/>
              <w:t> </w:t>
            </w:r>
          </w:p>
        </w:tc>
        <w:tc>
          <w:tcPr>
            <w:tcW w:w="845" w:type="dxa"/>
            <w:tcBorders>
              <w:bottom w:val="single" w:sz="2" w:space="0" w:color="000000"/>
            </w:tcBorders>
            <w:vAlign w:val="center"/>
          </w:tcPr>
          <w:p>
            <w:pPr>
              <w:pStyle w:val="TableContents"/>
              <w:bidi w:val="0"/>
              <w:spacing w:before="0" w:after="283"/>
              <w:jc w:val="right"/>
              <w:rPr/>
            </w:pPr>
            <w:r>
              <w:rPr/>
              <w:t>$10,746</w:t>
            </w:r>
          </w:p>
        </w:tc>
      </w:tr>
      <w:tr>
        <w:trPr/>
        <w:tc>
          <w:tcPr>
            <w:tcW w:w="5285" w:type="dxa"/>
            <w:tcBorders>
              <w:bottom w:val="single" w:sz="2" w:space="0" w:color="000000"/>
            </w:tcBorders>
            <w:shd w:fill="EDEDEE" w:val="clear"/>
            <w:vAlign w:val="center"/>
          </w:tcPr>
          <w:p>
            <w:pPr>
              <w:pStyle w:val="TableContents"/>
              <w:bidi w:val="0"/>
              <w:spacing w:before="0" w:after="283"/>
              <w:jc w:val="left"/>
              <w:rPr/>
            </w:pPr>
            <w:r>
              <w:rPr/>
              <w:t>Segment operating profit margin</w:t>
            </w:r>
          </w:p>
        </w:tc>
        <w:tc>
          <w:tcPr>
            <w:tcW w:w="360" w:type="dxa"/>
            <w:tcBorders>
              <w:bottom w:val="single" w:sz="2" w:space="0" w:color="000000"/>
            </w:tcBorders>
            <w:shd w:fill="EDEDEE" w:val="clear"/>
            <w:vAlign w:val="center"/>
          </w:tcPr>
          <w:p>
            <w:pPr>
              <w:pStyle w:val="TableContents"/>
              <w:bidi w:val="0"/>
              <w:spacing w:before="0" w:after="283"/>
              <w:jc w:val="left"/>
              <w:rPr/>
            </w:pPr>
            <w:r>
              <w:rPr/>
              <w:t> </w:t>
            </w:r>
          </w:p>
        </w:tc>
        <w:tc>
          <w:tcPr>
            <w:tcW w:w="830" w:type="dxa"/>
            <w:tcBorders>
              <w:bottom w:val="single" w:sz="2" w:space="0" w:color="000000"/>
            </w:tcBorders>
            <w:shd w:fill="EDEDEE" w:val="clear"/>
            <w:vAlign w:val="center"/>
          </w:tcPr>
          <w:p>
            <w:pPr>
              <w:pStyle w:val="TableContents"/>
              <w:bidi w:val="0"/>
              <w:spacing w:before="0" w:after="283"/>
              <w:jc w:val="right"/>
              <w:rPr/>
            </w:pPr>
            <w:r>
              <w:rPr/>
              <w:t>6.7%</w:t>
            </w:r>
          </w:p>
        </w:tc>
        <w:tc>
          <w:tcPr>
            <w:tcW w:w="360" w:type="dxa"/>
            <w:tcBorders>
              <w:bottom w:val="single" w:sz="2" w:space="0" w:color="000000"/>
            </w:tcBorders>
            <w:shd w:fill="EDEDEE" w:val="clear"/>
            <w:vAlign w:val="center"/>
          </w:tcPr>
          <w:p>
            <w:pPr>
              <w:pStyle w:val="TableContents"/>
              <w:bidi w:val="0"/>
              <w:spacing w:before="0" w:after="283"/>
              <w:jc w:val="left"/>
              <w:rPr/>
            </w:pPr>
            <w:r>
              <w:rPr/>
              <w:t> </w:t>
            </w:r>
          </w:p>
        </w:tc>
        <w:tc>
          <w:tcPr>
            <w:tcW w:w="830" w:type="dxa"/>
            <w:tcBorders>
              <w:bottom w:val="single" w:sz="2" w:space="0" w:color="000000"/>
            </w:tcBorders>
            <w:shd w:fill="EDEDEE" w:val="clear"/>
            <w:vAlign w:val="center"/>
          </w:tcPr>
          <w:p>
            <w:pPr>
              <w:pStyle w:val="TableContents"/>
              <w:bidi w:val="0"/>
              <w:spacing w:before="0" w:after="283"/>
              <w:jc w:val="right"/>
              <w:rPr/>
            </w:pPr>
            <w:r>
              <w:rPr/>
              <w:t>10.5%</w:t>
            </w:r>
          </w:p>
        </w:tc>
        <w:tc>
          <w:tcPr>
            <w:tcW w:w="360" w:type="dxa"/>
            <w:tcBorders>
              <w:bottom w:val="single" w:sz="2" w:space="0" w:color="000000"/>
            </w:tcBorders>
            <w:shd w:fill="EDEDEE" w:val="clear"/>
            <w:vAlign w:val="center"/>
          </w:tcPr>
          <w:p>
            <w:pPr>
              <w:pStyle w:val="TableContents"/>
              <w:bidi w:val="0"/>
              <w:spacing w:before="0" w:after="283"/>
              <w:jc w:val="left"/>
              <w:rPr/>
            </w:pPr>
            <w:r>
              <w:rPr/>
              <w:t> </w:t>
            </w:r>
          </w:p>
        </w:tc>
        <w:tc>
          <w:tcPr>
            <w:tcW w:w="845" w:type="dxa"/>
            <w:tcBorders>
              <w:bottom w:val="single" w:sz="2" w:space="0" w:color="000000"/>
            </w:tcBorders>
            <w:shd w:fill="EDEDEE" w:val="clear"/>
            <w:vAlign w:val="center"/>
          </w:tcPr>
          <w:p>
            <w:pPr>
              <w:pStyle w:val="TableContents"/>
              <w:bidi w:val="0"/>
              <w:spacing w:before="0" w:after="283"/>
              <w:jc w:val="right"/>
              <w:rPr/>
            </w:pPr>
            <w:r>
              <w:rPr/>
              <w:t>11.8%</w:t>
            </w:r>
          </w:p>
        </w:tc>
      </w:tr>
      <w:tr>
        <w:trPr/>
        <w:tc>
          <w:tcPr>
            <w:tcW w:w="5285" w:type="dxa"/>
            <w:tcBorders>
              <w:bottom w:val="single" w:sz="2" w:space="0" w:color="000000"/>
            </w:tcBorders>
            <w:vAlign w:val="center"/>
          </w:tcPr>
          <w:p>
            <w:pPr>
              <w:pStyle w:val="TableContents"/>
              <w:bidi w:val="0"/>
              <w:spacing w:before="0" w:after="283"/>
              <w:jc w:val="left"/>
              <w:rPr>
                <w:b/>
                <w:color w:val="636466"/>
              </w:rPr>
            </w:pPr>
            <w:r>
              <w:rPr>
                <w:b/>
                <w:color w:val="636466"/>
              </w:rPr>
              <w:t>Reconciliation to adjusted segment operating profit:</w:t>
            </w:r>
          </w:p>
        </w:tc>
        <w:tc>
          <w:tcPr>
            <w:tcW w:w="360" w:type="dxa"/>
            <w:tcBorders>
              <w:bottom w:val="single" w:sz="2" w:space="0" w:color="000000"/>
            </w:tcBorders>
            <w:vAlign w:val="center"/>
          </w:tcPr>
          <w:p>
            <w:pPr>
              <w:pStyle w:val="TableContents"/>
              <w:bidi w:val="0"/>
              <w:spacing w:before="0" w:after="283"/>
              <w:jc w:val="left"/>
              <w:rPr/>
            </w:pPr>
            <w:r>
              <w:rPr/>
              <w:t> </w:t>
            </w:r>
          </w:p>
        </w:tc>
        <w:tc>
          <w:tcPr>
            <w:tcW w:w="830" w:type="dxa"/>
            <w:tcBorders>
              <w:bottom w:val="single" w:sz="2" w:space="0" w:color="000000"/>
            </w:tcBorders>
            <w:vAlign w:val="center"/>
          </w:tcPr>
          <w:p>
            <w:pPr>
              <w:pStyle w:val="TableContents"/>
              <w:bidi w:val="0"/>
              <w:spacing w:before="0" w:after="283"/>
              <w:jc w:val="right"/>
              <w:rPr/>
            </w:pPr>
            <w:r>
              <w:rPr/>
              <w:t> </w:t>
            </w:r>
          </w:p>
        </w:tc>
        <w:tc>
          <w:tcPr>
            <w:tcW w:w="360" w:type="dxa"/>
            <w:tcBorders>
              <w:bottom w:val="single" w:sz="2" w:space="0" w:color="000000"/>
            </w:tcBorders>
            <w:vAlign w:val="center"/>
          </w:tcPr>
          <w:p>
            <w:pPr>
              <w:pStyle w:val="TableContents"/>
              <w:bidi w:val="0"/>
              <w:spacing w:before="0" w:after="283"/>
              <w:jc w:val="left"/>
              <w:rPr/>
            </w:pPr>
            <w:r>
              <w:rPr/>
              <w:t> </w:t>
            </w:r>
          </w:p>
        </w:tc>
        <w:tc>
          <w:tcPr>
            <w:tcW w:w="830" w:type="dxa"/>
            <w:tcBorders>
              <w:bottom w:val="single" w:sz="2" w:space="0" w:color="000000"/>
            </w:tcBorders>
            <w:vAlign w:val="center"/>
          </w:tcPr>
          <w:p>
            <w:pPr>
              <w:pStyle w:val="TableContents"/>
              <w:bidi w:val="0"/>
              <w:spacing w:before="0" w:after="283"/>
              <w:jc w:val="right"/>
              <w:rPr/>
            </w:pPr>
            <w:r>
              <w:rPr/>
              <w:t> </w:t>
            </w:r>
          </w:p>
        </w:tc>
        <w:tc>
          <w:tcPr>
            <w:tcW w:w="360" w:type="dxa"/>
            <w:tcBorders>
              <w:bottom w:val="single" w:sz="2" w:space="0" w:color="000000"/>
            </w:tcBorders>
            <w:vAlign w:val="center"/>
          </w:tcPr>
          <w:p>
            <w:pPr>
              <w:pStyle w:val="TableContents"/>
              <w:bidi w:val="0"/>
              <w:spacing w:before="0" w:after="283"/>
              <w:jc w:val="left"/>
              <w:rPr/>
            </w:pPr>
            <w:r>
              <w:rPr/>
              <w:t> </w:t>
            </w:r>
          </w:p>
        </w:tc>
        <w:tc>
          <w:tcPr>
            <w:tcW w:w="845" w:type="dxa"/>
            <w:tcBorders>
              <w:bottom w:val="single" w:sz="2" w:space="0" w:color="000000"/>
            </w:tcBorders>
            <w:vAlign w:val="center"/>
          </w:tcPr>
          <w:p>
            <w:pPr>
              <w:pStyle w:val="TableContents"/>
              <w:bidi w:val="0"/>
              <w:spacing w:before="0" w:after="283"/>
              <w:jc w:val="right"/>
              <w:rPr/>
            </w:pPr>
            <w:r>
              <w:rPr/>
              <w:t> </w:t>
            </w:r>
          </w:p>
        </w:tc>
      </w:tr>
      <w:tr>
        <w:trPr/>
        <w:tc>
          <w:tcPr>
            <w:tcW w:w="5285" w:type="dxa"/>
            <w:tcBorders>
              <w:bottom w:val="single" w:sz="2" w:space="0" w:color="000000"/>
            </w:tcBorders>
            <w:vAlign w:val="center"/>
          </w:tcPr>
          <w:p>
            <w:pPr>
              <w:pStyle w:val="TableContents"/>
              <w:bidi w:val="0"/>
              <w:spacing w:before="0" w:after="283"/>
              <w:jc w:val="left"/>
              <w:rPr/>
            </w:pPr>
            <w:r>
              <w:rPr/>
              <w:t>Restructuring</w:t>
            </w:r>
          </w:p>
        </w:tc>
        <w:tc>
          <w:tcPr>
            <w:tcW w:w="360" w:type="dxa"/>
            <w:tcBorders>
              <w:bottom w:val="single" w:sz="2" w:space="0" w:color="000000"/>
            </w:tcBorders>
            <w:vAlign w:val="center"/>
          </w:tcPr>
          <w:p>
            <w:pPr>
              <w:pStyle w:val="TableContents"/>
              <w:bidi w:val="0"/>
              <w:spacing w:before="0" w:after="283"/>
              <w:jc w:val="left"/>
              <w:rPr/>
            </w:pPr>
            <w:r>
              <w:rPr/>
              <w:t> </w:t>
            </w:r>
          </w:p>
        </w:tc>
        <w:tc>
          <w:tcPr>
            <w:tcW w:w="830" w:type="dxa"/>
            <w:tcBorders>
              <w:bottom w:val="single" w:sz="2" w:space="0" w:color="000000"/>
            </w:tcBorders>
            <w:vAlign w:val="center"/>
          </w:tcPr>
          <w:p>
            <w:pPr>
              <w:pStyle w:val="TableContents"/>
              <w:bidi w:val="0"/>
              <w:spacing w:before="0" w:after="283"/>
              <w:jc w:val="right"/>
              <w:rPr/>
            </w:pPr>
            <w:r>
              <w:rPr/>
              <w:t>$187</w:t>
            </w:r>
          </w:p>
        </w:tc>
        <w:tc>
          <w:tcPr>
            <w:tcW w:w="360" w:type="dxa"/>
            <w:tcBorders>
              <w:bottom w:val="single" w:sz="2" w:space="0" w:color="000000"/>
            </w:tcBorders>
            <w:vAlign w:val="center"/>
          </w:tcPr>
          <w:p>
            <w:pPr>
              <w:pStyle w:val="TableContents"/>
              <w:bidi w:val="0"/>
              <w:spacing w:before="0" w:after="283"/>
              <w:jc w:val="left"/>
              <w:rPr/>
            </w:pPr>
            <w:r>
              <w:rPr/>
              <w:t> </w:t>
            </w:r>
          </w:p>
        </w:tc>
        <w:tc>
          <w:tcPr>
            <w:tcW w:w="830" w:type="dxa"/>
            <w:tcBorders>
              <w:bottom w:val="single" w:sz="2" w:space="0" w:color="000000"/>
            </w:tcBorders>
            <w:vAlign w:val="center"/>
          </w:tcPr>
          <w:p>
            <w:pPr>
              <w:pStyle w:val="TableContents"/>
              <w:bidi w:val="0"/>
              <w:spacing w:before="0" w:after="283"/>
              <w:jc w:val="right"/>
              <w:rPr/>
            </w:pPr>
            <w:r>
              <w:rPr/>
              <w:t>$185</w:t>
            </w:r>
          </w:p>
        </w:tc>
        <w:tc>
          <w:tcPr>
            <w:tcW w:w="360" w:type="dxa"/>
            <w:tcBorders>
              <w:bottom w:val="single" w:sz="2" w:space="0" w:color="000000"/>
            </w:tcBorders>
            <w:vAlign w:val="center"/>
          </w:tcPr>
          <w:p>
            <w:pPr>
              <w:pStyle w:val="TableContents"/>
              <w:bidi w:val="0"/>
              <w:spacing w:before="0" w:after="283"/>
              <w:jc w:val="left"/>
              <w:rPr/>
            </w:pPr>
            <w:r>
              <w:rPr/>
              <w:t> </w:t>
            </w:r>
          </w:p>
        </w:tc>
        <w:tc>
          <w:tcPr>
            <w:tcW w:w="845" w:type="dxa"/>
            <w:tcBorders>
              <w:bottom w:val="single" w:sz="2" w:space="0" w:color="000000"/>
            </w:tcBorders>
            <w:vAlign w:val="center"/>
          </w:tcPr>
          <w:p>
            <w:pPr>
              <w:pStyle w:val="TableContents"/>
              <w:bidi w:val="0"/>
              <w:spacing w:before="0" w:after="283"/>
              <w:jc w:val="right"/>
              <w:rPr/>
            </w:pPr>
            <w:r>
              <w:rPr/>
              <w:t>$229</w:t>
            </w:r>
          </w:p>
        </w:tc>
      </w:tr>
      <w:tr>
        <w:trPr/>
        <w:tc>
          <w:tcPr>
            <w:tcW w:w="5285" w:type="dxa"/>
            <w:tcBorders>
              <w:bottom w:val="single" w:sz="2" w:space="0" w:color="000000"/>
            </w:tcBorders>
            <w:vAlign w:val="center"/>
          </w:tcPr>
          <w:p>
            <w:pPr>
              <w:pStyle w:val="TableContents"/>
              <w:bidi w:val="0"/>
              <w:spacing w:before="0" w:after="283"/>
              <w:jc w:val="left"/>
              <w:rPr/>
            </w:pPr>
            <w:r>
              <w:rPr/>
              <w:t>Net significant and/or non-recurring items</w:t>
            </w:r>
          </w:p>
        </w:tc>
        <w:tc>
          <w:tcPr>
            <w:tcW w:w="360" w:type="dxa"/>
            <w:tcBorders>
              <w:bottom w:val="single" w:sz="2" w:space="0" w:color="000000"/>
            </w:tcBorders>
            <w:vAlign w:val="center"/>
          </w:tcPr>
          <w:p>
            <w:pPr>
              <w:pStyle w:val="TableContents"/>
              <w:bidi w:val="0"/>
              <w:spacing w:before="0" w:after="283"/>
              <w:jc w:val="left"/>
              <w:rPr/>
            </w:pPr>
            <w:r>
              <w:rPr/>
              <w:t> </w:t>
            </w:r>
          </w:p>
        </w:tc>
        <w:tc>
          <w:tcPr>
            <w:tcW w:w="830" w:type="dxa"/>
            <w:tcBorders>
              <w:bottom w:val="single" w:sz="2" w:space="0" w:color="000000"/>
            </w:tcBorders>
            <w:vAlign w:val="center"/>
          </w:tcPr>
          <w:p>
            <w:pPr>
              <w:pStyle w:val="TableContents"/>
              <w:bidi w:val="0"/>
              <w:spacing w:before="0" w:after="283"/>
              <w:jc w:val="right"/>
              <w:rPr/>
            </w:pPr>
            <w:r>
              <w:rPr/>
              <w:t>$3,082</w:t>
            </w:r>
          </w:p>
        </w:tc>
        <w:tc>
          <w:tcPr>
            <w:tcW w:w="360" w:type="dxa"/>
            <w:tcBorders>
              <w:bottom w:val="single" w:sz="2" w:space="0" w:color="000000"/>
            </w:tcBorders>
            <w:vAlign w:val="center"/>
          </w:tcPr>
          <w:p>
            <w:pPr>
              <w:pStyle w:val="TableContents"/>
              <w:bidi w:val="0"/>
              <w:spacing w:before="0" w:after="283"/>
              <w:jc w:val="left"/>
              <w:rPr/>
            </w:pPr>
            <w:r>
              <w:rPr/>
              <w:t> </w:t>
            </w:r>
          </w:p>
        </w:tc>
        <w:tc>
          <w:tcPr>
            <w:tcW w:w="830" w:type="dxa"/>
            <w:tcBorders>
              <w:bottom w:val="single" w:sz="2" w:space="0" w:color="000000"/>
            </w:tcBorders>
            <w:vAlign w:val="center"/>
          </w:tcPr>
          <w:p>
            <w:pPr>
              <w:pStyle w:val="TableContents"/>
              <w:bidi w:val="0"/>
              <w:spacing w:before="0" w:after="283"/>
              <w:jc w:val="right"/>
              <w:rPr/>
            </w:pPr>
            <w:r>
              <w:rPr/>
              <w:t>$576</w:t>
            </w:r>
          </w:p>
        </w:tc>
        <w:tc>
          <w:tcPr>
            <w:tcW w:w="360" w:type="dxa"/>
            <w:tcBorders>
              <w:bottom w:val="single" w:sz="2" w:space="0" w:color="000000"/>
            </w:tcBorders>
            <w:vAlign w:val="center"/>
          </w:tcPr>
          <w:p>
            <w:pPr>
              <w:pStyle w:val="TableContents"/>
              <w:bidi w:val="0"/>
              <w:spacing w:before="0" w:after="283"/>
              <w:jc w:val="left"/>
              <w:rPr/>
            </w:pPr>
            <w:r>
              <w:rPr/>
              <w:t> </w:t>
            </w:r>
          </w:p>
        </w:tc>
        <w:tc>
          <w:tcPr>
            <w:tcW w:w="845" w:type="dxa"/>
            <w:tcBorders>
              <w:bottom w:val="single" w:sz="2" w:space="0" w:color="000000"/>
            </w:tcBorders>
            <w:vAlign w:val="center"/>
          </w:tcPr>
          <w:p>
            <w:pPr>
              <w:pStyle w:val="TableContents"/>
              <w:bidi w:val="0"/>
              <w:spacing w:before="0" w:after="283"/>
              <w:jc w:val="right"/>
              <w:rPr/>
            </w:pPr>
            <w:r>
              <w:rPr/>
              <w:t>($126)</w:t>
            </w:r>
          </w:p>
        </w:tc>
      </w:tr>
      <w:tr>
        <w:trPr/>
        <w:tc>
          <w:tcPr>
            <w:tcW w:w="5285" w:type="dxa"/>
            <w:tcBorders>
              <w:bottom w:val="single" w:sz="2" w:space="0" w:color="000000"/>
            </w:tcBorders>
            <w:vAlign w:val="center"/>
          </w:tcPr>
          <w:p>
            <w:pPr>
              <w:pStyle w:val="TableContents"/>
              <w:bidi w:val="0"/>
              <w:spacing w:before="0" w:after="283"/>
              <w:jc w:val="left"/>
              <w:rPr/>
            </w:pPr>
            <w:r>
              <w:rPr/>
              <w:t>Adjusted segment operating profit</w:t>
            </w:r>
          </w:p>
        </w:tc>
        <w:tc>
          <w:tcPr>
            <w:tcW w:w="360" w:type="dxa"/>
            <w:tcBorders>
              <w:bottom w:val="single" w:sz="2" w:space="0" w:color="000000"/>
            </w:tcBorders>
            <w:vAlign w:val="center"/>
          </w:tcPr>
          <w:p>
            <w:pPr>
              <w:pStyle w:val="TableContents"/>
              <w:bidi w:val="0"/>
              <w:spacing w:before="0" w:after="283"/>
              <w:jc w:val="left"/>
              <w:rPr/>
            </w:pPr>
            <w:r>
              <w:rPr/>
              <w:t> </w:t>
            </w:r>
          </w:p>
        </w:tc>
        <w:tc>
          <w:tcPr>
            <w:tcW w:w="830" w:type="dxa"/>
            <w:tcBorders>
              <w:bottom w:val="single" w:sz="2" w:space="0" w:color="000000"/>
            </w:tcBorders>
            <w:vAlign w:val="center"/>
          </w:tcPr>
          <w:p>
            <w:pPr>
              <w:pStyle w:val="TableContents"/>
              <w:bidi w:val="0"/>
              <w:spacing w:before="0" w:after="283"/>
              <w:jc w:val="right"/>
              <w:rPr/>
            </w:pPr>
            <w:r>
              <w:rPr/>
              <w:t>$8,018</w:t>
            </w:r>
          </w:p>
        </w:tc>
        <w:tc>
          <w:tcPr>
            <w:tcW w:w="360" w:type="dxa"/>
            <w:tcBorders>
              <w:bottom w:val="single" w:sz="2" w:space="0" w:color="000000"/>
            </w:tcBorders>
            <w:vAlign w:val="center"/>
          </w:tcPr>
          <w:p>
            <w:pPr>
              <w:pStyle w:val="TableContents"/>
              <w:bidi w:val="0"/>
              <w:spacing w:before="0" w:after="283"/>
              <w:jc w:val="left"/>
              <w:rPr/>
            </w:pPr>
            <w:r>
              <w:rPr/>
              <w:t> </w:t>
            </w:r>
          </w:p>
        </w:tc>
        <w:tc>
          <w:tcPr>
            <w:tcW w:w="830" w:type="dxa"/>
            <w:tcBorders>
              <w:bottom w:val="single" w:sz="2" w:space="0" w:color="000000"/>
            </w:tcBorders>
            <w:vAlign w:val="center"/>
          </w:tcPr>
          <w:p>
            <w:pPr>
              <w:pStyle w:val="TableContents"/>
              <w:bidi w:val="0"/>
              <w:spacing w:before="0" w:after="283"/>
              <w:jc w:val="right"/>
              <w:rPr/>
            </w:pPr>
            <w:r>
              <w:rPr/>
              <w:t>$9,505</w:t>
            </w:r>
          </w:p>
        </w:tc>
        <w:tc>
          <w:tcPr>
            <w:tcW w:w="360" w:type="dxa"/>
            <w:tcBorders>
              <w:bottom w:val="single" w:sz="2" w:space="0" w:color="000000"/>
            </w:tcBorders>
            <w:vAlign w:val="center"/>
          </w:tcPr>
          <w:p>
            <w:pPr>
              <w:pStyle w:val="TableContents"/>
              <w:bidi w:val="0"/>
              <w:spacing w:before="0" w:after="283"/>
              <w:jc w:val="left"/>
              <w:rPr/>
            </w:pPr>
            <w:r>
              <w:rPr/>
              <w:t> </w:t>
            </w:r>
          </w:p>
        </w:tc>
        <w:tc>
          <w:tcPr>
            <w:tcW w:w="845" w:type="dxa"/>
            <w:tcBorders>
              <w:bottom w:val="single" w:sz="2" w:space="0" w:color="000000"/>
            </w:tcBorders>
            <w:vAlign w:val="center"/>
          </w:tcPr>
          <w:p>
            <w:pPr>
              <w:pStyle w:val="TableContents"/>
              <w:bidi w:val="0"/>
              <w:spacing w:before="0" w:after="283"/>
              <w:jc w:val="right"/>
              <w:rPr/>
            </w:pPr>
            <w:r>
              <w:rPr/>
              <w:t>$10,849</w:t>
            </w:r>
          </w:p>
        </w:tc>
      </w:tr>
      <w:tr>
        <w:trPr/>
        <w:tc>
          <w:tcPr>
            <w:tcW w:w="5285" w:type="dxa"/>
            <w:tcBorders>
              <w:bottom w:val="single" w:sz="12" w:space="0" w:color="636466"/>
            </w:tcBorders>
            <w:shd w:fill="EDEDEE" w:val="clear"/>
            <w:vAlign w:val="center"/>
          </w:tcPr>
          <w:p>
            <w:pPr>
              <w:pStyle w:val="TableContents"/>
              <w:bidi w:val="0"/>
              <w:spacing w:before="0" w:after="283"/>
              <w:jc w:val="left"/>
              <w:rPr/>
            </w:pPr>
            <w:r>
              <w:rPr/>
              <w:t>Adjusted segment operating profit margin</w:t>
            </w:r>
          </w:p>
        </w:tc>
        <w:tc>
          <w:tcPr>
            <w:tcW w:w="360" w:type="dxa"/>
            <w:tcBorders>
              <w:bottom w:val="single" w:sz="12" w:space="0" w:color="636466"/>
            </w:tcBorders>
            <w:shd w:fill="EDEDEE" w:val="clear"/>
            <w:vAlign w:val="center"/>
          </w:tcPr>
          <w:p>
            <w:pPr>
              <w:pStyle w:val="TableContents"/>
              <w:bidi w:val="0"/>
              <w:spacing w:before="0" w:after="283"/>
              <w:jc w:val="left"/>
              <w:rPr/>
            </w:pPr>
            <w:r>
              <w:rPr/>
              <w:t> </w:t>
            </w:r>
          </w:p>
        </w:tc>
        <w:tc>
          <w:tcPr>
            <w:tcW w:w="830" w:type="dxa"/>
            <w:tcBorders>
              <w:bottom w:val="single" w:sz="12" w:space="0" w:color="636466"/>
            </w:tcBorders>
            <w:shd w:fill="EDEDEE" w:val="clear"/>
            <w:vAlign w:val="center"/>
          </w:tcPr>
          <w:p>
            <w:pPr>
              <w:pStyle w:val="TableContents"/>
              <w:bidi w:val="0"/>
              <w:spacing w:before="0" w:after="283"/>
              <w:jc w:val="right"/>
              <w:rPr/>
            </w:pPr>
            <w:r>
              <w:rPr/>
              <w:t>10.5%</w:t>
            </w:r>
          </w:p>
        </w:tc>
        <w:tc>
          <w:tcPr>
            <w:tcW w:w="360" w:type="dxa"/>
            <w:tcBorders>
              <w:bottom w:val="single" w:sz="12" w:space="0" w:color="636466"/>
            </w:tcBorders>
            <w:shd w:fill="EDEDEE" w:val="clear"/>
            <w:vAlign w:val="center"/>
          </w:tcPr>
          <w:p>
            <w:pPr>
              <w:pStyle w:val="TableContents"/>
              <w:bidi w:val="0"/>
              <w:spacing w:before="0" w:after="283"/>
              <w:jc w:val="left"/>
              <w:rPr/>
            </w:pPr>
            <w:r>
              <w:rPr/>
              <w:t> </w:t>
            </w:r>
          </w:p>
        </w:tc>
        <w:tc>
          <w:tcPr>
            <w:tcW w:w="830" w:type="dxa"/>
            <w:tcBorders>
              <w:bottom w:val="single" w:sz="12" w:space="0" w:color="636466"/>
            </w:tcBorders>
            <w:shd w:fill="EDEDEE" w:val="clear"/>
            <w:vAlign w:val="center"/>
          </w:tcPr>
          <w:p>
            <w:pPr>
              <w:pStyle w:val="TableContents"/>
              <w:bidi w:val="0"/>
              <w:spacing w:before="0" w:after="283"/>
              <w:jc w:val="right"/>
              <w:rPr/>
            </w:pPr>
            <w:r>
              <w:rPr/>
              <w:t>11.4%</w:t>
            </w:r>
          </w:p>
        </w:tc>
        <w:tc>
          <w:tcPr>
            <w:tcW w:w="360" w:type="dxa"/>
            <w:tcBorders>
              <w:bottom w:val="single" w:sz="12" w:space="0" w:color="636466"/>
            </w:tcBorders>
            <w:shd w:fill="EDEDEE" w:val="clear"/>
            <w:vAlign w:val="center"/>
          </w:tcPr>
          <w:p>
            <w:pPr>
              <w:pStyle w:val="TableContents"/>
              <w:bidi w:val="0"/>
              <w:spacing w:before="0" w:after="283"/>
              <w:jc w:val="left"/>
              <w:rPr/>
            </w:pPr>
            <w:r>
              <w:rPr/>
              <w:t> </w:t>
            </w:r>
          </w:p>
        </w:tc>
        <w:tc>
          <w:tcPr>
            <w:tcW w:w="845" w:type="dxa"/>
            <w:tcBorders>
              <w:bottom w:val="single" w:sz="12" w:space="0" w:color="636466"/>
            </w:tcBorders>
            <w:shd w:fill="EDEDEE" w:val="clear"/>
            <w:vAlign w:val="center"/>
          </w:tcPr>
          <w:p>
            <w:pPr>
              <w:pStyle w:val="TableContents"/>
              <w:bidi w:val="0"/>
              <w:spacing w:before="0" w:after="283"/>
              <w:jc w:val="right"/>
              <w:rPr/>
            </w:pPr>
            <w:r>
              <w:rPr/>
              <w:t>11.9%</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right"/>
        <w:rPr>
          <w:rFonts w:ascii="Arial;Helvetica;Sans-Serif" w:hAnsi="Arial;Helvetica;Sans-Serif"/>
          <w:b w:val="false"/>
          <w:i w:val="false"/>
          <w:caps w:val="false"/>
          <w:smallCaps w:val="false"/>
          <w:sz w:val="15"/>
        </w:rPr>
      </w:pPr>
      <w:r>
        <w:rPr>
          <w:rFonts w:ascii="Arial;Helvetica;Sans-Serif" w:hAnsi="Arial;Helvetica;Sans-Serif"/>
          <w:b/>
          <w:i w:val="false"/>
          <w:caps w:val="false"/>
          <w:smallCaps w:val="false"/>
          <w:sz w:val="15"/>
        </w:rPr>
        <w:t xml:space="preserve">RTX </w:t>
      </w:r>
      <w:r>
        <w:rPr>
          <w:rFonts w:ascii="Arial;Helvetica;Sans-Serif" w:hAnsi="Arial;Helvetica;Sans-Serif"/>
          <w:b w:val="false"/>
          <w:i w:val="false"/>
          <w:caps w:val="false"/>
          <w:smallCaps w:val="false"/>
          <w:sz w:val="15"/>
        </w:rPr>
        <w:t>2026 PROXY STATEMENT    </w:t>
      </w:r>
      <w:r>
        <w:rPr>
          <w:rFonts w:ascii="Arial;Helvetica;Sans-Serif" w:hAnsi="Arial;Helvetica;Sans-Serif"/>
          <w:b/>
          <w:i w:val="false"/>
          <w:caps w:val="false"/>
          <w:smallCaps w:val="false"/>
          <w:sz w:val="15"/>
        </w:rPr>
        <w:t>99</w:t>
      </w:r>
    </w:p>
    <w:p>
      <w:pPr>
        <w:pStyle w:val="HorizontalLine"/>
        <w:pBdr>
          <w:bottom w:val="double" w:sz="2" w:space="0" w:color="808080"/>
        </w:pBdr>
        <w:bidi w:val="0"/>
        <w:spacing w:before="0" w:after="283"/>
        <w:jc w:val="left"/>
        <w:rPr/>
      </w:pPr>
      <w:r>
        <w:rPr/>
      </w:r>
    </w:p>
    <w:p>
      <w:pPr>
        <w:pStyle w:val="TextBody"/>
        <w:bidi w:val="0"/>
        <w:spacing w:before="200" w:after="200"/>
        <w:jc w:val="left"/>
        <w:rPr/>
      </w:pPr>
      <w:hyperlink w:anchor="toc">
        <w:r>
          <w:rPr>
            <w:rStyle w:val="InternetLink"/>
            <w:rFonts w:ascii="Arial;Helvetica;Sans-Serif" w:hAnsi="Arial;Helvetica;Sans-Serif"/>
            <w:b/>
            <w:i w:val="false"/>
            <w:caps w:val="false"/>
            <w:smallCaps w:val="false"/>
            <w:sz w:val="16"/>
          </w:rPr>
          <w:t>Table of Contents</w:t>
        </w:r>
      </w:hyperlink>
    </w:p>
    <w:p>
      <w:pPr>
        <w:pStyle w:val="TextBody"/>
        <w:bidi w:val="0"/>
        <w:spacing w:before="0" w:after="0"/>
        <w:jc w:val="left"/>
        <w:rPr>
          <w:rFonts w:ascii="Arial;Helvetica;Sans-Serif" w:hAnsi="Arial;Helvetica;Sans-Serif"/>
          <w:b/>
          <w:i w:val="false"/>
          <w:caps w:val="false"/>
          <w:smallCaps w:val="false"/>
          <w:color w:val="C12E33"/>
          <w:sz w:val="15"/>
        </w:rPr>
      </w:pPr>
      <w:r>
        <w:rPr>
          <w:rFonts w:ascii="Arial;Helvetica;Sans-Serif" w:hAnsi="Arial;Helvetica;Sans-Serif"/>
          <w:b/>
          <w:i w:val="false"/>
          <w:caps w:val="false"/>
          <w:smallCaps w:val="false"/>
          <w:color w:val="C12E33"/>
          <w:sz w:val="15"/>
        </w:rPr>
        <w:t>APPENDIX A: RECONCILIATION OF GAAP MEASURES TO CORRESPONDING NON-GAAP MEASURES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RECONCILIATION OF NET INCOME AND DILUTED EARNINGS PER SHARE (GAAP) TO ADJUSTED NET INCOME AND ADJUSTED DILUTED EARNINGS PER SHARE (NON-GAAP)</w:t>
      </w:r>
    </w:p>
    <w:tbl>
      <w:tblPr>
        <w:tblW w:w="10205" w:type="dxa"/>
        <w:jc w:val="left"/>
        <w:tblInd w:w="0" w:type="dxa"/>
        <w:tblLayout w:type="fixed"/>
        <w:tblCellMar>
          <w:top w:w="0" w:type="dxa"/>
          <w:left w:w="0" w:type="dxa"/>
          <w:bottom w:w="40" w:type="dxa"/>
          <w:right w:w="0" w:type="dxa"/>
        </w:tblCellMar>
      </w:tblPr>
      <w:tblGrid>
        <w:gridCol w:w="6807"/>
        <w:gridCol w:w="360"/>
        <w:gridCol w:w="822"/>
        <w:gridCol w:w="360"/>
        <w:gridCol w:w="740"/>
        <w:gridCol w:w="360"/>
        <w:gridCol w:w="756"/>
      </w:tblGrid>
      <w:tr>
        <w:trPr/>
        <w:tc>
          <w:tcPr>
            <w:tcW w:w="6807" w:type="dxa"/>
            <w:tcBorders>
              <w:bottom w:val="single" w:sz="12" w:space="0" w:color="636466"/>
            </w:tcBorders>
            <w:vAlign w:val="center"/>
          </w:tcPr>
          <w:p>
            <w:pPr>
              <w:pStyle w:val="TableContents"/>
              <w:bidi w:val="0"/>
              <w:spacing w:before="0" w:after="283"/>
              <w:jc w:val="left"/>
              <w:rPr/>
            </w:pPr>
            <w:r>
              <w:rPr/>
              <w:t>(dollars in millions, except per share amounts)</w:t>
            </w:r>
          </w:p>
        </w:tc>
        <w:tc>
          <w:tcPr>
            <w:tcW w:w="360" w:type="dxa"/>
            <w:tcBorders>
              <w:bottom w:val="single" w:sz="12" w:space="0" w:color="636466"/>
            </w:tcBorders>
            <w:vAlign w:val="center"/>
          </w:tcPr>
          <w:p>
            <w:pPr>
              <w:pStyle w:val="TableContents"/>
              <w:bidi w:val="0"/>
              <w:spacing w:before="0" w:after="283"/>
              <w:jc w:val="left"/>
              <w:rPr/>
            </w:pPr>
            <w:r>
              <w:rPr/>
              <w:t>      </w:t>
            </w:r>
          </w:p>
        </w:tc>
        <w:tc>
          <w:tcPr>
            <w:tcW w:w="822" w:type="dxa"/>
            <w:tcBorders>
              <w:bottom w:val="single" w:sz="12" w:space="0" w:color="636466"/>
            </w:tcBorders>
            <w:vAlign w:val="center"/>
          </w:tcPr>
          <w:p>
            <w:pPr>
              <w:pStyle w:val="TableContents"/>
              <w:bidi w:val="0"/>
              <w:spacing w:before="0" w:after="283"/>
              <w:jc w:val="right"/>
              <w:rPr/>
            </w:pPr>
            <w:r>
              <w:rPr/>
              <w:t>2023</w:t>
            </w:r>
          </w:p>
        </w:tc>
        <w:tc>
          <w:tcPr>
            <w:tcW w:w="360" w:type="dxa"/>
            <w:tcBorders>
              <w:bottom w:val="single" w:sz="12" w:space="0" w:color="636466"/>
            </w:tcBorders>
            <w:vAlign w:val="center"/>
          </w:tcPr>
          <w:p>
            <w:pPr>
              <w:pStyle w:val="TableContents"/>
              <w:bidi w:val="0"/>
              <w:spacing w:before="0" w:after="283"/>
              <w:jc w:val="left"/>
              <w:rPr/>
            </w:pPr>
            <w:r>
              <w:rPr/>
              <w:t>      </w:t>
            </w:r>
          </w:p>
        </w:tc>
        <w:tc>
          <w:tcPr>
            <w:tcW w:w="740" w:type="dxa"/>
            <w:tcBorders>
              <w:bottom w:val="single" w:sz="12" w:space="0" w:color="636466"/>
            </w:tcBorders>
            <w:vAlign w:val="center"/>
          </w:tcPr>
          <w:p>
            <w:pPr>
              <w:pStyle w:val="TableContents"/>
              <w:bidi w:val="0"/>
              <w:spacing w:before="0" w:after="283"/>
              <w:jc w:val="right"/>
              <w:rPr/>
            </w:pPr>
            <w:r>
              <w:rPr/>
              <w:t>2024</w:t>
            </w:r>
          </w:p>
        </w:tc>
        <w:tc>
          <w:tcPr>
            <w:tcW w:w="360" w:type="dxa"/>
            <w:tcBorders>
              <w:bottom w:val="single" w:sz="12" w:space="0" w:color="636466"/>
            </w:tcBorders>
            <w:vAlign w:val="center"/>
          </w:tcPr>
          <w:p>
            <w:pPr>
              <w:pStyle w:val="TableContents"/>
              <w:bidi w:val="0"/>
              <w:spacing w:before="0" w:after="283"/>
              <w:jc w:val="left"/>
              <w:rPr/>
            </w:pPr>
            <w:r>
              <w:rPr/>
              <w:t>      </w:t>
            </w:r>
          </w:p>
        </w:tc>
        <w:tc>
          <w:tcPr>
            <w:tcW w:w="756" w:type="dxa"/>
            <w:tcBorders>
              <w:bottom w:val="single" w:sz="12" w:space="0" w:color="636466"/>
            </w:tcBorders>
            <w:vAlign w:val="center"/>
          </w:tcPr>
          <w:p>
            <w:pPr>
              <w:pStyle w:val="TableContents"/>
              <w:bidi w:val="0"/>
              <w:spacing w:before="0" w:after="283"/>
              <w:jc w:val="right"/>
              <w:rPr/>
            </w:pPr>
            <w:r>
              <w:rPr/>
              <w:t>2025</w:t>
            </w:r>
          </w:p>
        </w:tc>
      </w:tr>
      <w:tr>
        <w:trPr/>
        <w:tc>
          <w:tcPr>
            <w:tcW w:w="6807" w:type="dxa"/>
            <w:tcBorders>
              <w:bottom w:val="single" w:sz="2" w:space="0" w:color="000000"/>
            </w:tcBorders>
            <w:vAlign w:val="center"/>
          </w:tcPr>
          <w:p>
            <w:pPr>
              <w:pStyle w:val="TableContents"/>
              <w:bidi w:val="0"/>
              <w:spacing w:before="0" w:after="283"/>
              <w:jc w:val="left"/>
              <w:rPr/>
            </w:pPr>
            <w:r>
              <w:rPr/>
              <w:t>Net income attributable to common shareowners</w:t>
            </w:r>
          </w:p>
        </w:tc>
        <w:tc>
          <w:tcPr>
            <w:tcW w:w="360" w:type="dxa"/>
            <w:tcBorders>
              <w:bottom w:val="single" w:sz="2" w:space="0" w:color="000000"/>
            </w:tcBorders>
            <w:vAlign w:val="center"/>
          </w:tcPr>
          <w:p>
            <w:pPr>
              <w:pStyle w:val="TableContents"/>
              <w:bidi w:val="0"/>
              <w:spacing w:before="0" w:after="283"/>
              <w:jc w:val="left"/>
              <w:rPr/>
            </w:pPr>
            <w:r>
              <w:rPr/>
              <w:t> </w:t>
            </w:r>
          </w:p>
        </w:tc>
        <w:tc>
          <w:tcPr>
            <w:tcW w:w="822" w:type="dxa"/>
            <w:tcBorders>
              <w:bottom w:val="single" w:sz="2" w:space="0" w:color="000000"/>
            </w:tcBorders>
            <w:vAlign w:val="center"/>
          </w:tcPr>
          <w:p>
            <w:pPr>
              <w:pStyle w:val="TableContents"/>
              <w:bidi w:val="0"/>
              <w:spacing w:before="0" w:after="283"/>
              <w:jc w:val="right"/>
              <w:rPr/>
            </w:pPr>
            <w:r>
              <w:rPr/>
              <w:t>$3,195</w:t>
            </w:r>
          </w:p>
        </w:tc>
        <w:tc>
          <w:tcPr>
            <w:tcW w:w="360" w:type="dxa"/>
            <w:tcBorders>
              <w:bottom w:val="single" w:sz="2" w:space="0" w:color="000000"/>
            </w:tcBorders>
            <w:vAlign w:val="center"/>
          </w:tcPr>
          <w:p>
            <w:pPr>
              <w:pStyle w:val="TableContents"/>
              <w:bidi w:val="0"/>
              <w:spacing w:before="0" w:after="283"/>
              <w:jc w:val="left"/>
              <w:rPr/>
            </w:pPr>
            <w:r>
              <w:rPr/>
              <w:t> </w:t>
            </w:r>
          </w:p>
        </w:tc>
        <w:tc>
          <w:tcPr>
            <w:tcW w:w="740" w:type="dxa"/>
            <w:tcBorders>
              <w:bottom w:val="single" w:sz="2" w:space="0" w:color="000000"/>
            </w:tcBorders>
            <w:vAlign w:val="center"/>
          </w:tcPr>
          <w:p>
            <w:pPr>
              <w:pStyle w:val="TableContents"/>
              <w:bidi w:val="0"/>
              <w:spacing w:before="0" w:after="283"/>
              <w:jc w:val="right"/>
              <w:rPr/>
            </w:pPr>
            <w:r>
              <w:rPr/>
              <w:t>$4,774</w:t>
            </w:r>
          </w:p>
        </w:tc>
        <w:tc>
          <w:tcPr>
            <w:tcW w:w="360" w:type="dxa"/>
            <w:tcBorders>
              <w:bottom w:val="single" w:sz="2" w:space="0" w:color="000000"/>
            </w:tcBorders>
            <w:vAlign w:val="center"/>
          </w:tcPr>
          <w:p>
            <w:pPr>
              <w:pStyle w:val="TableContents"/>
              <w:bidi w:val="0"/>
              <w:spacing w:before="0" w:after="283"/>
              <w:jc w:val="left"/>
              <w:rPr/>
            </w:pPr>
            <w:r>
              <w:rPr/>
              <w:t> </w:t>
            </w:r>
          </w:p>
        </w:tc>
        <w:tc>
          <w:tcPr>
            <w:tcW w:w="756" w:type="dxa"/>
            <w:tcBorders>
              <w:bottom w:val="single" w:sz="2" w:space="0" w:color="000000"/>
            </w:tcBorders>
            <w:vAlign w:val="center"/>
          </w:tcPr>
          <w:p>
            <w:pPr>
              <w:pStyle w:val="TableContents"/>
              <w:bidi w:val="0"/>
              <w:spacing w:before="0" w:after="283"/>
              <w:jc w:val="right"/>
              <w:rPr/>
            </w:pPr>
            <w:r>
              <w:rPr/>
              <w:t>$6,732</w:t>
            </w:r>
          </w:p>
        </w:tc>
      </w:tr>
      <w:tr>
        <w:trPr/>
        <w:tc>
          <w:tcPr>
            <w:tcW w:w="6807" w:type="dxa"/>
            <w:tcBorders>
              <w:bottom w:val="single" w:sz="2" w:space="0" w:color="000000"/>
            </w:tcBorders>
            <w:vAlign w:val="center"/>
          </w:tcPr>
          <w:p>
            <w:pPr>
              <w:pStyle w:val="TableContents"/>
              <w:bidi w:val="0"/>
              <w:spacing w:before="0" w:after="283"/>
              <w:jc w:val="left"/>
              <w:rPr>
                <w:b/>
              </w:rPr>
            </w:pPr>
            <w:r>
              <w:rPr>
                <w:b/>
              </w:rPr>
              <w:t>Adjustments to net income attributable to common shareowners:</w:t>
            </w:r>
          </w:p>
        </w:tc>
        <w:tc>
          <w:tcPr>
            <w:tcW w:w="360" w:type="dxa"/>
            <w:tcBorders>
              <w:bottom w:val="single" w:sz="2" w:space="0" w:color="000000"/>
            </w:tcBorders>
            <w:vAlign w:val="center"/>
          </w:tcPr>
          <w:p>
            <w:pPr>
              <w:pStyle w:val="TableContents"/>
              <w:bidi w:val="0"/>
              <w:spacing w:before="0" w:after="283"/>
              <w:jc w:val="left"/>
              <w:rPr/>
            </w:pPr>
            <w:r>
              <w:rPr/>
              <w:t> </w:t>
            </w:r>
          </w:p>
        </w:tc>
        <w:tc>
          <w:tcPr>
            <w:tcW w:w="822" w:type="dxa"/>
            <w:tcBorders>
              <w:bottom w:val="single" w:sz="2" w:space="0" w:color="000000"/>
            </w:tcBorders>
            <w:vAlign w:val="center"/>
          </w:tcPr>
          <w:p>
            <w:pPr>
              <w:pStyle w:val="TableContents"/>
              <w:bidi w:val="0"/>
              <w:spacing w:before="0" w:after="283"/>
              <w:jc w:val="left"/>
              <w:rPr/>
            </w:pPr>
            <w:r>
              <w:rPr/>
              <w:t> </w:t>
            </w:r>
          </w:p>
        </w:tc>
        <w:tc>
          <w:tcPr>
            <w:tcW w:w="360" w:type="dxa"/>
            <w:tcBorders>
              <w:bottom w:val="single" w:sz="2" w:space="0" w:color="000000"/>
            </w:tcBorders>
            <w:vAlign w:val="center"/>
          </w:tcPr>
          <w:p>
            <w:pPr>
              <w:pStyle w:val="TableContents"/>
              <w:bidi w:val="0"/>
              <w:spacing w:before="0" w:after="283"/>
              <w:jc w:val="left"/>
              <w:rPr/>
            </w:pPr>
            <w:r>
              <w:rPr/>
              <w:t> </w:t>
            </w:r>
          </w:p>
        </w:tc>
        <w:tc>
          <w:tcPr>
            <w:tcW w:w="740" w:type="dxa"/>
            <w:tcBorders>
              <w:bottom w:val="single" w:sz="2" w:space="0" w:color="000000"/>
            </w:tcBorders>
            <w:vAlign w:val="center"/>
          </w:tcPr>
          <w:p>
            <w:pPr>
              <w:pStyle w:val="TableContents"/>
              <w:bidi w:val="0"/>
              <w:spacing w:before="0" w:after="283"/>
              <w:jc w:val="left"/>
              <w:rPr/>
            </w:pPr>
            <w:r>
              <w:rPr/>
              <w:t> </w:t>
            </w:r>
          </w:p>
        </w:tc>
        <w:tc>
          <w:tcPr>
            <w:tcW w:w="360" w:type="dxa"/>
            <w:tcBorders>
              <w:bottom w:val="single" w:sz="2" w:space="0" w:color="000000"/>
            </w:tcBorders>
            <w:vAlign w:val="center"/>
          </w:tcPr>
          <w:p>
            <w:pPr>
              <w:pStyle w:val="TableContents"/>
              <w:bidi w:val="0"/>
              <w:spacing w:before="0" w:after="283"/>
              <w:jc w:val="left"/>
              <w:rPr/>
            </w:pPr>
            <w:r>
              <w:rPr/>
              <w:t> </w:t>
            </w:r>
          </w:p>
        </w:tc>
        <w:tc>
          <w:tcPr>
            <w:tcW w:w="756" w:type="dxa"/>
            <w:tcBorders>
              <w:bottom w:val="single" w:sz="2" w:space="0" w:color="000000"/>
            </w:tcBorders>
            <w:vAlign w:val="center"/>
          </w:tcPr>
          <w:p>
            <w:pPr>
              <w:pStyle w:val="TableContents"/>
              <w:bidi w:val="0"/>
              <w:spacing w:before="0" w:after="283"/>
              <w:jc w:val="left"/>
              <w:rPr/>
            </w:pPr>
            <w:r>
              <w:rPr/>
              <w:t> </w:t>
            </w:r>
          </w:p>
        </w:tc>
      </w:tr>
      <w:tr>
        <w:trPr/>
        <w:tc>
          <w:tcPr>
            <w:tcW w:w="6807" w:type="dxa"/>
            <w:tcBorders>
              <w:bottom w:val="single" w:sz="2" w:space="0" w:color="000000"/>
            </w:tcBorders>
            <w:vAlign w:val="center"/>
          </w:tcPr>
          <w:p>
            <w:pPr>
              <w:pStyle w:val="TableContents"/>
              <w:bidi w:val="0"/>
              <w:spacing w:before="0" w:after="283"/>
              <w:jc w:val="left"/>
              <w:rPr/>
            </w:pPr>
            <w:r>
              <w:rPr/>
              <w:t>Restructuring costs</w:t>
            </w:r>
          </w:p>
        </w:tc>
        <w:tc>
          <w:tcPr>
            <w:tcW w:w="360" w:type="dxa"/>
            <w:tcBorders>
              <w:bottom w:val="single" w:sz="2" w:space="0" w:color="000000"/>
            </w:tcBorders>
            <w:vAlign w:val="center"/>
          </w:tcPr>
          <w:p>
            <w:pPr>
              <w:pStyle w:val="TableContents"/>
              <w:bidi w:val="0"/>
              <w:spacing w:before="0" w:after="283"/>
              <w:jc w:val="left"/>
              <w:rPr/>
            </w:pPr>
            <w:r>
              <w:rPr/>
              <w:t> </w:t>
            </w:r>
          </w:p>
        </w:tc>
        <w:tc>
          <w:tcPr>
            <w:tcW w:w="822" w:type="dxa"/>
            <w:tcBorders>
              <w:bottom w:val="single" w:sz="2" w:space="0" w:color="000000"/>
            </w:tcBorders>
            <w:vAlign w:val="center"/>
          </w:tcPr>
          <w:p>
            <w:pPr>
              <w:pStyle w:val="TableContents"/>
              <w:bidi w:val="0"/>
              <w:spacing w:before="0" w:after="283"/>
              <w:jc w:val="right"/>
              <w:rPr/>
            </w:pPr>
            <w:r>
              <w:rPr/>
              <w:t>$246</w:t>
            </w:r>
          </w:p>
        </w:tc>
        <w:tc>
          <w:tcPr>
            <w:tcW w:w="360" w:type="dxa"/>
            <w:tcBorders>
              <w:bottom w:val="single" w:sz="2" w:space="0" w:color="000000"/>
            </w:tcBorders>
            <w:vAlign w:val="center"/>
          </w:tcPr>
          <w:p>
            <w:pPr>
              <w:pStyle w:val="TableContents"/>
              <w:bidi w:val="0"/>
              <w:spacing w:before="0" w:after="283"/>
              <w:jc w:val="left"/>
              <w:rPr/>
            </w:pPr>
            <w:r>
              <w:rPr/>
              <w:t> </w:t>
            </w:r>
          </w:p>
        </w:tc>
        <w:tc>
          <w:tcPr>
            <w:tcW w:w="740" w:type="dxa"/>
            <w:tcBorders>
              <w:bottom w:val="single" w:sz="2" w:space="0" w:color="000000"/>
            </w:tcBorders>
            <w:vAlign w:val="center"/>
          </w:tcPr>
          <w:p>
            <w:pPr>
              <w:pStyle w:val="TableContents"/>
              <w:bidi w:val="0"/>
              <w:spacing w:before="0" w:after="283"/>
              <w:jc w:val="right"/>
              <w:rPr/>
            </w:pPr>
            <w:r>
              <w:rPr/>
              <w:t>$194</w:t>
            </w:r>
          </w:p>
        </w:tc>
        <w:tc>
          <w:tcPr>
            <w:tcW w:w="360" w:type="dxa"/>
            <w:tcBorders>
              <w:bottom w:val="single" w:sz="2" w:space="0" w:color="000000"/>
            </w:tcBorders>
            <w:vAlign w:val="center"/>
          </w:tcPr>
          <w:p>
            <w:pPr>
              <w:pStyle w:val="TableContents"/>
              <w:bidi w:val="0"/>
              <w:spacing w:before="0" w:after="283"/>
              <w:jc w:val="left"/>
              <w:rPr/>
            </w:pPr>
            <w:r>
              <w:rPr/>
              <w:t> </w:t>
            </w:r>
          </w:p>
        </w:tc>
        <w:tc>
          <w:tcPr>
            <w:tcW w:w="756" w:type="dxa"/>
            <w:tcBorders>
              <w:bottom w:val="single" w:sz="2" w:space="0" w:color="000000"/>
            </w:tcBorders>
            <w:vAlign w:val="center"/>
          </w:tcPr>
          <w:p>
            <w:pPr>
              <w:pStyle w:val="TableContents"/>
              <w:bidi w:val="0"/>
              <w:spacing w:before="0" w:after="283"/>
              <w:jc w:val="right"/>
              <w:rPr/>
            </w:pPr>
            <w:r>
              <w:rPr/>
              <w:t>$246</w:t>
            </w:r>
          </w:p>
        </w:tc>
      </w:tr>
      <w:tr>
        <w:trPr/>
        <w:tc>
          <w:tcPr>
            <w:tcW w:w="6807" w:type="dxa"/>
            <w:tcBorders>
              <w:bottom w:val="single" w:sz="2" w:space="0" w:color="000000"/>
            </w:tcBorders>
            <w:vAlign w:val="center"/>
          </w:tcPr>
          <w:p>
            <w:pPr>
              <w:pStyle w:val="TableContents"/>
              <w:bidi w:val="0"/>
              <w:spacing w:before="0" w:after="283"/>
              <w:jc w:val="left"/>
              <w:rPr/>
            </w:pPr>
            <w:r>
              <w:rPr/>
              <w:t>Acquisition accounting adjustments</w:t>
            </w:r>
          </w:p>
        </w:tc>
        <w:tc>
          <w:tcPr>
            <w:tcW w:w="360" w:type="dxa"/>
            <w:tcBorders>
              <w:bottom w:val="single" w:sz="2" w:space="0" w:color="000000"/>
            </w:tcBorders>
            <w:vAlign w:val="center"/>
          </w:tcPr>
          <w:p>
            <w:pPr>
              <w:pStyle w:val="TableContents"/>
              <w:bidi w:val="0"/>
              <w:spacing w:before="0" w:after="283"/>
              <w:jc w:val="left"/>
              <w:rPr/>
            </w:pPr>
            <w:r>
              <w:rPr/>
              <w:t> </w:t>
            </w:r>
          </w:p>
        </w:tc>
        <w:tc>
          <w:tcPr>
            <w:tcW w:w="822" w:type="dxa"/>
            <w:tcBorders>
              <w:bottom w:val="single" w:sz="2" w:space="0" w:color="000000"/>
            </w:tcBorders>
            <w:vAlign w:val="center"/>
          </w:tcPr>
          <w:p>
            <w:pPr>
              <w:pStyle w:val="TableContents"/>
              <w:bidi w:val="0"/>
              <w:spacing w:before="0" w:after="283"/>
              <w:jc w:val="right"/>
              <w:rPr/>
            </w:pPr>
            <w:r>
              <w:rPr/>
              <w:t>$1,998</w:t>
            </w:r>
          </w:p>
        </w:tc>
        <w:tc>
          <w:tcPr>
            <w:tcW w:w="360" w:type="dxa"/>
            <w:tcBorders>
              <w:bottom w:val="single" w:sz="2" w:space="0" w:color="000000"/>
            </w:tcBorders>
            <w:vAlign w:val="center"/>
          </w:tcPr>
          <w:p>
            <w:pPr>
              <w:pStyle w:val="TableContents"/>
              <w:bidi w:val="0"/>
              <w:spacing w:before="0" w:after="283"/>
              <w:jc w:val="left"/>
              <w:rPr/>
            </w:pPr>
            <w:r>
              <w:rPr/>
              <w:t> </w:t>
            </w:r>
          </w:p>
        </w:tc>
        <w:tc>
          <w:tcPr>
            <w:tcW w:w="740" w:type="dxa"/>
            <w:tcBorders>
              <w:bottom w:val="single" w:sz="2" w:space="0" w:color="000000"/>
            </w:tcBorders>
            <w:vAlign w:val="center"/>
          </w:tcPr>
          <w:p>
            <w:pPr>
              <w:pStyle w:val="TableContents"/>
              <w:bidi w:val="0"/>
              <w:spacing w:before="0" w:after="283"/>
              <w:jc w:val="right"/>
              <w:rPr/>
            </w:pPr>
            <w:r>
              <w:rPr/>
              <w:t>$2,058</w:t>
            </w:r>
          </w:p>
        </w:tc>
        <w:tc>
          <w:tcPr>
            <w:tcW w:w="360" w:type="dxa"/>
            <w:tcBorders>
              <w:bottom w:val="single" w:sz="2" w:space="0" w:color="000000"/>
            </w:tcBorders>
            <w:vAlign w:val="center"/>
          </w:tcPr>
          <w:p>
            <w:pPr>
              <w:pStyle w:val="TableContents"/>
              <w:bidi w:val="0"/>
              <w:spacing w:before="0" w:after="283"/>
              <w:jc w:val="left"/>
              <w:rPr/>
            </w:pPr>
            <w:r>
              <w:rPr/>
              <w:t> </w:t>
            </w:r>
          </w:p>
        </w:tc>
        <w:tc>
          <w:tcPr>
            <w:tcW w:w="756" w:type="dxa"/>
            <w:tcBorders>
              <w:bottom w:val="single" w:sz="2" w:space="0" w:color="000000"/>
            </w:tcBorders>
            <w:vAlign w:val="center"/>
          </w:tcPr>
          <w:p>
            <w:pPr>
              <w:pStyle w:val="TableContents"/>
              <w:bidi w:val="0"/>
              <w:spacing w:before="0" w:after="283"/>
              <w:jc w:val="right"/>
              <w:rPr/>
            </w:pPr>
            <w:r>
              <w:rPr/>
              <w:t>$2,005</w:t>
            </w:r>
          </w:p>
        </w:tc>
      </w:tr>
      <w:tr>
        <w:trPr/>
        <w:tc>
          <w:tcPr>
            <w:tcW w:w="6807" w:type="dxa"/>
            <w:tcBorders>
              <w:bottom w:val="single" w:sz="2" w:space="0" w:color="000000"/>
            </w:tcBorders>
            <w:vAlign w:val="center"/>
          </w:tcPr>
          <w:p>
            <w:pPr>
              <w:pStyle w:val="TableContents"/>
              <w:bidi w:val="0"/>
              <w:spacing w:before="0" w:after="283"/>
              <w:jc w:val="left"/>
              <w:rPr/>
            </w:pPr>
            <w:r>
              <w:rPr/>
              <w:t>Significant and/or nonrecurring items included in operating profit</w:t>
            </w:r>
          </w:p>
        </w:tc>
        <w:tc>
          <w:tcPr>
            <w:tcW w:w="360" w:type="dxa"/>
            <w:tcBorders>
              <w:bottom w:val="single" w:sz="2" w:space="0" w:color="000000"/>
            </w:tcBorders>
            <w:vAlign w:val="center"/>
          </w:tcPr>
          <w:p>
            <w:pPr>
              <w:pStyle w:val="TableContents"/>
              <w:bidi w:val="0"/>
              <w:spacing w:before="0" w:after="283"/>
              <w:jc w:val="left"/>
              <w:rPr/>
            </w:pPr>
            <w:r>
              <w:rPr/>
              <w:t> </w:t>
            </w:r>
          </w:p>
        </w:tc>
        <w:tc>
          <w:tcPr>
            <w:tcW w:w="822" w:type="dxa"/>
            <w:tcBorders>
              <w:bottom w:val="single" w:sz="2" w:space="0" w:color="000000"/>
            </w:tcBorders>
            <w:vAlign w:val="center"/>
          </w:tcPr>
          <w:p>
            <w:pPr>
              <w:pStyle w:val="TableContents"/>
              <w:bidi w:val="0"/>
              <w:spacing w:before="0" w:after="283"/>
              <w:jc w:val="right"/>
              <w:rPr/>
            </w:pPr>
            <w:r>
              <w:rPr/>
              <w:t>$3,090</w:t>
            </w:r>
          </w:p>
        </w:tc>
        <w:tc>
          <w:tcPr>
            <w:tcW w:w="360" w:type="dxa"/>
            <w:tcBorders>
              <w:bottom w:val="single" w:sz="2" w:space="0" w:color="000000"/>
            </w:tcBorders>
            <w:vAlign w:val="center"/>
          </w:tcPr>
          <w:p>
            <w:pPr>
              <w:pStyle w:val="TableContents"/>
              <w:bidi w:val="0"/>
              <w:spacing w:before="0" w:after="283"/>
              <w:jc w:val="left"/>
              <w:rPr/>
            </w:pPr>
            <w:r>
              <w:rPr/>
              <w:t> </w:t>
            </w:r>
          </w:p>
        </w:tc>
        <w:tc>
          <w:tcPr>
            <w:tcW w:w="740" w:type="dxa"/>
            <w:tcBorders>
              <w:bottom w:val="single" w:sz="2" w:space="0" w:color="000000"/>
            </w:tcBorders>
            <w:vAlign w:val="center"/>
          </w:tcPr>
          <w:p>
            <w:pPr>
              <w:pStyle w:val="TableContents"/>
              <w:bidi w:val="0"/>
              <w:spacing w:before="0" w:after="283"/>
              <w:jc w:val="right"/>
              <w:rPr/>
            </w:pPr>
            <w:r>
              <w:rPr/>
              <w:t>$1,393</w:t>
            </w:r>
          </w:p>
        </w:tc>
        <w:tc>
          <w:tcPr>
            <w:tcW w:w="360" w:type="dxa"/>
            <w:tcBorders>
              <w:bottom w:val="single" w:sz="2" w:space="0" w:color="000000"/>
            </w:tcBorders>
            <w:vAlign w:val="center"/>
          </w:tcPr>
          <w:p>
            <w:pPr>
              <w:pStyle w:val="TableContents"/>
              <w:bidi w:val="0"/>
              <w:spacing w:before="0" w:after="283"/>
              <w:jc w:val="left"/>
              <w:rPr/>
            </w:pPr>
            <w:r>
              <w:rPr/>
              <w:t> </w:t>
            </w:r>
          </w:p>
        </w:tc>
        <w:tc>
          <w:tcPr>
            <w:tcW w:w="756" w:type="dxa"/>
            <w:tcBorders>
              <w:bottom w:val="single" w:sz="2" w:space="0" w:color="000000"/>
            </w:tcBorders>
            <w:vAlign w:val="center"/>
          </w:tcPr>
          <w:p>
            <w:pPr>
              <w:pStyle w:val="TableContents"/>
              <w:bidi w:val="0"/>
              <w:spacing w:before="0" w:after="283"/>
              <w:jc w:val="right"/>
              <w:rPr/>
            </w:pPr>
            <w:r>
              <w:rPr/>
              <w:t>($162)</w:t>
            </w:r>
          </w:p>
        </w:tc>
      </w:tr>
      <w:tr>
        <w:trPr/>
        <w:tc>
          <w:tcPr>
            <w:tcW w:w="6807" w:type="dxa"/>
            <w:tcBorders>
              <w:bottom w:val="single" w:sz="2" w:space="0" w:color="000000"/>
            </w:tcBorders>
            <w:vAlign w:val="center"/>
          </w:tcPr>
          <w:p>
            <w:pPr>
              <w:pStyle w:val="TableContents"/>
              <w:bidi w:val="0"/>
              <w:spacing w:before="0" w:after="283"/>
              <w:jc w:val="left"/>
              <w:rPr/>
            </w:pPr>
            <w:r>
              <w:rPr/>
              <w:t>Significant and/or nonrecurring items included in non-service pension income</w:t>
            </w:r>
          </w:p>
        </w:tc>
        <w:tc>
          <w:tcPr>
            <w:tcW w:w="360" w:type="dxa"/>
            <w:tcBorders>
              <w:bottom w:val="single" w:sz="2" w:space="0" w:color="000000"/>
            </w:tcBorders>
            <w:vAlign w:val="center"/>
          </w:tcPr>
          <w:p>
            <w:pPr>
              <w:pStyle w:val="TableContents"/>
              <w:bidi w:val="0"/>
              <w:spacing w:before="0" w:after="283"/>
              <w:jc w:val="left"/>
              <w:rPr/>
            </w:pPr>
            <w:r>
              <w:rPr/>
              <w:t> </w:t>
            </w:r>
          </w:p>
        </w:tc>
        <w:tc>
          <w:tcPr>
            <w:tcW w:w="822" w:type="dxa"/>
            <w:tcBorders>
              <w:bottom w:val="single" w:sz="2" w:space="0" w:color="000000"/>
            </w:tcBorders>
            <w:vAlign w:val="center"/>
          </w:tcPr>
          <w:p>
            <w:pPr>
              <w:pStyle w:val="TableContents"/>
              <w:bidi w:val="0"/>
              <w:spacing w:before="0" w:after="283"/>
              <w:jc w:val="right"/>
              <w:rPr/>
            </w:pPr>
            <w:r>
              <w:rPr/>
              <w:t>$4</w:t>
            </w:r>
          </w:p>
        </w:tc>
        <w:tc>
          <w:tcPr>
            <w:tcW w:w="360" w:type="dxa"/>
            <w:tcBorders>
              <w:bottom w:val="single" w:sz="2" w:space="0" w:color="000000"/>
            </w:tcBorders>
            <w:vAlign w:val="center"/>
          </w:tcPr>
          <w:p>
            <w:pPr>
              <w:pStyle w:val="TableContents"/>
              <w:bidi w:val="0"/>
              <w:spacing w:before="0" w:after="283"/>
              <w:jc w:val="left"/>
              <w:rPr/>
            </w:pPr>
            <w:r>
              <w:rPr/>
              <w:t> </w:t>
            </w:r>
          </w:p>
        </w:tc>
        <w:tc>
          <w:tcPr>
            <w:tcW w:w="740" w:type="dxa"/>
            <w:tcBorders>
              <w:bottom w:val="single" w:sz="2" w:space="0" w:color="000000"/>
            </w:tcBorders>
            <w:vAlign w:val="center"/>
          </w:tcPr>
          <w:p>
            <w:pPr>
              <w:pStyle w:val="TableContents"/>
              <w:bidi w:val="0"/>
              <w:spacing w:before="0" w:after="283"/>
              <w:jc w:val="right"/>
              <w:rPr/>
            </w:pPr>
            <w:r>
              <w:rPr/>
              <w:t>–</w:t>
            </w:r>
          </w:p>
        </w:tc>
        <w:tc>
          <w:tcPr>
            <w:tcW w:w="360" w:type="dxa"/>
            <w:tcBorders>
              <w:bottom w:val="single" w:sz="2" w:space="0" w:color="000000"/>
            </w:tcBorders>
            <w:vAlign w:val="center"/>
          </w:tcPr>
          <w:p>
            <w:pPr>
              <w:pStyle w:val="TableContents"/>
              <w:bidi w:val="0"/>
              <w:spacing w:before="0" w:after="283"/>
              <w:jc w:val="left"/>
              <w:rPr/>
            </w:pPr>
            <w:r>
              <w:rPr/>
              <w:t> </w:t>
            </w:r>
          </w:p>
        </w:tc>
        <w:tc>
          <w:tcPr>
            <w:tcW w:w="756" w:type="dxa"/>
            <w:tcBorders>
              <w:bottom w:val="single" w:sz="2" w:space="0" w:color="000000"/>
            </w:tcBorders>
            <w:vAlign w:val="center"/>
          </w:tcPr>
          <w:p>
            <w:pPr>
              <w:pStyle w:val="TableContents"/>
              <w:bidi w:val="0"/>
              <w:spacing w:before="0" w:after="283"/>
              <w:jc w:val="right"/>
              <w:rPr/>
            </w:pPr>
            <w:r>
              <w:rPr/>
              <w:t>$261</w:t>
            </w:r>
          </w:p>
        </w:tc>
      </w:tr>
      <w:tr>
        <w:trPr/>
        <w:tc>
          <w:tcPr>
            <w:tcW w:w="6807" w:type="dxa"/>
            <w:tcBorders>
              <w:bottom w:val="single" w:sz="2" w:space="0" w:color="000000"/>
            </w:tcBorders>
            <w:vAlign w:val="center"/>
          </w:tcPr>
          <w:p>
            <w:pPr>
              <w:pStyle w:val="TableContents"/>
              <w:bidi w:val="0"/>
              <w:spacing w:before="0" w:after="283"/>
              <w:jc w:val="left"/>
              <w:rPr/>
            </w:pPr>
            <w:r>
              <w:rPr/>
              <w:t>Significant and/or nonrecurring items included in interest expense, net</w:t>
            </w:r>
          </w:p>
        </w:tc>
        <w:tc>
          <w:tcPr>
            <w:tcW w:w="360" w:type="dxa"/>
            <w:tcBorders>
              <w:bottom w:val="single" w:sz="2" w:space="0" w:color="000000"/>
            </w:tcBorders>
            <w:vAlign w:val="center"/>
          </w:tcPr>
          <w:p>
            <w:pPr>
              <w:pStyle w:val="TableContents"/>
              <w:bidi w:val="0"/>
              <w:spacing w:before="0" w:after="283"/>
              <w:jc w:val="left"/>
              <w:rPr/>
            </w:pPr>
            <w:r>
              <w:rPr/>
              <w:t> </w:t>
            </w:r>
          </w:p>
        </w:tc>
        <w:tc>
          <w:tcPr>
            <w:tcW w:w="822" w:type="dxa"/>
            <w:tcBorders>
              <w:bottom w:val="single" w:sz="2" w:space="0" w:color="000000"/>
            </w:tcBorders>
            <w:vAlign w:val="center"/>
          </w:tcPr>
          <w:p>
            <w:pPr>
              <w:pStyle w:val="TableContents"/>
              <w:bidi w:val="0"/>
              <w:spacing w:before="0" w:after="283"/>
              <w:jc w:val="right"/>
              <w:rPr/>
            </w:pPr>
            <w:r>
              <w:rPr/>
              <w:t>($11)</w:t>
            </w:r>
          </w:p>
        </w:tc>
        <w:tc>
          <w:tcPr>
            <w:tcW w:w="360" w:type="dxa"/>
            <w:tcBorders>
              <w:bottom w:val="single" w:sz="2" w:space="0" w:color="000000"/>
            </w:tcBorders>
            <w:vAlign w:val="center"/>
          </w:tcPr>
          <w:p>
            <w:pPr>
              <w:pStyle w:val="TableContents"/>
              <w:bidi w:val="0"/>
              <w:spacing w:before="0" w:after="283"/>
              <w:jc w:val="left"/>
              <w:rPr/>
            </w:pPr>
            <w:r>
              <w:rPr/>
              <w:t> </w:t>
            </w:r>
          </w:p>
        </w:tc>
        <w:tc>
          <w:tcPr>
            <w:tcW w:w="740" w:type="dxa"/>
            <w:tcBorders>
              <w:bottom w:val="single" w:sz="2" w:space="0" w:color="000000"/>
            </w:tcBorders>
            <w:vAlign w:val="center"/>
          </w:tcPr>
          <w:p>
            <w:pPr>
              <w:pStyle w:val="TableContents"/>
              <w:bidi w:val="0"/>
              <w:spacing w:before="0" w:after="283"/>
              <w:jc w:val="right"/>
              <w:rPr/>
            </w:pPr>
            <w:r>
              <w:rPr/>
              <w:t>($67)</w:t>
            </w:r>
          </w:p>
        </w:tc>
        <w:tc>
          <w:tcPr>
            <w:tcW w:w="360" w:type="dxa"/>
            <w:tcBorders>
              <w:bottom w:val="single" w:sz="2" w:space="0" w:color="000000"/>
            </w:tcBorders>
            <w:vAlign w:val="center"/>
          </w:tcPr>
          <w:p>
            <w:pPr>
              <w:pStyle w:val="TableContents"/>
              <w:bidi w:val="0"/>
              <w:spacing w:before="0" w:after="283"/>
              <w:jc w:val="left"/>
              <w:rPr/>
            </w:pPr>
            <w:r>
              <w:rPr/>
              <w:t> </w:t>
            </w:r>
          </w:p>
        </w:tc>
        <w:tc>
          <w:tcPr>
            <w:tcW w:w="756" w:type="dxa"/>
            <w:tcBorders>
              <w:bottom w:val="single" w:sz="2" w:space="0" w:color="000000"/>
            </w:tcBorders>
            <w:vAlign w:val="center"/>
          </w:tcPr>
          <w:p>
            <w:pPr>
              <w:pStyle w:val="TableContents"/>
              <w:bidi w:val="0"/>
              <w:spacing w:before="0" w:after="283"/>
              <w:jc w:val="right"/>
              <w:rPr/>
            </w:pPr>
            <w:r>
              <w:rPr/>
              <w:t>($54)</w:t>
            </w:r>
          </w:p>
        </w:tc>
      </w:tr>
      <w:tr>
        <w:trPr/>
        <w:tc>
          <w:tcPr>
            <w:tcW w:w="6807" w:type="dxa"/>
            <w:tcBorders>
              <w:bottom w:val="single" w:sz="2" w:space="0" w:color="000000"/>
            </w:tcBorders>
            <w:vAlign w:val="center"/>
          </w:tcPr>
          <w:p>
            <w:pPr>
              <w:pStyle w:val="TableContents"/>
              <w:bidi w:val="0"/>
              <w:spacing w:before="0" w:after="283"/>
              <w:jc w:val="left"/>
              <w:rPr/>
            </w:pPr>
            <w:r>
              <w:rPr/>
              <w:t>Tax effect of restructuring and significant and/or nonrecurring items above</w:t>
            </w:r>
          </w:p>
        </w:tc>
        <w:tc>
          <w:tcPr>
            <w:tcW w:w="360" w:type="dxa"/>
            <w:tcBorders>
              <w:bottom w:val="single" w:sz="2" w:space="0" w:color="000000"/>
            </w:tcBorders>
            <w:vAlign w:val="center"/>
          </w:tcPr>
          <w:p>
            <w:pPr>
              <w:pStyle w:val="TableContents"/>
              <w:bidi w:val="0"/>
              <w:spacing w:before="0" w:after="283"/>
              <w:jc w:val="left"/>
              <w:rPr/>
            </w:pPr>
            <w:r>
              <w:rPr/>
              <w:t> </w:t>
            </w:r>
          </w:p>
        </w:tc>
        <w:tc>
          <w:tcPr>
            <w:tcW w:w="822" w:type="dxa"/>
            <w:tcBorders>
              <w:bottom w:val="single" w:sz="2" w:space="0" w:color="000000"/>
            </w:tcBorders>
            <w:vAlign w:val="center"/>
          </w:tcPr>
          <w:p>
            <w:pPr>
              <w:pStyle w:val="TableContents"/>
              <w:bidi w:val="0"/>
              <w:spacing w:before="0" w:after="283"/>
              <w:jc w:val="right"/>
              <w:rPr/>
            </w:pPr>
            <w:r>
              <w:rPr/>
              <w:t>($1,191)</w:t>
            </w:r>
          </w:p>
        </w:tc>
        <w:tc>
          <w:tcPr>
            <w:tcW w:w="360" w:type="dxa"/>
            <w:tcBorders>
              <w:bottom w:val="single" w:sz="2" w:space="0" w:color="000000"/>
            </w:tcBorders>
            <w:vAlign w:val="center"/>
          </w:tcPr>
          <w:p>
            <w:pPr>
              <w:pStyle w:val="TableContents"/>
              <w:bidi w:val="0"/>
              <w:spacing w:before="0" w:after="283"/>
              <w:jc w:val="left"/>
              <w:rPr/>
            </w:pPr>
            <w:r>
              <w:rPr/>
              <w:t> </w:t>
            </w:r>
          </w:p>
        </w:tc>
        <w:tc>
          <w:tcPr>
            <w:tcW w:w="740" w:type="dxa"/>
            <w:tcBorders>
              <w:bottom w:val="single" w:sz="2" w:space="0" w:color="000000"/>
            </w:tcBorders>
            <w:vAlign w:val="center"/>
          </w:tcPr>
          <w:p>
            <w:pPr>
              <w:pStyle w:val="TableContents"/>
              <w:bidi w:val="0"/>
              <w:spacing w:before="0" w:after="283"/>
              <w:jc w:val="right"/>
              <w:rPr/>
            </w:pPr>
            <w:r>
              <w:rPr/>
              <w:t>($516)</w:t>
            </w:r>
          </w:p>
        </w:tc>
        <w:tc>
          <w:tcPr>
            <w:tcW w:w="360" w:type="dxa"/>
            <w:tcBorders>
              <w:bottom w:val="single" w:sz="2" w:space="0" w:color="000000"/>
            </w:tcBorders>
            <w:vAlign w:val="center"/>
          </w:tcPr>
          <w:p>
            <w:pPr>
              <w:pStyle w:val="TableContents"/>
              <w:bidi w:val="0"/>
              <w:spacing w:before="0" w:after="283"/>
              <w:jc w:val="left"/>
              <w:rPr/>
            </w:pPr>
            <w:r>
              <w:rPr/>
              <w:t> </w:t>
            </w:r>
          </w:p>
        </w:tc>
        <w:tc>
          <w:tcPr>
            <w:tcW w:w="756" w:type="dxa"/>
            <w:tcBorders>
              <w:bottom w:val="single" w:sz="2" w:space="0" w:color="000000"/>
            </w:tcBorders>
            <w:vAlign w:val="center"/>
          </w:tcPr>
          <w:p>
            <w:pPr>
              <w:pStyle w:val="TableContents"/>
              <w:bidi w:val="0"/>
              <w:spacing w:before="0" w:after="283"/>
              <w:jc w:val="right"/>
              <w:rPr/>
            </w:pPr>
            <w:r>
              <w:rPr/>
              <w:t>($438)</w:t>
            </w:r>
          </w:p>
        </w:tc>
      </w:tr>
      <w:tr>
        <w:trPr/>
        <w:tc>
          <w:tcPr>
            <w:tcW w:w="6807" w:type="dxa"/>
            <w:tcBorders>
              <w:bottom w:val="single" w:sz="2" w:space="0" w:color="000000"/>
            </w:tcBorders>
            <w:vAlign w:val="center"/>
          </w:tcPr>
          <w:p>
            <w:pPr>
              <w:pStyle w:val="TableContents"/>
              <w:bidi w:val="0"/>
              <w:spacing w:before="0" w:after="283"/>
              <w:jc w:val="left"/>
              <w:rPr/>
            </w:pPr>
            <w:r>
              <w:rPr/>
              <w:t>Significant and/or nonrecurring items included in income tax expense (benefit)</w:t>
            </w:r>
          </w:p>
        </w:tc>
        <w:tc>
          <w:tcPr>
            <w:tcW w:w="360" w:type="dxa"/>
            <w:tcBorders>
              <w:bottom w:val="single" w:sz="2" w:space="0" w:color="000000"/>
            </w:tcBorders>
            <w:vAlign w:val="center"/>
          </w:tcPr>
          <w:p>
            <w:pPr>
              <w:pStyle w:val="TableContents"/>
              <w:bidi w:val="0"/>
              <w:spacing w:before="0" w:after="283"/>
              <w:jc w:val="left"/>
              <w:rPr/>
            </w:pPr>
            <w:r>
              <w:rPr/>
              <w:t> </w:t>
            </w:r>
          </w:p>
        </w:tc>
        <w:tc>
          <w:tcPr>
            <w:tcW w:w="822" w:type="dxa"/>
            <w:tcBorders>
              <w:bottom w:val="single" w:sz="2" w:space="0" w:color="000000"/>
            </w:tcBorders>
            <w:vAlign w:val="center"/>
          </w:tcPr>
          <w:p>
            <w:pPr>
              <w:pStyle w:val="TableContents"/>
              <w:bidi w:val="0"/>
              <w:spacing w:before="0" w:after="283"/>
              <w:jc w:val="right"/>
              <w:rPr/>
            </w:pPr>
            <w:r>
              <w:rPr/>
              <w:t>($48)</w:t>
            </w:r>
          </w:p>
        </w:tc>
        <w:tc>
          <w:tcPr>
            <w:tcW w:w="360" w:type="dxa"/>
            <w:tcBorders>
              <w:bottom w:val="single" w:sz="2" w:space="0" w:color="000000"/>
            </w:tcBorders>
            <w:vAlign w:val="center"/>
          </w:tcPr>
          <w:p>
            <w:pPr>
              <w:pStyle w:val="TableContents"/>
              <w:bidi w:val="0"/>
              <w:spacing w:before="0" w:after="283"/>
              <w:jc w:val="left"/>
              <w:rPr/>
            </w:pPr>
            <w:r>
              <w:rPr/>
              <w:t> </w:t>
            </w:r>
          </w:p>
        </w:tc>
        <w:tc>
          <w:tcPr>
            <w:tcW w:w="740" w:type="dxa"/>
            <w:tcBorders>
              <w:bottom w:val="single" w:sz="2" w:space="0" w:color="000000"/>
            </w:tcBorders>
            <w:vAlign w:val="center"/>
          </w:tcPr>
          <w:p>
            <w:pPr>
              <w:pStyle w:val="TableContents"/>
              <w:bidi w:val="0"/>
              <w:spacing w:before="0" w:after="283"/>
              <w:jc w:val="right"/>
              <w:rPr/>
            </w:pPr>
            <w:r>
              <w:rPr/>
              <w:t>($140)</w:t>
            </w:r>
          </w:p>
        </w:tc>
        <w:tc>
          <w:tcPr>
            <w:tcW w:w="360" w:type="dxa"/>
            <w:tcBorders>
              <w:bottom w:val="single" w:sz="2" w:space="0" w:color="000000"/>
            </w:tcBorders>
            <w:vAlign w:val="center"/>
          </w:tcPr>
          <w:p>
            <w:pPr>
              <w:pStyle w:val="TableContents"/>
              <w:bidi w:val="0"/>
              <w:spacing w:before="0" w:after="283"/>
              <w:jc w:val="left"/>
              <w:rPr/>
            </w:pPr>
            <w:r>
              <w:rPr/>
              <w:t> </w:t>
            </w:r>
          </w:p>
        </w:tc>
        <w:tc>
          <w:tcPr>
            <w:tcW w:w="756" w:type="dxa"/>
            <w:tcBorders>
              <w:bottom w:val="single" w:sz="2" w:space="0" w:color="000000"/>
            </w:tcBorders>
            <w:vAlign w:val="center"/>
          </w:tcPr>
          <w:p>
            <w:pPr>
              <w:pStyle w:val="TableContents"/>
              <w:bidi w:val="0"/>
              <w:spacing w:before="0" w:after="283"/>
              <w:jc w:val="right"/>
              <w:rPr/>
            </w:pPr>
            <w:r>
              <w:rPr/>
              <w:t>($59)</w:t>
            </w:r>
          </w:p>
        </w:tc>
      </w:tr>
      <w:tr>
        <w:trPr/>
        <w:tc>
          <w:tcPr>
            <w:tcW w:w="6807" w:type="dxa"/>
            <w:tcBorders>
              <w:bottom w:val="single" w:sz="2" w:space="0" w:color="000000"/>
            </w:tcBorders>
            <w:vAlign w:val="center"/>
          </w:tcPr>
          <w:p>
            <w:pPr>
              <w:pStyle w:val="TableContents"/>
              <w:bidi w:val="0"/>
              <w:spacing w:before="0" w:after="283"/>
              <w:jc w:val="left"/>
              <w:rPr/>
            </w:pPr>
            <w:r>
              <w:rPr/>
              <w:t>Significant and/or nonrecurring items included in noncontrolling Interest</w:t>
            </w:r>
          </w:p>
        </w:tc>
        <w:tc>
          <w:tcPr>
            <w:tcW w:w="360" w:type="dxa"/>
            <w:tcBorders>
              <w:bottom w:val="single" w:sz="2" w:space="0" w:color="000000"/>
            </w:tcBorders>
            <w:vAlign w:val="center"/>
          </w:tcPr>
          <w:p>
            <w:pPr>
              <w:pStyle w:val="TableContents"/>
              <w:bidi w:val="0"/>
              <w:spacing w:before="0" w:after="283"/>
              <w:jc w:val="left"/>
              <w:rPr/>
            </w:pPr>
            <w:r>
              <w:rPr/>
              <w:t> </w:t>
            </w:r>
          </w:p>
        </w:tc>
        <w:tc>
          <w:tcPr>
            <w:tcW w:w="822" w:type="dxa"/>
            <w:tcBorders>
              <w:bottom w:val="single" w:sz="2" w:space="0" w:color="000000"/>
            </w:tcBorders>
            <w:vAlign w:val="center"/>
          </w:tcPr>
          <w:p>
            <w:pPr>
              <w:pStyle w:val="TableContents"/>
              <w:bidi w:val="0"/>
              <w:spacing w:before="0" w:after="283"/>
              <w:jc w:val="right"/>
              <w:rPr/>
            </w:pPr>
            <w:r>
              <w:rPr/>
              <w:t>($20)</w:t>
            </w:r>
          </w:p>
        </w:tc>
        <w:tc>
          <w:tcPr>
            <w:tcW w:w="360" w:type="dxa"/>
            <w:tcBorders>
              <w:bottom w:val="single" w:sz="2" w:space="0" w:color="000000"/>
            </w:tcBorders>
            <w:vAlign w:val="center"/>
          </w:tcPr>
          <w:p>
            <w:pPr>
              <w:pStyle w:val="TableContents"/>
              <w:bidi w:val="0"/>
              <w:spacing w:before="0" w:after="283"/>
              <w:jc w:val="left"/>
              <w:rPr/>
            </w:pPr>
            <w:r>
              <w:rPr/>
              <w:t> </w:t>
            </w:r>
          </w:p>
        </w:tc>
        <w:tc>
          <w:tcPr>
            <w:tcW w:w="740" w:type="dxa"/>
            <w:tcBorders>
              <w:bottom w:val="single" w:sz="2" w:space="0" w:color="000000"/>
            </w:tcBorders>
            <w:vAlign w:val="center"/>
          </w:tcPr>
          <w:p>
            <w:pPr>
              <w:pStyle w:val="TableContents"/>
              <w:bidi w:val="0"/>
              <w:spacing w:before="0" w:after="283"/>
              <w:jc w:val="right"/>
              <w:rPr/>
            </w:pPr>
            <w:r>
              <w:rPr/>
              <w:t>$9</w:t>
            </w:r>
          </w:p>
        </w:tc>
        <w:tc>
          <w:tcPr>
            <w:tcW w:w="360" w:type="dxa"/>
            <w:tcBorders>
              <w:bottom w:val="single" w:sz="2" w:space="0" w:color="000000"/>
            </w:tcBorders>
            <w:vAlign w:val="center"/>
          </w:tcPr>
          <w:p>
            <w:pPr>
              <w:pStyle w:val="TableContents"/>
              <w:bidi w:val="0"/>
              <w:spacing w:before="0" w:after="283"/>
              <w:jc w:val="left"/>
              <w:rPr/>
            </w:pPr>
            <w:r>
              <w:rPr/>
              <w:t> </w:t>
            </w:r>
          </w:p>
        </w:tc>
        <w:tc>
          <w:tcPr>
            <w:tcW w:w="756" w:type="dxa"/>
            <w:tcBorders>
              <w:bottom w:val="single" w:sz="2" w:space="0" w:color="000000"/>
            </w:tcBorders>
            <w:vAlign w:val="center"/>
          </w:tcPr>
          <w:p>
            <w:pPr>
              <w:pStyle w:val="TableContents"/>
              <w:bidi w:val="0"/>
              <w:spacing w:before="0" w:after="283"/>
              <w:jc w:val="right"/>
              <w:rPr/>
            </w:pPr>
            <w:r>
              <w:rPr/>
              <w:t>–</w:t>
            </w:r>
          </w:p>
        </w:tc>
      </w:tr>
      <w:tr>
        <w:trPr/>
        <w:tc>
          <w:tcPr>
            <w:tcW w:w="6807" w:type="dxa"/>
            <w:tcBorders>
              <w:bottom w:val="single" w:sz="2" w:space="0" w:color="000000"/>
            </w:tcBorders>
            <w:vAlign w:val="center"/>
          </w:tcPr>
          <w:p>
            <w:pPr>
              <w:pStyle w:val="TableContents"/>
              <w:bidi w:val="0"/>
              <w:spacing w:before="0" w:after="283"/>
              <w:jc w:val="left"/>
              <w:rPr/>
            </w:pPr>
            <w:r>
              <w:rPr/>
              <w:t>Total adjustments to net income attributable to common shareowners</w:t>
            </w:r>
          </w:p>
        </w:tc>
        <w:tc>
          <w:tcPr>
            <w:tcW w:w="360" w:type="dxa"/>
            <w:tcBorders>
              <w:bottom w:val="single" w:sz="2" w:space="0" w:color="000000"/>
            </w:tcBorders>
            <w:vAlign w:val="center"/>
          </w:tcPr>
          <w:p>
            <w:pPr>
              <w:pStyle w:val="TableContents"/>
              <w:bidi w:val="0"/>
              <w:spacing w:before="0" w:after="283"/>
              <w:jc w:val="left"/>
              <w:rPr/>
            </w:pPr>
            <w:r>
              <w:rPr/>
              <w:t> </w:t>
            </w:r>
          </w:p>
        </w:tc>
        <w:tc>
          <w:tcPr>
            <w:tcW w:w="822" w:type="dxa"/>
            <w:tcBorders>
              <w:bottom w:val="single" w:sz="2" w:space="0" w:color="000000"/>
            </w:tcBorders>
            <w:vAlign w:val="center"/>
          </w:tcPr>
          <w:p>
            <w:pPr>
              <w:pStyle w:val="TableContents"/>
              <w:bidi w:val="0"/>
              <w:spacing w:before="0" w:after="283"/>
              <w:jc w:val="right"/>
              <w:rPr/>
            </w:pPr>
            <w:r>
              <w:rPr/>
              <w:t>$4,068</w:t>
            </w:r>
          </w:p>
        </w:tc>
        <w:tc>
          <w:tcPr>
            <w:tcW w:w="360" w:type="dxa"/>
            <w:tcBorders>
              <w:bottom w:val="single" w:sz="2" w:space="0" w:color="000000"/>
            </w:tcBorders>
            <w:vAlign w:val="center"/>
          </w:tcPr>
          <w:p>
            <w:pPr>
              <w:pStyle w:val="TableContents"/>
              <w:bidi w:val="0"/>
              <w:spacing w:before="0" w:after="283"/>
              <w:jc w:val="left"/>
              <w:rPr/>
            </w:pPr>
            <w:r>
              <w:rPr/>
              <w:t> </w:t>
            </w:r>
          </w:p>
        </w:tc>
        <w:tc>
          <w:tcPr>
            <w:tcW w:w="740" w:type="dxa"/>
            <w:tcBorders>
              <w:bottom w:val="single" w:sz="2" w:space="0" w:color="000000"/>
            </w:tcBorders>
            <w:vAlign w:val="center"/>
          </w:tcPr>
          <w:p>
            <w:pPr>
              <w:pStyle w:val="TableContents"/>
              <w:bidi w:val="0"/>
              <w:spacing w:before="0" w:after="283"/>
              <w:jc w:val="right"/>
              <w:rPr/>
            </w:pPr>
            <w:r>
              <w:rPr/>
              <w:t>$2,931</w:t>
            </w:r>
          </w:p>
        </w:tc>
        <w:tc>
          <w:tcPr>
            <w:tcW w:w="360" w:type="dxa"/>
            <w:tcBorders>
              <w:bottom w:val="single" w:sz="2" w:space="0" w:color="000000"/>
            </w:tcBorders>
            <w:vAlign w:val="center"/>
          </w:tcPr>
          <w:p>
            <w:pPr>
              <w:pStyle w:val="TableContents"/>
              <w:bidi w:val="0"/>
              <w:spacing w:before="0" w:after="283"/>
              <w:jc w:val="left"/>
              <w:rPr/>
            </w:pPr>
            <w:r>
              <w:rPr/>
              <w:t> </w:t>
            </w:r>
          </w:p>
        </w:tc>
        <w:tc>
          <w:tcPr>
            <w:tcW w:w="756" w:type="dxa"/>
            <w:tcBorders>
              <w:bottom w:val="single" w:sz="2" w:space="0" w:color="000000"/>
            </w:tcBorders>
            <w:vAlign w:val="center"/>
          </w:tcPr>
          <w:p>
            <w:pPr>
              <w:pStyle w:val="TableContents"/>
              <w:bidi w:val="0"/>
              <w:spacing w:before="0" w:after="283"/>
              <w:jc w:val="right"/>
              <w:rPr/>
            </w:pPr>
            <w:r>
              <w:rPr/>
              <w:t>$1,799</w:t>
            </w:r>
          </w:p>
        </w:tc>
      </w:tr>
      <w:tr>
        <w:trPr/>
        <w:tc>
          <w:tcPr>
            <w:tcW w:w="6807" w:type="dxa"/>
            <w:tcBorders>
              <w:bottom w:val="single" w:sz="2" w:space="0" w:color="000000"/>
            </w:tcBorders>
            <w:shd w:fill="EDEDEE" w:val="clear"/>
            <w:vAlign w:val="center"/>
          </w:tcPr>
          <w:p>
            <w:pPr>
              <w:pStyle w:val="TableContents"/>
              <w:bidi w:val="0"/>
              <w:spacing w:before="0" w:after="283"/>
              <w:jc w:val="left"/>
              <w:rPr/>
            </w:pPr>
            <w:r>
              <w:rPr/>
              <w:t>Adjusted net income attributable to common shareowners</w:t>
            </w:r>
          </w:p>
        </w:tc>
        <w:tc>
          <w:tcPr>
            <w:tcW w:w="360" w:type="dxa"/>
            <w:tcBorders>
              <w:bottom w:val="single" w:sz="2" w:space="0" w:color="000000"/>
            </w:tcBorders>
            <w:shd w:fill="EDEDEE" w:val="clear"/>
            <w:vAlign w:val="center"/>
          </w:tcPr>
          <w:p>
            <w:pPr>
              <w:pStyle w:val="TableContents"/>
              <w:bidi w:val="0"/>
              <w:spacing w:before="0" w:after="283"/>
              <w:jc w:val="left"/>
              <w:rPr/>
            </w:pPr>
            <w:r>
              <w:rPr/>
              <w:t> </w:t>
            </w:r>
          </w:p>
        </w:tc>
        <w:tc>
          <w:tcPr>
            <w:tcW w:w="822" w:type="dxa"/>
            <w:tcBorders>
              <w:bottom w:val="single" w:sz="2" w:space="0" w:color="000000"/>
            </w:tcBorders>
            <w:shd w:fill="EDEDEE" w:val="clear"/>
            <w:vAlign w:val="center"/>
          </w:tcPr>
          <w:p>
            <w:pPr>
              <w:pStyle w:val="TableContents"/>
              <w:bidi w:val="0"/>
              <w:spacing w:before="0" w:after="283"/>
              <w:jc w:val="right"/>
              <w:rPr/>
            </w:pPr>
            <w:r>
              <w:rPr/>
              <w:t>$7,263</w:t>
            </w:r>
          </w:p>
        </w:tc>
        <w:tc>
          <w:tcPr>
            <w:tcW w:w="360" w:type="dxa"/>
            <w:tcBorders>
              <w:bottom w:val="single" w:sz="2" w:space="0" w:color="000000"/>
            </w:tcBorders>
            <w:shd w:fill="EDEDEE" w:val="clear"/>
            <w:vAlign w:val="center"/>
          </w:tcPr>
          <w:p>
            <w:pPr>
              <w:pStyle w:val="TableContents"/>
              <w:bidi w:val="0"/>
              <w:spacing w:before="0" w:after="283"/>
              <w:jc w:val="left"/>
              <w:rPr/>
            </w:pPr>
            <w:r>
              <w:rPr/>
              <w:t> </w:t>
            </w:r>
          </w:p>
        </w:tc>
        <w:tc>
          <w:tcPr>
            <w:tcW w:w="740" w:type="dxa"/>
            <w:tcBorders>
              <w:bottom w:val="single" w:sz="2" w:space="0" w:color="000000"/>
            </w:tcBorders>
            <w:shd w:fill="EDEDEE" w:val="clear"/>
            <w:vAlign w:val="center"/>
          </w:tcPr>
          <w:p>
            <w:pPr>
              <w:pStyle w:val="TableContents"/>
              <w:bidi w:val="0"/>
              <w:spacing w:before="0" w:after="283"/>
              <w:jc w:val="right"/>
              <w:rPr/>
            </w:pPr>
            <w:r>
              <w:rPr/>
              <w:t>$7,705</w:t>
            </w:r>
          </w:p>
        </w:tc>
        <w:tc>
          <w:tcPr>
            <w:tcW w:w="360" w:type="dxa"/>
            <w:tcBorders>
              <w:bottom w:val="single" w:sz="2" w:space="0" w:color="000000"/>
            </w:tcBorders>
            <w:shd w:fill="EDEDEE" w:val="clear"/>
            <w:vAlign w:val="center"/>
          </w:tcPr>
          <w:p>
            <w:pPr>
              <w:pStyle w:val="TableContents"/>
              <w:bidi w:val="0"/>
              <w:spacing w:before="0" w:after="283"/>
              <w:jc w:val="left"/>
              <w:rPr/>
            </w:pPr>
            <w:r>
              <w:rPr/>
              <w:t> </w:t>
            </w:r>
          </w:p>
        </w:tc>
        <w:tc>
          <w:tcPr>
            <w:tcW w:w="756" w:type="dxa"/>
            <w:tcBorders>
              <w:bottom w:val="single" w:sz="2" w:space="0" w:color="000000"/>
            </w:tcBorders>
            <w:shd w:fill="EDEDEE" w:val="clear"/>
            <w:vAlign w:val="center"/>
          </w:tcPr>
          <w:p>
            <w:pPr>
              <w:pStyle w:val="TableContents"/>
              <w:bidi w:val="0"/>
              <w:spacing w:before="0" w:after="283"/>
              <w:jc w:val="right"/>
              <w:rPr/>
            </w:pPr>
            <w:r>
              <w:rPr/>
              <w:t>$8,531</w:t>
            </w:r>
          </w:p>
        </w:tc>
      </w:tr>
      <w:tr>
        <w:trPr/>
        <w:tc>
          <w:tcPr>
            <w:tcW w:w="6807" w:type="dxa"/>
            <w:tcBorders>
              <w:bottom w:val="single" w:sz="2" w:space="0" w:color="000000"/>
            </w:tcBorders>
            <w:vAlign w:val="center"/>
          </w:tcPr>
          <w:p>
            <w:pPr>
              <w:pStyle w:val="TableContents"/>
              <w:bidi w:val="0"/>
              <w:spacing w:before="0" w:after="283"/>
              <w:jc w:val="left"/>
              <w:rPr/>
            </w:pPr>
            <w:r>
              <w:rPr/>
              <w:t>Weighted average diluted shares outstanding</w:t>
            </w:r>
          </w:p>
        </w:tc>
        <w:tc>
          <w:tcPr>
            <w:tcW w:w="360" w:type="dxa"/>
            <w:tcBorders>
              <w:bottom w:val="single" w:sz="2" w:space="0" w:color="000000"/>
            </w:tcBorders>
            <w:vAlign w:val="center"/>
          </w:tcPr>
          <w:p>
            <w:pPr>
              <w:pStyle w:val="TableContents"/>
              <w:bidi w:val="0"/>
              <w:spacing w:before="0" w:after="283"/>
              <w:jc w:val="left"/>
              <w:rPr/>
            </w:pPr>
            <w:r>
              <w:rPr/>
              <w:t> </w:t>
            </w:r>
          </w:p>
        </w:tc>
        <w:tc>
          <w:tcPr>
            <w:tcW w:w="822" w:type="dxa"/>
            <w:tcBorders>
              <w:bottom w:val="single" w:sz="2" w:space="0" w:color="000000"/>
            </w:tcBorders>
            <w:vAlign w:val="center"/>
          </w:tcPr>
          <w:p>
            <w:pPr>
              <w:pStyle w:val="TableContents"/>
              <w:bidi w:val="0"/>
              <w:spacing w:before="0" w:after="283"/>
              <w:jc w:val="right"/>
              <w:rPr/>
            </w:pPr>
            <w:r>
              <w:rPr/>
              <w:t>1,435.4</w:t>
            </w:r>
          </w:p>
        </w:tc>
        <w:tc>
          <w:tcPr>
            <w:tcW w:w="360" w:type="dxa"/>
            <w:tcBorders>
              <w:bottom w:val="single" w:sz="2" w:space="0" w:color="000000"/>
            </w:tcBorders>
            <w:vAlign w:val="center"/>
          </w:tcPr>
          <w:p>
            <w:pPr>
              <w:pStyle w:val="TableContents"/>
              <w:bidi w:val="0"/>
              <w:spacing w:before="0" w:after="283"/>
              <w:jc w:val="left"/>
              <w:rPr/>
            </w:pPr>
            <w:r>
              <w:rPr/>
              <w:t> </w:t>
            </w:r>
          </w:p>
        </w:tc>
        <w:tc>
          <w:tcPr>
            <w:tcW w:w="740" w:type="dxa"/>
            <w:tcBorders>
              <w:bottom w:val="single" w:sz="2" w:space="0" w:color="000000"/>
            </w:tcBorders>
            <w:vAlign w:val="center"/>
          </w:tcPr>
          <w:p>
            <w:pPr>
              <w:pStyle w:val="TableContents"/>
              <w:bidi w:val="0"/>
              <w:spacing w:before="0" w:after="283"/>
              <w:jc w:val="right"/>
              <w:rPr/>
            </w:pPr>
            <w:r>
              <w:rPr/>
              <w:t>1,343.6</w:t>
            </w:r>
          </w:p>
        </w:tc>
        <w:tc>
          <w:tcPr>
            <w:tcW w:w="360" w:type="dxa"/>
            <w:tcBorders>
              <w:bottom w:val="single" w:sz="2" w:space="0" w:color="000000"/>
            </w:tcBorders>
            <w:vAlign w:val="center"/>
          </w:tcPr>
          <w:p>
            <w:pPr>
              <w:pStyle w:val="TableContents"/>
              <w:bidi w:val="0"/>
              <w:spacing w:before="0" w:after="283"/>
              <w:jc w:val="left"/>
              <w:rPr/>
            </w:pPr>
            <w:r>
              <w:rPr/>
              <w:t> </w:t>
            </w:r>
          </w:p>
        </w:tc>
        <w:tc>
          <w:tcPr>
            <w:tcW w:w="756" w:type="dxa"/>
            <w:tcBorders>
              <w:bottom w:val="single" w:sz="2" w:space="0" w:color="000000"/>
            </w:tcBorders>
            <w:vAlign w:val="center"/>
          </w:tcPr>
          <w:p>
            <w:pPr>
              <w:pStyle w:val="TableContents"/>
              <w:bidi w:val="0"/>
              <w:spacing w:before="0" w:after="283"/>
              <w:jc w:val="right"/>
              <w:rPr/>
            </w:pPr>
            <w:r>
              <w:rPr/>
              <w:t>1,356.4</w:t>
            </w:r>
          </w:p>
        </w:tc>
      </w:tr>
      <w:tr>
        <w:trPr/>
        <w:tc>
          <w:tcPr>
            <w:tcW w:w="6807" w:type="dxa"/>
            <w:tcBorders>
              <w:bottom w:val="single" w:sz="2" w:space="0" w:color="000000"/>
            </w:tcBorders>
            <w:vAlign w:val="center"/>
          </w:tcPr>
          <w:p>
            <w:pPr>
              <w:pStyle w:val="TableContents"/>
              <w:bidi w:val="0"/>
              <w:spacing w:before="0" w:after="283"/>
              <w:jc w:val="left"/>
              <w:rPr/>
            </w:pPr>
            <w:r>
              <w:rPr/>
              <w:t>Diluted earnings per share</w:t>
            </w:r>
          </w:p>
        </w:tc>
        <w:tc>
          <w:tcPr>
            <w:tcW w:w="360" w:type="dxa"/>
            <w:tcBorders>
              <w:bottom w:val="single" w:sz="2" w:space="0" w:color="000000"/>
            </w:tcBorders>
            <w:vAlign w:val="center"/>
          </w:tcPr>
          <w:p>
            <w:pPr>
              <w:pStyle w:val="TableContents"/>
              <w:bidi w:val="0"/>
              <w:spacing w:before="0" w:after="283"/>
              <w:jc w:val="left"/>
              <w:rPr/>
            </w:pPr>
            <w:r>
              <w:rPr/>
              <w:t> </w:t>
            </w:r>
          </w:p>
        </w:tc>
        <w:tc>
          <w:tcPr>
            <w:tcW w:w="822" w:type="dxa"/>
            <w:tcBorders>
              <w:bottom w:val="single" w:sz="2" w:space="0" w:color="000000"/>
            </w:tcBorders>
            <w:vAlign w:val="center"/>
          </w:tcPr>
          <w:p>
            <w:pPr>
              <w:pStyle w:val="TableContents"/>
              <w:bidi w:val="0"/>
              <w:spacing w:before="0" w:after="283"/>
              <w:jc w:val="right"/>
              <w:rPr/>
            </w:pPr>
            <w:r>
              <w:rPr/>
              <w:t>$2.23</w:t>
            </w:r>
          </w:p>
        </w:tc>
        <w:tc>
          <w:tcPr>
            <w:tcW w:w="360" w:type="dxa"/>
            <w:tcBorders>
              <w:bottom w:val="single" w:sz="2" w:space="0" w:color="000000"/>
            </w:tcBorders>
            <w:vAlign w:val="center"/>
          </w:tcPr>
          <w:p>
            <w:pPr>
              <w:pStyle w:val="TableContents"/>
              <w:bidi w:val="0"/>
              <w:spacing w:before="0" w:after="283"/>
              <w:jc w:val="left"/>
              <w:rPr/>
            </w:pPr>
            <w:r>
              <w:rPr/>
              <w:t> </w:t>
            </w:r>
          </w:p>
        </w:tc>
        <w:tc>
          <w:tcPr>
            <w:tcW w:w="740" w:type="dxa"/>
            <w:tcBorders>
              <w:bottom w:val="single" w:sz="2" w:space="0" w:color="000000"/>
            </w:tcBorders>
            <w:vAlign w:val="center"/>
          </w:tcPr>
          <w:p>
            <w:pPr>
              <w:pStyle w:val="TableContents"/>
              <w:bidi w:val="0"/>
              <w:spacing w:before="0" w:after="283"/>
              <w:jc w:val="right"/>
              <w:rPr/>
            </w:pPr>
            <w:r>
              <w:rPr/>
              <w:t>$3.55</w:t>
            </w:r>
          </w:p>
        </w:tc>
        <w:tc>
          <w:tcPr>
            <w:tcW w:w="360" w:type="dxa"/>
            <w:tcBorders>
              <w:bottom w:val="single" w:sz="2" w:space="0" w:color="000000"/>
            </w:tcBorders>
            <w:vAlign w:val="center"/>
          </w:tcPr>
          <w:p>
            <w:pPr>
              <w:pStyle w:val="TableContents"/>
              <w:bidi w:val="0"/>
              <w:spacing w:before="0" w:after="283"/>
              <w:jc w:val="left"/>
              <w:rPr/>
            </w:pPr>
            <w:r>
              <w:rPr/>
              <w:t> </w:t>
            </w:r>
          </w:p>
        </w:tc>
        <w:tc>
          <w:tcPr>
            <w:tcW w:w="756" w:type="dxa"/>
            <w:tcBorders>
              <w:bottom w:val="single" w:sz="2" w:space="0" w:color="000000"/>
            </w:tcBorders>
            <w:vAlign w:val="center"/>
          </w:tcPr>
          <w:p>
            <w:pPr>
              <w:pStyle w:val="TableContents"/>
              <w:bidi w:val="0"/>
              <w:spacing w:before="0" w:after="283"/>
              <w:jc w:val="right"/>
              <w:rPr/>
            </w:pPr>
            <w:r>
              <w:rPr/>
              <w:t>$4.96</w:t>
            </w:r>
          </w:p>
        </w:tc>
      </w:tr>
      <w:tr>
        <w:trPr/>
        <w:tc>
          <w:tcPr>
            <w:tcW w:w="6807" w:type="dxa"/>
            <w:tcBorders>
              <w:bottom w:val="single" w:sz="2" w:space="0" w:color="000000"/>
            </w:tcBorders>
            <w:vAlign w:val="center"/>
          </w:tcPr>
          <w:p>
            <w:pPr>
              <w:pStyle w:val="TableContents"/>
              <w:bidi w:val="0"/>
              <w:spacing w:before="0" w:after="283"/>
              <w:jc w:val="left"/>
              <w:rPr/>
            </w:pPr>
            <w:r>
              <w:rPr/>
              <w:t>Impact of significant and/or nonrecurring items on diluted earnings per share</w:t>
            </w:r>
          </w:p>
        </w:tc>
        <w:tc>
          <w:tcPr>
            <w:tcW w:w="360" w:type="dxa"/>
            <w:tcBorders>
              <w:bottom w:val="single" w:sz="2" w:space="0" w:color="000000"/>
            </w:tcBorders>
            <w:vAlign w:val="center"/>
          </w:tcPr>
          <w:p>
            <w:pPr>
              <w:pStyle w:val="TableContents"/>
              <w:bidi w:val="0"/>
              <w:spacing w:before="0" w:after="283"/>
              <w:jc w:val="left"/>
              <w:rPr/>
            </w:pPr>
            <w:r>
              <w:rPr/>
              <w:t> </w:t>
            </w:r>
          </w:p>
        </w:tc>
        <w:tc>
          <w:tcPr>
            <w:tcW w:w="822" w:type="dxa"/>
            <w:tcBorders>
              <w:bottom w:val="single" w:sz="2" w:space="0" w:color="000000"/>
            </w:tcBorders>
            <w:vAlign w:val="center"/>
          </w:tcPr>
          <w:p>
            <w:pPr>
              <w:pStyle w:val="TableContents"/>
              <w:bidi w:val="0"/>
              <w:spacing w:before="0" w:after="283"/>
              <w:jc w:val="right"/>
              <w:rPr/>
            </w:pPr>
            <w:r>
              <w:rPr/>
              <w:t>$2.83</w:t>
            </w:r>
          </w:p>
        </w:tc>
        <w:tc>
          <w:tcPr>
            <w:tcW w:w="360" w:type="dxa"/>
            <w:tcBorders>
              <w:bottom w:val="single" w:sz="2" w:space="0" w:color="000000"/>
            </w:tcBorders>
            <w:vAlign w:val="center"/>
          </w:tcPr>
          <w:p>
            <w:pPr>
              <w:pStyle w:val="TableContents"/>
              <w:bidi w:val="0"/>
              <w:spacing w:before="0" w:after="283"/>
              <w:jc w:val="left"/>
              <w:rPr/>
            </w:pPr>
            <w:r>
              <w:rPr/>
              <w:t> </w:t>
            </w:r>
          </w:p>
        </w:tc>
        <w:tc>
          <w:tcPr>
            <w:tcW w:w="740" w:type="dxa"/>
            <w:tcBorders>
              <w:bottom w:val="single" w:sz="2" w:space="0" w:color="000000"/>
            </w:tcBorders>
            <w:vAlign w:val="center"/>
          </w:tcPr>
          <w:p>
            <w:pPr>
              <w:pStyle w:val="TableContents"/>
              <w:bidi w:val="0"/>
              <w:spacing w:before="0" w:after="283"/>
              <w:jc w:val="right"/>
              <w:rPr/>
            </w:pPr>
            <w:r>
              <w:rPr/>
              <w:t>$2.18</w:t>
            </w:r>
          </w:p>
        </w:tc>
        <w:tc>
          <w:tcPr>
            <w:tcW w:w="360" w:type="dxa"/>
            <w:tcBorders>
              <w:bottom w:val="single" w:sz="2" w:space="0" w:color="000000"/>
            </w:tcBorders>
            <w:vAlign w:val="center"/>
          </w:tcPr>
          <w:p>
            <w:pPr>
              <w:pStyle w:val="TableContents"/>
              <w:bidi w:val="0"/>
              <w:spacing w:before="0" w:after="283"/>
              <w:jc w:val="left"/>
              <w:rPr/>
            </w:pPr>
            <w:r>
              <w:rPr/>
              <w:t> </w:t>
            </w:r>
          </w:p>
        </w:tc>
        <w:tc>
          <w:tcPr>
            <w:tcW w:w="756" w:type="dxa"/>
            <w:tcBorders>
              <w:bottom w:val="single" w:sz="2" w:space="0" w:color="000000"/>
            </w:tcBorders>
            <w:vAlign w:val="center"/>
          </w:tcPr>
          <w:p>
            <w:pPr>
              <w:pStyle w:val="TableContents"/>
              <w:bidi w:val="0"/>
              <w:spacing w:before="0" w:after="283"/>
              <w:jc w:val="right"/>
              <w:rPr/>
            </w:pPr>
            <w:r>
              <w:rPr/>
              <w:t>$1.33</w:t>
            </w:r>
          </w:p>
        </w:tc>
      </w:tr>
      <w:tr>
        <w:trPr/>
        <w:tc>
          <w:tcPr>
            <w:tcW w:w="6807" w:type="dxa"/>
            <w:tcBorders>
              <w:bottom w:val="single" w:sz="12" w:space="0" w:color="636466"/>
            </w:tcBorders>
            <w:shd w:fill="EDEDEE" w:val="clear"/>
            <w:vAlign w:val="center"/>
          </w:tcPr>
          <w:p>
            <w:pPr>
              <w:pStyle w:val="TableContents"/>
              <w:bidi w:val="0"/>
              <w:spacing w:before="0" w:after="283"/>
              <w:jc w:val="left"/>
              <w:rPr/>
            </w:pPr>
            <w:r>
              <w:rPr/>
              <w:t>Adjusted diluted earnings per share</w:t>
            </w:r>
          </w:p>
        </w:tc>
        <w:tc>
          <w:tcPr>
            <w:tcW w:w="360" w:type="dxa"/>
            <w:tcBorders>
              <w:bottom w:val="single" w:sz="12" w:space="0" w:color="636466"/>
            </w:tcBorders>
            <w:shd w:fill="EDEDEE" w:val="clear"/>
            <w:vAlign w:val="center"/>
          </w:tcPr>
          <w:p>
            <w:pPr>
              <w:pStyle w:val="TableContents"/>
              <w:bidi w:val="0"/>
              <w:spacing w:before="0" w:after="283"/>
              <w:jc w:val="left"/>
              <w:rPr/>
            </w:pPr>
            <w:r>
              <w:rPr/>
              <w:t> </w:t>
            </w:r>
          </w:p>
        </w:tc>
        <w:tc>
          <w:tcPr>
            <w:tcW w:w="822" w:type="dxa"/>
            <w:tcBorders>
              <w:bottom w:val="single" w:sz="12" w:space="0" w:color="636466"/>
            </w:tcBorders>
            <w:shd w:fill="EDEDEE" w:val="clear"/>
            <w:vAlign w:val="center"/>
          </w:tcPr>
          <w:p>
            <w:pPr>
              <w:pStyle w:val="TableContents"/>
              <w:bidi w:val="0"/>
              <w:spacing w:before="0" w:after="283"/>
              <w:jc w:val="right"/>
              <w:rPr/>
            </w:pPr>
            <w:r>
              <w:rPr/>
              <w:t>$5.06</w:t>
            </w:r>
          </w:p>
        </w:tc>
        <w:tc>
          <w:tcPr>
            <w:tcW w:w="360" w:type="dxa"/>
            <w:tcBorders>
              <w:bottom w:val="single" w:sz="12" w:space="0" w:color="636466"/>
            </w:tcBorders>
            <w:shd w:fill="EDEDEE" w:val="clear"/>
            <w:vAlign w:val="center"/>
          </w:tcPr>
          <w:p>
            <w:pPr>
              <w:pStyle w:val="TableContents"/>
              <w:bidi w:val="0"/>
              <w:spacing w:before="0" w:after="283"/>
              <w:jc w:val="left"/>
              <w:rPr/>
            </w:pPr>
            <w:r>
              <w:rPr/>
              <w:t> </w:t>
            </w:r>
          </w:p>
        </w:tc>
        <w:tc>
          <w:tcPr>
            <w:tcW w:w="740" w:type="dxa"/>
            <w:tcBorders>
              <w:bottom w:val="single" w:sz="12" w:space="0" w:color="636466"/>
            </w:tcBorders>
            <w:shd w:fill="EDEDEE" w:val="clear"/>
            <w:vAlign w:val="center"/>
          </w:tcPr>
          <w:p>
            <w:pPr>
              <w:pStyle w:val="TableContents"/>
              <w:bidi w:val="0"/>
              <w:spacing w:before="0" w:after="283"/>
              <w:jc w:val="right"/>
              <w:rPr/>
            </w:pPr>
            <w:r>
              <w:rPr/>
              <w:t>$5.73</w:t>
            </w:r>
          </w:p>
        </w:tc>
        <w:tc>
          <w:tcPr>
            <w:tcW w:w="360" w:type="dxa"/>
            <w:tcBorders>
              <w:bottom w:val="single" w:sz="12" w:space="0" w:color="636466"/>
            </w:tcBorders>
            <w:shd w:fill="EDEDEE" w:val="clear"/>
            <w:vAlign w:val="center"/>
          </w:tcPr>
          <w:p>
            <w:pPr>
              <w:pStyle w:val="TableContents"/>
              <w:bidi w:val="0"/>
              <w:spacing w:before="0" w:after="283"/>
              <w:jc w:val="left"/>
              <w:rPr/>
            </w:pPr>
            <w:r>
              <w:rPr/>
              <w:t> </w:t>
            </w:r>
          </w:p>
        </w:tc>
        <w:tc>
          <w:tcPr>
            <w:tcW w:w="756" w:type="dxa"/>
            <w:tcBorders>
              <w:bottom w:val="single" w:sz="12" w:space="0" w:color="636466"/>
            </w:tcBorders>
            <w:shd w:fill="EDEDEE" w:val="clear"/>
            <w:vAlign w:val="center"/>
          </w:tcPr>
          <w:p>
            <w:pPr>
              <w:pStyle w:val="TableContents"/>
              <w:bidi w:val="0"/>
              <w:spacing w:before="0" w:after="283"/>
              <w:jc w:val="right"/>
              <w:rPr/>
            </w:pPr>
            <w:r>
              <w:rPr/>
              <w:t>$6.29</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RECONCILIATION OF CASH FLOW FROM OPERATING ACTIVITIES (GAAP) TO FREE CASH FLOW (NON-GAAP)</w:t>
      </w:r>
    </w:p>
    <w:tbl>
      <w:tblPr>
        <w:tblW w:w="7730" w:type="dxa"/>
        <w:jc w:val="left"/>
        <w:tblInd w:w="0" w:type="dxa"/>
        <w:tblLayout w:type="fixed"/>
        <w:tblCellMar>
          <w:top w:w="0" w:type="dxa"/>
          <w:left w:w="0" w:type="dxa"/>
          <w:bottom w:w="40" w:type="dxa"/>
          <w:right w:w="0" w:type="dxa"/>
        </w:tblCellMar>
      </w:tblPr>
      <w:tblGrid>
        <w:gridCol w:w="4475"/>
        <w:gridCol w:w="360"/>
        <w:gridCol w:w="680"/>
        <w:gridCol w:w="360"/>
        <w:gridCol w:w="680"/>
        <w:gridCol w:w="360"/>
        <w:gridCol w:w="815"/>
      </w:tblGrid>
      <w:tr>
        <w:trPr/>
        <w:tc>
          <w:tcPr>
            <w:tcW w:w="4475" w:type="dxa"/>
            <w:tcBorders>
              <w:bottom w:val="single" w:sz="12" w:space="0" w:color="636466"/>
            </w:tcBorders>
            <w:vAlign w:val="center"/>
          </w:tcPr>
          <w:p>
            <w:pPr>
              <w:pStyle w:val="TableContents"/>
              <w:bidi w:val="0"/>
              <w:spacing w:before="0" w:after="283"/>
              <w:jc w:val="left"/>
              <w:rPr/>
            </w:pPr>
            <w:r>
              <w:rPr/>
              <w:t>(dollars in millions)</w:t>
            </w:r>
          </w:p>
        </w:tc>
        <w:tc>
          <w:tcPr>
            <w:tcW w:w="360" w:type="dxa"/>
            <w:tcBorders>
              <w:bottom w:val="single" w:sz="12" w:space="0" w:color="636466"/>
            </w:tcBorders>
            <w:vAlign w:val="center"/>
          </w:tcPr>
          <w:p>
            <w:pPr>
              <w:pStyle w:val="TableContents"/>
              <w:bidi w:val="0"/>
              <w:spacing w:before="0" w:after="283"/>
              <w:jc w:val="right"/>
              <w:rPr/>
            </w:pPr>
            <w:r>
              <w:rPr/>
              <w:t>      </w:t>
            </w:r>
          </w:p>
        </w:tc>
        <w:tc>
          <w:tcPr>
            <w:tcW w:w="680" w:type="dxa"/>
            <w:tcBorders>
              <w:bottom w:val="single" w:sz="12" w:space="0" w:color="636466"/>
            </w:tcBorders>
            <w:vAlign w:val="center"/>
          </w:tcPr>
          <w:p>
            <w:pPr>
              <w:pStyle w:val="TableContents"/>
              <w:bidi w:val="0"/>
              <w:spacing w:before="0" w:after="283"/>
              <w:jc w:val="right"/>
              <w:rPr/>
            </w:pPr>
            <w:r>
              <w:rPr/>
              <w:t>2023</w:t>
            </w:r>
          </w:p>
        </w:tc>
        <w:tc>
          <w:tcPr>
            <w:tcW w:w="360" w:type="dxa"/>
            <w:tcBorders>
              <w:bottom w:val="single" w:sz="12" w:space="0" w:color="636466"/>
            </w:tcBorders>
            <w:vAlign w:val="center"/>
          </w:tcPr>
          <w:p>
            <w:pPr>
              <w:pStyle w:val="TableContents"/>
              <w:bidi w:val="0"/>
              <w:spacing w:before="0" w:after="283"/>
              <w:jc w:val="right"/>
              <w:rPr/>
            </w:pPr>
            <w:r>
              <w:rPr/>
              <w:t>      </w:t>
            </w:r>
          </w:p>
        </w:tc>
        <w:tc>
          <w:tcPr>
            <w:tcW w:w="680" w:type="dxa"/>
            <w:tcBorders>
              <w:bottom w:val="single" w:sz="12" w:space="0" w:color="636466"/>
            </w:tcBorders>
            <w:vAlign w:val="center"/>
          </w:tcPr>
          <w:p>
            <w:pPr>
              <w:pStyle w:val="TableContents"/>
              <w:bidi w:val="0"/>
              <w:spacing w:before="0" w:after="283"/>
              <w:jc w:val="right"/>
              <w:rPr/>
            </w:pPr>
            <w:r>
              <w:rPr/>
              <w:t>2024</w:t>
            </w:r>
          </w:p>
        </w:tc>
        <w:tc>
          <w:tcPr>
            <w:tcW w:w="360" w:type="dxa"/>
            <w:tcBorders>
              <w:bottom w:val="single" w:sz="12" w:space="0" w:color="636466"/>
            </w:tcBorders>
            <w:vAlign w:val="center"/>
          </w:tcPr>
          <w:p>
            <w:pPr>
              <w:pStyle w:val="TableContents"/>
              <w:bidi w:val="0"/>
              <w:spacing w:before="0" w:after="283"/>
              <w:jc w:val="right"/>
              <w:rPr/>
            </w:pPr>
            <w:r>
              <w:rPr/>
              <w:t>      </w:t>
            </w:r>
          </w:p>
        </w:tc>
        <w:tc>
          <w:tcPr>
            <w:tcW w:w="815" w:type="dxa"/>
            <w:tcBorders>
              <w:bottom w:val="single" w:sz="12" w:space="0" w:color="636466"/>
            </w:tcBorders>
            <w:vAlign w:val="center"/>
          </w:tcPr>
          <w:p>
            <w:pPr>
              <w:pStyle w:val="TableContents"/>
              <w:bidi w:val="0"/>
              <w:spacing w:before="0" w:after="283"/>
              <w:jc w:val="right"/>
              <w:rPr/>
            </w:pPr>
            <w:r>
              <w:rPr/>
              <w:t>2025</w:t>
            </w:r>
          </w:p>
        </w:tc>
      </w:tr>
      <w:tr>
        <w:trPr/>
        <w:tc>
          <w:tcPr>
            <w:tcW w:w="4475" w:type="dxa"/>
            <w:tcBorders>
              <w:bottom w:val="single" w:sz="2" w:space="0" w:color="000000"/>
            </w:tcBorders>
            <w:vAlign w:val="center"/>
          </w:tcPr>
          <w:p>
            <w:pPr>
              <w:pStyle w:val="TableContents"/>
              <w:bidi w:val="0"/>
              <w:spacing w:before="0" w:after="283"/>
              <w:jc w:val="left"/>
              <w:rPr/>
            </w:pPr>
            <w:r>
              <w:rPr/>
              <w:t>Net cash flows provided by operating activities</w:t>
            </w:r>
          </w:p>
        </w:tc>
        <w:tc>
          <w:tcPr>
            <w:tcW w:w="360" w:type="dxa"/>
            <w:tcBorders>
              <w:bottom w:val="single" w:sz="2" w:space="0" w:color="000000"/>
            </w:tcBorders>
            <w:vAlign w:val="center"/>
          </w:tcPr>
          <w:p>
            <w:pPr>
              <w:pStyle w:val="TableContents"/>
              <w:bidi w:val="0"/>
              <w:spacing w:before="0" w:after="283"/>
              <w:jc w:val="right"/>
              <w:rPr/>
            </w:pPr>
            <w:r>
              <w:rPr/>
              <w:t> </w:t>
            </w:r>
          </w:p>
        </w:tc>
        <w:tc>
          <w:tcPr>
            <w:tcW w:w="680" w:type="dxa"/>
            <w:tcBorders>
              <w:bottom w:val="single" w:sz="2" w:space="0" w:color="000000"/>
            </w:tcBorders>
            <w:vAlign w:val="center"/>
          </w:tcPr>
          <w:p>
            <w:pPr>
              <w:pStyle w:val="TableContents"/>
              <w:bidi w:val="0"/>
              <w:spacing w:before="0" w:after="283"/>
              <w:jc w:val="right"/>
              <w:rPr/>
            </w:pPr>
            <w:r>
              <w:rPr/>
              <w:t>$7,883</w:t>
            </w:r>
          </w:p>
        </w:tc>
        <w:tc>
          <w:tcPr>
            <w:tcW w:w="360" w:type="dxa"/>
            <w:tcBorders>
              <w:bottom w:val="single" w:sz="2" w:space="0" w:color="000000"/>
            </w:tcBorders>
            <w:vAlign w:val="center"/>
          </w:tcPr>
          <w:p>
            <w:pPr>
              <w:pStyle w:val="TableContents"/>
              <w:bidi w:val="0"/>
              <w:spacing w:before="0" w:after="283"/>
              <w:jc w:val="right"/>
              <w:rPr/>
            </w:pPr>
            <w:r>
              <w:rPr/>
              <w:t> </w:t>
            </w:r>
          </w:p>
        </w:tc>
        <w:tc>
          <w:tcPr>
            <w:tcW w:w="680" w:type="dxa"/>
            <w:tcBorders>
              <w:bottom w:val="single" w:sz="2" w:space="0" w:color="000000"/>
            </w:tcBorders>
            <w:vAlign w:val="center"/>
          </w:tcPr>
          <w:p>
            <w:pPr>
              <w:pStyle w:val="TableContents"/>
              <w:bidi w:val="0"/>
              <w:spacing w:before="0" w:after="283"/>
              <w:jc w:val="right"/>
              <w:rPr/>
            </w:pPr>
            <w:r>
              <w:rPr/>
              <w:t>$7,159</w:t>
            </w:r>
          </w:p>
        </w:tc>
        <w:tc>
          <w:tcPr>
            <w:tcW w:w="360" w:type="dxa"/>
            <w:tcBorders>
              <w:bottom w:val="single" w:sz="2" w:space="0" w:color="000000"/>
            </w:tcBorders>
            <w:vAlign w:val="center"/>
          </w:tcPr>
          <w:p>
            <w:pPr>
              <w:pStyle w:val="TableContents"/>
              <w:bidi w:val="0"/>
              <w:spacing w:before="0" w:after="283"/>
              <w:jc w:val="right"/>
              <w:rPr/>
            </w:pPr>
            <w:r>
              <w:rPr/>
              <w:t> </w:t>
            </w:r>
          </w:p>
        </w:tc>
        <w:tc>
          <w:tcPr>
            <w:tcW w:w="815" w:type="dxa"/>
            <w:tcBorders>
              <w:bottom w:val="single" w:sz="2" w:space="0" w:color="000000"/>
            </w:tcBorders>
            <w:vAlign w:val="center"/>
          </w:tcPr>
          <w:p>
            <w:pPr>
              <w:pStyle w:val="TableContents"/>
              <w:bidi w:val="0"/>
              <w:spacing w:before="0" w:after="283"/>
              <w:jc w:val="right"/>
              <w:rPr/>
            </w:pPr>
            <w:r>
              <w:rPr/>
              <w:t>$10,567</w:t>
            </w:r>
          </w:p>
        </w:tc>
      </w:tr>
      <w:tr>
        <w:trPr/>
        <w:tc>
          <w:tcPr>
            <w:tcW w:w="4475" w:type="dxa"/>
            <w:tcBorders>
              <w:bottom w:val="single" w:sz="2" w:space="0" w:color="000000"/>
            </w:tcBorders>
            <w:vAlign w:val="center"/>
          </w:tcPr>
          <w:p>
            <w:pPr>
              <w:pStyle w:val="TableContents"/>
              <w:bidi w:val="0"/>
              <w:spacing w:before="0" w:after="283"/>
              <w:jc w:val="left"/>
              <w:rPr/>
            </w:pPr>
            <w:r>
              <w:rPr/>
              <w:t>Less: Capital expenditures</w:t>
            </w:r>
          </w:p>
        </w:tc>
        <w:tc>
          <w:tcPr>
            <w:tcW w:w="360" w:type="dxa"/>
            <w:tcBorders>
              <w:bottom w:val="single" w:sz="2" w:space="0" w:color="000000"/>
            </w:tcBorders>
            <w:vAlign w:val="center"/>
          </w:tcPr>
          <w:p>
            <w:pPr>
              <w:pStyle w:val="TableContents"/>
              <w:bidi w:val="0"/>
              <w:spacing w:before="0" w:after="283"/>
              <w:jc w:val="right"/>
              <w:rPr/>
            </w:pPr>
            <w:r>
              <w:rPr/>
              <w:t> </w:t>
            </w:r>
          </w:p>
        </w:tc>
        <w:tc>
          <w:tcPr>
            <w:tcW w:w="680" w:type="dxa"/>
            <w:tcBorders>
              <w:bottom w:val="single" w:sz="2" w:space="0" w:color="000000"/>
            </w:tcBorders>
            <w:vAlign w:val="center"/>
          </w:tcPr>
          <w:p>
            <w:pPr>
              <w:pStyle w:val="TableContents"/>
              <w:bidi w:val="0"/>
              <w:spacing w:before="0" w:after="283"/>
              <w:jc w:val="right"/>
              <w:rPr/>
            </w:pPr>
            <w:r>
              <w:rPr/>
              <w:t>$2,415</w:t>
            </w:r>
          </w:p>
        </w:tc>
        <w:tc>
          <w:tcPr>
            <w:tcW w:w="360" w:type="dxa"/>
            <w:tcBorders>
              <w:bottom w:val="single" w:sz="2" w:space="0" w:color="000000"/>
            </w:tcBorders>
            <w:vAlign w:val="center"/>
          </w:tcPr>
          <w:p>
            <w:pPr>
              <w:pStyle w:val="TableContents"/>
              <w:bidi w:val="0"/>
              <w:spacing w:before="0" w:after="283"/>
              <w:jc w:val="right"/>
              <w:rPr/>
            </w:pPr>
            <w:r>
              <w:rPr/>
              <w:t> </w:t>
            </w:r>
          </w:p>
        </w:tc>
        <w:tc>
          <w:tcPr>
            <w:tcW w:w="680" w:type="dxa"/>
            <w:tcBorders>
              <w:bottom w:val="single" w:sz="2" w:space="0" w:color="000000"/>
            </w:tcBorders>
            <w:vAlign w:val="center"/>
          </w:tcPr>
          <w:p>
            <w:pPr>
              <w:pStyle w:val="TableContents"/>
              <w:bidi w:val="0"/>
              <w:spacing w:before="0" w:after="283"/>
              <w:jc w:val="right"/>
              <w:rPr/>
            </w:pPr>
            <w:r>
              <w:rPr/>
              <w:t>$2,625</w:t>
            </w:r>
          </w:p>
        </w:tc>
        <w:tc>
          <w:tcPr>
            <w:tcW w:w="360" w:type="dxa"/>
            <w:tcBorders>
              <w:bottom w:val="single" w:sz="2" w:space="0" w:color="000000"/>
            </w:tcBorders>
            <w:vAlign w:val="center"/>
          </w:tcPr>
          <w:p>
            <w:pPr>
              <w:pStyle w:val="TableContents"/>
              <w:bidi w:val="0"/>
              <w:spacing w:before="0" w:after="283"/>
              <w:jc w:val="right"/>
              <w:rPr/>
            </w:pPr>
            <w:r>
              <w:rPr/>
              <w:t> </w:t>
            </w:r>
          </w:p>
        </w:tc>
        <w:tc>
          <w:tcPr>
            <w:tcW w:w="815" w:type="dxa"/>
            <w:tcBorders>
              <w:bottom w:val="single" w:sz="2" w:space="0" w:color="000000"/>
            </w:tcBorders>
            <w:vAlign w:val="center"/>
          </w:tcPr>
          <w:p>
            <w:pPr>
              <w:pStyle w:val="TableContents"/>
              <w:bidi w:val="0"/>
              <w:spacing w:before="0" w:after="283"/>
              <w:jc w:val="right"/>
              <w:rPr/>
            </w:pPr>
            <w:r>
              <w:rPr/>
              <w:t>$2,627</w:t>
            </w:r>
          </w:p>
        </w:tc>
      </w:tr>
      <w:tr>
        <w:trPr/>
        <w:tc>
          <w:tcPr>
            <w:tcW w:w="4475" w:type="dxa"/>
            <w:tcBorders>
              <w:bottom w:val="single" w:sz="12" w:space="0" w:color="636466"/>
            </w:tcBorders>
            <w:shd w:fill="EDEDEE" w:val="clear"/>
            <w:vAlign w:val="center"/>
          </w:tcPr>
          <w:p>
            <w:pPr>
              <w:pStyle w:val="TableContents"/>
              <w:bidi w:val="0"/>
              <w:spacing w:before="0" w:after="283"/>
              <w:jc w:val="left"/>
              <w:rPr/>
            </w:pPr>
            <w:r>
              <w:rPr/>
              <w:t>Free cash flow</w:t>
            </w:r>
          </w:p>
        </w:tc>
        <w:tc>
          <w:tcPr>
            <w:tcW w:w="360" w:type="dxa"/>
            <w:tcBorders>
              <w:bottom w:val="single" w:sz="12" w:space="0" w:color="636466"/>
            </w:tcBorders>
            <w:shd w:fill="EDEDEE" w:val="clear"/>
            <w:vAlign w:val="center"/>
          </w:tcPr>
          <w:p>
            <w:pPr>
              <w:pStyle w:val="TableContents"/>
              <w:bidi w:val="0"/>
              <w:spacing w:before="0" w:after="283"/>
              <w:jc w:val="right"/>
              <w:rPr/>
            </w:pPr>
            <w:r>
              <w:rPr/>
              <w:t> </w:t>
            </w:r>
          </w:p>
        </w:tc>
        <w:tc>
          <w:tcPr>
            <w:tcW w:w="680" w:type="dxa"/>
            <w:tcBorders>
              <w:bottom w:val="single" w:sz="12" w:space="0" w:color="636466"/>
            </w:tcBorders>
            <w:shd w:fill="EDEDEE" w:val="clear"/>
            <w:vAlign w:val="center"/>
          </w:tcPr>
          <w:p>
            <w:pPr>
              <w:pStyle w:val="TableContents"/>
              <w:bidi w:val="0"/>
              <w:spacing w:before="0" w:after="283"/>
              <w:jc w:val="right"/>
              <w:rPr/>
            </w:pPr>
            <w:r>
              <w:rPr/>
              <w:t>$5,468</w:t>
            </w:r>
          </w:p>
        </w:tc>
        <w:tc>
          <w:tcPr>
            <w:tcW w:w="360" w:type="dxa"/>
            <w:tcBorders>
              <w:bottom w:val="single" w:sz="12" w:space="0" w:color="636466"/>
            </w:tcBorders>
            <w:shd w:fill="EDEDEE" w:val="clear"/>
            <w:vAlign w:val="center"/>
          </w:tcPr>
          <w:p>
            <w:pPr>
              <w:pStyle w:val="TableContents"/>
              <w:bidi w:val="0"/>
              <w:spacing w:before="0" w:after="283"/>
              <w:jc w:val="right"/>
              <w:rPr/>
            </w:pPr>
            <w:r>
              <w:rPr/>
              <w:t> </w:t>
            </w:r>
          </w:p>
        </w:tc>
        <w:tc>
          <w:tcPr>
            <w:tcW w:w="680" w:type="dxa"/>
            <w:tcBorders>
              <w:bottom w:val="single" w:sz="12" w:space="0" w:color="636466"/>
            </w:tcBorders>
            <w:shd w:fill="EDEDEE" w:val="clear"/>
            <w:vAlign w:val="center"/>
          </w:tcPr>
          <w:p>
            <w:pPr>
              <w:pStyle w:val="TableContents"/>
              <w:bidi w:val="0"/>
              <w:spacing w:before="0" w:after="283"/>
              <w:jc w:val="right"/>
              <w:rPr/>
            </w:pPr>
            <w:r>
              <w:rPr/>
              <w:t>$4,534</w:t>
            </w:r>
          </w:p>
        </w:tc>
        <w:tc>
          <w:tcPr>
            <w:tcW w:w="360" w:type="dxa"/>
            <w:tcBorders>
              <w:bottom w:val="single" w:sz="12" w:space="0" w:color="636466"/>
            </w:tcBorders>
            <w:shd w:fill="EDEDEE" w:val="clear"/>
            <w:vAlign w:val="center"/>
          </w:tcPr>
          <w:p>
            <w:pPr>
              <w:pStyle w:val="TableContents"/>
              <w:bidi w:val="0"/>
              <w:spacing w:before="0" w:after="283"/>
              <w:jc w:val="right"/>
              <w:rPr/>
            </w:pPr>
            <w:r>
              <w:rPr/>
              <w:t> </w:t>
            </w:r>
          </w:p>
        </w:tc>
        <w:tc>
          <w:tcPr>
            <w:tcW w:w="815" w:type="dxa"/>
            <w:tcBorders>
              <w:bottom w:val="single" w:sz="12" w:space="0" w:color="636466"/>
            </w:tcBorders>
            <w:shd w:fill="EDEDEE" w:val="clear"/>
            <w:vAlign w:val="center"/>
          </w:tcPr>
          <w:p>
            <w:pPr>
              <w:pStyle w:val="TableContents"/>
              <w:bidi w:val="0"/>
              <w:spacing w:before="0" w:after="283"/>
              <w:jc w:val="right"/>
              <w:rPr/>
            </w:pPr>
            <w:r>
              <w:rPr/>
              <w:t>$7,940</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RECONCILIATION OF ORGANIC SALES</w:t>
      </w:r>
    </w:p>
    <w:tbl>
      <w:tblPr>
        <w:tblW w:w="11210" w:type="dxa"/>
        <w:jc w:val="left"/>
        <w:tblInd w:w="0" w:type="dxa"/>
        <w:tblLayout w:type="fixed"/>
        <w:tblCellMar>
          <w:top w:w="0" w:type="dxa"/>
          <w:left w:w="0" w:type="dxa"/>
          <w:bottom w:w="28" w:type="dxa"/>
          <w:right w:w="0" w:type="dxa"/>
        </w:tblCellMar>
      </w:tblPr>
      <w:tblGrid>
        <w:gridCol w:w="1580"/>
        <w:gridCol w:w="480"/>
        <w:gridCol w:w="890"/>
        <w:gridCol w:w="480"/>
        <w:gridCol w:w="1445"/>
        <w:gridCol w:w="480"/>
        <w:gridCol w:w="815"/>
        <w:gridCol w:w="480"/>
        <w:gridCol w:w="785"/>
        <w:gridCol w:w="480"/>
        <w:gridCol w:w="1925"/>
        <w:gridCol w:w="480"/>
        <w:gridCol w:w="890"/>
      </w:tblGrid>
      <w:tr>
        <w:trPr/>
        <w:tc>
          <w:tcPr>
            <w:tcW w:w="1580" w:type="dxa"/>
            <w:tcBorders>
              <w:bottom w:val="single" w:sz="12" w:space="0" w:color="636466"/>
            </w:tcBorders>
            <w:vAlign w:val="center"/>
          </w:tcPr>
          <w:p>
            <w:pPr>
              <w:pStyle w:val="TableContents"/>
              <w:bidi w:val="0"/>
              <w:spacing w:before="0" w:after="283"/>
              <w:jc w:val="left"/>
              <w:rPr/>
            </w:pPr>
            <w:r>
              <w:rPr/>
              <w:t>(dollars in millions)</w:t>
            </w:r>
          </w:p>
        </w:tc>
        <w:tc>
          <w:tcPr>
            <w:tcW w:w="480" w:type="dxa"/>
            <w:tcBorders>
              <w:bottom w:val="single" w:sz="12" w:space="0" w:color="636466"/>
            </w:tcBorders>
            <w:vAlign w:val="center"/>
          </w:tcPr>
          <w:p>
            <w:pPr>
              <w:pStyle w:val="TableContents"/>
              <w:bidi w:val="0"/>
              <w:spacing w:before="0" w:after="283"/>
              <w:jc w:val="left"/>
              <w:rPr/>
            </w:pPr>
            <w:r>
              <w:rPr/>
              <w:t> </w:t>
            </w:r>
          </w:p>
        </w:tc>
        <w:tc>
          <w:tcPr>
            <w:tcW w:w="9150" w:type="dxa"/>
            <w:gridSpan w:val="11"/>
            <w:tcBorders>
              <w:bottom w:val="single" w:sz="12" w:space="0" w:color="636466"/>
            </w:tcBorders>
            <w:vAlign w:val="center"/>
          </w:tcPr>
          <w:p>
            <w:pPr>
              <w:pStyle w:val="TableContents"/>
              <w:bidi w:val="0"/>
              <w:spacing w:before="0" w:after="283"/>
              <w:jc w:val="center"/>
              <w:rPr/>
            </w:pPr>
            <w:r>
              <w:rPr/>
              <w:t>Twelve Months Ended December 31, 2025 compared to the Twelve Months Ended December 31, 2024</w:t>
            </w:r>
          </w:p>
        </w:tc>
      </w:tr>
      <w:tr>
        <w:trPr/>
        <w:tc>
          <w:tcPr>
            <w:tcW w:w="1580" w:type="dxa"/>
            <w:tcBorders>
              <w:bottom w:val="single" w:sz="2" w:space="0" w:color="000000"/>
            </w:tcBorders>
            <w:tcMar>
              <w:bottom w:w="40" w:type="dxa"/>
            </w:tcMar>
            <w:vAlign w:val="center"/>
          </w:tcPr>
          <w:p>
            <w:pPr>
              <w:pStyle w:val="TableContents"/>
              <w:bidi w:val="0"/>
              <w:spacing w:before="0" w:after="283"/>
              <w:jc w:val="left"/>
              <w:rPr/>
            </w:pPr>
            <w:r>
              <w:rPr/>
              <w:t> </w:t>
            </w:r>
          </w:p>
        </w:tc>
        <w:tc>
          <w:tcPr>
            <w:tcW w:w="480" w:type="dxa"/>
            <w:tcBorders>
              <w:bottom w:val="single" w:sz="2" w:space="0" w:color="000000"/>
            </w:tcBorders>
            <w:tcMar>
              <w:bottom w:w="40" w:type="dxa"/>
            </w:tcMar>
            <w:vAlign w:val="center"/>
          </w:tcPr>
          <w:p>
            <w:pPr>
              <w:pStyle w:val="TableContents"/>
              <w:bidi w:val="0"/>
              <w:spacing w:before="0" w:after="283"/>
              <w:jc w:val="left"/>
              <w:rPr/>
            </w:pPr>
            <w:r>
              <w:rPr/>
              <w:t>        </w:t>
            </w:r>
          </w:p>
        </w:tc>
        <w:tc>
          <w:tcPr>
            <w:tcW w:w="890" w:type="dxa"/>
            <w:tcBorders>
              <w:bottom w:val="single" w:sz="2" w:space="0" w:color="000000"/>
            </w:tcBorders>
            <w:tcMar>
              <w:bottom w:w="40" w:type="dxa"/>
            </w:tcMar>
            <w:vAlign w:val="center"/>
          </w:tcPr>
          <w:p>
            <w:pPr>
              <w:pStyle w:val="TableContents"/>
              <w:bidi w:val="0"/>
              <w:spacing w:before="0" w:after="283"/>
              <w:jc w:val="right"/>
              <w:rPr/>
            </w:pPr>
            <w:r>
              <w:rPr/>
              <w:t>Total</w:t>
              <w:br/>
              <w:t>Reported</w:t>
              <w:br/>
              <w:t>Change</w:t>
            </w:r>
          </w:p>
        </w:tc>
        <w:tc>
          <w:tcPr>
            <w:tcW w:w="480" w:type="dxa"/>
            <w:tcBorders>
              <w:bottom w:val="single" w:sz="2" w:space="0" w:color="000000"/>
            </w:tcBorders>
            <w:tcMar>
              <w:bottom w:w="40" w:type="dxa"/>
            </w:tcMar>
            <w:vAlign w:val="center"/>
          </w:tcPr>
          <w:p>
            <w:pPr>
              <w:pStyle w:val="TableContents"/>
              <w:bidi w:val="0"/>
              <w:spacing w:before="0" w:after="283"/>
              <w:jc w:val="left"/>
              <w:rPr/>
            </w:pPr>
            <w:r>
              <w:rPr/>
              <w:t>        </w:t>
            </w:r>
          </w:p>
        </w:tc>
        <w:tc>
          <w:tcPr>
            <w:tcW w:w="1445" w:type="dxa"/>
            <w:tcBorders>
              <w:bottom w:val="single" w:sz="2" w:space="0" w:color="000000"/>
            </w:tcBorders>
            <w:tcMar>
              <w:bottom w:w="40" w:type="dxa"/>
            </w:tcMar>
            <w:vAlign w:val="center"/>
          </w:tcPr>
          <w:p>
            <w:pPr>
              <w:pStyle w:val="TableContents"/>
              <w:bidi w:val="0"/>
              <w:spacing w:before="0" w:after="283"/>
              <w:jc w:val="right"/>
              <w:rPr/>
            </w:pPr>
            <w:r>
              <w:rPr/>
              <w:t>Acquisitions &amp;</w:t>
              <w:br/>
              <w:t>Divestitures</w:t>
              <w:br/>
              <w:t>Change</w:t>
            </w:r>
          </w:p>
        </w:tc>
        <w:tc>
          <w:tcPr>
            <w:tcW w:w="480" w:type="dxa"/>
            <w:tcBorders>
              <w:bottom w:val="single" w:sz="2" w:space="0" w:color="000000"/>
            </w:tcBorders>
            <w:tcMar>
              <w:bottom w:w="40" w:type="dxa"/>
            </w:tcMar>
            <w:vAlign w:val="center"/>
          </w:tcPr>
          <w:p>
            <w:pPr>
              <w:pStyle w:val="TableContents"/>
              <w:bidi w:val="0"/>
              <w:spacing w:before="0" w:after="283"/>
              <w:jc w:val="left"/>
              <w:rPr/>
            </w:pPr>
            <w:r>
              <w:rPr/>
              <w:t>        </w:t>
            </w:r>
          </w:p>
        </w:tc>
        <w:tc>
          <w:tcPr>
            <w:tcW w:w="815" w:type="dxa"/>
            <w:tcBorders>
              <w:bottom w:val="single" w:sz="2" w:space="0" w:color="000000"/>
            </w:tcBorders>
            <w:tcMar>
              <w:bottom w:w="40" w:type="dxa"/>
            </w:tcMar>
            <w:vAlign w:val="center"/>
          </w:tcPr>
          <w:p>
            <w:pPr>
              <w:pStyle w:val="TableContents"/>
              <w:bidi w:val="0"/>
              <w:spacing w:before="0" w:after="283"/>
              <w:jc w:val="right"/>
              <w:rPr/>
            </w:pPr>
            <w:r>
              <w:rPr/>
              <w:t>FX/Other</w:t>
              <w:br/>
              <w:t>Change</w:t>
            </w:r>
            <w:r>
              <w:rPr>
                <w:position w:val="8"/>
                <w:sz w:val="19"/>
              </w:rPr>
              <w:t>(1)</w:t>
            </w:r>
          </w:p>
        </w:tc>
        <w:tc>
          <w:tcPr>
            <w:tcW w:w="480" w:type="dxa"/>
            <w:tcBorders>
              <w:bottom w:val="single" w:sz="2" w:space="0" w:color="000000"/>
            </w:tcBorders>
            <w:tcMar>
              <w:bottom w:w="40" w:type="dxa"/>
            </w:tcMar>
            <w:vAlign w:val="center"/>
          </w:tcPr>
          <w:p>
            <w:pPr>
              <w:pStyle w:val="TableContents"/>
              <w:bidi w:val="0"/>
              <w:spacing w:before="0" w:after="283"/>
              <w:jc w:val="left"/>
              <w:rPr/>
            </w:pPr>
            <w:r>
              <w:rPr/>
              <w:t>        </w:t>
            </w:r>
          </w:p>
        </w:tc>
        <w:tc>
          <w:tcPr>
            <w:tcW w:w="785" w:type="dxa"/>
            <w:tcBorders>
              <w:bottom w:val="single" w:sz="2" w:space="0" w:color="000000"/>
            </w:tcBorders>
            <w:tcMar>
              <w:bottom w:w="40" w:type="dxa"/>
            </w:tcMar>
            <w:vAlign w:val="center"/>
          </w:tcPr>
          <w:p>
            <w:pPr>
              <w:pStyle w:val="TableContents"/>
              <w:bidi w:val="0"/>
              <w:spacing w:before="0" w:after="283"/>
              <w:jc w:val="right"/>
              <w:rPr/>
            </w:pPr>
            <w:r>
              <w:rPr/>
              <w:t>Organic</w:t>
              <w:br/>
              <w:t>Change</w:t>
            </w:r>
          </w:p>
        </w:tc>
        <w:tc>
          <w:tcPr>
            <w:tcW w:w="480" w:type="dxa"/>
            <w:tcBorders>
              <w:bottom w:val="single" w:sz="2" w:space="0" w:color="000000"/>
            </w:tcBorders>
            <w:tcMar>
              <w:bottom w:w="40" w:type="dxa"/>
            </w:tcMar>
            <w:vAlign w:val="center"/>
          </w:tcPr>
          <w:p>
            <w:pPr>
              <w:pStyle w:val="TableContents"/>
              <w:bidi w:val="0"/>
              <w:spacing w:before="0" w:after="283"/>
              <w:jc w:val="left"/>
              <w:rPr/>
            </w:pPr>
            <w:r>
              <w:rPr/>
              <w:t>        </w:t>
            </w:r>
          </w:p>
        </w:tc>
        <w:tc>
          <w:tcPr>
            <w:tcW w:w="1925" w:type="dxa"/>
            <w:tcBorders>
              <w:bottom w:val="single" w:sz="2" w:space="0" w:color="000000"/>
            </w:tcBorders>
            <w:tcMar>
              <w:bottom w:w="40" w:type="dxa"/>
            </w:tcMar>
            <w:vAlign w:val="center"/>
          </w:tcPr>
          <w:p>
            <w:pPr>
              <w:pStyle w:val="TableContents"/>
              <w:bidi w:val="0"/>
              <w:spacing w:before="0" w:after="283"/>
              <w:jc w:val="right"/>
              <w:rPr/>
            </w:pPr>
            <w:r>
              <w:rPr/>
              <w:t>Prior Year Adjusted</w:t>
              <w:br/>
              <w:t>Sales</w:t>
            </w:r>
            <w:r>
              <w:rPr>
                <w:position w:val="8"/>
                <w:sz w:val="19"/>
              </w:rPr>
              <w:t>(2)</w:t>
            </w:r>
          </w:p>
        </w:tc>
        <w:tc>
          <w:tcPr>
            <w:tcW w:w="480" w:type="dxa"/>
            <w:tcBorders>
              <w:bottom w:val="single" w:sz="2" w:space="0" w:color="000000"/>
            </w:tcBorders>
            <w:tcMar>
              <w:bottom w:w="40" w:type="dxa"/>
            </w:tcMar>
            <w:vAlign w:val="center"/>
          </w:tcPr>
          <w:p>
            <w:pPr>
              <w:pStyle w:val="TableContents"/>
              <w:bidi w:val="0"/>
              <w:spacing w:before="0" w:after="283"/>
              <w:jc w:val="left"/>
              <w:rPr/>
            </w:pPr>
            <w:r>
              <w:rPr/>
              <w:t>        </w:t>
            </w:r>
          </w:p>
        </w:tc>
        <w:tc>
          <w:tcPr>
            <w:tcW w:w="890" w:type="dxa"/>
            <w:tcBorders>
              <w:bottom w:val="single" w:sz="2" w:space="0" w:color="000000"/>
            </w:tcBorders>
            <w:tcMar>
              <w:bottom w:w="40" w:type="dxa"/>
            </w:tcMar>
            <w:vAlign w:val="center"/>
          </w:tcPr>
          <w:p>
            <w:pPr>
              <w:pStyle w:val="TableContents"/>
              <w:bidi w:val="0"/>
              <w:spacing w:before="0" w:after="283"/>
              <w:jc w:val="right"/>
              <w:rPr/>
            </w:pPr>
            <w:r>
              <w:rPr/>
              <w:t>Organic Change as a %</w:t>
              <w:br/>
              <w:t>of Adjusted Sales</w:t>
            </w:r>
          </w:p>
        </w:tc>
      </w:tr>
      <w:tr>
        <w:trPr/>
        <w:tc>
          <w:tcPr>
            <w:tcW w:w="1580" w:type="dxa"/>
            <w:tcBorders>
              <w:bottom w:val="single" w:sz="2" w:space="0" w:color="000000"/>
            </w:tcBorders>
            <w:tcMar>
              <w:bottom w:w="40" w:type="dxa"/>
            </w:tcMar>
            <w:vAlign w:val="center"/>
          </w:tcPr>
          <w:p>
            <w:pPr>
              <w:pStyle w:val="TableContents"/>
              <w:bidi w:val="0"/>
              <w:spacing w:before="0" w:after="283"/>
              <w:jc w:val="left"/>
              <w:rPr/>
            </w:pPr>
            <w:r>
              <w:rPr/>
              <w:t>Collins Aerospace</w:t>
            </w:r>
          </w:p>
        </w:tc>
        <w:tc>
          <w:tcPr>
            <w:tcW w:w="480" w:type="dxa"/>
            <w:tcBorders>
              <w:bottom w:val="single" w:sz="2" w:space="0" w:color="000000"/>
            </w:tcBorders>
            <w:tcMar>
              <w:bottom w:w="40" w:type="dxa"/>
            </w:tcMar>
            <w:vAlign w:val="center"/>
          </w:tcPr>
          <w:p>
            <w:pPr>
              <w:pStyle w:val="TableContents"/>
              <w:bidi w:val="0"/>
              <w:spacing w:before="0" w:after="283"/>
              <w:jc w:val="left"/>
              <w:rPr/>
            </w:pPr>
            <w:r>
              <w:rPr/>
              <w:t> </w:t>
            </w:r>
          </w:p>
        </w:tc>
        <w:tc>
          <w:tcPr>
            <w:tcW w:w="890" w:type="dxa"/>
            <w:tcBorders>
              <w:bottom w:val="single" w:sz="2" w:space="0" w:color="000000"/>
            </w:tcBorders>
            <w:tcMar>
              <w:bottom w:w="40" w:type="dxa"/>
            </w:tcMar>
            <w:vAlign w:val="center"/>
          </w:tcPr>
          <w:p>
            <w:pPr>
              <w:pStyle w:val="TableContents"/>
              <w:bidi w:val="0"/>
              <w:spacing w:before="0" w:after="283"/>
              <w:jc w:val="right"/>
              <w:rPr/>
            </w:pPr>
            <w:r>
              <w:rPr/>
              <w:t>$1,912</w:t>
            </w:r>
          </w:p>
        </w:tc>
        <w:tc>
          <w:tcPr>
            <w:tcW w:w="480" w:type="dxa"/>
            <w:tcBorders>
              <w:bottom w:val="single" w:sz="2" w:space="0" w:color="000000"/>
            </w:tcBorders>
            <w:tcMar>
              <w:bottom w:w="40" w:type="dxa"/>
            </w:tcMar>
            <w:vAlign w:val="center"/>
          </w:tcPr>
          <w:p>
            <w:pPr>
              <w:pStyle w:val="TableContents"/>
              <w:bidi w:val="0"/>
              <w:spacing w:before="0" w:after="283"/>
              <w:jc w:val="left"/>
              <w:rPr/>
            </w:pPr>
            <w:r>
              <w:rPr/>
              <w:t> </w:t>
            </w:r>
          </w:p>
        </w:tc>
        <w:tc>
          <w:tcPr>
            <w:tcW w:w="1445" w:type="dxa"/>
            <w:tcBorders>
              <w:bottom w:val="single" w:sz="2" w:space="0" w:color="000000"/>
            </w:tcBorders>
            <w:tcMar>
              <w:bottom w:w="40" w:type="dxa"/>
            </w:tcMar>
            <w:vAlign w:val="center"/>
          </w:tcPr>
          <w:p>
            <w:pPr>
              <w:pStyle w:val="TableContents"/>
              <w:bidi w:val="0"/>
              <w:spacing w:before="0" w:after="283"/>
              <w:jc w:val="right"/>
              <w:rPr/>
            </w:pPr>
            <w:r>
              <w:rPr/>
              <w:t>($754)</w:t>
            </w:r>
          </w:p>
        </w:tc>
        <w:tc>
          <w:tcPr>
            <w:tcW w:w="480" w:type="dxa"/>
            <w:tcBorders>
              <w:bottom w:val="single" w:sz="2" w:space="0" w:color="000000"/>
            </w:tcBorders>
            <w:tcMar>
              <w:bottom w:w="40" w:type="dxa"/>
            </w:tcMar>
            <w:vAlign w:val="center"/>
          </w:tcPr>
          <w:p>
            <w:pPr>
              <w:pStyle w:val="TableContents"/>
              <w:bidi w:val="0"/>
              <w:spacing w:before="0" w:after="283"/>
              <w:jc w:val="left"/>
              <w:rPr/>
            </w:pPr>
            <w:r>
              <w:rPr/>
              <w:t> </w:t>
            </w:r>
          </w:p>
        </w:tc>
        <w:tc>
          <w:tcPr>
            <w:tcW w:w="815" w:type="dxa"/>
            <w:tcBorders>
              <w:bottom w:val="single" w:sz="2" w:space="0" w:color="000000"/>
            </w:tcBorders>
            <w:tcMar>
              <w:bottom w:w="40" w:type="dxa"/>
            </w:tcMar>
            <w:vAlign w:val="center"/>
          </w:tcPr>
          <w:p>
            <w:pPr>
              <w:pStyle w:val="TableContents"/>
              <w:bidi w:val="0"/>
              <w:spacing w:before="0" w:after="283"/>
              <w:jc w:val="right"/>
              <w:rPr/>
            </w:pPr>
            <w:r>
              <w:rPr/>
              <w:t>$60</w:t>
            </w:r>
          </w:p>
        </w:tc>
        <w:tc>
          <w:tcPr>
            <w:tcW w:w="480" w:type="dxa"/>
            <w:tcBorders>
              <w:bottom w:val="single" w:sz="2" w:space="0" w:color="000000"/>
            </w:tcBorders>
            <w:tcMar>
              <w:bottom w:w="40" w:type="dxa"/>
            </w:tcMar>
            <w:vAlign w:val="center"/>
          </w:tcPr>
          <w:p>
            <w:pPr>
              <w:pStyle w:val="TableContents"/>
              <w:bidi w:val="0"/>
              <w:spacing w:before="0" w:after="283"/>
              <w:jc w:val="left"/>
              <w:rPr/>
            </w:pPr>
            <w:r>
              <w:rPr/>
              <w:t> </w:t>
            </w:r>
          </w:p>
        </w:tc>
        <w:tc>
          <w:tcPr>
            <w:tcW w:w="785" w:type="dxa"/>
            <w:tcBorders>
              <w:bottom w:val="single" w:sz="2" w:space="0" w:color="000000"/>
            </w:tcBorders>
            <w:tcMar>
              <w:bottom w:w="40" w:type="dxa"/>
            </w:tcMar>
            <w:vAlign w:val="center"/>
          </w:tcPr>
          <w:p>
            <w:pPr>
              <w:pStyle w:val="TableContents"/>
              <w:bidi w:val="0"/>
              <w:spacing w:before="0" w:after="283"/>
              <w:jc w:val="right"/>
              <w:rPr/>
            </w:pPr>
            <w:r>
              <w:rPr/>
              <w:t>$2,606</w:t>
            </w:r>
          </w:p>
        </w:tc>
        <w:tc>
          <w:tcPr>
            <w:tcW w:w="480" w:type="dxa"/>
            <w:tcBorders>
              <w:bottom w:val="single" w:sz="2" w:space="0" w:color="000000"/>
            </w:tcBorders>
            <w:tcMar>
              <w:bottom w:w="40" w:type="dxa"/>
            </w:tcMar>
            <w:vAlign w:val="center"/>
          </w:tcPr>
          <w:p>
            <w:pPr>
              <w:pStyle w:val="TableContents"/>
              <w:bidi w:val="0"/>
              <w:spacing w:before="0" w:after="283"/>
              <w:jc w:val="left"/>
              <w:rPr/>
            </w:pPr>
            <w:r>
              <w:rPr/>
              <w:t> </w:t>
            </w:r>
          </w:p>
        </w:tc>
        <w:tc>
          <w:tcPr>
            <w:tcW w:w="1925" w:type="dxa"/>
            <w:tcBorders>
              <w:bottom w:val="single" w:sz="2" w:space="0" w:color="000000"/>
            </w:tcBorders>
            <w:tcMar>
              <w:bottom w:w="40" w:type="dxa"/>
            </w:tcMar>
            <w:vAlign w:val="center"/>
          </w:tcPr>
          <w:p>
            <w:pPr>
              <w:pStyle w:val="TableContents"/>
              <w:bidi w:val="0"/>
              <w:spacing w:before="0" w:after="283"/>
              <w:jc w:val="right"/>
              <w:rPr/>
            </w:pPr>
            <w:r>
              <w:rPr/>
              <w:t>$28,284</w:t>
            </w:r>
          </w:p>
        </w:tc>
        <w:tc>
          <w:tcPr>
            <w:tcW w:w="480" w:type="dxa"/>
            <w:tcBorders>
              <w:bottom w:val="single" w:sz="2" w:space="0" w:color="000000"/>
            </w:tcBorders>
            <w:tcMar>
              <w:bottom w:w="40" w:type="dxa"/>
            </w:tcMar>
            <w:vAlign w:val="center"/>
          </w:tcPr>
          <w:p>
            <w:pPr>
              <w:pStyle w:val="TableContents"/>
              <w:bidi w:val="0"/>
              <w:spacing w:before="0" w:after="283"/>
              <w:jc w:val="left"/>
              <w:rPr/>
            </w:pPr>
            <w:r>
              <w:rPr/>
              <w:t> </w:t>
            </w:r>
          </w:p>
        </w:tc>
        <w:tc>
          <w:tcPr>
            <w:tcW w:w="890" w:type="dxa"/>
            <w:tcBorders>
              <w:bottom w:val="single" w:sz="2" w:space="0" w:color="000000"/>
            </w:tcBorders>
            <w:tcMar>
              <w:bottom w:w="40" w:type="dxa"/>
            </w:tcMar>
            <w:vAlign w:val="center"/>
          </w:tcPr>
          <w:p>
            <w:pPr>
              <w:pStyle w:val="TableContents"/>
              <w:bidi w:val="0"/>
              <w:spacing w:before="0" w:after="283"/>
              <w:jc w:val="right"/>
              <w:rPr/>
            </w:pPr>
            <w:r>
              <w:rPr/>
              <w:t>9%</w:t>
            </w:r>
          </w:p>
        </w:tc>
      </w:tr>
      <w:tr>
        <w:trPr/>
        <w:tc>
          <w:tcPr>
            <w:tcW w:w="1580" w:type="dxa"/>
            <w:tcBorders>
              <w:bottom w:val="single" w:sz="2" w:space="0" w:color="000000"/>
            </w:tcBorders>
            <w:tcMar>
              <w:bottom w:w="40" w:type="dxa"/>
            </w:tcMar>
            <w:vAlign w:val="center"/>
          </w:tcPr>
          <w:p>
            <w:pPr>
              <w:pStyle w:val="TableContents"/>
              <w:bidi w:val="0"/>
              <w:spacing w:before="0" w:after="283"/>
              <w:jc w:val="left"/>
              <w:rPr/>
            </w:pPr>
            <w:r>
              <w:rPr/>
              <w:t>Pratt &amp; Whitney</w:t>
            </w:r>
          </w:p>
        </w:tc>
        <w:tc>
          <w:tcPr>
            <w:tcW w:w="480" w:type="dxa"/>
            <w:tcBorders>
              <w:bottom w:val="single" w:sz="2" w:space="0" w:color="000000"/>
            </w:tcBorders>
            <w:tcMar>
              <w:bottom w:w="40" w:type="dxa"/>
            </w:tcMar>
            <w:vAlign w:val="center"/>
          </w:tcPr>
          <w:p>
            <w:pPr>
              <w:pStyle w:val="TableContents"/>
              <w:bidi w:val="0"/>
              <w:spacing w:before="0" w:after="283"/>
              <w:jc w:val="left"/>
              <w:rPr/>
            </w:pPr>
            <w:r>
              <w:rPr/>
              <w:t> </w:t>
            </w:r>
          </w:p>
        </w:tc>
        <w:tc>
          <w:tcPr>
            <w:tcW w:w="890" w:type="dxa"/>
            <w:tcBorders>
              <w:bottom w:val="single" w:sz="2" w:space="0" w:color="000000"/>
            </w:tcBorders>
            <w:tcMar>
              <w:bottom w:w="40" w:type="dxa"/>
            </w:tcMar>
            <w:vAlign w:val="center"/>
          </w:tcPr>
          <w:p>
            <w:pPr>
              <w:pStyle w:val="TableContents"/>
              <w:bidi w:val="0"/>
              <w:spacing w:before="0" w:after="283"/>
              <w:jc w:val="right"/>
              <w:rPr/>
            </w:pPr>
            <w:r>
              <w:rPr/>
              <w:t>$4,850</w:t>
            </w:r>
          </w:p>
        </w:tc>
        <w:tc>
          <w:tcPr>
            <w:tcW w:w="480" w:type="dxa"/>
            <w:tcBorders>
              <w:bottom w:val="single" w:sz="2" w:space="0" w:color="000000"/>
            </w:tcBorders>
            <w:tcMar>
              <w:bottom w:w="40" w:type="dxa"/>
            </w:tcMar>
            <w:vAlign w:val="center"/>
          </w:tcPr>
          <w:p>
            <w:pPr>
              <w:pStyle w:val="TableContents"/>
              <w:bidi w:val="0"/>
              <w:spacing w:before="0" w:after="283"/>
              <w:jc w:val="left"/>
              <w:rPr/>
            </w:pPr>
            <w:r>
              <w:rPr/>
              <w:t> </w:t>
            </w:r>
          </w:p>
        </w:tc>
        <w:tc>
          <w:tcPr>
            <w:tcW w:w="1445" w:type="dxa"/>
            <w:tcBorders>
              <w:bottom w:val="single" w:sz="2" w:space="0" w:color="000000"/>
            </w:tcBorders>
            <w:tcMar>
              <w:bottom w:w="40" w:type="dxa"/>
            </w:tcMar>
            <w:vAlign w:val="center"/>
          </w:tcPr>
          <w:p>
            <w:pPr>
              <w:pStyle w:val="TableContents"/>
              <w:bidi w:val="0"/>
              <w:spacing w:before="0" w:after="283"/>
              <w:jc w:val="right"/>
              <w:rPr/>
            </w:pPr>
            <w:r>
              <w:rPr/>
              <w:t>–</w:t>
            </w:r>
          </w:p>
        </w:tc>
        <w:tc>
          <w:tcPr>
            <w:tcW w:w="480" w:type="dxa"/>
            <w:tcBorders>
              <w:bottom w:val="single" w:sz="2" w:space="0" w:color="000000"/>
            </w:tcBorders>
            <w:tcMar>
              <w:bottom w:w="40" w:type="dxa"/>
            </w:tcMar>
            <w:vAlign w:val="center"/>
          </w:tcPr>
          <w:p>
            <w:pPr>
              <w:pStyle w:val="TableContents"/>
              <w:bidi w:val="0"/>
              <w:spacing w:before="0" w:after="283"/>
              <w:jc w:val="left"/>
              <w:rPr/>
            </w:pPr>
            <w:r>
              <w:rPr/>
              <w:t> </w:t>
            </w:r>
          </w:p>
        </w:tc>
        <w:tc>
          <w:tcPr>
            <w:tcW w:w="815" w:type="dxa"/>
            <w:tcBorders>
              <w:bottom w:val="single" w:sz="2" w:space="0" w:color="000000"/>
            </w:tcBorders>
            <w:tcMar>
              <w:bottom w:w="40" w:type="dxa"/>
            </w:tcMar>
            <w:vAlign w:val="center"/>
          </w:tcPr>
          <w:p>
            <w:pPr>
              <w:pStyle w:val="TableContents"/>
              <w:bidi w:val="0"/>
              <w:spacing w:before="0" w:after="283"/>
              <w:jc w:val="right"/>
              <w:rPr/>
            </w:pPr>
            <w:r>
              <w:rPr/>
              <w:t>$40</w:t>
            </w:r>
          </w:p>
        </w:tc>
        <w:tc>
          <w:tcPr>
            <w:tcW w:w="480" w:type="dxa"/>
            <w:tcBorders>
              <w:bottom w:val="single" w:sz="2" w:space="0" w:color="000000"/>
            </w:tcBorders>
            <w:tcMar>
              <w:bottom w:w="40" w:type="dxa"/>
            </w:tcMar>
            <w:vAlign w:val="center"/>
          </w:tcPr>
          <w:p>
            <w:pPr>
              <w:pStyle w:val="TableContents"/>
              <w:bidi w:val="0"/>
              <w:spacing w:before="0" w:after="283"/>
              <w:jc w:val="left"/>
              <w:rPr/>
            </w:pPr>
            <w:r>
              <w:rPr/>
              <w:t> </w:t>
            </w:r>
          </w:p>
        </w:tc>
        <w:tc>
          <w:tcPr>
            <w:tcW w:w="785" w:type="dxa"/>
            <w:tcBorders>
              <w:bottom w:val="single" w:sz="2" w:space="0" w:color="000000"/>
            </w:tcBorders>
            <w:tcMar>
              <w:bottom w:w="40" w:type="dxa"/>
            </w:tcMar>
            <w:vAlign w:val="center"/>
          </w:tcPr>
          <w:p>
            <w:pPr>
              <w:pStyle w:val="TableContents"/>
              <w:bidi w:val="0"/>
              <w:spacing w:before="0" w:after="283"/>
              <w:jc w:val="right"/>
              <w:rPr/>
            </w:pPr>
            <w:r>
              <w:rPr/>
              <w:t>$4,810</w:t>
            </w:r>
          </w:p>
        </w:tc>
        <w:tc>
          <w:tcPr>
            <w:tcW w:w="480" w:type="dxa"/>
            <w:tcBorders>
              <w:bottom w:val="single" w:sz="2" w:space="0" w:color="000000"/>
            </w:tcBorders>
            <w:tcMar>
              <w:bottom w:w="40" w:type="dxa"/>
            </w:tcMar>
            <w:vAlign w:val="center"/>
          </w:tcPr>
          <w:p>
            <w:pPr>
              <w:pStyle w:val="TableContents"/>
              <w:bidi w:val="0"/>
              <w:spacing w:before="0" w:after="283"/>
              <w:jc w:val="left"/>
              <w:rPr/>
            </w:pPr>
            <w:r>
              <w:rPr/>
              <w:t> </w:t>
            </w:r>
          </w:p>
        </w:tc>
        <w:tc>
          <w:tcPr>
            <w:tcW w:w="1925" w:type="dxa"/>
            <w:tcBorders>
              <w:bottom w:val="single" w:sz="2" w:space="0" w:color="000000"/>
            </w:tcBorders>
            <w:tcMar>
              <w:bottom w:w="40" w:type="dxa"/>
            </w:tcMar>
            <w:vAlign w:val="center"/>
          </w:tcPr>
          <w:p>
            <w:pPr>
              <w:pStyle w:val="TableContents"/>
              <w:bidi w:val="0"/>
              <w:spacing w:before="0" w:after="283"/>
              <w:jc w:val="right"/>
              <w:rPr/>
            </w:pPr>
            <w:r>
              <w:rPr/>
              <w:t>$28,066</w:t>
            </w:r>
          </w:p>
        </w:tc>
        <w:tc>
          <w:tcPr>
            <w:tcW w:w="480" w:type="dxa"/>
            <w:tcBorders>
              <w:bottom w:val="single" w:sz="2" w:space="0" w:color="000000"/>
            </w:tcBorders>
            <w:tcMar>
              <w:bottom w:w="40" w:type="dxa"/>
            </w:tcMar>
            <w:vAlign w:val="center"/>
          </w:tcPr>
          <w:p>
            <w:pPr>
              <w:pStyle w:val="TableContents"/>
              <w:bidi w:val="0"/>
              <w:spacing w:before="0" w:after="283"/>
              <w:jc w:val="left"/>
              <w:rPr/>
            </w:pPr>
            <w:r>
              <w:rPr/>
              <w:t> </w:t>
            </w:r>
          </w:p>
        </w:tc>
        <w:tc>
          <w:tcPr>
            <w:tcW w:w="890" w:type="dxa"/>
            <w:tcBorders>
              <w:bottom w:val="single" w:sz="2" w:space="0" w:color="000000"/>
            </w:tcBorders>
            <w:tcMar>
              <w:bottom w:w="40" w:type="dxa"/>
            </w:tcMar>
            <w:vAlign w:val="center"/>
          </w:tcPr>
          <w:p>
            <w:pPr>
              <w:pStyle w:val="TableContents"/>
              <w:bidi w:val="0"/>
              <w:spacing w:before="0" w:after="283"/>
              <w:jc w:val="right"/>
              <w:rPr/>
            </w:pPr>
            <w:r>
              <w:rPr/>
              <w:t>17%</w:t>
            </w:r>
          </w:p>
        </w:tc>
      </w:tr>
      <w:tr>
        <w:trPr/>
        <w:tc>
          <w:tcPr>
            <w:tcW w:w="1580" w:type="dxa"/>
            <w:tcBorders>
              <w:bottom w:val="single" w:sz="2" w:space="0" w:color="000000"/>
            </w:tcBorders>
            <w:tcMar>
              <w:bottom w:w="40" w:type="dxa"/>
            </w:tcMar>
            <w:vAlign w:val="center"/>
          </w:tcPr>
          <w:p>
            <w:pPr>
              <w:pStyle w:val="TableContents"/>
              <w:bidi w:val="0"/>
              <w:spacing w:before="0" w:after="283"/>
              <w:jc w:val="left"/>
              <w:rPr/>
            </w:pPr>
            <w:r>
              <w:rPr/>
              <w:t>Raytheon</w:t>
            </w:r>
          </w:p>
        </w:tc>
        <w:tc>
          <w:tcPr>
            <w:tcW w:w="480" w:type="dxa"/>
            <w:tcBorders>
              <w:bottom w:val="single" w:sz="2" w:space="0" w:color="000000"/>
            </w:tcBorders>
            <w:tcMar>
              <w:bottom w:w="40" w:type="dxa"/>
            </w:tcMar>
            <w:vAlign w:val="center"/>
          </w:tcPr>
          <w:p>
            <w:pPr>
              <w:pStyle w:val="TableContents"/>
              <w:bidi w:val="0"/>
              <w:spacing w:before="0" w:after="283"/>
              <w:jc w:val="left"/>
              <w:rPr/>
            </w:pPr>
            <w:r>
              <w:rPr/>
              <w:t> </w:t>
            </w:r>
          </w:p>
        </w:tc>
        <w:tc>
          <w:tcPr>
            <w:tcW w:w="890" w:type="dxa"/>
            <w:tcBorders>
              <w:bottom w:val="single" w:sz="2" w:space="0" w:color="000000"/>
            </w:tcBorders>
            <w:tcMar>
              <w:bottom w:w="40" w:type="dxa"/>
            </w:tcMar>
            <w:vAlign w:val="center"/>
          </w:tcPr>
          <w:p>
            <w:pPr>
              <w:pStyle w:val="TableContents"/>
              <w:bidi w:val="0"/>
              <w:spacing w:before="0" w:after="283"/>
              <w:jc w:val="right"/>
              <w:rPr/>
            </w:pPr>
            <w:r>
              <w:rPr/>
              <w:t>$1,330</w:t>
            </w:r>
          </w:p>
        </w:tc>
        <w:tc>
          <w:tcPr>
            <w:tcW w:w="480" w:type="dxa"/>
            <w:tcBorders>
              <w:bottom w:val="single" w:sz="2" w:space="0" w:color="000000"/>
            </w:tcBorders>
            <w:tcMar>
              <w:bottom w:w="40" w:type="dxa"/>
            </w:tcMar>
            <w:vAlign w:val="center"/>
          </w:tcPr>
          <w:p>
            <w:pPr>
              <w:pStyle w:val="TableContents"/>
              <w:bidi w:val="0"/>
              <w:spacing w:before="0" w:after="283"/>
              <w:jc w:val="left"/>
              <w:rPr/>
            </w:pPr>
            <w:r>
              <w:rPr/>
              <w:t> </w:t>
            </w:r>
          </w:p>
        </w:tc>
        <w:tc>
          <w:tcPr>
            <w:tcW w:w="1445" w:type="dxa"/>
            <w:tcBorders>
              <w:bottom w:val="single" w:sz="2" w:space="0" w:color="000000"/>
            </w:tcBorders>
            <w:tcMar>
              <w:bottom w:w="40" w:type="dxa"/>
            </w:tcMar>
            <w:vAlign w:val="center"/>
          </w:tcPr>
          <w:p>
            <w:pPr>
              <w:pStyle w:val="TableContents"/>
              <w:bidi w:val="0"/>
              <w:spacing w:before="0" w:after="283"/>
              <w:jc w:val="right"/>
              <w:rPr/>
            </w:pPr>
            <w:r>
              <w:rPr/>
              <w:t>($460)</w:t>
            </w:r>
          </w:p>
        </w:tc>
        <w:tc>
          <w:tcPr>
            <w:tcW w:w="480" w:type="dxa"/>
            <w:tcBorders>
              <w:bottom w:val="single" w:sz="2" w:space="0" w:color="000000"/>
            </w:tcBorders>
            <w:tcMar>
              <w:bottom w:w="40" w:type="dxa"/>
            </w:tcMar>
            <w:vAlign w:val="center"/>
          </w:tcPr>
          <w:p>
            <w:pPr>
              <w:pStyle w:val="TableContents"/>
              <w:bidi w:val="0"/>
              <w:spacing w:before="0" w:after="283"/>
              <w:jc w:val="left"/>
              <w:rPr/>
            </w:pPr>
            <w:r>
              <w:rPr/>
              <w:t> </w:t>
            </w:r>
          </w:p>
        </w:tc>
        <w:tc>
          <w:tcPr>
            <w:tcW w:w="815" w:type="dxa"/>
            <w:tcBorders>
              <w:bottom w:val="single" w:sz="2" w:space="0" w:color="000000"/>
            </w:tcBorders>
            <w:tcMar>
              <w:bottom w:w="40" w:type="dxa"/>
            </w:tcMar>
            <w:vAlign w:val="center"/>
          </w:tcPr>
          <w:p>
            <w:pPr>
              <w:pStyle w:val="TableContents"/>
              <w:bidi w:val="0"/>
              <w:spacing w:before="0" w:after="283"/>
              <w:jc w:val="right"/>
              <w:rPr/>
            </w:pPr>
            <w:r>
              <w:rPr/>
              <w:t>$75</w:t>
            </w:r>
          </w:p>
        </w:tc>
        <w:tc>
          <w:tcPr>
            <w:tcW w:w="480" w:type="dxa"/>
            <w:tcBorders>
              <w:bottom w:val="single" w:sz="2" w:space="0" w:color="000000"/>
            </w:tcBorders>
            <w:tcMar>
              <w:bottom w:w="40" w:type="dxa"/>
            </w:tcMar>
            <w:vAlign w:val="center"/>
          </w:tcPr>
          <w:p>
            <w:pPr>
              <w:pStyle w:val="TableContents"/>
              <w:bidi w:val="0"/>
              <w:spacing w:before="0" w:after="283"/>
              <w:jc w:val="left"/>
              <w:rPr/>
            </w:pPr>
            <w:r>
              <w:rPr/>
              <w:t> </w:t>
            </w:r>
          </w:p>
        </w:tc>
        <w:tc>
          <w:tcPr>
            <w:tcW w:w="785" w:type="dxa"/>
            <w:tcBorders>
              <w:bottom w:val="single" w:sz="2" w:space="0" w:color="000000"/>
            </w:tcBorders>
            <w:tcMar>
              <w:bottom w:w="40" w:type="dxa"/>
            </w:tcMar>
            <w:vAlign w:val="center"/>
          </w:tcPr>
          <w:p>
            <w:pPr>
              <w:pStyle w:val="TableContents"/>
              <w:bidi w:val="0"/>
              <w:spacing w:before="0" w:after="283"/>
              <w:jc w:val="right"/>
              <w:rPr/>
            </w:pPr>
            <w:r>
              <w:rPr/>
              <w:t>$1,715</w:t>
            </w:r>
          </w:p>
        </w:tc>
        <w:tc>
          <w:tcPr>
            <w:tcW w:w="480" w:type="dxa"/>
            <w:tcBorders>
              <w:bottom w:val="single" w:sz="2" w:space="0" w:color="000000"/>
            </w:tcBorders>
            <w:tcMar>
              <w:bottom w:w="40" w:type="dxa"/>
            </w:tcMar>
            <w:vAlign w:val="center"/>
          </w:tcPr>
          <w:p>
            <w:pPr>
              <w:pStyle w:val="TableContents"/>
              <w:bidi w:val="0"/>
              <w:spacing w:before="0" w:after="283"/>
              <w:jc w:val="left"/>
              <w:rPr/>
            </w:pPr>
            <w:r>
              <w:rPr/>
              <w:t> </w:t>
            </w:r>
          </w:p>
        </w:tc>
        <w:tc>
          <w:tcPr>
            <w:tcW w:w="1925" w:type="dxa"/>
            <w:tcBorders>
              <w:bottom w:val="single" w:sz="2" w:space="0" w:color="000000"/>
            </w:tcBorders>
            <w:tcMar>
              <w:bottom w:w="40" w:type="dxa"/>
            </w:tcMar>
            <w:vAlign w:val="center"/>
          </w:tcPr>
          <w:p>
            <w:pPr>
              <w:pStyle w:val="TableContents"/>
              <w:bidi w:val="0"/>
              <w:spacing w:before="0" w:after="283"/>
              <w:jc w:val="right"/>
              <w:rPr/>
            </w:pPr>
            <w:r>
              <w:rPr/>
              <w:t>$26,783</w:t>
            </w:r>
          </w:p>
        </w:tc>
        <w:tc>
          <w:tcPr>
            <w:tcW w:w="480" w:type="dxa"/>
            <w:tcBorders>
              <w:bottom w:val="single" w:sz="2" w:space="0" w:color="000000"/>
            </w:tcBorders>
            <w:tcMar>
              <w:bottom w:w="40" w:type="dxa"/>
            </w:tcMar>
            <w:vAlign w:val="center"/>
          </w:tcPr>
          <w:p>
            <w:pPr>
              <w:pStyle w:val="TableContents"/>
              <w:bidi w:val="0"/>
              <w:spacing w:before="0" w:after="283"/>
              <w:jc w:val="left"/>
              <w:rPr/>
            </w:pPr>
            <w:r>
              <w:rPr/>
              <w:t> </w:t>
            </w:r>
          </w:p>
        </w:tc>
        <w:tc>
          <w:tcPr>
            <w:tcW w:w="890" w:type="dxa"/>
            <w:tcBorders>
              <w:bottom w:val="single" w:sz="2" w:space="0" w:color="000000"/>
            </w:tcBorders>
            <w:tcMar>
              <w:bottom w:w="40" w:type="dxa"/>
            </w:tcMar>
            <w:vAlign w:val="center"/>
          </w:tcPr>
          <w:p>
            <w:pPr>
              <w:pStyle w:val="TableContents"/>
              <w:bidi w:val="0"/>
              <w:spacing w:before="0" w:after="283"/>
              <w:jc w:val="right"/>
              <w:rPr/>
            </w:pPr>
            <w:r>
              <w:rPr/>
              <w:t>6%</w:t>
            </w:r>
          </w:p>
        </w:tc>
      </w:tr>
      <w:tr>
        <w:trPr/>
        <w:tc>
          <w:tcPr>
            <w:tcW w:w="1580" w:type="dxa"/>
            <w:tcBorders>
              <w:bottom w:val="single" w:sz="2" w:space="0" w:color="000000"/>
            </w:tcBorders>
            <w:tcMar>
              <w:bottom w:w="40" w:type="dxa"/>
            </w:tcMar>
            <w:vAlign w:val="center"/>
          </w:tcPr>
          <w:p>
            <w:pPr>
              <w:pStyle w:val="TableContents"/>
              <w:bidi w:val="0"/>
              <w:spacing w:before="0" w:after="283"/>
              <w:jc w:val="left"/>
              <w:rPr/>
            </w:pPr>
            <w:r>
              <w:rPr/>
              <w:t>Eliminations and other</w:t>
            </w:r>
            <w:r>
              <w:rPr>
                <w:position w:val="8"/>
                <w:sz w:val="19"/>
              </w:rPr>
              <w:t>(3)</w:t>
            </w:r>
          </w:p>
        </w:tc>
        <w:tc>
          <w:tcPr>
            <w:tcW w:w="480" w:type="dxa"/>
            <w:tcBorders>
              <w:bottom w:val="single" w:sz="2" w:space="0" w:color="000000"/>
            </w:tcBorders>
            <w:tcMar>
              <w:bottom w:w="40" w:type="dxa"/>
            </w:tcMar>
            <w:vAlign w:val="center"/>
          </w:tcPr>
          <w:p>
            <w:pPr>
              <w:pStyle w:val="TableContents"/>
              <w:bidi w:val="0"/>
              <w:spacing w:before="0" w:after="283"/>
              <w:jc w:val="left"/>
              <w:rPr/>
            </w:pPr>
            <w:r>
              <w:rPr/>
              <w:t> </w:t>
            </w:r>
          </w:p>
        </w:tc>
        <w:tc>
          <w:tcPr>
            <w:tcW w:w="890" w:type="dxa"/>
            <w:tcBorders>
              <w:bottom w:val="single" w:sz="2" w:space="0" w:color="000000"/>
            </w:tcBorders>
            <w:tcMar>
              <w:bottom w:w="40" w:type="dxa"/>
            </w:tcMar>
            <w:vAlign w:val="center"/>
          </w:tcPr>
          <w:p>
            <w:pPr>
              <w:pStyle w:val="TableContents"/>
              <w:bidi w:val="0"/>
              <w:spacing w:before="0" w:after="283"/>
              <w:jc w:val="right"/>
              <w:rPr/>
            </w:pPr>
            <w:r>
              <w:rPr/>
              <w:t>($227)</w:t>
            </w:r>
          </w:p>
        </w:tc>
        <w:tc>
          <w:tcPr>
            <w:tcW w:w="480" w:type="dxa"/>
            <w:tcBorders>
              <w:bottom w:val="single" w:sz="2" w:space="0" w:color="000000"/>
            </w:tcBorders>
            <w:tcMar>
              <w:bottom w:w="40" w:type="dxa"/>
            </w:tcMar>
            <w:vAlign w:val="center"/>
          </w:tcPr>
          <w:p>
            <w:pPr>
              <w:pStyle w:val="TableContents"/>
              <w:bidi w:val="0"/>
              <w:spacing w:before="0" w:after="283"/>
              <w:jc w:val="left"/>
              <w:rPr/>
            </w:pPr>
            <w:r>
              <w:rPr/>
              <w:t> </w:t>
            </w:r>
          </w:p>
        </w:tc>
        <w:tc>
          <w:tcPr>
            <w:tcW w:w="1445" w:type="dxa"/>
            <w:tcBorders>
              <w:bottom w:val="single" w:sz="2" w:space="0" w:color="000000"/>
            </w:tcBorders>
            <w:tcMar>
              <w:bottom w:w="40" w:type="dxa"/>
            </w:tcMar>
            <w:vAlign w:val="center"/>
          </w:tcPr>
          <w:p>
            <w:pPr>
              <w:pStyle w:val="TableContents"/>
              <w:bidi w:val="0"/>
              <w:spacing w:before="0" w:after="283"/>
              <w:jc w:val="right"/>
              <w:rPr/>
            </w:pPr>
            <w:r>
              <w:rPr/>
              <w:t>$35</w:t>
            </w:r>
          </w:p>
        </w:tc>
        <w:tc>
          <w:tcPr>
            <w:tcW w:w="480" w:type="dxa"/>
            <w:tcBorders>
              <w:bottom w:val="single" w:sz="2" w:space="0" w:color="000000"/>
            </w:tcBorders>
            <w:tcMar>
              <w:bottom w:w="40" w:type="dxa"/>
            </w:tcMar>
            <w:vAlign w:val="center"/>
          </w:tcPr>
          <w:p>
            <w:pPr>
              <w:pStyle w:val="TableContents"/>
              <w:bidi w:val="0"/>
              <w:spacing w:before="0" w:after="283"/>
              <w:jc w:val="left"/>
              <w:rPr/>
            </w:pPr>
            <w:r>
              <w:rPr/>
              <w:t> </w:t>
            </w:r>
          </w:p>
        </w:tc>
        <w:tc>
          <w:tcPr>
            <w:tcW w:w="815" w:type="dxa"/>
            <w:tcBorders>
              <w:bottom w:val="single" w:sz="2" w:space="0" w:color="000000"/>
            </w:tcBorders>
            <w:tcMar>
              <w:bottom w:w="40" w:type="dxa"/>
            </w:tcMar>
            <w:vAlign w:val="center"/>
          </w:tcPr>
          <w:p>
            <w:pPr>
              <w:pStyle w:val="TableContents"/>
              <w:bidi w:val="0"/>
              <w:spacing w:before="0" w:after="283"/>
              <w:jc w:val="right"/>
              <w:rPr/>
            </w:pPr>
            <w:r>
              <w:rPr/>
              <w:t>($25)</w:t>
            </w:r>
          </w:p>
        </w:tc>
        <w:tc>
          <w:tcPr>
            <w:tcW w:w="480" w:type="dxa"/>
            <w:tcBorders>
              <w:bottom w:val="single" w:sz="2" w:space="0" w:color="000000"/>
            </w:tcBorders>
            <w:tcMar>
              <w:bottom w:w="40" w:type="dxa"/>
            </w:tcMar>
            <w:vAlign w:val="center"/>
          </w:tcPr>
          <w:p>
            <w:pPr>
              <w:pStyle w:val="TableContents"/>
              <w:bidi w:val="0"/>
              <w:spacing w:before="0" w:after="283"/>
              <w:jc w:val="left"/>
              <w:rPr/>
            </w:pPr>
            <w:r>
              <w:rPr/>
              <w:t> </w:t>
            </w:r>
          </w:p>
        </w:tc>
        <w:tc>
          <w:tcPr>
            <w:tcW w:w="785" w:type="dxa"/>
            <w:tcBorders>
              <w:bottom w:val="single" w:sz="2" w:space="0" w:color="000000"/>
            </w:tcBorders>
            <w:tcMar>
              <w:bottom w:w="40" w:type="dxa"/>
            </w:tcMar>
            <w:vAlign w:val="center"/>
          </w:tcPr>
          <w:p>
            <w:pPr>
              <w:pStyle w:val="TableContents"/>
              <w:bidi w:val="0"/>
              <w:spacing w:before="0" w:after="283"/>
              <w:jc w:val="right"/>
              <w:rPr/>
            </w:pPr>
            <w:r>
              <w:rPr/>
              <w:t>($237)</w:t>
            </w:r>
          </w:p>
        </w:tc>
        <w:tc>
          <w:tcPr>
            <w:tcW w:w="480" w:type="dxa"/>
            <w:tcBorders>
              <w:bottom w:val="single" w:sz="2" w:space="0" w:color="000000"/>
            </w:tcBorders>
            <w:tcMar>
              <w:bottom w:w="40" w:type="dxa"/>
            </w:tcMar>
            <w:vAlign w:val="center"/>
          </w:tcPr>
          <w:p>
            <w:pPr>
              <w:pStyle w:val="TableContents"/>
              <w:bidi w:val="0"/>
              <w:spacing w:before="0" w:after="283"/>
              <w:jc w:val="left"/>
              <w:rPr/>
            </w:pPr>
            <w:r>
              <w:rPr/>
              <w:t> </w:t>
            </w:r>
          </w:p>
        </w:tc>
        <w:tc>
          <w:tcPr>
            <w:tcW w:w="1925" w:type="dxa"/>
            <w:tcBorders>
              <w:bottom w:val="single" w:sz="2" w:space="0" w:color="000000"/>
            </w:tcBorders>
            <w:tcMar>
              <w:bottom w:w="40" w:type="dxa"/>
            </w:tcMar>
            <w:vAlign w:val="center"/>
          </w:tcPr>
          <w:p>
            <w:pPr>
              <w:pStyle w:val="TableContents"/>
              <w:bidi w:val="0"/>
              <w:spacing w:before="0" w:after="283"/>
              <w:jc w:val="right"/>
              <w:rPr/>
            </w:pPr>
            <w:r>
              <w:rPr/>
              <w:t>($2,325)</w:t>
            </w:r>
          </w:p>
        </w:tc>
        <w:tc>
          <w:tcPr>
            <w:tcW w:w="480" w:type="dxa"/>
            <w:tcBorders>
              <w:bottom w:val="single" w:sz="2" w:space="0" w:color="000000"/>
            </w:tcBorders>
            <w:tcMar>
              <w:bottom w:w="40" w:type="dxa"/>
            </w:tcMar>
            <w:vAlign w:val="center"/>
          </w:tcPr>
          <w:p>
            <w:pPr>
              <w:pStyle w:val="TableContents"/>
              <w:bidi w:val="0"/>
              <w:spacing w:before="0" w:after="283"/>
              <w:jc w:val="left"/>
              <w:rPr/>
            </w:pPr>
            <w:r>
              <w:rPr/>
              <w:t> </w:t>
            </w:r>
          </w:p>
        </w:tc>
        <w:tc>
          <w:tcPr>
            <w:tcW w:w="890" w:type="dxa"/>
            <w:tcBorders>
              <w:bottom w:val="single" w:sz="2" w:space="0" w:color="000000"/>
            </w:tcBorders>
            <w:tcMar>
              <w:bottom w:w="40" w:type="dxa"/>
            </w:tcMar>
            <w:vAlign w:val="center"/>
          </w:tcPr>
          <w:p>
            <w:pPr>
              <w:pStyle w:val="TableContents"/>
              <w:bidi w:val="0"/>
              <w:spacing w:before="0" w:after="283"/>
              <w:jc w:val="right"/>
              <w:rPr/>
            </w:pPr>
            <w:r>
              <w:rPr/>
              <w:t>10%</w:t>
            </w:r>
          </w:p>
        </w:tc>
      </w:tr>
      <w:tr>
        <w:trPr/>
        <w:tc>
          <w:tcPr>
            <w:tcW w:w="1580" w:type="dxa"/>
            <w:tcBorders>
              <w:bottom w:val="single" w:sz="12" w:space="0" w:color="636466"/>
            </w:tcBorders>
            <w:shd w:fill="EDEDEE" w:val="clear"/>
            <w:tcMar>
              <w:bottom w:w="40" w:type="dxa"/>
            </w:tcMar>
            <w:vAlign w:val="center"/>
          </w:tcPr>
          <w:p>
            <w:pPr>
              <w:pStyle w:val="TableContents"/>
              <w:bidi w:val="0"/>
              <w:spacing w:before="0" w:after="283"/>
              <w:jc w:val="left"/>
              <w:rPr>
                <w:b/>
              </w:rPr>
            </w:pPr>
            <w:r>
              <w:rPr>
                <w:b/>
              </w:rPr>
              <w:t>Consolidated</w:t>
            </w:r>
          </w:p>
        </w:tc>
        <w:tc>
          <w:tcPr>
            <w:tcW w:w="480" w:type="dxa"/>
            <w:tcBorders>
              <w:bottom w:val="single" w:sz="12" w:space="0" w:color="636466"/>
            </w:tcBorders>
            <w:shd w:fill="EDEDEE" w:val="clear"/>
            <w:tcMar>
              <w:bottom w:w="40" w:type="dxa"/>
            </w:tcMar>
            <w:vAlign w:val="center"/>
          </w:tcPr>
          <w:p>
            <w:pPr>
              <w:pStyle w:val="TableContents"/>
              <w:bidi w:val="0"/>
              <w:spacing w:before="0" w:after="283"/>
              <w:jc w:val="left"/>
              <w:rPr/>
            </w:pPr>
            <w:r>
              <w:rPr/>
              <w:t> </w:t>
            </w:r>
          </w:p>
        </w:tc>
        <w:tc>
          <w:tcPr>
            <w:tcW w:w="890" w:type="dxa"/>
            <w:tcBorders>
              <w:bottom w:val="single" w:sz="12" w:space="0" w:color="636466"/>
            </w:tcBorders>
            <w:shd w:fill="EDEDEE" w:val="clear"/>
            <w:tcMar>
              <w:bottom w:w="40" w:type="dxa"/>
            </w:tcMar>
            <w:vAlign w:val="center"/>
          </w:tcPr>
          <w:p>
            <w:pPr>
              <w:pStyle w:val="TableContents"/>
              <w:bidi w:val="0"/>
              <w:spacing w:before="0" w:after="283"/>
              <w:jc w:val="right"/>
              <w:rPr>
                <w:b/>
              </w:rPr>
            </w:pPr>
            <w:r>
              <w:rPr>
                <w:b/>
              </w:rPr>
              <w:t>$7,865</w:t>
            </w:r>
          </w:p>
        </w:tc>
        <w:tc>
          <w:tcPr>
            <w:tcW w:w="480" w:type="dxa"/>
            <w:tcBorders>
              <w:bottom w:val="single" w:sz="12" w:space="0" w:color="636466"/>
            </w:tcBorders>
            <w:shd w:fill="EDEDEE" w:val="clear"/>
            <w:tcMar>
              <w:bottom w:w="40" w:type="dxa"/>
            </w:tcMar>
            <w:vAlign w:val="center"/>
          </w:tcPr>
          <w:p>
            <w:pPr>
              <w:pStyle w:val="TableContents"/>
              <w:bidi w:val="0"/>
              <w:spacing w:before="0" w:after="283"/>
              <w:jc w:val="left"/>
              <w:rPr/>
            </w:pPr>
            <w:r>
              <w:rPr/>
              <w:t> </w:t>
            </w:r>
          </w:p>
        </w:tc>
        <w:tc>
          <w:tcPr>
            <w:tcW w:w="1445" w:type="dxa"/>
            <w:tcBorders>
              <w:bottom w:val="single" w:sz="12" w:space="0" w:color="636466"/>
            </w:tcBorders>
            <w:shd w:fill="EDEDEE" w:val="clear"/>
            <w:tcMar>
              <w:bottom w:w="40" w:type="dxa"/>
            </w:tcMar>
            <w:vAlign w:val="center"/>
          </w:tcPr>
          <w:p>
            <w:pPr>
              <w:pStyle w:val="TableContents"/>
              <w:bidi w:val="0"/>
              <w:spacing w:before="0" w:after="283"/>
              <w:jc w:val="right"/>
              <w:rPr>
                <w:b/>
              </w:rPr>
            </w:pPr>
            <w:r>
              <w:rPr>
                <w:b/>
              </w:rPr>
              <w:t>$1,179</w:t>
            </w:r>
          </w:p>
        </w:tc>
        <w:tc>
          <w:tcPr>
            <w:tcW w:w="480" w:type="dxa"/>
            <w:tcBorders>
              <w:bottom w:val="single" w:sz="12" w:space="0" w:color="636466"/>
            </w:tcBorders>
            <w:shd w:fill="EDEDEE" w:val="clear"/>
            <w:tcMar>
              <w:bottom w:w="40" w:type="dxa"/>
            </w:tcMar>
            <w:vAlign w:val="center"/>
          </w:tcPr>
          <w:p>
            <w:pPr>
              <w:pStyle w:val="TableContents"/>
              <w:bidi w:val="0"/>
              <w:spacing w:before="0" w:after="283"/>
              <w:jc w:val="left"/>
              <w:rPr/>
            </w:pPr>
            <w:r>
              <w:rPr/>
              <w:t> </w:t>
            </w:r>
          </w:p>
        </w:tc>
        <w:tc>
          <w:tcPr>
            <w:tcW w:w="815" w:type="dxa"/>
            <w:tcBorders>
              <w:bottom w:val="single" w:sz="12" w:space="0" w:color="636466"/>
            </w:tcBorders>
            <w:shd w:fill="EDEDEE" w:val="clear"/>
            <w:tcMar>
              <w:bottom w:w="40" w:type="dxa"/>
            </w:tcMar>
            <w:vAlign w:val="center"/>
          </w:tcPr>
          <w:p>
            <w:pPr>
              <w:pStyle w:val="TableContents"/>
              <w:bidi w:val="0"/>
              <w:spacing w:before="0" w:after="283"/>
              <w:jc w:val="right"/>
              <w:rPr>
                <w:b/>
              </w:rPr>
            </w:pPr>
            <w:r>
              <w:rPr>
                <w:b/>
              </w:rPr>
              <w:t>$150</w:t>
            </w:r>
          </w:p>
        </w:tc>
        <w:tc>
          <w:tcPr>
            <w:tcW w:w="480" w:type="dxa"/>
            <w:tcBorders>
              <w:bottom w:val="single" w:sz="12" w:space="0" w:color="636466"/>
            </w:tcBorders>
            <w:shd w:fill="EDEDEE" w:val="clear"/>
            <w:tcMar>
              <w:bottom w:w="40" w:type="dxa"/>
            </w:tcMar>
            <w:vAlign w:val="center"/>
          </w:tcPr>
          <w:p>
            <w:pPr>
              <w:pStyle w:val="TableContents"/>
              <w:bidi w:val="0"/>
              <w:spacing w:before="0" w:after="283"/>
              <w:jc w:val="left"/>
              <w:rPr/>
            </w:pPr>
            <w:r>
              <w:rPr/>
              <w:t> </w:t>
            </w:r>
          </w:p>
        </w:tc>
        <w:tc>
          <w:tcPr>
            <w:tcW w:w="785" w:type="dxa"/>
            <w:tcBorders>
              <w:bottom w:val="single" w:sz="12" w:space="0" w:color="636466"/>
            </w:tcBorders>
            <w:shd w:fill="EDEDEE" w:val="clear"/>
            <w:tcMar>
              <w:bottom w:w="40" w:type="dxa"/>
            </w:tcMar>
            <w:vAlign w:val="center"/>
          </w:tcPr>
          <w:p>
            <w:pPr>
              <w:pStyle w:val="TableContents"/>
              <w:bidi w:val="0"/>
              <w:spacing w:before="0" w:after="283"/>
              <w:jc w:val="right"/>
              <w:rPr>
                <w:b/>
              </w:rPr>
            </w:pPr>
            <w:r>
              <w:rPr>
                <w:b/>
              </w:rPr>
              <w:t>$8,894</w:t>
            </w:r>
          </w:p>
        </w:tc>
        <w:tc>
          <w:tcPr>
            <w:tcW w:w="480" w:type="dxa"/>
            <w:tcBorders>
              <w:bottom w:val="single" w:sz="12" w:space="0" w:color="636466"/>
            </w:tcBorders>
            <w:shd w:fill="EDEDEE" w:val="clear"/>
            <w:tcMar>
              <w:bottom w:w="40" w:type="dxa"/>
            </w:tcMar>
            <w:vAlign w:val="center"/>
          </w:tcPr>
          <w:p>
            <w:pPr>
              <w:pStyle w:val="TableContents"/>
              <w:bidi w:val="0"/>
              <w:spacing w:before="0" w:after="283"/>
              <w:jc w:val="left"/>
              <w:rPr/>
            </w:pPr>
            <w:r>
              <w:rPr/>
              <w:t> </w:t>
            </w:r>
          </w:p>
        </w:tc>
        <w:tc>
          <w:tcPr>
            <w:tcW w:w="1925" w:type="dxa"/>
            <w:tcBorders>
              <w:bottom w:val="single" w:sz="12" w:space="0" w:color="636466"/>
            </w:tcBorders>
            <w:shd w:fill="EDEDEE" w:val="clear"/>
            <w:tcMar>
              <w:bottom w:w="40" w:type="dxa"/>
            </w:tcMar>
            <w:vAlign w:val="center"/>
          </w:tcPr>
          <w:p>
            <w:pPr>
              <w:pStyle w:val="TableContents"/>
              <w:bidi w:val="0"/>
              <w:spacing w:before="0" w:after="283"/>
              <w:jc w:val="right"/>
              <w:rPr>
                <w:b/>
              </w:rPr>
            </w:pPr>
            <w:r>
              <w:rPr>
                <w:b/>
              </w:rPr>
              <w:t>$80,808</w:t>
            </w:r>
          </w:p>
        </w:tc>
        <w:tc>
          <w:tcPr>
            <w:tcW w:w="480" w:type="dxa"/>
            <w:tcBorders>
              <w:bottom w:val="single" w:sz="12" w:space="0" w:color="636466"/>
            </w:tcBorders>
            <w:shd w:fill="EDEDEE" w:val="clear"/>
            <w:tcMar>
              <w:bottom w:w="40" w:type="dxa"/>
            </w:tcMar>
            <w:vAlign w:val="center"/>
          </w:tcPr>
          <w:p>
            <w:pPr>
              <w:pStyle w:val="TableContents"/>
              <w:bidi w:val="0"/>
              <w:spacing w:before="0" w:after="283"/>
              <w:jc w:val="left"/>
              <w:rPr/>
            </w:pPr>
            <w:r>
              <w:rPr/>
              <w:t> </w:t>
            </w:r>
          </w:p>
        </w:tc>
        <w:tc>
          <w:tcPr>
            <w:tcW w:w="890" w:type="dxa"/>
            <w:tcBorders>
              <w:bottom w:val="single" w:sz="12" w:space="0" w:color="636466"/>
            </w:tcBorders>
            <w:shd w:fill="EDEDEE" w:val="clear"/>
            <w:tcMar>
              <w:bottom w:w="40" w:type="dxa"/>
            </w:tcMar>
            <w:vAlign w:val="center"/>
          </w:tcPr>
          <w:p>
            <w:pPr>
              <w:pStyle w:val="TableContents"/>
              <w:bidi w:val="0"/>
              <w:spacing w:before="0" w:after="283"/>
              <w:jc w:val="right"/>
              <w:rPr>
                <w:b/>
              </w:rPr>
            </w:pPr>
            <w:r>
              <w:rPr>
                <w:b/>
              </w:rPr>
              <w:t>11%</w:t>
            </w:r>
          </w:p>
        </w:tc>
      </w:tr>
    </w:tbl>
    <w:tbl>
      <w:tblPr>
        <w:tblW w:w="10205" w:type="dxa"/>
        <w:jc w:val="left"/>
        <w:tblInd w:w="0" w:type="dxa"/>
        <w:tblLayout w:type="fixed"/>
        <w:tblCellMar>
          <w:top w:w="0" w:type="dxa"/>
          <w:left w:w="0" w:type="dxa"/>
          <w:bottom w:w="0" w:type="dxa"/>
          <w:right w:w="0" w:type="dxa"/>
        </w:tblCellMar>
      </w:tblPr>
      <w:tblGrid>
        <w:gridCol w:w="259"/>
        <w:gridCol w:w="9946"/>
      </w:tblGrid>
      <w:tr>
        <w:trPr/>
        <w:tc>
          <w:tcPr>
            <w:tcW w:w="259" w:type="dxa"/>
            <w:tcBorders/>
            <w:vAlign w:val="center"/>
          </w:tcPr>
          <w:p>
            <w:pPr>
              <w:pStyle w:val="TableContents"/>
              <w:bidi w:val="0"/>
              <w:spacing w:before="0" w:after="283"/>
              <w:jc w:val="left"/>
              <w:rPr/>
            </w:pPr>
            <w:r>
              <w:rPr/>
              <w:t>(1)</w:t>
            </w:r>
          </w:p>
        </w:tc>
        <w:tc>
          <w:tcPr>
            <w:tcW w:w="9946" w:type="dxa"/>
            <w:tcBorders/>
            <w:vAlign w:val="center"/>
          </w:tcPr>
          <w:p>
            <w:pPr>
              <w:pStyle w:val="TableContents"/>
              <w:bidi w:val="0"/>
              <w:spacing w:before="0" w:after="283"/>
              <w:jc w:val="left"/>
              <w:rPr/>
            </w:pPr>
            <w:r>
              <w:rPr/>
              <w:t>FX/Other Change includes the transactional impact of foreign exchange hedging at Pratt &amp; Whitney Canada, which is included in Pratt &amp; Whitney’s FX/Other Change, but excluded for Consolidated RTX.</w:t>
            </w:r>
          </w:p>
        </w:tc>
      </w:tr>
      <w:tr>
        <w:trPr/>
        <w:tc>
          <w:tcPr>
            <w:tcW w:w="259" w:type="dxa"/>
            <w:tcBorders/>
            <w:vAlign w:val="center"/>
          </w:tcPr>
          <w:p>
            <w:pPr>
              <w:pStyle w:val="TableContents"/>
              <w:bidi w:val="0"/>
              <w:spacing w:before="0" w:after="283"/>
              <w:jc w:val="left"/>
              <w:rPr/>
            </w:pPr>
            <w:r>
              <w:rPr/>
              <w:t>(2)</w:t>
            </w:r>
          </w:p>
        </w:tc>
        <w:tc>
          <w:tcPr>
            <w:tcW w:w="9946" w:type="dxa"/>
            <w:tcBorders/>
            <w:vAlign w:val="center"/>
          </w:tcPr>
          <w:p>
            <w:pPr>
              <w:pStyle w:val="TableContents"/>
              <w:bidi w:val="0"/>
              <w:spacing w:before="0" w:after="283"/>
              <w:jc w:val="left"/>
              <w:rPr/>
            </w:pPr>
            <w:r>
              <w:rPr/>
              <w:t>For the full Non-GAAP reconciliation of adjusted sales, refer to “Reconciliation of Adjusted (Non-GAAP) Results - Net Sales and Adjusted Net Sales and Segment Operating Profit Margin and Adjusted Segment Operating Profit Margin.”</w:t>
            </w:r>
          </w:p>
        </w:tc>
      </w:tr>
      <w:tr>
        <w:trPr/>
        <w:tc>
          <w:tcPr>
            <w:tcW w:w="259" w:type="dxa"/>
            <w:tcBorders/>
            <w:vAlign w:val="center"/>
          </w:tcPr>
          <w:p>
            <w:pPr>
              <w:pStyle w:val="TableContents"/>
              <w:bidi w:val="0"/>
              <w:spacing w:before="0" w:after="283"/>
              <w:jc w:val="left"/>
              <w:rPr/>
            </w:pPr>
            <w:r>
              <w:rPr/>
              <w:t>(3)</w:t>
            </w:r>
          </w:p>
        </w:tc>
        <w:tc>
          <w:tcPr>
            <w:tcW w:w="9946" w:type="dxa"/>
            <w:tcBorders/>
            <w:vAlign w:val="center"/>
          </w:tcPr>
          <w:p>
            <w:pPr>
              <w:pStyle w:val="TableContents"/>
              <w:bidi w:val="0"/>
              <w:spacing w:before="0" w:after="283"/>
              <w:jc w:val="left"/>
              <w:rPr/>
            </w:pPr>
            <w:r>
              <w:rPr/>
              <w:t>Includes other significant nonoperational items and/or significant operational items that may occur at irregular intervals.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15"/>
        </w:rPr>
      </w:pPr>
      <w:r>
        <w:rPr>
          <w:rFonts w:ascii="Arial;Helvetica;Sans-Serif" w:hAnsi="Arial;Helvetica;Sans-Serif"/>
          <w:b/>
          <w:i w:val="false"/>
          <w:caps w:val="false"/>
          <w:smallCaps w:val="false"/>
          <w:sz w:val="15"/>
        </w:rPr>
        <w:t xml:space="preserve">100    RTX </w:t>
      </w:r>
      <w:r>
        <w:rPr>
          <w:rFonts w:ascii="Arial;Helvetica;Sans-Serif" w:hAnsi="Arial;Helvetica;Sans-Serif"/>
          <w:b w:val="false"/>
          <w:i w:val="false"/>
          <w:caps w:val="false"/>
          <w:smallCaps w:val="false"/>
          <w:sz w:val="15"/>
        </w:rPr>
        <w:t>2026 PROXY STATEMENT</w:t>
      </w:r>
    </w:p>
    <w:p>
      <w:pPr>
        <w:pStyle w:val="HorizontalLine"/>
        <w:pBdr>
          <w:bottom w:val="double" w:sz="2" w:space="0" w:color="808080"/>
        </w:pBdr>
        <w:bidi w:val="0"/>
        <w:spacing w:before="0" w:after="283"/>
        <w:jc w:val="left"/>
        <w:rPr/>
      </w:pPr>
      <w:r>
        <w:rPr/>
      </w:r>
    </w:p>
    <w:p>
      <w:pPr>
        <w:pStyle w:val="TextBody"/>
        <w:bidi w:val="0"/>
        <w:spacing w:before="200" w:after="200"/>
        <w:jc w:val="left"/>
        <w:rPr/>
      </w:pPr>
      <w:hyperlink w:anchor="toc">
        <w:r>
          <w:rPr>
            <w:rStyle w:val="InternetLink"/>
            <w:rFonts w:ascii="Arial;Helvetica;Sans-Serif" w:hAnsi="Arial;Helvetica;Sans-Serif"/>
            <w:b/>
            <w:i w:val="false"/>
            <w:caps w:val="false"/>
            <w:smallCaps w:val="false"/>
            <w:sz w:val="16"/>
          </w:rPr>
          <w:t>Table of Contents</w:t>
        </w:r>
      </w:hyperlink>
    </w:p>
    <w:p>
      <w:pPr>
        <w:pStyle w:val="TextBody"/>
        <w:bidi w:val="0"/>
        <w:spacing w:before="0" w:after="0"/>
        <w:jc w:val="right"/>
        <w:rPr>
          <w:rFonts w:ascii="Arial;Helvetica;Sans-Serif" w:hAnsi="Arial;Helvetica;Sans-Serif"/>
          <w:b/>
          <w:i w:val="false"/>
          <w:caps w:val="false"/>
          <w:smallCaps w:val="false"/>
          <w:color w:val="C12E33"/>
          <w:sz w:val="15"/>
        </w:rPr>
      </w:pPr>
      <w:r>
        <w:rPr>
          <w:rFonts w:ascii="Arial;Helvetica;Sans-Serif" w:hAnsi="Arial;Helvetica;Sans-Serif"/>
          <w:b/>
          <w:i w:val="false"/>
          <w:caps w:val="false"/>
          <w:smallCaps w:val="false"/>
          <w:color w:val="C12E33"/>
          <w:sz w:val="15"/>
        </w:rPr>
        <w:t>APPENDIX A: RECONCILIATION OF GAAP MEASURES TO CORRESPONDING NON-GAAP MEASURES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USE AND DEFINITIONS OF NON-GAAP FINANCIAL MEASURES</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Company reports its financial results in accordance with accounting principles generally accepted in the United States (“GAAP”). We supplement the reporting of our financial information determined under GAAP with certain non-GAAP financial information. The non-GAAP information presented provides investors with additional useful information but should not be considered in isolation or as substitutes for the related GAAP measures. We believe that these non-GAAP measures provide investors with additional insight into the Company’s ongoing business performance. Other companies may define non-GAAP measures differently, which limits the usefulness of these measures for comparisons with such other companies. We encourage investors to review our financial statements and publicly-filed reports in their entirety and not to rely on any single financial measure. A reconciliation of the non-GAAP measures to the corresponding amounts prepared in accordance with GAAP appears in the tables in this Appendix. Certain non-GAAP financial adjustments are also described in this Appendix. Below are our non-GAAP financial measures:</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40" w:type="dxa"/>
          <w:right w:w="0" w:type="dxa"/>
        </w:tblCellMar>
      </w:tblPr>
      <w:tblGrid>
        <w:gridCol w:w="2172"/>
        <w:gridCol w:w="300"/>
        <w:gridCol w:w="7733"/>
      </w:tblGrid>
      <w:tr>
        <w:trPr/>
        <w:tc>
          <w:tcPr>
            <w:tcW w:w="2172" w:type="dxa"/>
            <w:tcBorders>
              <w:bottom w:val="single" w:sz="12" w:space="0" w:color="636466"/>
            </w:tcBorders>
            <w:vAlign w:val="center"/>
          </w:tcPr>
          <w:p>
            <w:pPr>
              <w:pStyle w:val="TableContents"/>
              <w:bidi w:val="0"/>
              <w:spacing w:before="0" w:after="283"/>
              <w:jc w:val="left"/>
              <w:rPr>
                <w:b/>
                <w:color w:val="636466"/>
              </w:rPr>
            </w:pPr>
            <w:r>
              <w:rPr>
                <w:b/>
                <w:color w:val="636466"/>
              </w:rPr>
              <w:t>Non-GAAP measure</w:t>
            </w:r>
          </w:p>
        </w:tc>
        <w:tc>
          <w:tcPr>
            <w:tcW w:w="300" w:type="dxa"/>
            <w:tcBorders>
              <w:bottom w:val="single" w:sz="12" w:space="0" w:color="636466"/>
            </w:tcBorders>
            <w:vAlign w:val="center"/>
          </w:tcPr>
          <w:p>
            <w:pPr>
              <w:pStyle w:val="TableContents"/>
              <w:bidi w:val="0"/>
              <w:spacing w:before="0" w:after="283"/>
              <w:jc w:val="left"/>
              <w:rPr/>
            </w:pPr>
            <w:r>
              <w:rPr/>
              <w:t>     </w:t>
            </w:r>
          </w:p>
        </w:tc>
        <w:tc>
          <w:tcPr>
            <w:tcW w:w="7733" w:type="dxa"/>
            <w:tcBorders>
              <w:bottom w:val="single" w:sz="12" w:space="0" w:color="636466"/>
            </w:tcBorders>
            <w:vAlign w:val="center"/>
          </w:tcPr>
          <w:p>
            <w:pPr>
              <w:pStyle w:val="TableContents"/>
              <w:bidi w:val="0"/>
              <w:spacing w:before="0" w:after="283"/>
              <w:jc w:val="left"/>
              <w:rPr>
                <w:b/>
                <w:color w:val="636466"/>
              </w:rPr>
            </w:pPr>
            <w:r>
              <w:rPr>
                <w:b/>
                <w:color w:val="636466"/>
              </w:rPr>
              <w:t>Definition</w:t>
            </w:r>
          </w:p>
        </w:tc>
      </w:tr>
      <w:tr>
        <w:trPr/>
        <w:tc>
          <w:tcPr>
            <w:tcW w:w="2172" w:type="dxa"/>
            <w:tcBorders>
              <w:bottom w:val="single" w:sz="2" w:space="0" w:color="000000"/>
            </w:tcBorders>
            <w:vAlign w:val="center"/>
          </w:tcPr>
          <w:p>
            <w:pPr>
              <w:pStyle w:val="TableContents"/>
              <w:bidi w:val="0"/>
              <w:spacing w:before="0" w:after="283"/>
              <w:jc w:val="left"/>
              <w:rPr/>
            </w:pPr>
            <w:r>
              <w:rPr/>
              <w:t>Adjusted net sales / Adjusted sales</w:t>
            </w:r>
          </w:p>
        </w:tc>
        <w:tc>
          <w:tcPr>
            <w:tcW w:w="300" w:type="dxa"/>
            <w:tcBorders>
              <w:bottom w:val="single" w:sz="2" w:space="0" w:color="000000"/>
            </w:tcBorders>
            <w:vAlign w:val="center"/>
          </w:tcPr>
          <w:p>
            <w:pPr>
              <w:pStyle w:val="TableContents"/>
              <w:bidi w:val="0"/>
              <w:spacing w:before="0" w:after="283"/>
              <w:jc w:val="left"/>
              <w:rPr/>
            </w:pPr>
            <w:r>
              <w:rPr/>
              <w:t> </w:t>
            </w:r>
          </w:p>
        </w:tc>
        <w:tc>
          <w:tcPr>
            <w:tcW w:w="7733" w:type="dxa"/>
            <w:tcBorders>
              <w:bottom w:val="single" w:sz="2" w:space="0" w:color="000000"/>
            </w:tcBorders>
            <w:vAlign w:val="center"/>
          </w:tcPr>
          <w:p>
            <w:pPr>
              <w:pStyle w:val="TableContents"/>
              <w:bidi w:val="0"/>
              <w:spacing w:before="0" w:after="283"/>
              <w:jc w:val="left"/>
              <w:rPr/>
            </w:pPr>
            <w:r>
              <w:rPr/>
              <w:t>Represents consolidated net sales (a GAAP measure), excluding net significant and/or nonrecurring items</w:t>
            </w:r>
            <w:r>
              <w:rPr>
                <w:position w:val="8"/>
                <w:sz w:val="19"/>
              </w:rPr>
              <w:t xml:space="preserve">(1) </w:t>
            </w:r>
            <w:r>
              <w:rPr/>
              <w:t> (hereinafter referred to as “net significant and/or nonrecurring items”).</w:t>
            </w:r>
          </w:p>
        </w:tc>
      </w:tr>
      <w:tr>
        <w:trPr/>
        <w:tc>
          <w:tcPr>
            <w:tcW w:w="2172" w:type="dxa"/>
            <w:tcBorders>
              <w:bottom w:val="single" w:sz="2" w:space="0" w:color="000000"/>
            </w:tcBorders>
            <w:vAlign w:val="center"/>
          </w:tcPr>
          <w:p>
            <w:pPr>
              <w:pStyle w:val="TableContents"/>
              <w:bidi w:val="0"/>
              <w:spacing w:before="0" w:after="283"/>
              <w:jc w:val="left"/>
              <w:rPr/>
            </w:pPr>
            <w:r>
              <w:rPr/>
              <w:t>Organic sales</w:t>
            </w:r>
          </w:p>
        </w:tc>
        <w:tc>
          <w:tcPr>
            <w:tcW w:w="300" w:type="dxa"/>
            <w:tcBorders>
              <w:bottom w:val="single" w:sz="2" w:space="0" w:color="000000"/>
            </w:tcBorders>
            <w:vAlign w:val="center"/>
          </w:tcPr>
          <w:p>
            <w:pPr>
              <w:pStyle w:val="TableContents"/>
              <w:bidi w:val="0"/>
              <w:spacing w:before="0" w:after="283"/>
              <w:jc w:val="left"/>
              <w:rPr/>
            </w:pPr>
            <w:r>
              <w:rPr/>
              <w:t> </w:t>
            </w:r>
          </w:p>
        </w:tc>
        <w:tc>
          <w:tcPr>
            <w:tcW w:w="7733" w:type="dxa"/>
            <w:tcBorders>
              <w:bottom w:val="single" w:sz="2" w:space="0" w:color="000000"/>
            </w:tcBorders>
            <w:vAlign w:val="center"/>
          </w:tcPr>
          <w:p>
            <w:pPr>
              <w:pStyle w:val="TableContents"/>
              <w:bidi w:val="0"/>
              <w:spacing w:before="0" w:after="283"/>
              <w:jc w:val="left"/>
              <w:rPr/>
            </w:pPr>
            <w:r>
              <w:rPr/>
              <w:t>Organic sales represents the change in consolidated net sales (a GAAP measure), excluding the impact of foreign currency translation, acquisitions and divestitures completed in the preceding twelve months and net significant and/or nonrecurring items.</w:t>
            </w:r>
          </w:p>
        </w:tc>
      </w:tr>
      <w:tr>
        <w:trPr/>
        <w:tc>
          <w:tcPr>
            <w:tcW w:w="2172" w:type="dxa"/>
            <w:tcBorders>
              <w:bottom w:val="single" w:sz="2" w:space="0" w:color="000000"/>
            </w:tcBorders>
            <w:vAlign w:val="center"/>
          </w:tcPr>
          <w:p>
            <w:pPr>
              <w:pStyle w:val="TableContents"/>
              <w:bidi w:val="0"/>
              <w:spacing w:before="0" w:after="283"/>
              <w:jc w:val="left"/>
              <w:rPr/>
            </w:pPr>
            <w:r>
              <w:rPr/>
              <w:t>Adjusted operating profit (loss) and margin percentage (ROS)</w:t>
            </w:r>
          </w:p>
        </w:tc>
        <w:tc>
          <w:tcPr>
            <w:tcW w:w="300" w:type="dxa"/>
            <w:tcBorders>
              <w:bottom w:val="single" w:sz="2" w:space="0" w:color="000000"/>
            </w:tcBorders>
            <w:vAlign w:val="center"/>
          </w:tcPr>
          <w:p>
            <w:pPr>
              <w:pStyle w:val="TableContents"/>
              <w:bidi w:val="0"/>
              <w:spacing w:before="0" w:after="283"/>
              <w:jc w:val="left"/>
              <w:rPr/>
            </w:pPr>
            <w:r>
              <w:rPr/>
              <w:t> </w:t>
            </w:r>
          </w:p>
        </w:tc>
        <w:tc>
          <w:tcPr>
            <w:tcW w:w="7733" w:type="dxa"/>
            <w:tcBorders>
              <w:bottom w:val="single" w:sz="2" w:space="0" w:color="000000"/>
            </w:tcBorders>
            <w:vAlign w:val="center"/>
          </w:tcPr>
          <w:p>
            <w:pPr>
              <w:pStyle w:val="TableContents"/>
              <w:bidi w:val="0"/>
              <w:spacing w:before="0" w:after="283"/>
              <w:jc w:val="left"/>
              <w:rPr/>
            </w:pPr>
            <w:r>
              <w:rPr/>
              <w:t>Adjusted operating profit (loss) represents operating profit (loss) (a GAAP measure), excluding restructuring costs, acquisition accounting adjustments</w:t>
            </w:r>
            <w:r>
              <w:rPr>
                <w:position w:val="8"/>
                <w:sz w:val="19"/>
              </w:rPr>
              <w:t xml:space="preserve">(2) </w:t>
            </w:r>
            <w:r>
              <w:rPr/>
              <w:t>and net significant and/or nonrecurring items. Adjusted operating profit margin percentage represents adjusted operating profit (loss) as a percentage of adjusted net sales.</w:t>
            </w:r>
          </w:p>
        </w:tc>
      </w:tr>
      <w:tr>
        <w:trPr/>
        <w:tc>
          <w:tcPr>
            <w:tcW w:w="2172" w:type="dxa"/>
            <w:tcBorders>
              <w:bottom w:val="single" w:sz="2" w:space="0" w:color="000000"/>
            </w:tcBorders>
            <w:vAlign w:val="center"/>
          </w:tcPr>
          <w:p>
            <w:pPr>
              <w:pStyle w:val="TableContents"/>
              <w:bidi w:val="0"/>
              <w:spacing w:before="0" w:after="283"/>
              <w:jc w:val="left"/>
              <w:rPr/>
            </w:pPr>
            <w:r>
              <w:rPr/>
              <w:t>Segment operating profit (loss) and margin percentage (ROS)</w:t>
            </w:r>
          </w:p>
        </w:tc>
        <w:tc>
          <w:tcPr>
            <w:tcW w:w="300" w:type="dxa"/>
            <w:tcBorders>
              <w:bottom w:val="single" w:sz="2" w:space="0" w:color="000000"/>
            </w:tcBorders>
            <w:vAlign w:val="center"/>
          </w:tcPr>
          <w:p>
            <w:pPr>
              <w:pStyle w:val="TableContents"/>
              <w:bidi w:val="0"/>
              <w:spacing w:before="0" w:after="283"/>
              <w:jc w:val="left"/>
              <w:rPr/>
            </w:pPr>
            <w:r>
              <w:rPr/>
              <w:t> </w:t>
            </w:r>
          </w:p>
        </w:tc>
        <w:tc>
          <w:tcPr>
            <w:tcW w:w="7733" w:type="dxa"/>
            <w:tcBorders>
              <w:bottom w:val="single" w:sz="2" w:space="0" w:color="000000"/>
            </w:tcBorders>
            <w:vAlign w:val="center"/>
          </w:tcPr>
          <w:p>
            <w:pPr>
              <w:pStyle w:val="TableContents"/>
              <w:bidi w:val="0"/>
              <w:spacing w:before="0" w:after="283"/>
              <w:jc w:val="left"/>
              <w:rPr/>
            </w:pPr>
            <w:r>
              <w:rPr/>
              <w:t>Segment operating profit (loss) represents operating profit (loss) (a GAAP measure) excluding acquisition accounting adjustments, the FAS/CAS operating adjustment</w:t>
            </w:r>
            <w:r>
              <w:rPr>
                <w:position w:val="8"/>
                <w:sz w:val="19"/>
              </w:rPr>
              <w:t xml:space="preserve">(3) </w:t>
            </w:r>
            <w:r>
              <w:rPr/>
              <w:t>, Corporate expenses and other unallocated items, and Eliminations and other. Segment operating profit margin percentage represents segment operating profit (loss) as a percentage of segment sales (net sales, excluding Eliminations and other).</w:t>
            </w:r>
          </w:p>
        </w:tc>
      </w:tr>
      <w:tr>
        <w:trPr/>
        <w:tc>
          <w:tcPr>
            <w:tcW w:w="2172" w:type="dxa"/>
            <w:tcBorders>
              <w:bottom w:val="single" w:sz="2" w:space="0" w:color="000000"/>
            </w:tcBorders>
            <w:vAlign w:val="center"/>
          </w:tcPr>
          <w:p>
            <w:pPr>
              <w:pStyle w:val="TableContents"/>
              <w:bidi w:val="0"/>
              <w:spacing w:before="0" w:after="283"/>
              <w:jc w:val="left"/>
              <w:rPr/>
            </w:pPr>
            <w:r>
              <w:rPr/>
              <w:t>Adjusted segment sales</w:t>
            </w:r>
          </w:p>
        </w:tc>
        <w:tc>
          <w:tcPr>
            <w:tcW w:w="300" w:type="dxa"/>
            <w:tcBorders>
              <w:bottom w:val="single" w:sz="2" w:space="0" w:color="000000"/>
            </w:tcBorders>
            <w:vAlign w:val="center"/>
          </w:tcPr>
          <w:p>
            <w:pPr>
              <w:pStyle w:val="TableContents"/>
              <w:bidi w:val="0"/>
              <w:spacing w:before="0" w:after="283"/>
              <w:jc w:val="left"/>
              <w:rPr/>
            </w:pPr>
            <w:r>
              <w:rPr/>
              <w:t> </w:t>
            </w:r>
          </w:p>
        </w:tc>
        <w:tc>
          <w:tcPr>
            <w:tcW w:w="7733" w:type="dxa"/>
            <w:tcBorders>
              <w:bottom w:val="single" w:sz="2" w:space="0" w:color="000000"/>
            </w:tcBorders>
            <w:vAlign w:val="center"/>
          </w:tcPr>
          <w:p>
            <w:pPr>
              <w:pStyle w:val="TableContents"/>
              <w:bidi w:val="0"/>
              <w:spacing w:before="0" w:after="283"/>
              <w:jc w:val="left"/>
              <w:rPr/>
            </w:pPr>
            <w:r>
              <w:rPr/>
              <w:t>Represents consolidated net sales (a GAAP measure) excluding eliminations and other and net significant and/or nonrecurring items.</w:t>
            </w:r>
          </w:p>
        </w:tc>
      </w:tr>
      <w:tr>
        <w:trPr/>
        <w:tc>
          <w:tcPr>
            <w:tcW w:w="2172" w:type="dxa"/>
            <w:tcBorders>
              <w:bottom w:val="single" w:sz="2" w:space="0" w:color="000000"/>
            </w:tcBorders>
            <w:vAlign w:val="center"/>
          </w:tcPr>
          <w:p>
            <w:pPr>
              <w:pStyle w:val="TableContents"/>
              <w:bidi w:val="0"/>
              <w:spacing w:before="0" w:after="283"/>
              <w:jc w:val="left"/>
              <w:rPr/>
            </w:pPr>
            <w:r>
              <w:rPr/>
              <w:t>Adjusted segment operating profit (loss) and margin percentage (ROS)</w:t>
            </w:r>
          </w:p>
        </w:tc>
        <w:tc>
          <w:tcPr>
            <w:tcW w:w="300" w:type="dxa"/>
            <w:tcBorders>
              <w:bottom w:val="single" w:sz="2" w:space="0" w:color="000000"/>
            </w:tcBorders>
            <w:vAlign w:val="center"/>
          </w:tcPr>
          <w:p>
            <w:pPr>
              <w:pStyle w:val="TableContents"/>
              <w:bidi w:val="0"/>
              <w:spacing w:before="0" w:after="283"/>
              <w:jc w:val="left"/>
              <w:rPr/>
            </w:pPr>
            <w:r>
              <w:rPr/>
              <w:t> </w:t>
            </w:r>
          </w:p>
        </w:tc>
        <w:tc>
          <w:tcPr>
            <w:tcW w:w="7733" w:type="dxa"/>
            <w:tcBorders>
              <w:bottom w:val="single" w:sz="2" w:space="0" w:color="000000"/>
            </w:tcBorders>
            <w:vAlign w:val="center"/>
          </w:tcPr>
          <w:p>
            <w:pPr>
              <w:pStyle w:val="TableContents"/>
              <w:bidi w:val="0"/>
              <w:spacing w:before="0" w:after="283"/>
              <w:jc w:val="left"/>
              <w:rPr/>
            </w:pPr>
            <w:r>
              <w:rPr/>
              <w:t>Adjusted segment operating profit (loss) represents segment operating profit (loss) excluding restructuring costs, and net significant and/or nonrecurring items. Adjusted segment operating profit margin percentage represents adjusted segment operating profit (loss) as a percentage of adjusted segment sales (adjusted net sales excluding Eliminations and other).</w:t>
            </w:r>
          </w:p>
        </w:tc>
      </w:tr>
      <w:tr>
        <w:trPr/>
        <w:tc>
          <w:tcPr>
            <w:tcW w:w="2172" w:type="dxa"/>
            <w:tcBorders>
              <w:bottom w:val="single" w:sz="2" w:space="0" w:color="000000"/>
            </w:tcBorders>
            <w:vAlign w:val="center"/>
          </w:tcPr>
          <w:p>
            <w:pPr>
              <w:pStyle w:val="TableContents"/>
              <w:bidi w:val="0"/>
              <w:spacing w:before="0" w:after="283"/>
              <w:jc w:val="left"/>
              <w:rPr/>
            </w:pPr>
            <w:r>
              <w:rPr/>
              <w:t>Adjusted net income</w:t>
            </w:r>
          </w:p>
        </w:tc>
        <w:tc>
          <w:tcPr>
            <w:tcW w:w="300" w:type="dxa"/>
            <w:tcBorders>
              <w:bottom w:val="single" w:sz="2" w:space="0" w:color="000000"/>
            </w:tcBorders>
            <w:vAlign w:val="center"/>
          </w:tcPr>
          <w:p>
            <w:pPr>
              <w:pStyle w:val="TableContents"/>
              <w:bidi w:val="0"/>
              <w:spacing w:before="0" w:after="283"/>
              <w:jc w:val="left"/>
              <w:rPr/>
            </w:pPr>
            <w:r>
              <w:rPr/>
              <w:t> </w:t>
            </w:r>
          </w:p>
        </w:tc>
        <w:tc>
          <w:tcPr>
            <w:tcW w:w="7733" w:type="dxa"/>
            <w:tcBorders>
              <w:bottom w:val="single" w:sz="2" w:space="0" w:color="000000"/>
            </w:tcBorders>
            <w:vAlign w:val="center"/>
          </w:tcPr>
          <w:p>
            <w:pPr>
              <w:pStyle w:val="TableContents"/>
              <w:bidi w:val="0"/>
              <w:spacing w:before="0" w:after="283"/>
              <w:jc w:val="left"/>
              <w:rPr/>
            </w:pPr>
            <w:r>
              <w:rPr/>
              <w:t>Adjusted net income represents net income (a GAAP measure), excluding restructuring costs, acquisition accounting adjustments and net significant and/or nonrecurring items.</w:t>
            </w:r>
          </w:p>
        </w:tc>
      </w:tr>
      <w:tr>
        <w:trPr/>
        <w:tc>
          <w:tcPr>
            <w:tcW w:w="2172" w:type="dxa"/>
            <w:tcBorders>
              <w:bottom w:val="single" w:sz="2" w:space="0" w:color="000000"/>
            </w:tcBorders>
            <w:vAlign w:val="center"/>
          </w:tcPr>
          <w:p>
            <w:pPr>
              <w:pStyle w:val="TableContents"/>
              <w:bidi w:val="0"/>
              <w:spacing w:before="0" w:after="283"/>
              <w:jc w:val="left"/>
              <w:rPr/>
            </w:pPr>
            <w:r>
              <w:rPr/>
              <w:t>Adjusted earnings per share (EPS)</w:t>
            </w:r>
          </w:p>
        </w:tc>
        <w:tc>
          <w:tcPr>
            <w:tcW w:w="300" w:type="dxa"/>
            <w:tcBorders>
              <w:bottom w:val="single" w:sz="2" w:space="0" w:color="000000"/>
            </w:tcBorders>
            <w:vAlign w:val="center"/>
          </w:tcPr>
          <w:p>
            <w:pPr>
              <w:pStyle w:val="TableContents"/>
              <w:bidi w:val="0"/>
              <w:spacing w:before="0" w:after="283"/>
              <w:jc w:val="left"/>
              <w:rPr/>
            </w:pPr>
            <w:r>
              <w:rPr/>
              <w:t> </w:t>
            </w:r>
          </w:p>
        </w:tc>
        <w:tc>
          <w:tcPr>
            <w:tcW w:w="7733" w:type="dxa"/>
            <w:tcBorders>
              <w:bottom w:val="single" w:sz="2" w:space="0" w:color="000000"/>
            </w:tcBorders>
            <w:vAlign w:val="center"/>
          </w:tcPr>
          <w:p>
            <w:pPr>
              <w:pStyle w:val="TableContents"/>
              <w:bidi w:val="0"/>
              <w:spacing w:before="0" w:after="283"/>
              <w:jc w:val="left"/>
              <w:rPr/>
            </w:pPr>
            <w:r>
              <w:rPr/>
              <w:t>Adjusted EPS represents diluted earnings per share (a GAAP measure), excluding restructuring costs, acquisition accounting adjustments and net significant and/or nonrecurring items.</w:t>
            </w:r>
          </w:p>
        </w:tc>
      </w:tr>
      <w:tr>
        <w:trPr/>
        <w:tc>
          <w:tcPr>
            <w:tcW w:w="2172" w:type="dxa"/>
            <w:tcBorders>
              <w:bottom w:val="single" w:sz="12" w:space="0" w:color="636466"/>
            </w:tcBorders>
            <w:vAlign w:val="center"/>
          </w:tcPr>
          <w:p>
            <w:pPr>
              <w:pStyle w:val="TableContents"/>
              <w:bidi w:val="0"/>
              <w:spacing w:before="0" w:after="283"/>
              <w:jc w:val="left"/>
              <w:rPr/>
            </w:pPr>
            <w:r>
              <w:rPr/>
              <w:t>Free cash flow</w:t>
            </w:r>
          </w:p>
        </w:tc>
        <w:tc>
          <w:tcPr>
            <w:tcW w:w="300" w:type="dxa"/>
            <w:tcBorders>
              <w:bottom w:val="single" w:sz="12" w:space="0" w:color="636466"/>
            </w:tcBorders>
            <w:vAlign w:val="center"/>
          </w:tcPr>
          <w:p>
            <w:pPr>
              <w:pStyle w:val="TableContents"/>
              <w:bidi w:val="0"/>
              <w:spacing w:before="0" w:after="283"/>
              <w:jc w:val="left"/>
              <w:rPr/>
            </w:pPr>
            <w:r>
              <w:rPr/>
              <w:t> </w:t>
            </w:r>
          </w:p>
        </w:tc>
        <w:tc>
          <w:tcPr>
            <w:tcW w:w="7733" w:type="dxa"/>
            <w:tcBorders>
              <w:bottom w:val="single" w:sz="12" w:space="0" w:color="636466"/>
            </w:tcBorders>
            <w:vAlign w:val="center"/>
          </w:tcPr>
          <w:p>
            <w:pPr>
              <w:pStyle w:val="TableContents"/>
              <w:bidi w:val="0"/>
              <w:spacing w:before="0" w:after="283"/>
              <w:jc w:val="left"/>
              <w:rPr/>
            </w:pPr>
            <w:r>
              <w:rPr/>
              <w:t>Free cash flow represents cash flow provided by operating activities (a GAAP measure) less capital expenditures. Management believes free cash flow is a useful measure of liquidity and an additional basis for assessing RTX’s ability to fund its activities, including the financing of acquisitions, debt service, repurchases of RTX’s common stock and distribution of earnings to shareowners.</w:t>
            </w:r>
          </w:p>
        </w:tc>
      </w:tr>
    </w:tbl>
    <w:tbl>
      <w:tblPr>
        <w:tblW w:w="10205" w:type="dxa"/>
        <w:jc w:val="left"/>
        <w:tblInd w:w="0" w:type="dxa"/>
        <w:tblLayout w:type="fixed"/>
        <w:tblCellMar>
          <w:top w:w="0" w:type="dxa"/>
          <w:left w:w="0" w:type="dxa"/>
          <w:bottom w:w="0" w:type="dxa"/>
          <w:right w:w="0" w:type="dxa"/>
        </w:tblCellMar>
      </w:tblPr>
      <w:tblGrid>
        <w:gridCol w:w="249"/>
        <w:gridCol w:w="9956"/>
      </w:tblGrid>
      <w:tr>
        <w:trPr/>
        <w:tc>
          <w:tcPr>
            <w:tcW w:w="249" w:type="dxa"/>
            <w:tcBorders/>
            <w:vAlign w:val="center"/>
          </w:tcPr>
          <w:p>
            <w:pPr>
              <w:pStyle w:val="TableContents"/>
              <w:bidi w:val="0"/>
              <w:spacing w:before="0" w:after="283"/>
              <w:jc w:val="left"/>
              <w:rPr/>
            </w:pPr>
            <w:r>
              <w:rPr/>
              <w:t>(1)</w:t>
            </w:r>
          </w:p>
        </w:tc>
        <w:tc>
          <w:tcPr>
            <w:tcW w:w="9956" w:type="dxa"/>
            <w:tcBorders/>
            <w:vAlign w:val="center"/>
          </w:tcPr>
          <w:p>
            <w:pPr>
              <w:pStyle w:val="TableContents"/>
              <w:bidi w:val="0"/>
              <w:spacing w:before="0" w:after="283"/>
              <w:jc w:val="left"/>
              <w:rPr/>
            </w:pPr>
            <w:r>
              <w:rPr/>
              <w:t>Net significant and/or nonrecurring items represent significant nonoperational items and/or significant operational items that may occur at irregular intervals.</w:t>
            </w:r>
          </w:p>
        </w:tc>
      </w:tr>
      <w:tr>
        <w:trPr/>
        <w:tc>
          <w:tcPr>
            <w:tcW w:w="249" w:type="dxa"/>
            <w:tcBorders/>
            <w:vAlign w:val="center"/>
          </w:tcPr>
          <w:p>
            <w:pPr>
              <w:pStyle w:val="TableContents"/>
              <w:bidi w:val="0"/>
              <w:spacing w:before="0" w:after="283"/>
              <w:jc w:val="left"/>
              <w:rPr/>
            </w:pPr>
            <w:r>
              <w:rPr/>
              <w:t>(2)</w:t>
            </w:r>
          </w:p>
        </w:tc>
        <w:tc>
          <w:tcPr>
            <w:tcW w:w="9956" w:type="dxa"/>
            <w:tcBorders/>
            <w:vAlign w:val="center"/>
          </w:tcPr>
          <w:p>
            <w:pPr>
              <w:pStyle w:val="TableContents"/>
              <w:bidi w:val="0"/>
              <w:spacing w:before="0" w:after="283"/>
              <w:jc w:val="left"/>
              <w:rPr/>
            </w:pPr>
            <w:r>
              <w:rPr/>
              <w:t>Acquisition Accounting Adjustments include the amortization of acquired intangible assets related to acquisitions, the amortization of the property, plant and equipment fair value adjustment acquired through acquisitions, the amortization of customer contractual obligations related to loss making or below market contracts acquired, and goodwill impairment, if applicable.</w:t>
            </w:r>
          </w:p>
        </w:tc>
      </w:tr>
      <w:tr>
        <w:trPr/>
        <w:tc>
          <w:tcPr>
            <w:tcW w:w="249" w:type="dxa"/>
            <w:tcBorders/>
            <w:vAlign w:val="center"/>
          </w:tcPr>
          <w:p>
            <w:pPr>
              <w:pStyle w:val="TableContents"/>
              <w:bidi w:val="0"/>
              <w:spacing w:before="0" w:after="283"/>
              <w:jc w:val="left"/>
              <w:rPr/>
            </w:pPr>
            <w:r>
              <w:rPr/>
              <w:t>(3)</w:t>
            </w:r>
          </w:p>
        </w:tc>
        <w:tc>
          <w:tcPr>
            <w:tcW w:w="9956" w:type="dxa"/>
            <w:tcBorders/>
            <w:vAlign w:val="center"/>
          </w:tcPr>
          <w:p>
            <w:pPr>
              <w:pStyle w:val="TableContents"/>
              <w:bidi w:val="0"/>
              <w:spacing w:before="0" w:after="283"/>
              <w:jc w:val="left"/>
              <w:rPr/>
            </w:pPr>
            <w:r>
              <w:rPr/>
              <w:t>The FAS/CAS operating adjustment represents the difference between the service cost component of our pension and postretirement benefit (PRB) expense under the Financial Accounting Standards (FAS) requirements of GAAP and our pension and PRB expense under U.S. government Cost Accounting Standards (CAS) primarily related to our Raytheon segment.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When we provide our expectation for adjusted net sales (also referred to as adjusted sales), organic sales, adjusted operating profit (loss) and margin percentage (ROS), adjusted segment operating profit (loss) and margin percentage (ROS), adjusted EPS and free cash flow on a forward-looking basis, a reconciliation of the differences between the non-GAAP expectations and the corresponding GAAP measures, as described above, generally are not available without unreasonable effort due to potentially high variability, complexity, and low visibility as to the items that would be excluded from the GAAP measure in the relevant future period, such as unusual gains and losses, the ultimate outcome of pending litigation, fluctuations in foreign currency exchange rates, the impact and timing of potential acquisitions and divestitures, and other structural changes or their probable significance. The variability of the excluded items may have a significant, and potentially unpredictable, impact on our future GAAP results.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right"/>
        <w:rPr>
          <w:rFonts w:ascii="Arial;Helvetica;Sans-Serif" w:hAnsi="Arial;Helvetica;Sans-Serif"/>
          <w:b w:val="false"/>
          <w:i w:val="false"/>
          <w:caps w:val="false"/>
          <w:smallCaps w:val="false"/>
          <w:sz w:val="15"/>
        </w:rPr>
      </w:pPr>
      <w:r>
        <w:rPr>
          <w:rFonts w:ascii="Arial;Helvetica;Sans-Serif" w:hAnsi="Arial;Helvetica;Sans-Serif"/>
          <w:b/>
          <w:i w:val="false"/>
          <w:caps w:val="false"/>
          <w:smallCaps w:val="false"/>
          <w:sz w:val="15"/>
        </w:rPr>
        <w:t xml:space="preserve">RTX </w:t>
      </w:r>
      <w:r>
        <w:rPr>
          <w:rFonts w:ascii="Arial;Helvetica;Sans-Serif" w:hAnsi="Arial;Helvetica;Sans-Serif"/>
          <w:b w:val="false"/>
          <w:i w:val="false"/>
          <w:caps w:val="false"/>
          <w:smallCaps w:val="false"/>
          <w:sz w:val="15"/>
        </w:rPr>
        <w:t>2026 PROXY STATEMENT    </w:t>
      </w:r>
      <w:r>
        <w:rPr>
          <w:rFonts w:ascii="Arial;Helvetica;Sans-Serif" w:hAnsi="Arial;Helvetica;Sans-Serif"/>
          <w:b/>
          <w:i w:val="false"/>
          <w:caps w:val="false"/>
          <w:smallCaps w:val="false"/>
          <w:sz w:val="15"/>
        </w:rPr>
        <w:t>101</w:t>
      </w:r>
    </w:p>
    <w:p>
      <w:pPr>
        <w:pStyle w:val="HorizontalLine"/>
        <w:pBdr>
          <w:bottom w:val="double" w:sz="2" w:space="0" w:color="808080"/>
        </w:pBdr>
        <w:bidi w:val="0"/>
        <w:spacing w:before="0" w:after="283"/>
        <w:jc w:val="left"/>
        <w:rPr/>
      </w:pPr>
      <w:r>
        <w:rPr/>
      </w:r>
    </w:p>
    <w:p>
      <w:pPr>
        <w:pStyle w:val="TextBody"/>
        <w:bidi w:val="0"/>
        <w:spacing w:before="200" w:after="200"/>
        <w:jc w:val="left"/>
        <w:rPr/>
      </w:pPr>
      <w:hyperlink w:anchor="toc">
        <w:r>
          <w:rPr>
            <w:rStyle w:val="InternetLink"/>
            <w:rFonts w:ascii="Arial;Helvetica;Sans-Serif" w:hAnsi="Arial;Helvetica;Sans-Serif"/>
            <w:b/>
            <w:i w:val="false"/>
            <w:caps w:val="false"/>
            <w:smallCaps w:val="false"/>
            <w:sz w:val="16"/>
          </w:rPr>
          <w:t>Table of Contents</w:t>
        </w:r>
      </w:hyperlink>
    </w:p>
    <w:p>
      <w:pPr>
        <w:pStyle w:val="TextBody"/>
        <w:bidi w:val="0"/>
        <w:spacing w:before="0" w:after="0"/>
        <w:jc w:val="left"/>
        <w:rPr>
          <w:rFonts w:ascii="Arial;Helvetica;Sans-Serif" w:hAnsi="Arial;Helvetica;Sans-Serif"/>
          <w:b/>
          <w:i w:val="false"/>
          <w:caps w:val="false"/>
          <w:smallCaps w:val="false"/>
          <w:sz w:val="56"/>
        </w:rPr>
      </w:pPr>
      <w:bookmarkStart w:id="265" w:name="rtx014050a026"/>
      <w:bookmarkEnd w:id="265"/>
      <w:r>
        <w:rPr>
          <w:rFonts w:ascii="Arial;Helvetica;Sans-Serif" w:hAnsi="Arial;Helvetica;Sans-Serif"/>
          <w:b/>
          <w:i w:val="false"/>
          <w:caps w:val="false"/>
          <w:smallCaps w:val="false"/>
          <w:sz w:val="56"/>
        </w:rPr>
        <w:t>Appendix B: Performance Metrics</w:t>
        <w:br/>
        <w:t>Used in Incentive</w:t>
        <w:br/>
        <w:t>Compensation Plans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Performance metrics defined below are used solely for 2025 incentive plan purposes. All performance measures are based on results from continuing operations, unless otherwise noted.</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40" w:type="dxa"/>
          <w:right w:w="0" w:type="dxa"/>
        </w:tblCellMar>
      </w:tblPr>
      <w:tblGrid>
        <w:gridCol w:w="1201"/>
        <w:gridCol w:w="60"/>
        <w:gridCol w:w="1302"/>
        <w:gridCol w:w="60"/>
        <w:gridCol w:w="3949"/>
        <w:gridCol w:w="61"/>
        <w:gridCol w:w="3572"/>
      </w:tblGrid>
      <w:tr>
        <w:trPr/>
        <w:tc>
          <w:tcPr>
            <w:tcW w:w="1201" w:type="dxa"/>
            <w:tcBorders>
              <w:bottom w:val="single" w:sz="2" w:space="0" w:color="000000"/>
            </w:tcBorders>
            <w:vAlign w:val="center"/>
          </w:tcPr>
          <w:p>
            <w:pPr>
              <w:pStyle w:val="TableContents"/>
              <w:bidi w:val="0"/>
              <w:spacing w:before="0" w:after="283"/>
              <w:jc w:val="left"/>
              <w:rPr>
                <w:b/>
                <w:color w:val="636466"/>
              </w:rPr>
            </w:pPr>
            <w:r>
              <w:rPr>
                <w:b/>
                <w:color w:val="636466"/>
              </w:rPr>
              <w:t>Plan</w:t>
            </w:r>
          </w:p>
        </w:tc>
        <w:tc>
          <w:tcPr>
            <w:tcW w:w="60" w:type="dxa"/>
            <w:tcBorders>
              <w:bottom w:val="single" w:sz="2" w:space="0" w:color="000000"/>
            </w:tcBorders>
            <w:vAlign w:val="center"/>
          </w:tcPr>
          <w:p>
            <w:pPr>
              <w:pStyle w:val="TableContents"/>
              <w:bidi w:val="0"/>
              <w:spacing w:before="0" w:after="283"/>
              <w:jc w:val="left"/>
              <w:rPr/>
            </w:pPr>
            <w:r>
              <w:rPr/>
              <w:t> </w:t>
            </w:r>
          </w:p>
        </w:tc>
        <w:tc>
          <w:tcPr>
            <w:tcW w:w="1302" w:type="dxa"/>
            <w:tcBorders>
              <w:bottom w:val="single" w:sz="2" w:space="0" w:color="000000"/>
            </w:tcBorders>
            <w:vAlign w:val="center"/>
          </w:tcPr>
          <w:p>
            <w:pPr>
              <w:pStyle w:val="TableContents"/>
              <w:bidi w:val="0"/>
              <w:spacing w:before="0" w:after="283"/>
              <w:jc w:val="left"/>
              <w:rPr>
                <w:b/>
                <w:color w:val="636466"/>
              </w:rPr>
            </w:pPr>
            <w:r>
              <w:rPr>
                <w:b/>
                <w:color w:val="636466"/>
              </w:rPr>
              <w:t>Metric</w:t>
            </w:r>
          </w:p>
        </w:tc>
        <w:tc>
          <w:tcPr>
            <w:tcW w:w="60" w:type="dxa"/>
            <w:tcBorders>
              <w:bottom w:val="single" w:sz="2" w:space="0" w:color="000000"/>
            </w:tcBorders>
            <w:vAlign w:val="center"/>
          </w:tcPr>
          <w:p>
            <w:pPr>
              <w:pStyle w:val="TableContents"/>
              <w:bidi w:val="0"/>
              <w:spacing w:before="0" w:after="283"/>
              <w:jc w:val="left"/>
              <w:rPr/>
            </w:pPr>
            <w:r>
              <w:rPr/>
              <w:t> </w:t>
            </w:r>
          </w:p>
        </w:tc>
        <w:tc>
          <w:tcPr>
            <w:tcW w:w="3949" w:type="dxa"/>
            <w:tcBorders>
              <w:bottom w:val="single" w:sz="2" w:space="0" w:color="000000"/>
            </w:tcBorders>
            <w:vAlign w:val="center"/>
          </w:tcPr>
          <w:p>
            <w:pPr>
              <w:pStyle w:val="TableContents"/>
              <w:bidi w:val="0"/>
              <w:spacing w:before="0" w:after="283"/>
              <w:jc w:val="left"/>
              <w:rPr>
                <w:b/>
                <w:color w:val="636466"/>
              </w:rPr>
            </w:pPr>
            <w:r>
              <w:rPr>
                <w:b/>
                <w:color w:val="636466"/>
              </w:rPr>
              <w:t>RTX</w:t>
            </w:r>
          </w:p>
        </w:tc>
        <w:tc>
          <w:tcPr>
            <w:tcW w:w="61" w:type="dxa"/>
            <w:tcBorders>
              <w:bottom w:val="single" w:sz="2" w:space="0" w:color="000000"/>
            </w:tcBorders>
            <w:vAlign w:val="center"/>
          </w:tcPr>
          <w:p>
            <w:pPr>
              <w:pStyle w:val="TableContents"/>
              <w:bidi w:val="0"/>
              <w:spacing w:before="0" w:after="283"/>
              <w:jc w:val="left"/>
              <w:rPr/>
            </w:pPr>
            <w:r>
              <w:rPr/>
              <w:t> </w:t>
            </w:r>
          </w:p>
        </w:tc>
        <w:tc>
          <w:tcPr>
            <w:tcW w:w="3572" w:type="dxa"/>
            <w:tcBorders>
              <w:bottom w:val="single" w:sz="2" w:space="0" w:color="000000"/>
            </w:tcBorders>
            <w:vAlign w:val="center"/>
          </w:tcPr>
          <w:p>
            <w:pPr>
              <w:pStyle w:val="TableContents"/>
              <w:bidi w:val="0"/>
              <w:spacing w:before="0" w:after="283"/>
              <w:jc w:val="left"/>
              <w:rPr>
                <w:b/>
                <w:color w:val="636466"/>
              </w:rPr>
            </w:pPr>
            <w:r>
              <w:rPr>
                <w:b/>
                <w:color w:val="636466"/>
              </w:rPr>
              <w:t>Business Units</w:t>
            </w:r>
          </w:p>
        </w:tc>
      </w:tr>
      <w:tr>
        <w:trPr/>
        <w:tc>
          <w:tcPr>
            <w:tcW w:w="1201" w:type="dxa"/>
            <w:tcBorders/>
            <w:tcMar>
              <w:bottom w:w="0" w:type="dxa"/>
            </w:tcMar>
            <w:vAlign w:val="center"/>
          </w:tcPr>
          <w:p>
            <w:pPr>
              <w:pStyle w:val="TableContents"/>
              <w:bidi w:val="0"/>
              <w:spacing w:before="0" w:after="283"/>
              <w:jc w:val="left"/>
              <w:rPr>
                <w:b/>
              </w:rPr>
            </w:pPr>
            <w:r>
              <w:rPr>
                <w:b/>
              </w:rPr>
              <w:t>Annual incentives</w:t>
            </w:r>
          </w:p>
        </w:tc>
        <w:tc>
          <w:tcPr>
            <w:tcW w:w="60" w:type="dxa"/>
            <w:tcBorders/>
            <w:tcMar>
              <w:bottom w:w="0" w:type="dxa"/>
            </w:tcMar>
            <w:vAlign w:val="center"/>
          </w:tcPr>
          <w:p>
            <w:pPr>
              <w:pStyle w:val="TableContents"/>
              <w:bidi w:val="0"/>
              <w:spacing w:before="0" w:after="283"/>
              <w:jc w:val="left"/>
              <w:rPr/>
            </w:pPr>
            <w:r>
              <w:rPr/>
              <w:t> </w:t>
            </w:r>
          </w:p>
        </w:tc>
        <w:tc>
          <w:tcPr>
            <w:tcW w:w="1302" w:type="dxa"/>
            <w:tcBorders/>
            <w:tcMar>
              <w:bottom w:w="0" w:type="dxa"/>
            </w:tcMar>
            <w:vAlign w:val="center"/>
          </w:tcPr>
          <w:p>
            <w:pPr>
              <w:pStyle w:val="TableContents"/>
              <w:bidi w:val="0"/>
              <w:spacing w:before="0" w:after="283"/>
              <w:jc w:val="left"/>
              <w:rPr/>
            </w:pPr>
            <w:r>
              <w:rPr/>
              <w:t>Earnings</w:t>
            </w:r>
          </w:p>
        </w:tc>
        <w:tc>
          <w:tcPr>
            <w:tcW w:w="60" w:type="dxa"/>
            <w:tcBorders/>
            <w:tcMar>
              <w:bottom w:w="0" w:type="dxa"/>
            </w:tcMar>
            <w:vAlign w:val="center"/>
          </w:tcPr>
          <w:p>
            <w:pPr>
              <w:pStyle w:val="TableContents"/>
              <w:bidi w:val="0"/>
              <w:spacing w:before="0" w:after="283"/>
              <w:jc w:val="left"/>
              <w:rPr/>
            </w:pPr>
            <w:r>
              <w:rPr/>
              <w:t> </w:t>
            </w:r>
          </w:p>
        </w:tc>
        <w:tc>
          <w:tcPr>
            <w:tcW w:w="3949" w:type="dxa"/>
            <w:tcBorders/>
            <w:tcMar>
              <w:bottom w:w="0" w:type="dxa"/>
            </w:tcMar>
            <w:vAlign w:val="center"/>
          </w:tcPr>
          <w:p>
            <w:pPr>
              <w:pStyle w:val="TableContents"/>
              <w:bidi w:val="0"/>
              <w:spacing w:before="0" w:after="283"/>
              <w:jc w:val="left"/>
              <w:rPr/>
            </w:pPr>
            <w:r>
              <w:rPr/>
              <w:t>RTX’s net income attributable to common shareowners (as reported in the 2025 Annual Report on Form 10-K), adjusted for changes in tax laws, tariffs and accounting rules, restructuring, the impact of acquisitions and divestitures (including acquisition accounting adjustments), and significant and/or nonrecurring items.</w:t>
            </w:r>
          </w:p>
        </w:tc>
        <w:tc>
          <w:tcPr>
            <w:tcW w:w="61" w:type="dxa"/>
            <w:tcBorders/>
            <w:tcMar>
              <w:bottom w:w="0" w:type="dxa"/>
            </w:tcMar>
            <w:vAlign w:val="center"/>
          </w:tcPr>
          <w:p>
            <w:pPr>
              <w:pStyle w:val="TableContents"/>
              <w:bidi w:val="0"/>
              <w:spacing w:before="0" w:after="283"/>
              <w:jc w:val="left"/>
              <w:rPr/>
            </w:pPr>
            <w:r>
              <w:rPr/>
              <w:t> </w:t>
            </w:r>
          </w:p>
        </w:tc>
        <w:tc>
          <w:tcPr>
            <w:tcW w:w="3572" w:type="dxa"/>
            <w:tcBorders/>
            <w:tcMar>
              <w:bottom w:w="0" w:type="dxa"/>
            </w:tcMar>
            <w:vAlign w:val="center"/>
          </w:tcPr>
          <w:p>
            <w:pPr>
              <w:pStyle w:val="TableContents"/>
              <w:bidi w:val="0"/>
              <w:spacing w:before="0" w:after="283"/>
              <w:jc w:val="left"/>
              <w:rPr/>
            </w:pPr>
            <w:r>
              <w:rPr/>
              <w:t>Segment operating income (as reported in the 2025 Annual Report on Form 10-K), adjusted for changes in tax laws, tariffs and accounting rules, restructuring costs, the impact of acquisitions and divestitures, and significant and/or nonrecurring items.</w:t>
            </w:r>
          </w:p>
        </w:tc>
      </w:tr>
      <w:tr>
        <w:trPr/>
        <w:tc>
          <w:tcPr>
            <w:tcW w:w="1201"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02"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3949" w:type="dxa"/>
            <w:tcBorders>
              <w:bottom w:val="single" w:sz="2" w:space="0" w:color="000000"/>
            </w:tcBorders>
            <w:tcMar>
              <w:bottom w:w="28" w:type="dxa"/>
            </w:tcMar>
            <w:vAlign w:val="center"/>
          </w:tcPr>
          <w:p>
            <w:pPr>
              <w:pStyle w:val="TableContents"/>
              <w:bidi w:val="0"/>
              <w:spacing w:before="0" w:after="283"/>
              <w:jc w:val="left"/>
              <w:rPr/>
            </w:pPr>
            <w:r>
              <w:rPr/>
              <w:t> </w:t>
            </w:r>
          </w:p>
        </w:tc>
        <w:tc>
          <w:tcPr>
            <w:tcW w:w="61" w:type="dxa"/>
            <w:tcBorders>
              <w:bottom w:val="single" w:sz="2" w:space="0" w:color="000000"/>
            </w:tcBorders>
            <w:tcMar>
              <w:bottom w:w="28" w:type="dxa"/>
            </w:tcMar>
            <w:vAlign w:val="center"/>
          </w:tcPr>
          <w:p>
            <w:pPr>
              <w:pStyle w:val="TableContents"/>
              <w:bidi w:val="0"/>
              <w:spacing w:before="0" w:after="283"/>
              <w:jc w:val="left"/>
              <w:rPr/>
            </w:pPr>
            <w:r>
              <w:rPr/>
              <w:t> </w:t>
            </w:r>
          </w:p>
        </w:tc>
        <w:tc>
          <w:tcPr>
            <w:tcW w:w="3572"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1201"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02" w:type="dxa"/>
            <w:tcBorders/>
            <w:tcMar>
              <w:bottom w:w="0" w:type="dxa"/>
            </w:tcMar>
            <w:vAlign w:val="center"/>
          </w:tcPr>
          <w:p>
            <w:pPr>
              <w:pStyle w:val="TableContents"/>
              <w:bidi w:val="0"/>
              <w:spacing w:before="0" w:after="283"/>
              <w:jc w:val="left"/>
              <w:rPr/>
            </w:pPr>
            <w:r>
              <w:rPr/>
              <w:t>Free Cash Flow</w:t>
            </w:r>
          </w:p>
        </w:tc>
        <w:tc>
          <w:tcPr>
            <w:tcW w:w="60" w:type="dxa"/>
            <w:tcBorders/>
            <w:tcMar>
              <w:bottom w:w="0" w:type="dxa"/>
            </w:tcMar>
            <w:vAlign w:val="center"/>
          </w:tcPr>
          <w:p>
            <w:pPr>
              <w:pStyle w:val="TableContents"/>
              <w:bidi w:val="0"/>
              <w:spacing w:before="0" w:after="283"/>
              <w:jc w:val="left"/>
              <w:rPr/>
            </w:pPr>
            <w:r>
              <w:rPr/>
              <w:t> </w:t>
            </w:r>
          </w:p>
        </w:tc>
        <w:tc>
          <w:tcPr>
            <w:tcW w:w="3949" w:type="dxa"/>
            <w:tcBorders/>
            <w:tcMar>
              <w:bottom w:w="0" w:type="dxa"/>
            </w:tcMar>
            <w:vAlign w:val="center"/>
          </w:tcPr>
          <w:p>
            <w:pPr>
              <w:pStyle w:val="TableContents"/>
              <w:bidi w:val="0"/>
              <w:spacing w:before="0" w:after="283"/>
              <w:jc w:val="left"/>
              <w:rPr/>
            </w:pPr>
            <w:r>
              <w:rPr/>
              <w:t>Consolidated net cash flow provided by operating activities, less capital expenditures (both as reported in the 2025 Annual Report on Form 10-K), adjusted for changes in tax laws, tariffs and accounting rules, restructuring, the impact of acquisitions and divestitures, and significant and/or nonrecurring items.</w:t>
            </w:r>
          </w:p>
        </w:tc>
        <w:tc>
          <w:tcPr>
            <w:tcW w:w="61" w:type="dxa"/>
            <w:tcBorders/>
            <w:tcMar>
              <w:bottom w:w="0" w:type="dxa"/>
            </w:tcMar>
            <w:vAlign w:val="center"/>
          </w:tcPr>
          <w:p>
            <w:pPr>
              <w:pStyle w:val="TableContents"/>
              <w:bidi w:val="0"/>
              <w:spacing w:before="0" w:after="283"/>
              <w:jc w:val="left"/>
              <w:rPr/>
            </w:pPr>
            <w:r>
              <w:rPr/>
              <w:t> </w:t>
            </w:r>
          </w:p>
        </w:tc>
        <w:tc>
          <w:tcPr>
            <w:tcW w:w="3572" w:type="dxa"/>
            <w:tcBorders/>
            <w:tcMar>
              <w:bottom w:w="0" w:type="dxa"/>
            </w:tcMar>
            <w:vAlign w:val="center"/>
          </w:tcPr>
          <w:p>
            <w:pPr>
              <w:pStyle w:val="TableContents"/>
              <w:bidi w:val="0"/>
              <w:spacing w:before="0" w:after="283"/>
              <w:jc w:val="left"/>
              <w:rPr/>
            </w:pPr>
            <w:r>
              <w:rPr/>
              <w:t>Internal measure based on business unit net cash flow provided by operating activities, less capital expenditures, adjusted for changes in tax laws, tariffs and accounting rules, restructuring, the impact of acquisitions and divestitures, and significant and/or nonrecurring items.</w:t>
            </w:r>
          </w:p>
        </w:tc>
      </w:tr>
      <w:tr>
        <w:trPr/>
        <w:tc>
          <w:tcPr>
            <w:tcW w:w="1201"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1302"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3949" w:type="dxa"/>
            <w:tcBorders>
              <w:bottom w:val="single" w:sz="2" w:space="0" w:color="000000"/>
            </w:tcBorders>
            <w:tcMar>
              <w:bottom w:w="28" w:type="dxa"/>
            </w:tcMar>
            <w:vAlign w:val="center"/>
          </w:tcPr>
          <w:p>
            <w:pPr>
              <w:pStyle w:val="TableContents"/>
              <w:bidi w:val="0"/>
              <w:spacing w:before="0" w:after="283"/>
              <w:jc w:val="left"/>
              <w:rPr/>
            </w:pPr>
            <w:r>
              <w:rPr/>
              <w:t> </w:t>
            </w:r>
          </w:p>
        </w:tc>
        <w:tc>
          <w:tcPr>
            <w:tcW w:w="61" w:type="dxa"/>
            <w:tcBorders>
              <w:bottom w:val="single" w:sz="2" w:space="0" w:color="000000"/>
            </w:tcBorders>
            <w:tcMar>
              <w:bottom w:w="28" w:type="dxa"/>
            </w:tcMar>
            <w:vAlign w:val="center"/>
          </w:tcPr>
          <w:p>
            <w:pPr>
              <w:pStyle w:val="TableContents"/>
              <w:bidi w:val="0"/>
              <w:spacing w:before="0" w:after="283"/>
              <w:jc w:val="left"/>
              <w:rPr/>
            </w:pPr>
            <w:r>
              <w:rPr/>
              <w:t> </w:t>
            </w:r>
          </w:p>
        </w:tc>
        <w:tc>
          <w:tcPr>
            <w:tcW w:w="3572"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1201" w:type="dxa"/>
            <w:tcBorders/>
            <w:tcMar>
              <w:bottom w:w="0" w:type="dxa"/>
            </w:tcMar>
            <w:vAlign w:val="center"/>
          </w:tcPr>
          <w:p>
            <w:pPr>
              <w:pStyle w:val="TableContents"/>
              <w:bidi w:val="0"/>
              <w:spacing w:before="0" w:after="283"/>
              <w:jc w:val="left"/>
              <w:rPr>
                <w:b/>
              </w:rPr>
            </w:pPr>
            <w:r>
              <w:rPr>
                <w:b/>
              </w:rPr>
              <w:t>Long-term incentives</w:t>
            </w:r>
          </w:p>
        </w:tc>
        <w:tc>
          <w:tcPr>
            <w:tcW w:w="60" w:type="dxa"/>
            <w:tcBorders/>
            <w:tcMar>
              <w:bottom w:w="0" w:type="dxa"/>
            </w:tcMar>
            <w:vAlign w:val="center"/>
          </w:tcPr>
          <w:p>
            <w:pPr>
              <w:pStyle w:val="TableContents"/>
              <w:bidi w:val="0"/>
              <w:spacing w:before="0" w:after="283"/>
              <w:jc w:val="left"/>
              <w:rPr/>
            </w:pPr>
            <w:r>
              <w:rPr/>
              <w:t> </w:t>
            </w:r>
          </w:p>
        </w:tc>
        <w:tc>
          <w:tcPr>
            <w:tcW w:w="1302" w:type="dxa"/>
            <w:tcBorders/>
            <w:tcMar>
              <w:bottom w:w="0" w:type="dxa"/>
            </w:tcMar>
            <w:vAlign w:val="center"/>
          </w:tcPr>
          <w:p>
            <w:pPr>
              <w:pStyle w:val="TableContents"/>
              <w:bidi w:val="0"/>
              <w:spacing w:before="0" w:after="283"/>
              <w:jc w:val="left"/>
              <w:rPr/>
            </w:pPr>
            <w:r>
              <w:rPr/>
              <w:t>Adjusted Earnings Per Share</w:t>
            </w:r>
          </w:p>
        </w:tc>
        <w:tc>
          <w:tcPr>
            <w:tcW w:w="60" w:type="dxa"/>
            <w:tcBorders/>
            <w:tcMar>
              <w:bottom w:w="0" w:type="dxa"/>
            </w:tcMar>
            <w:vAlign w:val="center"/>
          </w:tcPr>
          <w:p>
            <w:pPr>
              <w:pStyle w:val="TableContents"/>
              <w:bidi w:val="0"/>
              <w:spacing w:before="0" w:after="283"/>
              <w:jc w:val="left"/>
              <w:rPr/>
            </w:pPr>
            <w:r>
              <w:rPr/>
              <w:t> </w:t>
            </w:r>
          </w:p>
        </w:tc>
        <w:tc>
          <w:tcPr>
            <w:tcW w:w="7582" w:type="dxa"/>
            <w:gridSpan w:val="3"/>
            <w:tcBorders/>
            <w:tcMar>
              <w:bottom w:w="0" w:type="dxa"/>
            </w:tcMar>
            <w:vAlign w:val="center"/>
          </w:tcPr>
          <w:p>
            <w:pPr>
              <w:pStyle w:val="TableContents"/>
              <w:bidi w:val="0"/>
              <w:spacing w:before="0" w:after="283"/>
              <w:jc w:val="left"/>
              <w:rPr/>
            </w:pPr>
            <w:r>
              <w:rPr/>
              <w:t>Net income attributable to common shareowners divided by weighted average diluted shares outstanding, subject to adjustments for changes in tax laws, tariffs and/or accounting rules, the impact of acquisitions and divestitures (including acquisition accounting adjustments), restructuring, nonrecurring and other significant, nonoperational items, nonoperating pension and postretirement income or expense, and changes in asset or liability valuations of deferred compensation plans recognized in interest income/expense.</w:t>
            </w:r>
          </w:p>
        </w:tc>
      </w:tr>
      <w:tr>
        <w:trPr/>
        <w:tc>
          <w:tcPr>
            <w:tcW w:w="1201"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02"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7582" w:type="dxa"/>
            <w:gridSpan w:val="3"/>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1201"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02" w:type="dxa"/>
            <w:tcBorders/>
            <w:tcMar>
              <w:bottom w:w="0" w:type="dxa"/>
            </w:tcMar>
            <w:vAlign w:val="center"/>
          </w:tcPr>
          <w:p>
            <w:pPr>
              <w:pStyle w:val="TableContents"/>
              <w:bidi w:val="0"/>
              <w:spacing w:before="0" w:after="283"/>
              <w:jc w:val="left"/>
              <w:rPr/>
            </w:pPr>
            <w:r>
              <w:rPr/>
              <w:t>Return on Invested Capital</w:t>
            </w:r>
          </w:p>
        </w:tc>
        <w:tc>
          <w:tcPr>
            <w:tcW w:w="60" w:type="dxa"/>
            <w:tcBorders/>
            <w:tcMar>
              <w:bottom w:w="0" w:type="dxa"/>
            </w:tcMar>
            <w:vAlign w:val="center"/>
          </w:tcPr>
          <w:p>
            <w:pPr>
              <w:pStyle w:val="TableContents"/>
              <w:bidi w:val="0"/>
              <w:spacing w:before="0" w:after="283"/>
              <w:jc w:val="left"/>
              <w:rPr/>
            </w:pPr>
            <w:r>
              <w:rPr/>
              <w:t> </w:t>
            </w:r>
          </w:p>
        </w:tc>
        <w:tc>
          <w:tcPr>
            <w:tcW w:w="7582" w:type="dxa"/>
            <w:gridSpan w:val="3"/>
            <w:tcBorders/>
            <w:tcMar>
              <w:bottom w:w="0" w:type="dxa"/>
            </w:tcMar>
            <w:vAlign w:val="center"/>
          </w:tcPr>
          <w:p>
            <w:pPr>
              <w:pStyle w:val="TableContents"/>
              <w:bidi w:val="0"/>
              <w:spacing w:before="0" w:after="283"/>
              <w:jc w:val="left"/>
              <w:rPr/>
            </w:pPr>
            <w:r>
              <w:rPr/>
              <w:t>Quarterly average of the ratio of net operating profit after tax (“NOPAT”) to Invested Capital (total debt less cash plus equity), subject to certain adjustments as detailed below. NOPAT excludes non-controlling interest, non-service pension income/expense, the impact of acquisitions and divestitures (including acquisition accounting adjustments), the impact of foreign exchange fluctuations, material one-time tax charges, restructuring, non-recurring and other significant, non-operational items and changes in tax laws, tariffs and/or accounting rules. Invested Capital excludes accumulated other comprehensive income, cash and equivalents, acquisition and divestiture borrowings, short-term borrowings, the impact of acquisitions and divestitures and changes in tax laws, tariffs and/or accounting rules.</w:t>
            </w:r>
          </w:p>
        </w:tc>
      </w:tr>
      <w:tr>
        <w:trPr/>
        <w:tc>
          <w:tcPr>
            <w:tcW w:w="1201"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02"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7582" w:type="dxa"/>
            <w:gridSpan w:val="3"/>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1201" w:type="dxa"/>
            <w:tcBorders>
              <w:bottom w:val="single" w:sz="12" w:space="0" w:color="636466"/>
            </w:tcBorders>
            <w:vAlign w:val="center"/>
          </w:tcPr>
          <w:p>
            <w:pPr>
              <w:pStyle w:val="TableContents"/>
              <w:bidi w:val="0"/>
              <w:spacing w:before="0" w:after="283"/>
              <w:jc w:val="left"/>
              <w:rPr/>
            </w:pPr>
            <w:r>
              <w:rPr/>
              <w:t> </w:t>
            </w:r>
          </w:p>
        </w:tc>
        <w:tc>
          <w:tcPr>
            <w:tcW w:w="60" w:type="dxa"/>
            <w:tcBorders>
              <w:bottom w:val="single" w:sz="12" w:space="0" w:color="636466"/>
            </w:tcBorders>
            <w:vAlign w:val="center"/>
          </w:tcPr>
          <w:p>
            <w:pPr>
              <w:pStyle w:val="TableContents"/>
              <w:bidi w:val="0"/>
              <w:spacing w:before="0" w:after="283"/>
              <w:jc w:val="left"/>
              <w:rPr/>
            </w:pPr>
            <w:r>
              <w:rPr/>
              <w:t> </w:t>
            </w:r>
          </w:p>
        </w:tc>
        <w:tc>
          <w:tcPr>
            <w:tcW w:w="1302" w:type="dxa"/>
            <w:tcBorders>
              <w:bottom w:val="single" w:sz="12" w:space="0" w:color="636466"/>
            </w:tcBorders>
            <w:vAlign w:val="center"/>
          </w:tcPr>
          <w:p>
            <w:pPr>
              <w:pStyle w:val="TableContents"/>
              <w:bidi w:val="0"/>
              <w:spacing w:before="0" w:after="283"/>
              <w:jc w:val="left"/>
              <w:rPr/>
            </w:pPr>
            <w:r>
              <w:rPr/>
              <w:t>Relative Total Shareowner Return</w:t>
            </w:r>
          </w:p>
        </w:tc>
        <w:tc>
          <w:tcPr>
            <w:tcW w:w="60" w:type="dxa"/>
            <w:tcBorders>
              <w:bottom w:val="single" w:sz="12" w:space="0" w:color="636466"/>
            </w:tcBorders>
            <w:vAlign w:val="center"/>
          </w:tcPr>
          <w:p>
            <w:pPr>
              <w:pStyle w:val="TableContents"/>
              <w:bidi w:val="0"/>
              <w:spacing w:before="0" w:after="283"/>
              <w:jc w:val="left"/>
              <w:rPr/>
            </w:pPr>
            <w:r>
              <w:rPr/>
              <w:t> </w:t>
            </w:r>
          </w:p>
        </w:tc>
        <w:tc>
          <w:tcPr>
            <w:tcW w:w="7582" w:type="dxa"/>
            <w:gridSpan w:val="3"/>
            <w:tcBorders>
              <w:bottom w:val="single" w:sz="12" w:space="0" w:color="636466"/>
            </w:tcBorders>
            <w:vAlign w:val="center"/>
          </w:tcPr>
          <w:p>
            <w:pPr>
              <w:pStyle w:val="TableContents"/>
              <w:bidi w:val="0"/>
              <w:spacing w:before="0" w:after="283"/>
              <w:jc w:val="left"/>
              <w:rPr/>
            </w:pPr>
            <w:r>
              <w:rPr/>
              <w:t>The percentage change in stock price over the cumulative three-year performance period (plus reinvested dividends) divided by the stock price at the beginning of the performance period, calculated using the trailing November/December average adjusted closing stock price prior to and at the end of the three-year period for RTX and each of the companies within the S&amp;P 500 Index and our Core A&amp;D Peers.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15"/>
        </w:rPr>
      </w:pPr>
      <w:r>
        <w:rPr>
          <w:rFonts w:ascii="Arial;Helvetica;Sans-Serif" w:hAnsi="Arial;Helvetica;Sans-Serif"/>
          <w:b/>
          <w:i w:val="false"/>
          <w:caps w:val="false"/>
          <w:smallCaps w:val="false"/>
          <w:sz w:val="15"/>
        </w:rPr>
        <w:t xml:space="preserve">102    RTX </w:t>
      </w:r>
      <w:r>
        <w:rPr>
          <w:rFonts w:ascii="Arial;Helvetica;Sans-Serif" w:hAnsi="Arial;Helvetica;Sans-Serif"/>
          <w:b w:val="false"/>
          <w:i w:val="false"/>
          <w:caps w:val="false"/>
          <w:smallCaps w:val="false"/>
          <w:sz w:val="15"/>
        </w:rPr>
        <w:t>2026 PROXY STATEMENT</w:t>
      </w:r>
    </w:p>
    <w:p>
      <w:pPr>
        <w:pStyle w:val="HorizontalLine"/>
        <w:pBdr>
          <w:bottom w:val="double" w:sz="2" w:space="0" w:color="808080"/>
        </w:pBdr>
        <w:bidi w:val="0"/>
        <w:spacing w:before="0" w:after="283"/>
        <w:jc w:val="left"/>
        <w:rPr/>
      </w:pPr>
      <w:r>
        <w:rPr/>
      </w:r>
    </w:p>
    <w:p>
      <w:pPr>
        <w:pStyle w:val="TextBody"/>
        <w:bidi w:val="0"/>
        <w:spacing w:before="200" w:after="200"/>
        <w:jc w:val="left"/>
        <w:rPr/>
      </w:pPr>
      <w:hyperlink w:anchor="toc">
        <w:r>
          <w:rPr>
            <w:rStyle w:val="InternetLink"/>
            <w:rFonts w:ascii="Arial;Helvetica;Sans-Serif" w:hAnsi="Arial;Helvetica;Sans-Serif"/>
            <w:b/>
            <w:i w:val="false"/>
            <w:caps w:val="false"/>
            <w:smallCaps w:val="false"/>
            <w:sz w:val="16"/>
          </w:rPr>
          <w:t>Table of Contents</w:t>
        </w:r>
      </w:hyperlink>
    </w:p>
    <w:p>
      <w:pPr>
        <w:pStyle w:val="TextBody"/>
        <w:shd w:fill="FFFFFF" w:val="clear"/>
        <w:bidi w:val="0"/>
        <w:spacing w:before="0" w:after="0"/>
        <w:jc w:val="left"/>
        <w:rPr>
          <w:rFonts w:ascii="Arial;Helvetica;Sans-Serif" w:hAnsi="Arial;Helvetica;Sans-Serif"/>
          <w:b/>
          <w:i w:val="false"/>
          <w:caps w:val="false"/>
          <w:smallCaps w:val="false"/>
          <w:color w:val="0A0A0A"/>
          <w:sz w:val="20"/>
        </w:rPr>
      </w:pPr>
      <w:r>
        <w:rPr>
          <w:rFonts w:ascii="Arial;Helvetica;Sans-Serif" w:hAnsi="Arial;Helvetica;Sans-Serif"/>
          <w:b/>
          <w:i w:val="false"/>
          <w:caps w:val="false"/>
          <w:smallCaps w:val="false"/>
          <w:color w:val="0A0A0A"/>
          <w:sz w:val="20"/>
        </w:rPr>
        <w:t>RTX’s business operating system, CORE, fuels a culture of continuous improvement across our company. This enables us to drive operational excellence, deliver groundbreaking solutions, and help our customers meet their most critical needs.</w:t>
      </w:r>
    </w:p>
    <w:p>
      <w:pPr>
        <w:pStyle w:val="TextBody"/>
        <w:pBdr>
          <w:bottom w:val="single" w:sz="12" w:space="1" w:color="636466"/>
        </w:pBdr>
        <w:bidi w:val="0"/>
        <w:spacing w:before="0" w:after="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shd w:fill="FFFFFF" w:val="clear"/>
        <w:bidi w:val="0"/>
        <w:spacing w:before="0" w:after="0"/>
        <w:jc w:val="left"/>
        <w:rPr>
          <w:rFonts w:ascii="Arial;Helvetica;Sans-Serif" w:hAnsi="Arial;Helvetica;Sans-Serif"/>
          <w:b/>
          <w:i w:val="false"/>
          <w:caps w:val="false"/>
          <w:smallCaps w:val="false"/>
          <w:color w:val="0A0A0A"/>
          <w:sz w:val="34"/>
        </w:rPr>
      </w:pPr>
      <w:r>
        <w:rPr>
          <w:rFonts w:ascii="Arial;Helvetica;Sans-Serif" w:hAnsi="Arial;Helvetica;Sans-Serif"/>
          <w:b/>
          <w:i w:val="false"/>
          <w:caps w:val="false"/>
          <w:smallCaps w:val="false"/>
          <w:color w:val="0A0A0A"/>
          <w:sz w:val="34"/>
        </w:rPr>
        <w:t>CORE Foundation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096125" cy="17916525"/>
            <wp:effectExtent l="0" t="0" r="0" b="0"/>
            <wp:docPr id="371" name="Image2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1" name="Image246" descr=""/>
                    <pic:cNvPicPr>
                      <a:picLocks noChangeAspect="1" noChangeArrowheads="1"/>
                    </pic:cNvPicPr>
                  </pic:nvPicPr>
                  <pic:blipFill>
                    <a:blip r:embed="rId302"/>
                    <a:stretch>
                      <a:fillRect/>
                    </a:stretch>
                  </pic:blipFill>
                  <pic:spPr bwMode="auto">
                    <a:xfrm>
                      <a:off x="0" y="0"/>
                      <a:ext cx="7096125" cy="1791652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tbl>
      <w:tblPr>
        <w:tblW w:w="9595" w:type="dxa"/>
        <w:jc w:val="center"/>
        <w:tblInd w:w="0" w:type="dxa"/>
        <w:tblLayout w:type="fixed"/>
        <w:tblCellMar>
          <w:top w:w="300" w:type="dxa"/>
          <w:left w:w="0" w:type="dxa"/>
          <w:bottom w:w="300" w:type="dxa"/>
          <w:right w:w="0" w:type="dxa"/>
        </w:tblCellMar>
      </w:tblPr>
      <w:tblGrid>
        <w:gridCol w:w="4430"/>
        <w:gridCol w:w="60"/>
        <w:gridCol w:w="5105"/>
      </w:tblGrid>
      <w:tr>
        <w:trPr/>
        <w:tc>
          <w:tcPr>
            <w:tcW w:w="9595" w:type="dxa"/>
            <w:gridSpan w:val="3"/>
            <w:tcBorders>
              <w:top w:val="single" w:sz="12" w:space="0" w:color="636466"/>
              <w:bottom w:val="single" w:sz="12" w:space="0" w:color="636466"/>
            </w:tcBorders>
            <w:vAlign w:val="center"/>
          </w:tcPr>
          <w:p>
            <w:pPr>
              <w:pStyle w:val="TableContents"/>
              <w:bidi w:val="0"/>
              <w:spacing w:before="0" w:after="283"/>
              <w:jc w:val="center"/>
              <w:rPr>
                <w:sz w:val="32"/>
              </w:rPr>
            </w:pPr>
            <w:r>
              <w:rPr>
                <w:b/>
                <w:sz w:val="32"/>
              </w:rPr>
              <w:t>C</w:t>
            </w:r>
            <w:r>
              <w:rPr>
                <w:sz w:val="32"/>
              </w:rPr>
              <w:t>ustomer </w:t>
            </w:r>
            <w:r>
              <w:rPr>
                <w:b/>
                <w:sz w:val="32"/>
              </w:rPr>
              <w:t>O</w:t>
            </w:r>
            <w:r>
              <w:rPr>
                <w:sz w:val="32"/>
              </w:rPr>
              <w:t>riented </w:t>
            </w:r>
            <w:r>
              <w:rPr>
                <w:b/>
                <w:sz w:val="32"/>
              </w:rPr>
              <w:t>R</w:t>
            </w:r>
            <w:r>
              <w:rPr>
                <w:sz w:val="32"/>
              </w:rPr>
              <w:t>esults and </w:t>
            </w:r>
            <w:r>
              <w:rPr>
                <w:b/>
                <w:sz w:val="32"/>
              </w:rPr>
              <w:t>E</w:t>
            </w:r>
            <w:r>
              <w:rPr>
                <w:sz w:val="32"/>
              </w:rPr>
              <w:t>xcellence™</w:t>
            </w:r>
          </w:p>
        </w:tc>
      </w:tr>
      <w:tr>
        <w:trPr/>
        <w:tc>
          <w:tcPr>
            <w:tcW w:w="4430" w:type="dxa"/>
            <w:tcBorders/>
            <w:tcMar>
              <w:top w:w="0" w:type="dxa"/>
              <w:bottom w:w="0" w:type="dxa"/>
            </w:tcMar>
            <w:vAlign w:val="center"/>
          </w:tcPr>
          <w:p>
            <w:pPr>
              <w:pStyle w:val="TableContents"/>
              <w:bidi w:val="0"/>
              <w:spacing w:before="0" w:after="283"/>
              <w:jc w:val="left"/>
              <w:rPr>
                <w:color w:val="0A0A0A"/>
              </w:rPr>
            </w:pPr>
            <w:r>
              <w:rPr>
                <w:color w:val="0A0A0A"/>
              </w:rPr>
              <w:t>© 2026 RTX Corporation. All rights reserved.</w:t>
            </w:r>
          </w:p>
        </w:tc>
        <w:tc>
          <w:tcPr>
            <w:tcW w:w="60" w:type="dxa"/>
            <w:tcBorders/>
            <w:tcMar>
              <w:top w:w="0" w:type="dxa"/>
              <w:bottom w:w="0" w:type="dxa"/>
            </w:tcMar>
            <w:vAlign w:val="center"/>
          </w:tcPr>
          <w:p>
            <w:pPr>
              <w:pStyle w:val="TableContents"/>
              <w:bidi w:val="0"/>
              <w:spacing w:before="0" w:after="283"/>
              <w:jc w:val="left"/>
              <w:rPr/>
            </w:pPr>
            <w:r>
              <w:rPr/>
              <w:t> </w:t>
            </w:r>
          </w:p>
        </w:tc>
        <w:tc>
          <w:tcPr>
            <w:tcW w:w="5105" w:type="dxa"/>
            <w:tcBorders/>
            <w:tcMar>
              <w:top w:w="0" w:type="dxa"/>
              <w:bottom w:w="0" w:type="dxa"/>
            </w:tcMar>
            <w:vAlign w:val="center"/>
          </w:tcPr>
          <w:p>
            <w:pPr>
              <w:pStyle w:val="TableContents"/>
              <w:bidi w:val="0"/>
              <w:spacing w:before="0" w:after="283"/>
              <w:jc w:val="left"/>
              <w:rPr/>
            </w:pPr>
            <w:r>
              <w:rPr>
                <w:color w:val="0A0A0A"/>
              </w:rPr>
              <w:t xml:space="preserve">CORE and Customer Oriented Results &amp; Excellence </w:t>
            </w:r>
            <w:r>
              <w:rPr/>
              <w:br/>
            </w:r>
            <w:r>
              <w:rPr>
                <w:color w:val="0A0A0A"/>
              </w:rPr>
              <w:t>are trademarks of RTX Corporation.</w:t>
            </w:r>
          </w:p>
        </w:tc>
      </w:tr>
    </w:tbl>
    <w:p>
      <w:pPr>
        <w:pStyle w:val="HorizontalLine"/>
        <w:pBdr>
          <w:bottom w:val="double" w:sz="2" w:space="0" w:color="808080"/>
        </w:pBdr>
        <w:bidi w:val="0"/>
        <w:spacing w:before="0" w:after="283"/>
        <w:jc w:val="left"/>
        <w:rPr/>
      </w:pPr>
      <w:r>
        <w:rPr/>
      </w:r>
    </w:p>
    <w:p>
      <w:pPr>
        <w:pStyle w:val="TextBody"/>
        <w:bidi w:val="0"/>
        <w:spacing w:before="200" w:after="200"/>
        <w:jc w:val="left"/>
        <w:rPr/>
      </w:pPr>
      <w:hyperlink w:anchor="toc">
        <w:r>
          <w:rPr>
            <w:rStyle w:val="InternetLink"/>
            <w:rFonts w:ascii="Arial;Helvetica;Sans-Serif" w:hAnsi="Arial;Helvetica;Sans-Serif"/>
            <w:b/>
            <w:i w:val="false"/>
            <w:caps w:val="false"/>
            <w:smallCaps w:val="false"/>
            <w:sz w:val="16"/>
          </w:rPr>
          <w:t>Table of Contents</w:t>
        </w:r>
      </w:hyperlink>
    </w:p>
    <w:p>
      <w:pPr>
        <w:pStyle w:val="TextBody"/>
        <w:bidi w:val="0"/>
        <w:spacing w:before="0" w:after="0"/>
        <w:jc w:val="center"/>
        <w:rPr>
          <w:caps w:val="false"/>
          <w:smallCaps w:val="false"/>
        </w:rPr>
      </w:pPr>
      <w:r>
        <w:rPr>
          <w:caps w:val="false"/>
          <w:smallCaps w:val="false"/>
        </w:rPr>
        <w:drawing>
          <wp:inline distT="0" distB="0" distL="0" distR="0">
            <wp:extent cx="7143750" cy="34166175"/>
            <wp:effectExtent l="0" t="0" r="0" b="0"/>
            <wp:docPr id="372" name="Image2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2" name="Image247" descr=""/>
                    <pic:cNvPicPr>
                      <a:picLocks noChangeAspect="1" noChangeArrowheads="1"/>
                    </pic:cNvPicPr>
                  </pic:nvPicPr>
                  <pic:blipFill>
                    <a:blip r:embed="rId303"/>
                    <a:stretch>
                      <a:fillRect/>
                    </a:stretch>
                  </pic:blipFill>
                  <pic:spPr bwMode="auto">
                    <a:xfrm>
                      <a:off x="0" y="0"/>
                      <a:ext cx="7143750" cy="3416617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200" w:after="200"/>
        <w:jc w:val="left"/>
        <w:rPr/>
      </w:pPr>
      <w:hyperlink w:anchor="toc">
        <w:r>
          <w:rPr>
            <w:rStyle w:val="InternetLink"/>
            <w:rFonts w:ascii="Arial;Helvetica;Sans-Serif" w:hAnsi="Arial;Helvetica;Sans-Serif"/>
            <w:b/>
            <w:i w:val="false"/>
            <w:caps w:val="false"/>
            <w:smallCaps w:val="false"/>
            <w:sz w:val="16"/>
          </w:rPr>
          <w:t>Table of Contents</w:t>
        </w:r>
      </w:hyperlink>
    </w:p>
    <w:p>
      <w:pPr>
        <w:pStyle w:val="TextBody"/>
        <w:bidi w:val="0"/>
        <w:spacing w:before="0" w:after="283"/>
        <w:jc w:val="left"/>
        <w:rPr/>
      </w:pPr>
      <w:r>
        <w:rPr/>
        <w:br/>
        <w:br/>
        <w:br/>
        <w:br/>
        <w:br/>
        <w:br/>
        <w:br/>
      </w:r>
      <w:r>
        <mc:AlternateContent>
          <mc:Choice Requires="wps">
            <w:drawing>
              <wp:anchor behindDoc="0" distT="0" distB="0" distL="0" distR="0" simplePos="0" locked="0" layoutInCell="1" allowOverlap="1" relativeHeight="118">
                <wp:simplePos x="0" y="0"/>
                <wp:positionH relativeFrom="column">
                  <wp:align>left</wp:align>
                </wp:positionH>
                <wp:positionV relativeFrom="line">
                  <wp:posOffset>635</wp:posOffset>
                </wp:positionV>
                <wp:extent cx="3110230" cy="2747645"/>
                <wp:effectExtent l="0" t="0" r="0" b="0"/>
                <wp:wrapSquare wrapText="right"/>
                <wp:docPr id="373" name="Frame71"/>
                <a:graphic xmlns:a="http://schemas.openxmlformats.org/drawingml/2006/main">
                  <a:graphicData uri="http://schemas.microsoft.com/office/word/2010/wordprocessingShape">
                    <wps:wsp>
                      <wps:cNvSpPr txBox="1"/>
                      <wps:spPr>
                        <a:xfrm>
                          <a:off x="0" y="0"/>
                          <a:ext cx="3110230" cy="2747645"/>
                        </a:xfrm>
                        <a:prstGeom prst="rect"/>
                        <a:solidFill>
                          <a:srgbClr val="FFFFFF"/>
                        </a:solidFill>
                      </wps:spPr>
                      <wps:txbx>
                        <w:txbxContent>
                          <w:p>
                            <w:pPr>
                              <w:pStyle w:val="TextBody"/>
                              <w:bidi w:val="0"/>
                              <w:spacing w:before="0" w:after="200"/>
                              <w:ind w:left="570" w:right="0" w:hanging="0"/>
                              <w:jc w:val="left"/>
                              <w:rPr/>
                            </w:pPr>
                            <w:r>
                              <w:rPr/>
                              <w:drawing>
                                <wp:inline distT="0" distB="0" distL="0" distR="0">
                                  <wp:extent cx="1619250" cy="1885950"/>
                                  <wp:effectExtent l="0" t="0" r="0" b="0"/>
                                  <wp:docPr id="374" name="Image2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4" name="Image248" descr=""/>
                                          <pic:cNvPicPr>
                                            <a:picLocks noChangeAspect="1" noChangeArrowheads="1"/>
                                          </pic:cNvPicPr>
                                        </pic:nvPicPr>
                                        <pic:blipFill>
                                          <a:blip r:embed="rId304"/>
                                          <a:stretch>
                                            <a:fillRect/>
                                          </a:stretch>
                                        </pic:blipFill>
                                        <pic:spPr bwMode="auto">
                                          <a:xfrm>
                                            <a:off x="0" y="0"/>
                                            <a:ext cx="1619250" cy="1885950"/>
                                          </a:xfrm>
                                          <a:prstGeom prst="rect">
                                            <a:avLst/>
                                          </a:prstGeom>
                                        </pic:spPr>
                                      </pic:pic>
                                    </a:graphicData>
                                  </a:graphic>
                                </wp:inline>
                              </w:drawing>
                            </w:r>
                          </w:p>
                          <w:p>
                            <w:pPr>
                              <w:pStyle w:val="TextBody"/>
                              <w:bidi w:val="0"/>
                              <w:spacing w:before="60" w:after="200"/>
                              <w:ind w:left="570" w:right="0" w:hanging="0"/>
                              <w:jc w:val="both"/>
                              <w:rPr>
                                <w:rFonts w:ascii="Arial;Helvetica;Sans-Serif" w:hAnsi="Arial;Helvetica;Sans-Serif"/>
                                <w:i/>
                                <w:sz w:val="10"/>
                              </w:rPr>
                            </w:pPr>
                            <w:r>
                              <w:rPr>
                                <w:rFonts w:ascii="Arial;Helvetica;Sans-Serif" w:hAnsi="Arial;Helvetica;Sans-Serif"/>
                                <w:i/>
                                <w:sz w:val="10"/>
                              </w:rPr>
                              <w:t>RTX CORPORATION</w:t>
                              <w:br/>
                              <w:t>1000 WILSON BOULEVARD</w:t>
                              <w:br/>
                              <w:t>ARLINGTON, VIRGINIA 22209</w:t>
                            </w:r>
                          </w:p>
                          <w:p>
                            <w:pPr>
                              <w:pStyle w:val="TextBody"/>
                              <w:bidi w:val="0"/>
                              <w:spacing w:before="0" w:after="283"/>
                              <w:jc w:val="left"/>
                              <w:rPr/>
                            </w:pPr>
                            <w:r>
                              <w:rPr/>
                              <w:b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216.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ind w:left="570" w:right="0" w:hanging="0"/>
                        <w:jc w:val="left"/>
                        <w:rPr/>
                      </w:pPr>
                      <w:r>
                        <w:rPr/>
                        <w:drawing>
                          <wp:inline distT="0" distB="0" distL="0" distR="0">
                            <wp:extent cx="1619250" cy="1885950"/>
                            <wp:effectExtent l="0" t="0" r="0" b="0"/>
                            <wp:docPr id="375" name="Image2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5" name="Image248" descr=""/>
                                    <pic:cNvPicPr>
                                      <a:picLocks noChangeAspect="1" noChangeArrowheads="1"/>
                                    </pic:cNvPicPr>
                                  </pic:nvPicPr>
                                  <pic:blipFill>
                                    <a:blip r:embed="rId305"/>
                                    <a:stretch>
                                      <a:fillRect/>
                                    </a:stretch>
                                  </pic:blipFill>
                                  <pic:spPr bwMode="auto">
                                    <a:xfrm>
                                      <a:off x="0" y="0"/>
                                      <a:ext cx="1619250" cy="1885950"/>
                                    </a:xfrm>
                                    <a:prstGeom prst="rect">
                                      <a:avLst/>
                                    </a:prstGeom>
                                  </pic:spPr>
                                </pic:pic>
                              </a:graphicData>
                            </a:graphic>
                          </wp:inline>
                        </w:drawing>
                      </w:r>
                    </w:p>
                    <w:p>
                      <w:pPr>
                        <w:pStyle w:val="TextBody"/>
                        <w:bidi w:val="0"/>
                        <w:spacing w:before="60" w:after="200"/>
                        <w:ind w:left="570" w:right="0" w:hanging="0"/>
                        <w:jc w:val="both"/>
                        <w:rPr>
                          <w:rFonts w:ascii="Arial;Helvetica;Sans-Serif" w:hAnsi="Arial;Helvetica;Sans-Serif"/>
                          <w:i/>
                          <w:sz w:val="10"/>
                        </w:rPr>
                      </w:pPr>
                      <w:r>
                        <w:rPr>
                          <w:rFonts w:ascii="Arial;Helvetica;Sans-Serif" w:hAnsi="Arial;Helvetica;Sans-Serif"/>
                          <w:i/>
                          <w:sz w:val="10"/>
                        </w:rPr>
                        <w:t>RTX CORPORATION</w:t>
                        <w:br/>
                        <w:t>1000 WILSON BOULEVARD</w:t>
                        <w:br/>
                        <w:t>ARLINGTON, VIRGINIA 22209</w:t>
                      </w:r>
                    </w:p>
                    <w:p>
                      <w:pPr>
                        <w:pStyle w:val="TextBody"/>
                        <w:bidi w:val="0"/>
                        <w:spacing w:before="0" w:after="283"/>
                        <w:jc w:val="left"/>
                        <w:rPr/>
                      </w:pPr>
                      <w:r>
                        <w:rPr/>
                        <w:br/>
                      </w:r>
                    </w:p>
                  </w:txbxContent>
                </v:textbox>
                <w10:wrap type="square" side="right"/>
              </v:rect>
            </w:pict>
          </mc:Fallback>
        </mc:AlternateContent>
      </w:r>
      <w:r>
        <mc:AlternateContent>
          <mc:Choice Requires="wps">
            <w:drawing>
              <wp:anchor behindDoc="0" distT="0" distB="0" distL="0" distR="0" simplePos="0" locked="0" layoutInCell="1" allowOverlap="1" relativeHeight="120">
                <wp:simplePos x="0" y="0"/>
                <wp:positionH relativeFrom="column">
                  <wp:align>right</wp:align>
                </wp:positionH>
                <wp:positionV relativeFrom="line">
                  <wp:posOffset>635</wp:posOffset>
                </wp:positionV>
                <wp:extent cx="3110230" cy="4678680"/>
                <wp:effectExtent l="0" t="0" r="0" b="0"/>
                <wp:wrapSquare wrapText="left"/>
                <wp:docPr id="376" name="Frame72"/>
                <a:graphic xmlns:a="http://schemas.openxmlformats.org/drawingml/2006/main">
                  <a:graphicData uri="http://schemas.microsoft.com/office/word/2010/wordprocessingShape">
                    <wps:wsp>
                      <wps:cNvSpPr txBox="1"/>
                      <wps:spPr>
                        <a:xfrm>
                          <a:off x="0" y="0"/>
                          <a:ext cx="3110230" cy="4678680"/>
                        </a:xfrm>
                        <a:prstGeom prst="rect"/>
                        <a:solidFill>
                          <a:srgbClr val="FFFFFF"/>
                        </a:solidFill>
                      </wps:spPr>
                      <wps:txbx>
                        <w:txbxContent>
                          <w:tbl>
                            <w:tblPr>
                              <w:tblW w:w="3335" w:type="dxa"/>
                              <w:jc w:val="left"/>
                              <w:tblInd w:w="300" w:type="dxa"/>
                              <w:tblLayout w:type="fixed"/>
                              <w:tblCellMar>
                                <w:top w:w="0" w:type="dxa"/>
                                <w:left w:w="0" w:type="dxa"/>
                                <w:bottom w:w="0" w:type="dxa"/>
                                <w:right w:w="0" w:type="dxa"/>
                              </w:tblCellMar>
                            </w:tblPr>
                            <w:tblGrid>
                              <w:gridCol w:w="540"/>
                              <w:gridCol w:w="300"/>
                              <w:gridCol w:w="1700"/>
                              <w:gridCol w:w="300"/>
                              <w:gridCol w:w="495"/>
                            </w:tblGrid>
                            <w:tr>
                              <w:trPr/>
                              <w:tc>
                                <w:tcPr>
                                  <w:tcW w:w="540"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283"/>
                                    <w:jc w:val="center"/>
                                    <w:rPr/>
                                  </w:pPr>
                                  <w:r>
                                    <w:rPr/>
                                    <w:t> </w:t>
                                  </w:r>
                                </w:p>
                              </w:tc>
                              <w:tc>
                                <w:tcPr>
                                  <w:tcW w:w="1700" w:type="dxa"/>
                                  <w:tcBorders/>
                                  <w:vAlign w:val="center"/>
                                </w:tcPr>
                                <w:p>
                                  <w:pPr>
                                    <w:pStyle w:val="TableContents"/>
                                    <w:bidi w:val="0"/>
                                    <w:spacing w:before="0" w:after="283"/>
                                    <w:jc w:val="center"/>
                                    <w:rPr/>
                                  </w:pPr>
                                  <w:r>
                                    <w:rPr/>
                                    <w:t> </w:t>
                                  </w:r>
                                </w:p>
                              </w:tc>
                              <w:tc>
                                <w:tcPr>
                                  <w:tcW w:w="300" w:type="dxa"/>
                                  <w:tcBorders/>
                                  <w:vAlign w:val="center"/>
                                </w:tcPr>
                                <w:p>
                                  <w:pPr>
                                    <w:pStyle w:val="TableContents"/>
                                    <w:bidi w:val="0"/>
                                    <w:spacing w:before="0" w:after="283"/>
                                    <w:jc w:val="center"/>
                                    <w:rPr/>
                                  </w:pPr>
                                  <w:r>
                                    <w:rPr/>
                                    <w:t> </w:t>
                                  </w:r>
                                </w:p>
                              </w:tc>
                              <w:tc>
                                <w:tcPr>
                                  <w:tcW w:w="495" w:type="dxa"/>
                                  <w:tcBorders/>
                                  <w:vAlign w:val="center"/>
                                </w:tcPr>
                                <w:p>
                                  <w:pPr>
                                    <w:pStyle w:val="TableContents"/>
                                    <w:bidi w:val="0"/>
                                    <w:spacing w:before="0" w:after="283"/>
                                    <w:jc w:val="right"/>
                                    <w:rPr/>
                                  </w:pPr>
                                  <w:r>
                                    <w:rPr/>
                                    <w:t> </w:t>
                                  </w:r>
                                </w:p>
                              </w:tc>
                            </w:tr>
                            <w:tr>
                              <w:trPr/>
                              <w:tc>
                                <w:tcPr>
                                  <w:tcW w:w="540" w:type="dxa"/>
                                  <w:tcBorders/>
                                  <w:vAlign w:val="center"/>
                                </w:tcPr>
                                <w:p>
                                  <w:pPr>
                                    <w:pStyle w:val="TableContents"/>
                                    <w:bidi w:val="0"/>
                                    <w:spacing w:before="0" w:after="283"/>
                                    <w:jc w:val="left"/>
                                    <w:rPr/>
                                  </w:pPr>
                                  <w:r>
                                    <w:rPr/>
                                    <w:drawing>
                                      <wp:inline distT="0" distB="0" distL="0" distR="0">
                                        <wp:extent cx="342900" cy="1695450"/>
                                        <wp:effectExtent l="0" t="0" r="0" b="0"/>
                                        <wp:docPr id="377" name="Image2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 name="Image249" descr=""/>
                                                <pic:cNvPicPr>
                                                  <a:picLocks noChangeAspect="1" noChangeArrowheads="1"/>
                                                </pic:cNvPicPr>
                                              </pic:nvPicPr>
                                              <pic:blipFill>
                                                <a:blip r:embed="rId306"/>
                                                <a:stretch>
                                                  <a:fillRect/>
                                                </a:stretch>
                                              </pic:blipFill>
                                              <pic:spPr bwMode="auto">
                                                <a:xfrm>
                                                  <a:off x="0" y="0"/>
                                                  <a:ext cx="342900" cy="1695450"/>
                                                </a:xfrm>
                                                <a:prstGeom prst="rect">
                                                  <a:avLst/>
                                                </a:prstGeom>
                                              </pic:spPr>
                                            </pic:pic>
                                          </a:graphicData>
                                        </a:graphic>
                                      </wp:inline>
                                    </w:drawing>
                                  </w:r>
                                </w:p>
                              </w:tc>
                              <w:tc>
                                <w:tcPr>
                                  <w:tcW w:w="300" w:type="dxa"/>
                                  <w:tcBorders/>
                                  <w:vAlign w:val="center"/>
                                </w:tcPr>
                                <w:p>
                                  <w:pPr>
                                    <w:pStyle w:val="TableContents"/>
                                    <w:bidi w:val="0"/>
                                    <w:spacing w:before="0" w:after="283"/>
                                    <w:jc w:val="center"/>
                                    <w:rPr/>
                                  </w:pPr>
                                  <w:r>
                                    <w:rPr/>
                                    <w:t>     </w:t>
                                  </w:r>
                                </w:p>
                              </w:tc>
                              <w:tc>
                                <w:tcPr>
                                  <w:tcW w:w="1700" w:type="dxa"/>
                                  <w:tcBorders/>
                                  <w:vAlign w:val="center"/>
                                </w:tcPr>
                                <w:p>
                                  <w:pPr>
                                    <w:pStyle w:val="TableContents"/>
                                    <w:bidi w:val="0"/>
                                    <w:spacing w:before="0" w:after="283"/>
                                    <w:jc w:val="center"/>
                                    <w:rPr/>
                                  </w:pPr>
                                  <w:r>
                                    <w:rPr>
                                      <w:rFonts w:ascii="Arial;Helvetica;Sans-Serif" w:hAnsi="Arial;Helvetica;Sans-Serif"/>
                                      <w:b/>
                                      <w:i w:val="false"/>
                                      <w:caps w:val="false"/>
                                      <w:smallCaps w:val="false"/>
                                      <w:sz w:val="30"/>
                                    </w:rPr>
                                    <w:t>SCAN TO</w:t>
                                  </w:r>
                                  <w:r>
                                    <w:rPr/>
                                    <w:br/>
                                  </w:r>
                                  <w:r>
                                    <w:rPr>
                                      <w:rFonts w:ascii="Arial;Helvetica;Sans-Serif" w:hAnsi="Arial;Helvetica;Sans-Serif"/>
                                      <w:b/>
                                      <w:i w:val="false"/>
                                      <w:caps w:val="false"/>
                                      <w:smallCaps w:val="false"/>
                                      <w:sz w:val="14"/>
                                    </w:rPr>
                                    <w:t>VIEW MATERIALS &amp; VOTE</w:t>
                                  </w:r>
                                </w:p>
                              </w:tc>
                              <w:tc>
                                <w:tcPr>
                                  <w:tcW w:w="300" w:type="dxa"/>
                                  <w:tcBorders/>
                                  <w:vAlign w:val="center"/>
                                </w:tcPr>
                                <w:p>
                                  <w:pPr>
                                    <w:pStyle w:val="TableContents"/>
                                    <w:bidi w:val="0"/>
                                    <w:spacing w:before="0" w:after="283"/>
                                    <w:jc w:val="center"/>
                                    <w:rPr/>
                                  </w:pPr>
                                  <w:r>
                                    <w:rPr/>
                                    <w:t>     </w:t>
                                  </w:r>
                                </w:p>
                              </w:tc>
                              <w:tc>
                                <w:tcPr>
                                  <w:tcW w:w="495" w:type="dxa"/>
                                  <w:tcBorders/>
                                  <w:vAlign w:val="center"/>
                                </w:tcPr>
                                <w:p>
                                  <w:pPr>
                                    <w:pStyle w:val="TableContents"/>
                                    <w:bidi w:val="0"/>
                                    <w:spacing w:before="0" w:after="283"/>
                                    <w:jc w:val="right"/>
                                    <w:rPr/>
                                  </w:pPr>
                                  <w:r>
                                    <w:rPr/>
                                    <w:drawing>
                                      <wp:inline distT="0" distB="0" distL="0" distR="0">
                                        <wp:extent cx="314325" cy="1104900"/>
                                        <wp:effectExtent l="0" t="0" r="0" b="0"/>
                                        <wp:docPr id="378" name="Image2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8" name="Image250" descr=""/>
                                                <pic:cNvPicPr>
                                                  <a:picLocks noChangeAspect="1" noChangeArrowheads="1"/>
                                                </pic:cNvPicPr>
                                              </pic:nvPicPr>
                                              <pic:blipFill>
                                                <a:blip r:embed="rId307"/>
                                                <a:stretch>
                                                  <a:fillRect/>
                                                </a:stretch>
                                              </pic:blipFill>
                                              <pic:spPr bwMode="auto">
                                                <a:xfrm>
                                                  <a:off x="0" y="0"/>
                                                  <a:ext cx="314325" cy="1104900"/>
                                                </a:xfrm>
                                                <a:prstGeom prst="rect">
                                                  <a:avLst/>
                                                </a:prstGeom>
                                              </pic:spPr>
                                            </pic:pic>
                                          </a:graphicData>
                                        </a:graphic>
                                      </wp:inline>
                                    </w:drawing>
                                  </w:r>
                                </w:p>
                              </w:tc>
                            </w:tr>
                          </w:tbl>
                          <w:p>
                            <w:pPr>
                              <w:pStyle w:val="TextBody"/>
                              <w:bidi w:val="0"/>
                              <w:spacing w:before="200" w:after="100"/>
                              <w:ind w:left="0" w:right="400" w:hanging="0"/>
                              <w:jc w:val="both"/>
                              <w:rPr>
                                <w:rFonts w:ascii="Arial;Helvetica;Sans-Serif" w:hAnsi="Arial;Helvetica;Sans-Serif"/>
                                <w:sz w:val="12"/>
                              </w:rPr>
                            </w:pPr>
                            <w:r>
                              <w:rPr>
                                <w:rFonts w:ascii="Arial;Helvetica;Sans-Serif" w:hAnsi="Arial;Helvetica;Sans-Serif"/>
                                <w:b/>
                                <w:sz w:val="12"/>
                              </w:rPr>
                              <w:t>VOTE BY INTERNET</w:t>
                            </w:r>
                            <w:r>
                              <w:rPr>
                                <w:rFonts w:ascii="Arial;Helvetica;Sans-Serif" w:hAnsi="Arial;Helvetica;Sans-Serif"/>
                                <w:sz w:val="12"/>
                              </w:rPr>
                              <w:br/>
                            </w:r>
                            <w:r>
                              <w:rPr>
                                <w:rFonts w:ascii="Arial;Helvetica;Sans-Serif" w:hAnsi="Arial;Helvetica;Sans-Serif"/>
                                <w:i/>
                                <w:sz w:val="12"/>
                              </w:rPr>
                              <w:t>Before The Meeting</w:t>
                            </w:r>
                            <w:r>
                              <w:rPr>
                                <w:rFonts w:ascii="Arial;Helvetica;Sans-Serif" w:hAnsi="Arial;Helvetica;Sans-Serif"/>
                                <w:sz w:val="12"/>
                              </w:rPr>
                              <w:t xml:space="preserve"> - Go to </w:t>
                            </w:r>
                            <w:r>
                              <w:rPr>
                                <w:rFonts w:ascii="Arial;Helvetica;Sans-Serif" w:hAnsi="Arial;Helvetica;Sans-Serif"/>
                                <w:b/>
                                <w:sz w:val="12"/>
                                <w:u w:val="single"/>
                              </w:rPr>
                              <w:t>www.proxyvote.com</w:t>
                            </w:r>
                            <w:r>
                              <w:rPr>
                                <w:rFonts w:ascii="Arial;Helvetica;Sans-Serif" w:hAnsi="Arial;Helvetica;Sans-Serif"/>
                                <w:b/>
                                <w:sz w:val="12"/>
                              </w:rPr>
                              <w:t xml:space="preserve"> or scan the QR Barcode above</w:t>
                            </w:r>
                          </w:p>
                          <w:p>
                            <w:pPr>
                              <w:pStyle w:val="TextBody"/>
                              <w:bidi w:val="0"/>
                              <w:spacing w:before="0" w:after="100"/>
                              <w:ind w:left="0" w:right="400" w:hanging="0"/>
                              <w:jc w:val="both"/>
                              <w:rPr>
                                <w:rFonts w:ascii="Arial;Helvetica;Sans-Serif" w:hAnsi="Arial;Helvetica;Sans-Serif"/>
                                <w:sz w:val="12"/>
                              </w:rPr>
                            </w:pPr>
                            <w:r>
                              <w:rPr>
                                <w:rFonts w:ascii="Arial;Helvetica;Sans-Serif" w:hAnsi="Arial;Helvetica;Sans-Serif"/>
                                <w:sz w:val="12"/>
                              </w:rPr>
                              <w:t>Use the Internet to transmit your voting instructions up until 11:59 P.M. Eastern Time on April 29, 2026 for shares held directly and up until 11:59 P.M. Eastern Time on April 27, 2026 for shares held in a company savings plan. Have your proxy card in hand when you access the website listed above and follow the instructions to complete an electronic voting instruction form.</w:t>
                            </w:r>
                          </w:p>
                          <w:p>
                            <w:pPr>
                              <w:pStyle w:val="TextBody"/>
                              <w:bidi w:val="0"/>
                              <w:spacing w:before="0" w:after="120"/>
                              <w:ind w:left="0" w:right="400" w:hanging="0"/>
                              <w:jc w:val="both"/>
                              <w:rPr>
                                <w:rFonts w:ascii="Arial;Helvetica;Sans-Serif" w:hAnsi="Arial;Helvetica;Sans-Serif"/>
                                <w:sz w:val="12"/>
                              </w:rPr>
                            </w:pPr>
                            <w:r>
                              <w:rPr>
                                <w:rFonts w:ascii="Arial;Helvetica;Sans-Serif" w:hAnsi="Arial;Helvetica;Sans-Serif"/>
                                <w:i/>
                                <w:sz w:val="12"/>
                              </w:rPr>
                              <w:t>During The Meeting</w:t>
                            </w:r>
                            <w:r>
                              <w:rPr>
                                <w:rFonts w:ascii="Arial;Helvetica;Sans-Serif" w:hAnsi="Arial;Helvetica;Sans-Serif"/>
                                <w:sz w:val="12"/>
                              </w:rPr>
                              <w:t xml:space="preserve"> - Go to </w:t>
                            </w:r>
                            <w:r>
                              <w:rPr>
                                <w:rFonts w:ascii="Arial;Helvetica;Sans-Serif" w:hAnsi="Arial;Helvetica;Sans-Serif"/>
                                <w:b/>
                                <w:sz w:val="12"/>
                                <w:u w:val="single"/>
                              </w:rPr>
                              <w:t>www.virtualshareholdermeeting.com/RTX2026</w:t>
                            </w:r>
                          </w:p>
                          <w:p>
                            <w:pPr>
                              <w:pStyle w:val="TextBody"/>
                              <w:bidi w:val="0"/>
                              <w:spacing w:before="0" w:after="100"/>
                              <w:ind w:left="0" w:right="400" w:hanging="0"/>
                              <w:jc w:val="both"/>
                              <w:rPr>
                                <w:rFonts w:ascii="Arial;Helvetica;Sans-Serif" w:hAnsi="Arial;Helvetica;Sans-Serif"/>
                                <w:sz w:val="12"/>
                              </w:rPr>
                            </w:pPr>
                            <w:r>
                              <w:rPr>
                                <w:rFonts w:ascii="Arial;Helvetica;Sans-Serif" w:hAnsi="Arial;Helvetica;Sans-Serif"/>
                                <w:sz w:val="12"/>
                              </w:rPr>
                              <w:t>You may attend the meeting via the Internet and vote during the meeting if you are a direct shareowner. Have the information that is printed in the box marked by the arrow available and follow the instructions.</w:t>
                            </w:r>
                          </w:p>
                          <w:p>
                            <w:pPr>
                              <w:pStyle w:val="TextBody"/>
                              <w:bidi w:val="0"/>
                              <w:spacing w:before="0" w:after="100"/>
                              <w:ind w:left="0" w:right="400" w:hanging="0"/>
                              <w:jc w:val="both"/>
                              <w:rPr>
                                <w:rFonts w:ascii="Arial;Helvetica;Sans-Serif" w:hAnsi="Arial;Helvetica;Sans-Serif"/>
                                <w:sz w:val="12"/>
                              </w:rPr>
                            </w:pPr>
                            <w:r>
                              <w:rPr>
                                <w:rFonts w:ascii="Arial;Helvetica;Sans-Serif" w:hAnsi="Arial;Helvetica;Sans-Serif"/>
                                <w:sz w:val="12"/>
                              </w:rPr>
                              <w:t>For shares held through a company savings plan, you must vote prior to the meeting, but may still attend the meeting.</w:t>
                            </w:r>
                          </w:p>
                          <w:p>
                            <w:pPr>
                              <w:pStyle w:val="TextBody"/>
                              <w:bidi w:val="0"/>
                              <w:spacing w:before="0" w:after="100"/>
                              <w:ind w:left="0" w:right="400" w:hanging="0"/>
                              <w:jc w:val="both"/>
                              <w:rPr>
                                <w:rFonts w:ascii="Arial;Helvetica;Sans-Serif" w:hAnsi="Arial;Helvetica;Sans-Serif"/>
                                <w:sz w:val="12"/>
                              </w:rPr>
                            </w:pPr>
                            <w:r>
                              <w:rPr>
                                <w:rFonts w:ascii="Arial;Helvetica;Sans-Serif" w:hAnsi="Arial;Helvetica;Sans-Serif"/>
                                <w:b/>
                                <w:sz w:val="12"/>
                              </w:rPr>
                              <w:t>VOTE BY PHONE - 1-800-690-6903</w:t>
                            </w:r>
                            <w:r>
                              <w:rPr>
                                <w:rFonts w:ascii="Arial;Helvetica;Sans-Serif" w:hAnsi="Arial;Helvetica;Sans-Serif"/>
                                <w:sz w:val="12"/>
                              </w:rPr>
                              <w:br/>
                              <w:t>Use any touch-tone telephone to transmit your voting instructions up until 11:59 P.M. Eastern Time on April 29, 2026 for shares held directly and up until 11:59 P.M. Eastern Time on April 27, 2026 for shares held in a company savings plan. Have your proxy card in hand when you call and then follow the instructions.</w:t>
                            </w:r>
                          </w:p>
                          <w:p>
                            <w:pPr>
                              <w:pStyle w:val="TextBody"/>
                              <w:bidi w:val="0"/>
                              <w:spacing w:before="0" w:after="0"/>
                              <w:ind w:left="0" w:right="400" w:hanging="0"/>
                              <w:jc w:val="both"/>
                              <w:rPr>
                                <w:rFonts w:ascii="Arial;Helvetica;Sans-Serif" w:hAnsi="Arial;Helvetica;Sans-Serif"/>
                                <w:sz w:val="12"/>
                              </w:rPr>
                            </w:pPr>
                            <w:r>
                              <w:rPr>
                                <w:rFonts w:ascii="Arial;Helvetica;Sans-Serif" w:hAnsi="Arial;Helvetica;Sans-Serif"/>
                                <w:b/>
                                <w:sz w:val="12"/>
                              </w:rPr>
                              <w:t>VOTE BY MAIL</w:t>
                            </w:r>
                            <w:r>
                              <w:rPr>
                                <w:rFonts w:ascii="Arial;Helvetica;Sans-Serif" w:hAnsi="Arial;Helvetica;Sans-Serif"/>
                                <w:sz w:val="12"/>
                              </w:rPr>
                              <w:br/>
                              <w:t>Mark, sign and date your proxy card and return it in the postage-paid envelope we have provided or return it to Vote Processing, c/o Broadridge, 51 Mercedes Way, Edgewood, NY 11717.</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368.4pt;mso-wrap-distance-left:0pt;mso-wrap-distance-right:0pt;mso-wrap-distance-top:0pt;mso-wrap-distance-bottom:0pt;margin-top:0pt;mso-position-vertical:top;mso-position-vertical-relative:text;margin-left:265.35pt;mso-position-horizontal:right;mso-position-horizontal-relative:text">
                <v:textbox>
                  <w:txbxContent>
                    <w:tbl>
                      <w:tblPr>
                        <w:tblW w:w="3335" w:type="dxa"/>
                        <w:jc w:val="left"/>
                        <w:tblInd w:w="300" w:type="dxa"/>
                        <w:tblLayout w:type="fixed"/>
                        <w:tblCellMar>
                          <w:top w:w="0" w:type="dxa"/>
                          <w:left w:w="0" w:type="dxa"/>
                          <w:bottom w:w="0" w:type="dxa"/>
                          <w:right w:w="0" w:type="dxa"/>
                        </w:tblCellMar>
                      </w:tblPr>
                      <w:tblGrid>
                        <w:gridCol w:w="540"/>
                        <w:gridCol w:w="300"/>
                        <w:gridCol w:w="1700"/>
                        <w:gridCol w:w="300"/>
                        <w:gridCol w:w="495"/>
                      </w:tblGrid>
                      <w:tr>
                        <w:trPr/>
                        <w:tc>
                          <w:tcPr>
                            <w:tcW w:w="540"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283"/>
                              <w:jc w:val="center"/>
                              <w:rPr/>
                            </w:pPr>
                            <w:r>
                              <w:rPr/>
                              <w:t> </w:t>
                            </w:r>
                          </w:p>
                        </w:tc>
                        <w:tc>
                          <w:tcPr>
                            <w:tcW w:w="1700" w:type="dxa"/>
                            <w:tcBorders/>
                            <w:vAlign w:val="center"/>
                          </w:tcPr>
                          <w:p>
                            <w:pPr>
                              <w:pStyle w:val="TableContents"/>
                              <w:bidi w:val="0"/>
                              <w:spacing w:before="0" w:after="283"/>
                              <w:jc w:val="center"/>
                              <w:rPr/>
                            </w:pPr>
                            <w:r>
                              <w:rPr/>
                              <w:t> </w:t>
                            </w:r>
                          </w:p>
                        </w:tc>
                        <w:tc>
                          <w:tcPr>
                            <w:tcW w:w="300" w:type="dxa"/>
                            <w:tcBorders/>
                            <w:vAlign w:val="center"/>
                          </w:tcPr>
                          <w:p>
                            <w:pPr>
                              <w:pStyle w:val="TableContents"/>
                              <w:bidi w:val="0"/>
                              <w:spacing w:before="0" w:after="283"/>
                              <w:jc w:val="center"/>
                              <w:rPr/>
                            </w:pPr>
                            <w:r>
                              <w:rPr/>
                              <w:t> </w:t>
                            </w:r>
                          </w:p>
                        </w:tc>
                        <w:tc>
                          <w:tcPr>
                            <w:tcW w:w="495" w:type="dxa"/>
                            <w:tcBorders/>
                            <w:vAlign w:val="center"/>
                          </w:tcPr>
                          <w:p>
                            <w:pPr>
                              <w:pStyle w:val="TableContents"/>
                              <w:bidi w:val="0"/>
                              <w:spacing w:before="0" w:after="283"/>
                              <w:jc w:val="right"/>
                              <w:rPr/>
                            </w:pPr>
                            <w:r>
                              <w:rPr/>
                              <w:t> </w:t>
                            </w:r>
                          </w:p>
                        </w:tc>
                      </w:tr>
                      <w:tr>
                        <w:trPr/>
                        <w:tc>
                          <w:tcPr>
                            <w:tcW w:w="540" w:type="dxa"/>
                            <w:tcBorders/>
                            <w:vAlign w:val="center"/>
                          </w:tcPr>
                          <w:p>
                            <w:pPr>
                              <w:pStyle w:val="TableContents"/>
                              <w:bidi w:val="0"/>
                              <w:spacing w:before="0" w:after="283"/>
                              <w:jc w:val="left"/>
                              <w:rPr/>
                            </w:pPr>
                            <w:r>
                              <w:rPr/>
                              <w:drawing>
                                <wp:inline distT="0" distB="0" distL="0" distR="0">
                                  <wp:extent cx="342900" cy="1695450"/>
                                  <wp:effectExtent l="0" t="0" r="0" b="0"/>
                                  <wp:docPr id="379" name="Image2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9" name="Image249" descr=""/>
                                          <pic:cNvPicPr>
                                            <a:picLocks noChangeAspect="1" noChangeArrowheads="1"/>
                                          </pic:cNvPicPr>
                                        </pic:nvPicPr>
                                        <pic:blipFill>
                                          <a:blip r:embed="rId308"/>
                                          <a:stretch>
                                            <a:fillRect/>
                                          </a:stretch>
                                        </pic:blipFill>
                                        <pic:spPr bwMode="auto">
                                          <a:xfrm>
                                            <a:off x="0" y="0"/>
                                            <a:ext cx="342900" cy="1695450"/>
                                          </a:xfrm>
                                          <a:prstGeom prst="rect">
                                            <a:avLst/>
                                          </a:prstGeom>
                                        </pic:spPr>
                                      </pic:pic>
                                    </a:graphicData>
                                  </a:graphic>
                                </wp:inline>
                              </w:drawing>
                            </w:r>
                          </w:p>
                        </w:tc>
                        <w:tc>
                          <w:tcPr>
                            <w:tcW w:w="300" w:type="dxa"/>
                            <w:tcBorders/>
                            <w:vAlign w:val="center"/>
                          </w:tcPr>
                          <w:p>
                            <w:pPr>
                              <w:pStyle w:val="TableContents"/>
                              <w:bidi w:val="0"/>
                              <w:spacing w:before="0" w:after="283"/>
                              <w:jc w:val="center"/>
                              <w:rPr/>
                            </w:pPr>
                            <w:r>
                              <w:rPr/>
                              <w:t>     </w:t>
                            </w:r>
                          </w:p>
                        </w:tc>
                        <w:tc>
                          <w:tcPr>
                            <w:tcW w:w="1700" w:type="dxa"/>
                            <w:tcBorders/>
                            <w:vAlign w:val="center"/>
                          </w:tcPr>
                          <w:p>
                            <w:pPr>
                              <w:pStyle w:val="TableContents"/>
                              <w:bidi w:val="0"/>
                              <w:spacing w:before="0" w:after="283"/>
                              <w:jc w:val="center"/>
                              <w:rPr/>
                            </w:pPr>
                            <w:r>
                              <w:rPr>
                                <w:rFonts w:ascii="Arial;Helvetica;Sans-Serif" w:hAnsi="Arial;Helvetica;Sans-Serif"/>
                                <w:b/>
                                <w:i w:val="false"/>
                                <w:caps w:val="false"/>
                                <w:smallCaps w:val="false"/>
                                <w:sz w:val="30"/>
                              </w:rPr>
                              <w:t>SCAN TO</w:t>
                            </w:r>
                            <w:r>
                              <w:rPr/>
                              <w:br/>
                            </w:r>
                            <w:r>
                              <w:rPr>
                                <w:rFonts w:ascii="Arial;Helvetica;Sans-Serif" w:hAnsi="Arial;Helvetica;Sans-Serif"/>
                                <w:b/>
                                <w:i w:val="false"/>
                                <w:caps w:val="false"/>
                                <w:smallCaps w:val="false"/>
                                <w:sz w:val="14"/>
                              </w:rPr>
                              <w:t>VIEW MATERIALS &amp; VOTE</w:t>
                            </w:r>
                          </w:p>
                        </w:tc>
                        <w:tc>
                          <w:tcPr>
                            <w:tcW w:w="300" w:type="dxa"/>
                            <w:tcBorders/>
                            <w:vAlign w:val="center"/>
                          </w:tcPr>
                          <w:p>
                            <w:pPr>
                              <w:pStyle w:val="TableContents"/>
                              <w:bidi w:val="0"/>
                              <w:spacing w:before="0" w:after="283"/>
                              <w:jc w:val="center"/>
                              <w:rPr/>
                            </w:pPr>
                            <w:r>
                              <w:rPr/>
                              <w:t>     </w:t>
                            </w:r>
                          </w:p>
                        </w:tc>
                        <w:tc>
                          <w:tcPr>
                            <w:tcW w:w="495" w:type="dxa"/>
                            <w:tcBorders/>
                            <w:vAlign w:val="center"/>
                          </w:tcPr>
                          <w:p>
                            <w:pPr>
                              <w:pStyle w:val="TableContents"/>
                              <w:bidi w:val="0"/>
                              <w:spacing w:before="0" w:after="283"/>
                              <w:jc w:val="right"/>
                              <w:rPr/>
                            </w:pPr>
                            <w:r>
                              <w:rPr/>
                              <w:drawing>
                                <wp:inline distT="0" distB="0" distL="0" distR="0">
                                  <wp:extent cx="314325" cy="1104900"/>
                                  <wp:effectExtent l="0" t="0" r="0" b="0"/>
                                  <wp:docPr id="380" name="Image2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0" name="Image250" descr=""/>
                                          <pic:cNvPicPr>
                                            <a:picLocks noChangeAspect="1" noChangeArrowheads="1"/>
                                          </pic:cNvPicPr>
                                        </pic:nvPicPr>
                                        <pic:blipFill>
                                          <a:blip r:embed="rId309"/>
                                          <a:stretch>
                                            <a:fillRect/>
                                          </a:stretch>
                                        </pic:blipFill>
                                        <pic:spPr bwMode="auto">
                                          <a:xfrm>
                                            <a:off x="0" y="0"/>
                                            <a:ext cx="314325" cy="1104900"/>
                                          </a:xfrm>
                                          <a:prstGeom prst="rect">
                                            <a:avLst/>
                                          </a:prstGeom>
                                        </pic:spPr>
                                      </pic:pic>
                                    </a:graphicData>
                                  </a:graphic>
                                </wp:inline>
                              </w:drawing>
                            </w:r>
                          </w:p>
                        </w:tc>
                      </w:tr>
                    </w:tbl>
                    <w:p>
                      <w:pPr>
                        <w:pStyle w:val="TextBody"/>
                        <w:bidi w:val="0"/>
                        <w:spacing w:before="200" w:after="100"/>
                        <w:ind w:left="0" w:right="400" w:hanging="0"/>
                        <w:jc w:val="both"/>
                        <w:rPr>
                          <w:rFonts w:ascii="Arial;Helvetica;Sans-Serif" w:hAnsi="Arial;Helvetica;Sans-Serif"/>
                          <w:sz w:val="12"/>
                        </w:rPr>
                      </w:pPr>
                      <w:r>
                        <w:rPr>
                          <w:rFonts w:ascii="Arial;Helvetica;Sans-Serif" w:hAnsi="Arial;Helvetica;Sans-Serif"/>
                          <w:b/>
                          <w:sz w:val="12"/>
                        </w:rPr>
                        <w:t>VOTE BY INTERNET</w:t>
                      </w:r>
                      <w:r>
                        <w:rPr>
                          <w:rFonts w:ascii="Arial;Helvetica;Sans-Serif" w:hAnsi="Arial;Helvetica;Sans-Serif"/>
                          <w:sz w:val="12"/>
                        </w:rPr>
                        <w:br/>
                      </w:r>
                      <w:r>
                        <w:rPr>
                          <w:rFonts w:ascii="Arial;Helvetica;Sans-Serif" w:hAnsi="Arial;Helvetica;Sans-Serif"/>
                          <w:i/>
                          <w:sz w:val="12"/>
                        </w:rPr>
                        <w:t>Before The Meeting</w:t>
                      </w:r>
                      <w:r>
                        <w:rPr>
                          <w:rFonts w:ascii="Arial;Helvetica;Sans-Serif" w:hAnsi="Arial;Helvetica;Sans-Serif"/>
                          <w:sz w:val="12"/>
                        </w:rPr>
                        <w:t xml:space="preserve"> - Go to </w:t>
                      </w:r>
                      <w:r>
                        <w:rPr>
                          <w:rFonts w:ascii="Arial;Helvetica;Sans-Serif" w:hAnsi="Arial;Helvetica;Sans-Serif"/>
                          <w:b/>
                          <w:sz w:val="12"/>
                          <w:u w:val="single"/>
                        </w:rPr>
                        <w:t>www.proxyvote.com</w:t>
                      </w:r>
                      <w:r>
                        <w:rPr>
                          <w:rFonts w:ascii="Arial;Helvetica;Sans-Serif" w:hAnsi="Arial;Helvetica;Sans-Serif"/>
                          <w:b/>
                          <w:sz w:val="12"/>
                        </w:rPr>
                        <w:t xml:space="preserve"> or scan the QR Barcode above</w:t>
                      </w:r>
                    </w:p>
                    <w:p>
                      <w:pPr>
                        <w:pStyle w:val="TextBody"/>
                        <w:bidi w:val="0"/>
                        <w:spacing w:before="0" w:after="100"/>
                        <w:ind w:left="0" w:right="400" w:hanging="0"/>
                        <w:jc w:val="both"/>
                        <w:rPr>
                          <w:rFonts w:ascii="Arial;Helvetica;Sans-Serif" w:hAnsi="Arial;Helvetica;Sans-Serif"/>
                          <w:sz w:val="12"/>
                        </w:rPr>
                      </w:pPr>
                      <w:r>
                        <w:rPr>
                          <w:rFonts w:ascii="Arial;Helvetica;Sans-Serif" w:hAnsi="Arial;Helvetica;Sans-Serif"/>
                          <w:sz w:val="12"/>
                        </w:rPr>
                        <w:t>Use the Internet to transmit your voting instructions up until 11:59 P.M. Eastern Time on April 29, 2026 for shares held directly and up until 11:59 P.M. Eastern Time on April 27, 2026 for shares held in a company savings plan. Have your proxy card in hand when you access the website listed above and follow the instructions to complete an electronic voting instruction form.</w:t>
                      </w:r>
                    </w:p>
                    <w:p>
                      <w:pPr>
                        <w:pStyle w:val="TextBody"/>
                        <w:bidi w:val="0"/>
                        <w:spacing w:before="0" w:after="120"/>
                        <w:ind w:left="0" w:right="400" w:hanging="0"/>
                        <w:jc w:val="both"/>
                        <w:rPr>
                          <w:rFonts w:ascii="Arial;Helvetica;Sans-Serif" w:hAnsi="Arial;Helvetica;Sans-Serif"/>
                          <w:sz w:val="12"/>
                        </w:rPr>
                      </w:pPr>
                      <w:r>
                        <w:rPr>
                          <w:rFonts w:ascii="Arial;Helvetica;Sans-Serif" w:hAnsi="Arial;Helvetica;Sans-Serif"/>
                          <w:i/>
                          <w:sz w:val="12"/>
                        </w:rPr>
                        <w:t>During The Meeting</w:t>
                      </w:r>
                      <w:r>
                        <w:rPr>
                          <w:rFonts w:ascii="Arial;Helvetica;Sans-Serif" w:hAnsi="Arial;Helvetica;Sans-Serif"/>
                          <w:sz w:val="12"/>
                        </w:rPr>
                        <w:t xml:space="preserve"> - Go to </w:t>
                      </w:r>
                      <w:r>
                        <w:rPr>
                          <w:rFonts w:ascii="Arial;Helvetica;Sans-Serif" w:hAnsi="Arial;Helvetica;Sans-Serif"/>
                          <w:b/>
                          <w:sz w:val="12"/>
                          <w:u w:val="single"/>
                        </w:rPr>
                        <w:t>www.virtualshareholdermeeting.com/RTX2026</w:t>
                      </w:r>
                    </w:p>
                    <w:p>
                      <w:pPr>
                        <w:pStyle w:val="TextBody"/>
                        <w:bidi w:val="0"/>
                        <w:spacing w:before="0" w:after="100"/>
                        <w:ind w:left="0" w:right="400" w:hanging="0"/>
                        <w:jc w:val="both"/>
                        <w:rPr>
                          <w:rFonts w:ascii="Arial;Helvetica;Sans-Serif" w:hAnsi="Arial;Helvetica;Sans-Serif"/>
                          <w:sz w:val="12"/>
                        </w:rPr>
                      </w:pPr>
                      <w:r>
                        <w:rPr>
                          <w:rFonts w:ascii="Arial;Helvetica;Sans-Serif" w:hAnsi="Arial;Helvetica;Sans-Serif"/>
                          <w:sz w:val="12"/>
                        </w:rPr>
                        <w:t>You may attend the meeting via the Internet and vote during the meeting if you are a direct shareowner. Have the information that is printed in the box marked by the arrow available and follow the instructions.</w:t>
                      </w:r>
                    </w:p>
                    <w:p>
                      <w:pPr>
                        <w:pStyle w:val="TextBody"/>
                        <w:bidi w:val="0"/>
                        <w:spacing w:before="0" w:after="100"/>
                        <w:ind w:left="0" w:right="400" w:hanging="0"/>
                        <w:jc w:val="both"/>
                        <w:rPr>
                          <w:rFonts w:ascii="Arial;Helvetica;Sans-Serif" w:hAnsi="Arial;Helvetica;Sans-Serif"/>
                          <w:sz w:val="12"/>
                        </w:rPr>
                      </w:pPr>
                      <w:r>
                        <w:rPr>
                          <w:rFonts w:ascii="Arial;Helvetica;Sans-Serif" w:hAnsi="Arial;Helvetica;Sans-Serif"/>
                          <w:sz w:val="12"/>
                        </w:rPr>
                        <w:t>For shares held through a company savings plan, you must vote prior to the meeting, but may still attend the meeting.</w:t>
                      </w:r>
                    </w:p>
                    <w:p>
                      <w:pPr>
                        <w:pStyle w:val="TextBody"/>
                        <w:bidi w:val="0"/>
                        <w:spacing w:before="0" w:after="100"/>
                        <w:ind w:left="0" w:right="400" w:hanging="0"/>
                        <w:jc w:val="both"/>
                        <w:rPr>
                          <w:rFonts w:ascii="Arial;Helvetica;Sans-Serif" w:hAnsi="Arial;Helvetica;Sans-Serif"/>
                          <w:sz w:val="12"/>
                        </w:rPr>
                      </w:pPr>
                      <w:r>
                        <w:rPr>
                          <w:rFonts w:ascii="Arial;Helvetica;Sans-Serif" w:hAnsi="Arial;Helvetica;Sans-Serif"/>
                          <w:b/>
                          <w:sz w:val="12"/>
                        </w:rPr>
                        <w:t>VOTE BY PHONE - 1-800-690-6903</w:t>
                      </w:r>
                      <w:r>
                        <w:rPr>
                          <w:rFonts w:ascii="Arial;Helvetica;Sans-Serif" w:hAnsi="Arial;Helvetica;Sans-Serif"/>
                          <w:sz w:val="12"/>
                        </w:rPr>
                        <w:br/>
                        <w:t>Use any touch-tone telephone to transmit your voting instructions up until 11:59 P.M. Eastern Time on April 29, 2026 for shares held directly and up until 11:59 P.M. Eastern Time on April 27, 2026 for shares held in a company savings plan. Have your proxy card in hand when you call and then follow the instructions.</w:t>
                      </w:r>
                    </w:p>
                    <w:p>
                      <w:pPr>
                        <w:pStyle w:val="TextBody"/>
                        <w:bidi w:val="0"/>
                        <w:spacing w:before="0" w:after="0"/>
                        <w:ind w:left="0" w:right="400" w:hanging="0"/>
                        <w:jc w:val="both"/>
                        <w:rPr>
                          <w:rFonts w:ascii="Arial;Helvetica;Sans-Serif" w:hAnsi="Arial;Helvetica;Sans-Serif"/>
                          <w:sz w:val="12"/>
                        </w:rPr>
                      </w:pPr>
                      <w:r>
                        <w:rPr>
                          <w:rFonts w:ascii="Arial;Helvetica;Sans-Serif" w:hAnsi="Arial;Helvetica;Sans-Serif"/>
                          <w:b/>
                          <w:sz w:val="12"/>
                        </w:rPr>
                        <w:t>VOTE BY MAIL</w:t>
                      </w:r>
                      <w:r>
                        <w:rPr>
                          <w:rFonts w:ascii="Arial;Helvetica;Sans-Serif" w:hAnsi="Arial;Helvetica;Sans-Serif"/>
                          <w:sz w:val="12"/>
                        </w:rPr>
                        <w:br/>
                        <w:t>Mark, sign and date your proxy card and return it in the postage-paid envelope we have provided or return it to Vote Processing, c/o Broadridge, 51 Mercedes Way, Edgewood, NY 11717.</w:t>
                      </w:r>
                    </w:p>
                  </w:txbxContent>
                </v:textbox>
                <w10:wrap type="square" side="left"/>
              </v:rect>
            </w:pict>
          </mc:Fallback>
        </mc:AlternateContent>
      </w:r>
    </w:p>
    <w:tbl>
      <w:tblPr>
        <w:tblW w:w="7525" w:type="dxa"/>
        <w:jc w:val="left"/>
        <w:tblInd w:w="0" w:type="dxa"/>
        <w:tblLayout w:type="fixed"/>
        <w:tblCellMar>
          <w:top w:w="0" w:type="dxa"/>
          <w:left w:w="0" w:type="dxa"/>
          <w:bottom w:w="0" w:type="dxa"/>
          <w:right w:w="0" w:type="dxa"/>
        </w:tblCellMar>
      </w:tblPr>
      <w:tblGrid>
        <w:gridCol w:w="4700"/>
        <w:gridCol w:w="2825"/>
      </w:tblGrid>
      <w:tr>
        <w:trPr/>
        <w:tc>
          <w:tcPr>
            <w:tcW w:w="4700"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TO VOTE, MARK BLOCKS BELOW IN BLUE OR BLACK INK AS FOLLOWS:</w:t>
            </w:r>
          </w:p>
        </w:tc>
        <w:tc>
          <w:tcPr>
            <w:tcW w:w="2825" w:type="dxa"/>
            <w:tcBorders/>
            <w:vAlign w:val="center"/>
          </w:tcPr>
          <w:p>
            <w:pPr>
              <w:pStyle w:val="TableContents"/>
              <w:bidi w:val="0"/>
              <w:spacing w:before="0" w:after="283"/>
              <w:jc w:val="left"/>
              <w:rPr>
                <w:sz w:val="4"/>
                <w:szCs w:val="4"/>
              </w:rPr>
            </w:pPr>
            <w:r>
              <w:rPr>
                <w:sz w:val="4"/>
                <w:szCs w:val="4"/>
              </w:rPr>
            </w:r>
          </w:p>
        </w:tc>
      </w:tr>
      <w:tr>
        <w:trPr/>
        <w:tc>
          <w:tcPr>
            <w:tcW w:w="4700" w:type="dxa"/>
            <w:tcBorders>
              <w:bottom w:val="dashed" w:sz="12" w:space="0" w:color="000000"/>
            </w:tcBorders>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V88187-P42225-Z91759               </w:t>
            </w:r>
          </w:p>
        </w:tc>
        <w:tc>
          <w:tcPr>
            <w:tcW w:w="2825" w:type="dxa"/>
            <w:tcBorders>
              <w:bottom w:val="dashed" w:sz="12" w:space="0" w:color="000000"/>
            </w:tcBorders>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KEEP THIS PORTION FOR YOUR RECORDS</w:t>
            </w:r>
          </w:p>
        </w:tc>
      </w:tr>
      <w:tr>
        <w:trPr/>
        <w:tc>
          <w:tcPr>
            <w:tcW w:w="4700" w:type="dxa"/>
            <w:tcBorders/>
            <w:vAlign w:val="center"/>
          </w:tcPr>
          <w:p>
            <w:pPr>
              <w:pStyle w:val="TableContents"/>
              <w:bidi w:val="0"/>
              <w:spacing w:before="0" w:after="283"/>
              <w:jc w:val="left"/>
              <w:rPr>
                <w:sz w:val="4"/>
                <w:szCs w:val="4"/>
              </w:rPr>
            </w:pPr>
            <w:r>
              <w:rPr>
                <w:sz w:val="4"/>
                <w:szCs w:val="4"/>
              </w:rPr>
            </w:r>
          </w:p>
        </w:tc>
        <w:tc>
          <w:tcPr>
            <w:tcW w:w="2825" w:type="dxa"/>
            <w:tcBorders/>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DETACH AND RETURN THIS PORTION ONLY</w:t>
            </w:r>
          </w:p>
        </w:tc>
      </w:tr>
      <w:tr>
        <w:trPr/>
        <w:tc>
          <w:tcPr>
            <w:tcW w:w="7525" w:type="dxa"/>
            <w:gridSpan w:val="2"/>
            <w:tcBorders/>
            <w:vAlign w:val="center"/>
          </w:tcPr>
          <w:p>
            <w:pPr>
              <w:pStyle w:val="TableContents"/>
              <w:bidi w:val="0"/>
              <w:spacing w:before="0" w:after="283"/>
              <w:jc w:val="center"/>
              <w:rPr>
                <w:rFonts w:ascii="Arial;Helvetica;Sans-Serif" w:hAnsi="Arial;Helvetica;Sans-Serif"/>
                <w:b/>
                <w:i w:val="false"/>
                <w:caps w:val="false"/>
                <w:smallCaps w:val="false"/>
                <w:sz w:val="16"/>
              </w:rPr>
            </w:pPr>
            <w:r>
              <w:rPr>
                <w:rFonts w:ascii="Arial;Helvetica;Sans-Serif" w:hAnsi="Arial;Helvetica;Sans-Serif"/>
                <w:b/>
                <w:i w:val="false"/>
                <w:caps w:val="false"/>
                <w:smallCaps w:val="false"/>
                <w:sz w:val="16"/>
              </w:rPr>
              <w:t>THIS PROXY CARD IS VALID ONLY WHEN SIGNED AND DATED.</w:t>
            </w:r>
          </w:p>
        </w:tc>
      </w:tr>
    </w:tbl>
    <w:p>
      <w:pPr>
        <w:pStyle w:val="TextBody"/>
        <w:bidi w:val="0"/>
        <w:spacing w:before="0" w:after="100"/>
        <w:ind w:left="0" w:right="0" w:hanging="0"/>
        <w:jc w:val="both"/>
        <w:rPr>
          <w:rFonts w:ascii="Arial;Helvetica;Sans-Serif" w:hAnsi="Arial;Helvetica;Sans-Serif"/>
          <w:b/>
          <w:i w:val="false"/>
          <w:caps w:val="false"/>
          <w:smallCaps w:val="false"/>
          <w:sz w:val="14"/>
          <w:bdr w:val="single" w:sz="12" w:space="4" w:color="000000"/>
        </w:rPr>
      </w:pPr>
      <w:r>
        <w:rPr>
          <w:rFonts w:ascii="Arial;Helvetica;Sans-Serif" w:hAnsi="Arial;Helvetica;Sans-Serif"/>
          <w:b/>
          <w:i w:val="false"/>
          <w:caps w:val="false"/>
          <w:smallCaps w:val="false"/>
          <w:sz w:val="14"/>
          <w:bdr w:val="single" w:sz="12" w:space="4" w:color="000000"/>
        </w:rPr>
        <w:t>RTX CORPORATION</w:t>
      </w:r>
    </w:p>
    <w:p>
      <w:pPr>
        <w:pStyle w:val="TextBody"/>
        <w:bidi w:val="0"/>
        <w:spacing w:before="0" w:after="283"/>
        <w:jc w:val="left"/>
        <w:rPr/>
      </w:pPr>
      <w:r>
        <w:rPr/>
      </w:r>
      <w:r>
        <mc:AlternateContent>
          <mc:Choice Requires="wps">
            <w:drawing>
              <wp:anchor behindDoc="0" distT="0" distB="0" distL="0" distR="0" simplePos="0" locked="0" layoutInCell="1" allowOverlap="1" relativeHeight="326">
                <wp:simplePos x="0" y="0"/>
                <wp:positionH relativeFrom="column">
                  <wp:align>left</wp:align>
                </wp:positionH>
                <wp:positionV relativeFrom="line">
                  <wp:posOffset>635</wp:posOffset>
                </wp:positionV>
                <wp:extent cx="3110230" cy="9433560"/>
                <wp:effectExtent l="0" t="0" r="0" b="0"/>
                <wp:wrapSquare wrapText="right"/>
                <wp:docPr id="381" name="Frame73"/>
                <a:graphic xmlns:a="http://schemas.openxmlformats.org/drawingml/2006/main">
                  <a:graphicData uri="http://schemas.microsoft.com/office/word/2010/wordprocessingShape">
                    <wps:wsp>
                      <wps:cNvSpPr txBox="1"/>
                      <wps:spPr>
                        <a:xfrm>
                          <a:off x="0" y="0"/>
                          <a:ext cx="3110230" cy="9433560"/>
                        </a:xfrm>
                        <a:prstGeom prst="rect"/>
                        <a:solidFill>
                          <a:srgbClr val="FFFFFF"/>
                        </a:solidFill>
                      </wps:spPr>
                      <wps:txbx>
                        <w:txbxContent>
                          <w:tbl>
                            <w:tblPr>
                              <w:tblW w:w="5162" w:type="dxa"/>
                              <w:jc w:val="left"/>
                              <w:tblInd w:w="0" w:type="dxa"/>
                              <w:tblLayout w:type="fixed"/>
                              <w:tblCellMar>
                                <w:top w:w="0" w:type="dxa"/>
                                <w:left w:w="0" w:type="dxa"/>
                                <w:bottom w:w="0" w:type="dxa"/>
                                <w:right w:w="0" w:type="dxa"/>
                              </w:tblCellMar>
                            </w:tblPr>
                            <w:tblGrid>
                              <w:gridCol w:w="1077"/>
                              <w:gridCol w:w="618"/>
                              <w:gridCol w:w="2181"/>
                              <w:gridCol w:w="235"/>
                              <w:gridCol w:w="495"/>
                              <w:gridCol w:w="495"/>
                              <w:gridCol w:w="61"/>
                            </w:tblGrid>
                            <w:tr>
                              <w:trPr/>
                              <w:tc>
                                <w:tcPr>
                                  <w:tcW w:w="5162" w:type="dxa"/>
                                  <w:gridSpan w:val="7"/>
                                  <w:tcBorders/>
                                  <w:vAlign w:val="center"/>
                                </w:tcPr>
                                <w:p>
                                  <w:pPr>
                                    <w:pStyle w:val="TableContents"/>
                                    <w:bidi w:val="0"/>
                                    <w:spacing w:before="0" w:after="283"/>
                                    <w:jc w:val="both"/>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 xml:space="preserve">The </w:t>
                                  </w:r>
                                  <w:r>
                                    <w:rPr>
                                      <w:rFonts w:ascii="Arial;Helvetica;Sans-Serif" w:hAnsi="Arial;Helvetica;Sans-Serif"/>
                                      <w:b/>
                                      <w:i w:val="false"/>
                                      <w:caps w:val="false"/>
                                      <w:smallCaps w:val="false"/>
                                      <w:sz w:val="14"/>
                                    </w:rPr>
                                    <w:t>Board of Directors</w:t>
                                  </w:r>
                                  <w:r>
                                    <w:rPr>
                                      <w:rFonts w:ascii="Arial;Helvetica;Sans-Serif" w:hAnsi="Arial;Helvetica;Sans-Serif"/>
                                      <w:b w:val="false"/>
                                      <w:i w:val="false"/>
                                      <w:caps w:val="false"/>
                                      <w:smallCaps w:val="false"/>
                                      <w:sz w:val="14"/>
                                    </w:rPr>
                                    <w:t xml:space="preserve"> recommends a vote </w:t>
                                  </w:r>
                                  <w:r>
                                    <w:rPr>
                                      <w:rFonts w:ascii="Arial;Helvetica;Sans-Serif" w:hAnsi="Arial;Helvetica;Sans-Serif"/>
                                      <w:b/>
                                      <w:i w:val="false"/>
                                      <w:caps w:val="false"/>
                                      <w:smallCaps w:val="false"/>
                                      <w:sz w:val="14"/>
                                    </w:rPr>
                                    <w:t>FOR</w:t>
                                  </w:r>
                                  <w:r>
                                    <w:rPr>
                                      <w:rFonts w:ascii="Arial;Helvetica;Sans-Serif" w:hAnsi="Arial;Helvetica;Sans-Serif"/>
                                      <w:b w:val="false"/>
                                      <w:i w:val="false"/>
                                      <w:caps w:val="false"/>
                                      <w:smallCaps w:val="false"/>
                                      <w:sz w:val="14"/>
                                    </w:rPr>
                                    <w:t xml:space="preserve"> the listed nominees under Item 1.</w:t>
                                  </w:r>
                                </w:p>
                              </w:tc>
                            </w:tr>
                            <w:tr>
                              <w:trPr/>
                              <w:tc>
                                <w:tcPr>
                                  <w:tcW w:w="3876" w:type="dxa"/>
                                  <w:gridSpan w:val="3"/>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61" w:type="dxa"/>
                                  <w:tcBorders/>
                                </w:tcPr>
                                <w:p>
                                  <w:pPr>
                                    <w:pStyle w:val="TableContents"/>
                                    <w:bidi w:val="0"/>
                                    <w:spacing w:before="0" w:after="283"/>
                                    <w:jc w:val="left"/>
                                    <w:rPr>
                                      <w:sz w:val="4"/>
                                      <w:szCs w:val="4"/>
                                    </w:rPr>
                                  </w:pPr>
                                  <w:r>
                                    <w:rPr>
                                      <w:sz w:val="4"/>
                                      <w:szCs w:val="4"/>
                                    </w:rPr>
                                  </w:r>
                                </w:p>
                              </w:tc>
                            </w:tr>
                            <w:tr>
                              <w:trPr/>
                              <w:tc>
                                <w:tcPr>
                                  <w:tcW w:w="1077" w:type="dxa"/>
                                  <w:tcBorders/>
                                  <w:vAlign w:val="center"/>
                                </w:tcPr>
                                <w:p>
                                  <w:pPr>
                                    <w:pStyle w:val="TableContents"/>
                                    <w:bidi w:val="0"/>
                                    <w:spacing w:before="0" w:after="283"/>
                                    <w:jc w:val="left"/>
                                    <w:rPr/>
                                  </w:pPr>
                                  <w:r>
                                    <w:rPr/>
                                    <w:t>Item 1 -     </w:t>
                                  </w:r>
                                </w:p>
                              </w:tc>
                              <w:tc>
                                <w:tcPr>
                                  <w:tcW w:w="2799" w:type="dxa"/>
                                  <w:gridSpan w:val="2"/>
                                  <w:tcBorders/>
                                  <w:vAlign w:val="center"/>
                                </w:tcPr>
                                <w:p>
                                  <w:pPr>
                                    <w:pStyle w:val="TableContents"/>
                                    <w:bidi w:val="0"/>
                                    <w:spacing w:before="0" w:after="283"/>
                                    <w:jc w:val="both"/>
                                    <w:rPr/>
                                  </w:pPr>
                                  <w:r>
                                    <w:rPr/>
                                    <w:t>Election of Directors</w:t>
                                  </w:r>
                                </w:p>
                              </w:tc>
                              <w:tc>
                                <w:tcPr>
                                  <w:tcW w:w="235" w:type="dxa"/>
                                  <w:tcBorders/>
                                  <w:vAlign w:val="center"/>
                                </w:tcPr>
                                <w:p>
                                  <w:pPr>
                                    <w:pStyle w:val="TableContents"/>
                                    <w:bidi w:val="0"/>
                                    <w:spacing w:before="0" w:after="283"/>
                                    <w:jc w:val="center"/>
                                    <w:rPr/>
                                  </w:pPr>
                                  <w:r>
                                    <w:rPr/>
                                    <w:t> </w:t>
                                  </w:r>
                                </w:p>
                              </w:tc>
                              <w:tc>
                                <w:tcPr>
                                  <w:tcW w:w="495" w:type="dxa"/>
                                  <w:tcBorders/>
                                  <w:vAlign w:val="center"/>
                                </w:tcPr>
                                <w:p>
                                  <w:pPr>
                                    <w:pStyle w:val="TableContents"/>
                                    <w:bidi w:val="0"/>
                                    <w:spacing w:before="0" w:after="283"/>
                                    <w:jc w:val="center"/>
                                    <w:rPr/>
                                  </w:pPr>
                                  <w:r>
                                    <w:rPr/>
                                    <w:t> </w:t>
                                  </w:r>
                                </w:p>
                              </w:tc>
                              <w:tc>
                                <w:tcPr>
                                  <w:tcW w:w="495" w:type="dxa"/>
                                  <w:tcBorders/>
                                  <w:vAlign w:val="center"/>
                                </w:tcPr>
                                <w:p>
                                  <w:pPr>
                                    <w:pStyle w:val="TableContents"/>
                                    <w:bidi w:val="0"/>
                                    <w:spacing w:before="0" w:after="283"/>
                                    <w:jc w:val="center"/>
                                    <w:rPr/>
                                  </w:pPr>
                                  <w:r>
                                    <w:rPr/>
                                    <w:t> </w:t>
                                  </w:r>
                                </w:p>
                              </w:tc>
                              <w:tc>
                                <w:tcPr>
                                  <w:tcW w:w="61" w:type="dxa"/>
                                  <w:tcBorders/>
                                  <w:vAlign w:val="center"/>
                                </w:tcPr>
                                <w:p>
                                  <w:pPr>
                                    <w:pStyle w:val="TableContents"/>
                                    <w:bidi w:val="0"/>
                                    <w:spacing w:before="0" w:after="283"/>
                                    <w:jc w:val="center"/>
                                    <w:rPr/>
                                  </w:pPr>
                                  <w:r>
                                    <w:rPr/>
                                    <w:t> </w:t>
                                  </w:r>
                                </w:p>
                              </w:tc>
                            </w:tr>
                            <w:tr>
                              <w:trPr/>
                              <w:tc>
                                <w:tcPr>
                                  <w:tcW w:w="1077" w:type="dxa"/>
                                  <w:tcBorders/>
                                  <w:vAlign w:val="center"/>
                                </w:tcPr>
                                <w:p>
                                  <w:pPr>
                                    <w:pStyle w:val="TableContents"/>
                                    <w:bidi w:val="0"/>
                                    <w:spacing w:before="0" w:after="283"/>
                                    <w:jc w:val="left"/>
                                    <w:rPr/>
                                  </w:pPr>
                                  <w:r>
                                    <w:rPr/>
                                    <w:t>      </w:t>
                                  </w:r>
                                </w:p>
                              </w:tc>
                              <w:tc>
                                <w:tcPr>
                                  <w:tcW w:w="2799" w:type="dxa"/>
                                  <w:gridSpan w:val="2"/>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center"/>
                                    <w:rPr>
                                      <w:b/>
                                      <w:sz w:val="14"/>
                                    </w:rPr>
                                  </w:pPr>
                                  <w:r>
                                    <w:rPr>
                                      <w:b/>
                                      <w:sz w:val="14"/>
                                    </w:rPr>
                                    <w:t>For</w:t>
                                  </w:r>
                                </w:p>
                              </w:tc>
                              <w:tc>
                                <w:tcPr>
                                  <w:tcW w:w="495" w:type="dxa"/>
                                  <w:tcBorders/>
                                  <w:vAlign w:val="center"/>
                                </w:tcPr>
                                <w:p>
                                  <w:pPr>
                                    <w:pStyle w:val="TableContents"/>
                                    <w:bidi w:val="0"/>
                                    <w:spacing w:before="0" w:after="283"/>
                                    <w:jc w:val="center"/>
                                    <w:rPr>
                                      <w:b/>
                                      <w:sz w:val="14"/>
                                    </w:rPr>
                                  </w:pPr>
                                  <w:r>
                                    <w:rPr>
                                      <w:b/>
                                      <w:sz w:val="14"/>
                                    </w:rPr>
                                    <w:t>Against</w:t>
                                  </w:r>
                                </w:p>
                              </w:tc>
                              <w:tc>
                                <w:tcPr>
                                  <w:tcW w:w="495" w:type="dxa"/>
                                  <w:tcBorders/>
                                  <w:vAlign w:val="center"/>
                                </w:tcPr>
                                <w:p>
                                  <w:pPr>
                                    <w:pStyle w:val="TableContents"/>
                                    <w:bidi w:val="0"/>
                                    <w:spacing w:before="0" w:after="283"/>
                                    <w:jc w:val="center"/>
                                    <w:rPr>
                                      <w:b/>
                                      <w:sz w:val="14"/>
                                    </w:rPr>
                                  </w:pPr>
                                  <w:r>
                                    <w:rPr>
                                      <w:b/>
                                      <w:sz w:val="14"/>
                                    </w:rPr>
                                    <w:t>Abstain</w:t>
                                  </w:r>
                                </w:p>
                              </w:tc>
                              <w:tc>
                                <w:tcPr>
                                  <w:tcW w:w="61" w:type="dxa"/>
                                  <w:tcBorders/>
                                  <w:vAlign w:val="center"/>
                                </w:tcPr>
                                <w:p>
                                  <w:pPr>
                                    <w:pStyle w:val="TableContents"/>
                                    <w:bidi w:val="0"/>
                                    <w:spacing w:before="0" w:after="283"/>
                                    <w:jc w:val="center"/>
                                    <w:rPr/>
                                  </w:pPr>
                                  <w:r>
                                    <w:rPr/>
                                    <w:t> </w:t>
                                  </w:r>
                                </w:p>
                              </w:tc>
                            </w:tr>
                            <w:tr>
                              <w:trPr/>
                              <w:tc>
                                <w:tcPr>
                                  <w:tcW w:w="1077" w:type="dxa"/>
                                  <w:tcBorders/>
                                  <w:vAlign w:val="center"/>
                                </w:tcPr>
                                <w:p>
                                  <w:pPr>
                                    <w:pStyle w:val="TableContents"/>
                                    <w:bidi w:val="0"/>
                                    <w:spacing w:before="0" w:after="283"/>
                                    <w:jc w:val="left"/>
                                    <w:rPr/>
                                  </w:pPr>
                                  <w:r>
                                    <w:rPr/>
                                    <w:t> </w:t>
                                  </w:r>
                                </w:p>
                              </w:tc>
                              <w:tc>
                                <w:tcPr>
                                  <w:tcW w:w="2799" w:type="dxa"/>
                                  <w:gridSpan w:val="2"/>
                                  <w:tcBorders/>
                                  <w:vAlign w:val="center"/>
                                </w:tcPr>
                                <w:p>
                                  <w:pPr>
                                    <w:pStyle w:val="TableContents"/>
                                    <w:bidi w:val="0"/>
                                    <w:spacing w:before="0" w:after="283"/>
                                    <w:jc w:val="left"/>
                                    <w:rPr>
                                      <w:b/>
                                    </w:rPr>
                                  </w:pPr>
                                  <w:r>
                                    <w:rPr>
                                      <w:b/>
                                    </w:rPr>
                                    <w:t>Nominees:</w:t>
                                  </w:r>
                                </w:p>
                              </w:tc>
                              <w:tc>
                                <w:tcPr>
                                  <w:tcW w:w="235" w:type="dxa"/>
                                  <w:tcBorders/>
                                  <w:vAlign w:val="center"/>
                                </w:tcPr>
                                <w:p>
                                  <w:pPr>
                                    <w:pStyle w:val="TableContents"/>
                                    <w:bidi w:val="0"/>
                                    <w:spacing w:before="0" w:after="283"/>
                                    <w:jc w:val="center"/>
                                    <w:rPr/>
                                  </w:pPr>
                                  <w:r>
                                    <w:rPr/>
                                    <w:t> </w:t>
                                  </w:r>
                                </w:p>
                              </w:tc>
                              <w:tc>
                                <w:tcPr>
                                  <w:tcW w:w="495" w:type="dxa"/>
                                  <w:tcBorders/>
                                  <w:vAlign w:val="center"/>
                                </w:tcPr>
                                <w:p>
                                  <w:pPr>
                                    <w:pStyle w:val="TableContents"/>
                                    <w:bidi w:val="0"/>
                                    <w:spacing w:before="0" w:after="283"/>
                                    <w:jc w:val="center"/>
                                    <w:rPr/>
                                  </w:pPr>
                                  <w:r>
                                    <w:rPr/>
                                    <w:t> </w:t>
                                  </w:r>
                                </w:p>
                              </w:tc>
                              <w:tc>
                                <w:tcPr>
                                  <w:tcW w:w="495" w:type="dxa"/>
                                  <w:tcBorders/>
                                  <w:vAlign w:val="center"/>
                                </w:tcPr>
                                <w:p>
                                  <w:pPr>
                                    <w:pStyle w:val="TableContents"/>
                                    <w:bidi w:val="0"/>
                                    <w:spacing w:before="0" w:after="283"/>
                                    <w:jc w:val="center"/>
                                    <w:rPr/>
                                  </w:pPr>
                                  <w:r>
                                    <w:rPr/>
                                    <w:t> </w:t>
                                  </w:r>
                                </w:p>
                              </w:tc>
                              <w:tc>
                                <w:tcPr>
                                  <w:tcW w:w="61" w:type="dxa"/>
                                  <w:tcBorders/>
                                  <w:vAlign w:val="center"/>
                                </w:tcPr>
                                <w:p>
                                  <w:pPr>
                                    <w:pStyle w:val="TableContents"/>
                                    <w:bidi w:val="0"/>
                                    <w:spacing w:before="0" w:after="283"/>
                                    <w:jc w:val="center"/>
                                    <w:rPr/>
                                  </w:pPr>
                                  <w:r>
                                    <w:rPr/>
                                    <w:t> </w:t>
                                  </w:r>
                                </w:p>
                              </w:tc>
                            </w:tr>
                            <w:tr>
                              <w:trPr/>
                              <w:tc>
                                <w:tcPr>
                                  <w:tcW w:w="1077" w:type="dxa"/>
                                  <w:tcBorders/>
                                  <w:vAlign w:val="center"/>
                                </w:tcPr>
                                <w:p>
                                  <w:pPr>
                                    <w:pStyle w:val="TableContents"/>
                                    <w:bidi w:val="0"/>
                                    <w:spacing w:before="0" w:after="283"/>
                                    <w:jc w:val="left"/>
                                    <w:rPr/>
                                  </w:pPr>
                                  <w:r>
                                    <w:rPr/>
                                    <w:t> </w:t>
                                  </w:r>
                                </w:p>
                              </w:tc>
                              <w:tc>
                                <w:tcPr>
                                  <w:tcW w:w="2799" w:type="dxa"/>
                                  <w:gridSpan w:val="2"/>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center"/>
                                    <w:rPr/>
                                  </w:pPr>
                                  <w:r>
                                    <w:rPr/>
                                    <w:t> </w:t>
                                  </w:r>
                                </w:p>
                              </w:tc>
                              <w:tc>
                                <w:tcPr>
                                  <w:tcW w:w="495" w:type="dxa"/>
                                  <w:tcBorders/>
                                  <w:vAlign w:val="center"/>
                                </w:tcPr>
                                <w:p>
                                  <w:pPr>
                                    <w:pStyle w:val="TableContents"/>
                                    <w:bidi w:val="0"/>
                                    <w:spacing w:before="0" w:after="283"/>
                                    <w:jc w:val="center"/>
                                    <w:rPr/>
                                  </w:pPr>
                                  <w:r>
                                    <w:rPr/>
                                    <w:t> </w:t>
                                  </w:r>
                                </w:p>
                              </w:tc>
                              <w:tc>
                                <w:tcPr>
                                  <w:tcW w:w="495" w:type="dxa"/>
                                  <w:tcBorders/>
                                  <w:vAlign w:val="center"/>
                                </w:tcPr>
                                <w:p>
                                  <w:pPr>
                                    <w:pStyle w:val="TableContents"/>
                                    <w:bidi w:val="0"/>
                                    <w:spacing w:before="0" w:after="283"/>
                                    <w:jc w:val="center"/>
                                    <w:rPr/>
                                  </w:pPr>
                                  <w:r>
                                    <w:rPr/>
                                    <w:t> </w:t>
                                  </w:r>
                                </w:p>
                              </w:tc>
                              <w:tc>
                                <w:tcPr>
                                  <w:tcW w:w="61" w:type="dxa"/>
                                  <w:tcBorders/>
                                  <w:vAlign w:val="center"/>
                                </w:tcPr>
                                <w:p>
                                  <w:pPr>
                                    <w:pStyle w:val="TableContents"/>
                                    <w:bidi w:val="0"/>
                                    <w:spacing w:before="0" w:after="283"/>
                                    <w:jc w:val="center"/>
                                    <w:rPr/>
                                  </w:pPr>
                                  <w:r>
                                    <w:rPr/>
                                    <w:t> </w:t>
                                  </w:r>
                                </w:p>
                              </w:tc>
                            </w:tr>
                            <w:tr>
                              <w:trPr/>
                              <w:tc>
                                <w:tcPr>
                                  <w:tcW w:w="1077"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pPr>
                                  <w:r>
                                    <w:rPr/>
                                    <w:t>1a.     </w:t>
                                  </w:r>
                                </w:p>
                              </w:tc>
                              <w:tc>
                                <w:tcPr>
                                  <w:tcW w:w="2181" w:type="dxa"/>
                                  <w:tcBorders/>
                                  <w:vAlign w:val="center"/>
                                </w:tcPr>
                                <w:p>
                                  <w:pPr>
                                    <w:pStyle w:val="TableContents"/>
                                    <w:bidi w:val="0"/>
                                    <w:spacing w:before="0" w:after="283"/>
                                    <w:jc w:val="left"/>
                                    <w:rPr/>
                                  </w:pPr>
                                  <w:r>
                                    <w:rPr/>
                                    <w:t>Tracy A. Atkinson</w:t>
                                  </w:r>
                                </w:p>
                              </w:tc>
                              <w:tc>
                                <w:tcPr>
                                  <w:tcW w:w="235" w:type="dxa"/>
                                  <w:tcBorders/>
                                  <w:vAlign w:val="center"/>
                                </w:tcPr>
                                <w:p>
                                  <w:pPr>
                                    <w:pStyle w:val="TableContents"/>
                                    <w:bidi w:val="0"/>
                                    <w:spacing w:before="0" w:after="283"/>
                                    <w:jc w:val="center"/>
                                    <w:rPr>
                                      <w:caps w:val="false"/>
                                      <w:smallCaps w:val="false"/>
                                    </w:rPr>
                                  </w:pPr>
                                  <w:r>
                                    <w:rPr>
                                      <w:caps w:val="false"/>
                                      <w:smallCaps w:val="false"/>
                                    </w:rPr>
                                    <w:t>☐</w:t>
                                  </w:r>
                                </w:p>
                              </w:tc>
                              <w:tc>
                                <w:tcPr>
                                  <w:tcW w:w="495" w:type="dxa"/>
                                  <w:tcBorders/>
                                  <w:vAlign w:val="center"/>
                                </w:tcPr>
                                <w:p>
                                  <w:pPr>
                                    <w:pStyle w:val="TableContents"/>
                                    <w:bidi w:val="0"/>
                                    <w:spacing w:before="0" w:after="283"/>
                                    <w:jc w:val="center"/>
                                    <w:rPr>
                                      <w:caps w:val="false"/>
                                      <w:smallCaps w:val="false"/>
                                    </w:rPr>
                                  </w:pPr>
                                  <w:r>
                                    <w:rPr>
                                      <w:caps w:val="false"/>
                                      <w:smallCaps w:val="false"/>
                                    </w:rPr>
                                    <w:t>☐</w:t>
                                  </w:r>
                                </w:p>
                              </w:tc>
                              <w:tc>
                                <w:tcPr>
                                  <w:tcW w:w="495" w:type="dxa"/>
                                  <w:tcBorders/>
                                  <w:vAlign w:val="center"/>
                                </w:tcPr>
                                <w:p>
                                  <w:pPr>
                                    <w:pStyle w:val="TableContents"/>
                                    <w:bidi w:val="0"/>
                                    <w:spacing w:before="0" w:after="283"/>
                                    <w:jc w:val="center"/>
                                    <w:rPr>
                                      <w:caps w:val="false"/>
                                      <w:smallCaps w:val="false"/>
                                    </w:rPr>
                                  </w:pPr>
                                  <w:r>
                                    <w:rPr>
                                      <w:caps w:val="false"/>
                                      <w:smallCaps w:val="false"/>
                                    </w:rPr>
                                    <w:t>☐</w:t>
                                  </w:r>
                                </w:p>
                              </w:tc>
                              <w:tc>
                                <w:tcPr>
                                  <w:tcW w:w="61" w:type="dxa"/>
                                  <w:tcBorders/>
                                  <w:vAlign w:val="center"/>
                                </w:tcPr>
                                <w:p>
                                  <w:pPr>
                                    <w:pStyle w:val="TableContents"/>
                                    <w:bidi w:val="0"/>
                                    <w:spacing w:before="0" w:after="283"/>
                                    <w:jc w:val="center"/>
                                    <w:rPr/>
                                  </w:pPr>
                                  <w:r>
                                    <w:rPr/>
                                    <w:t> </w:t>
                                  </w:r>
                                </w:p>
                              </w:tc>
                            </w:tr>
                            <w:tr>
                              <w:trPr/>
                              <w:tc>
                                <w:tcPr>
                                  <w:tcW w:w="1077"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2181"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61" w:type="dxa"/>
                                  <w:tcBorders/>
                                </w:tcPr>
                                <w:p>
                                  <w:pPr>
                                    <w:pStyle w:val="TableContents"/>
                                    <w:bidi w:val="0"/>
                                    <w:spacing w:before="0" w:after="283"/>
                                    <w:jc w:val="left"/>
                                    <w:rPr>
                                      <w:sz w:val="4"/>
                                      <w:szCs w:val="4"/>
                                    </w:rPr>
                                  </w:pPr>
                                  <w:r>
                                    <w:rPr>
                                      <w:sz w:val="4"/>
                                      <w:szCs w:val="4"/>
                                    </w:rPr>
                                  </w:r>
                                </w:p>
                              </w:tc>
                            </w:tr>
                            <w:tr>
                              <w:trPr/>
                              <w:tc>
                                <w:tcPr>
                                  <w:tcW w:w="1077"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pPr>
                                  <w:r>
                                    <w:rPr/>
                                    <w:t>1b.</w:t>
                                  </w:r>
                                </w:p>
                              </w:tc>
                              <w:tc>
                                <w:tcPr>
                                  <w:tcW w:w="2181" w:type="dxa"/>
                                  <w:tcBorders/>
                                  <w:vAlign w:val="center"/>
                                </w:tcPr>
                                <w:p>
                                  <w:pPr>
                                    <w:pStyle w:val="TableContents"/>
                                    <w:bidi w:val="0"/>
                                    <w:spacing w:before="0" w:after="283"/>
                                    <w:jc w:val="left"/>
                                    <w:rPr/>
                                  </w:pPr>
                                  <w:r>
                                    <w:rPr/>
                                    <w:t>Christopher T. Calio</w:t>
                                  </w:r>
                                </w:p>
                              </w:tc>
                              <w:tc>
                                <w:tcPr>
                                  <w:tcW w:w="235" w:type="dxa"/>
                                  <w:tcBorders/>
                                  <w:vAlign w:val="center"/>
                                </w:tcPr>
                                <w:p>
                                  <w:pPr>
                                    <w:pStyle w:val="TableContents"/>
                                    <w:bidi w:val="0"/>
                                    <w:spacing w:before="0" w:after="283"/>
                                    <w:jc w:val="center"/>
                                    <w:rPr>
                                      <w:caps w:val="false"/>
                                      <w:smallCaps w:val="false"/>
                                    </w:rPr>
                                  </w:pPr>
                                  <w:r>
                                    <w:rPr>
                                      <w:caps w:val="false"/>
                                      <w:smallCaps w:val="false"/>
                                    </w:rPr>
                                    <w:t>☐</w:t>
                                  </w:r>
                                </w:p>
                              </w:tc>
                              <w:tc>
                                <w:tcPr>
                                  <w:tcW w:w="495" w:type="dxa"/>
                                  <w:tcBorders/>
                                  <w:vAlign w:val="center"/>
                                </w:tcPr>
                                <w:p>
                                  <w:pPr>
                                    <w:pStyle w:val="TableContents"/>
                                    <w:bidi w:val="0"/>
                                    <w:spacing w:before="0" w:after="283"/>
                                    <w:jc w:val="center"/>
                                    <w:rPr>
                                      <w:caps w:val="false"/>
                                      <w:smallCaps w:val="false"/>
                                    </w:rPr>
                                  </w:pPr>
                                  <w:r>
                                    <w:rPr>
                                      <w:caps w:val="false"/>
                                      <w:smallCaps w:val="false"/>
                                    </w:rPr>
                                    <w:t>☐</w:t>
                                  </w:r>
                                </w:p>
                              </w:tc>
                              <w:tc>
                                <w:tcPr>
                                  <w:tcW w:w="495" w:type="dxa"/>
                                  <w:tcBorders/>
                                  <w:vAlign w:val="center"/>
                                </w:tcPr>
                                <w:p>
                                  <w:pPr>
                                    <w:pStyle w:val="TableContents"/>
                                    <w:bidi w:val="0"/>
                                    <w:spacing w:before="0" w:after="283"/>
                                    <w:jc w:val="center"/>
                                    <w:rPr>
                                      <w:caps w:val="false"/>
                                      <w:smallCaps w:val="false"/>
                                    </w:rPr>
                                  </w:pPr>
                                  <w:r>
                                    <w:rPr>
                                      <w:caps w:val="false"/>
                                      <w:smallCaps w:val="false"/>
                                    </w:rPr>
                                    <w:t>☐</w:t>
                                  </w:r>
                                </w:p>
                              </w:tc>
                              <w:tc>
                                <w:tcPr>
                                  <w:tcW w:w="61" w:type="dxa"/>
                                  <w:tcBorders/>
                                  <w:vAlign w:val="center"/>
                                </w:tcPr>
                                <w:p>
                                  <w:pPr>
                                    <w:pStyle w:val="TableContents"/>
                                    <w:bidi w:val="0"/>
                                    <w:spacing w:before="0" w:after="283"/>
                                    <w:jc w:val="center"/>
                                    <w:rPr/>
                                  </w:pPr>
                                  <w:r>
                                    <w:rPr/>
                                    <w:t> </w:t>
                                  </w:r>
                                </w:p>
                              </w:tc>
                            </w:tr>
                            <w:tr>
                              <w:trPr/>
                              <w:tc>
                                <w:tcPr>
                                  <w:tcW w:w="1077"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2181"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61" w:type="dxa"/>
                                  <w:tcBorders/>
                                </w:tcPr>
                                <w:p>
                                  <w:pPr>
                                    <w:pStyle w:val="TableContents"/>
                                    <w:bidi w:val="0"/>
                                    <w:spacing w:before="0" w:after="283"/>
                                    <w:jc w:val="left"/>
                                    <w:rPr>
                                      <w:sz w:val="4"/>
                                      <w:szCs w:val="4"/>
                                    </w:rPr>
                                  </w:pPr>
                                  <w:r>
                                    <w:rPr>
                                      <w:sz w:val="4"/>
                                      <w:szCs w:val="4"/>
                                    </w:rPr>
                                  </w:r>
                                </w:p>
                              </w:tc>
                            </w:tr>
                            <w:tr>
                              <w:trPr/>
                              <w:tc>
                                <w:tcPr>
                                  <w:tcW w:w="1077"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pPr>
                                  <w:r>
                                    <w:rPr/>
                                    <w:t>1c.</w:t>
                                  </w:r>
                                </w:p>
                              </w:tc>
                              <w:tc>
                                <w:tcPr>
                                  <w:tcW w:w="2181" w:type="dxa"/>
                                  <w:tcBorders/>
                                  <w:vAlign w:val="center"/>
                                </w:tcPr>
                                <w:p>
                                  <w:pPr>
                                    <w:pStyle w:val="TableContents"/>
                                    <w:bidi w:val="0"/>
                                    <w:spacing w:before="0" w:after="283"/>
                                    <w:jc w:val="left"/>
                                    <w:rPr/>
                                  </w:pPr>
                                  <w:r>
                                    <w:rPr/>
                                    <w:t>Leanne G. Caret</w:t>
                                  </w:r>
                                </w:p>
                              </w:tc>
                              <w:tc>
                                <w:tcPr>
                                  <w:tcW w:w="235" w:type="dxa"/>
                                  <w:tcBorders/>
                                  <w:vAlign w:val="center"/>
                                </w:tcPr>
                                <w:p>
                                  <w:pPr>
                                    <w:pStyle w:val="TableContents"/>
                                    <w:bidi w:val="0"/>
                                    <w:spacing w:before="0" w:after="283"/>
                                    <w:jc w:val="center"/>
                                    <w:rPr>
                                      <w:caps w:val="false"/>
                                      <w:smallCaps w:val="false"/>
                                    </w:rPr>
                                  </w:pPr>
                                  <w:r>
                                    <w:rPr>
                                      <w:caps w:val="false"/>
                                      <w:smallCaps w:val="false"/>
                                    </w:rPr>
                                    <w:t>☐</w:t>
                                  </w:r>
                                </w:p>
                              </w:tc>
                              <w:tc>
                                <w:tcPr>
                                  <w:tcW w:w="495" w:type="dxa"/>
                                  <w:tcBorders/>
                                  <w:vAlign w:val="center"/>
                                </w:tcPr>
                                <w:p>
                                  <w:pPr>
                                    <w:pStyle w:val="TableContents"/>
                                    <w:bidi w:val="0"/>
                                    <w:spacing w:before="0" w:after="283"/>
                                    <w:jc w:val="center"/>
                                    <w:rPr>
                                      <w:caps w:val="false"/>
                                      <w:smallCaps w:val="false"/>
                                    </w:rPr>
                                  </w:pPr>
                                  <w:r>
                                    <w:rPr>
                                      <w:caps w:val="false"/>
                                      <w:smallCaps w:val="false"/>
                                    </w:rPr>
                                    <w:t>☐</w:t>
                                  </w:r>
                                </w:p>
                              </w:tc>
                              <w:tc>
                                <w:tcPr>
                                  <w:tcW w:w="495" w:type="dxa"/>
                                  <w:tcBorders/>
                                  <w:vAlign w:val="center"/>
                                </w:tcPr>
                                <w:p>
                                  <w:pPr>
                                    <w:pStyle w:val="TableContents"/>
                                    <w:bidi w:val="0"/>
                                    <w:spacing w:before="0" w:after="283"/>
                                    <w:jc w:val="center"/>
                                    <w:rPr>
                                      <w:caps w:val="false"/>
                                      <w:smallCaps w:val="false"/>
                                    </w:rPr>
                                  </w:pPr>
                                  <w:r>
                                    <w:rPr>
                                      <w:caps w:val="false"/>
                                      <w:smallCaps w:val="false"/>
                                    </w:rPr>
                                    <w:t>☐</w:t>
                                  </w:r>
                                </w:p>
                              </w:tc>
                              <w:tc>
                                <w:tcPr>
                                  <w:tcW w:w="61" w:type="dxa"/>
                                  <w:tcBorders/>
                                  <w:vAlign w:val="center"/>
                                </w:tcPr>
                                <w:p>
                                  <w:pPr>
                                    <w:pStyle w:val="TableContents"/>
                                    <w:bidi w:val="0"/>
                                    <w:spacing w:before="0" w:after="283"/>
                                    <w:jc w:val="center"/>
                                    <w:rPr/>
                                  </w:pPr>
                                  <w:r>
                                    <w:rPr/>
                                    <w:t> </w:t>
                                  </w:r>
                                </w:p>
                              </w:tc>
                            </w:tr>
                            <w:tr>
                              <w:trPr/>
                              <w:tc>
                                <w:tcPr>
                                  <w:tcW w:w="1077"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2181"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61" w:type="dxa"/>
                                  <w:tcBorders/>
                                </w:tcPr>
                                <w:p>
                                  <w:pPr>
                                    <w:pStyle w:val="TableContents"/>
                                    <w:bidi w:val="0"/>
                                    <w:spacing w:before="0" w:after="283"/>
                                    <w:jc w:val="left"/>
                                    <w:rPr>
                                      <w:sz w:val="4"/>
                                      <w:szCs w:val="4"/>
                                    </w:rPr>
                                  </w:pPr>
                                  <w:r>
                                    <w:rPr>
                                      <w:sz w:val="4"/>
                                      <w:szCs w:val="4"/>
                                    </w:rPr>
                                  </w:r>
                                </w:p>
                              </w:tc>
                            </w:tr>
                            <w:tr>
                              <w:trPr/>
                              <w:tc>
                                <w:tcPr>
                                  <w:tcW w:w="1077"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pPr>
                                  <w:r>
                                    <w:rPr/>
                                    <w:t>1d.</w:t>
                                  </w:r>
                                </w:p>
                              </w:tc>
                              <w:tc>
                                <w:tcPr>
                                  <w:tcW w:w="2181" w:type="dxa"/>
                                  <w:tcBorders/>
                                  <w:vAlign w:val="center"/>
                                </w:tcPr>
                                <w:p>
                                  <w:pPr>
                                    <w:pStyle w:val="TableContents"/>
                                    <w:bidi w:val="0"/>
                                    <w:spacing w:before="0" w:after="283"/>
                                    <w:jc w:val="left"/>
                                    <w:rPr/>
                                  </w:pPr>
                                  <w:r>
                                    <w:rPr/>
                                    <w:t>Bernard A. Harris, Jr.</w:t>
                                  </w:r>
                                </w:p>
                              </w:tc>
                              <w:tc>
                                <w:tcPr>
                                  <w:tcW w:w="235" w:type="dxa"/>
                                  <w:tcBorders/>
                                  <w:vAlign w:val="center"/>
                                </w:tcPr>
                                <w:p>
                                  <w:pPr>
                                    <w:pStyle w:val="TableContents"/>
                                    <w:bidi w:val="0"/>
                                    <w:spacing w:before="0" w:after="283"/>
                                    <w:jc w:val="center"/>
                                    <w:rPr>
                                      <w:caps w:val="false"/>
                                      <w:smallCaps w:val="false"/>
                                    </w:rPr>
                                  </w:pPr>
                                  <w:r>
                                    <w:rPr>
                                      <w:caps w:val="false"/>
                                      <w:smallCaps w:val="false"/>
                                    </w:rPr>
                                    <w:t>☐</w:t>
                                  </w:r>
                                </w:p>
                              </w:tc>
                              <w:tc>
                                <w:tcPr>
                                  <w:tcW w:w="495" w:type="dxa"/>
                                  <w:tcBorders/>
                                  <w:vAlign w:val="center"/>
                                </w:tcPr>
                                <w:p>
                                  <w:pPr>
                                    <w:pStyle w:val="TableContents"/>
                                    <w:bidi w:val="0"/>
                                    <w:spacing w:before="0" w:after="283"/>
                                    <w:jc w:val="center"/>
                                    <w:rPr>
                                      <w:caps w:val="false"/>
                                      <w:smallCaps w:val="false"/>
                                    </w:rPr>
                                  </w:pPr>
                                  <w:r>
                                    <w:rPr>
                                      <w:caps w:val="false"/>
                                      <w:smallCaps w:val="false"/>
                                    </w:rPr>
                                    <w:t>☐</w:t>
                                  </w:r>
                                </w:p>
                              </w:tc>
                              <w:tc>
                                <w:tcPr>
                                  <w:tcW w:w="495" w:type="dxa"/>
                                  <w:tcBorders/>
                                  <w:vAlign w:val="center"/>
                                </w:tcPr>
                                <w:p>
                                  <w:pPr>
                                    <w:pStyle w:val="TableContents"/>
                                    <w:bidi w:val="0"/>
                                    <w:spacing w:before="0" w:after="283"/>
                                    <w:jc w:val="center"/>
                                    <w:rPr>
                                      <w:caps w:val="false"/>
                                      <w:smallCaps w:val="false"/>
                                    </w:rPr>
                                  </w:pPr>
                                  <w:r>
                                    <w:rPr>
                                      <w:caps w:val="false"/>
                                      <w:smallCaps w:val="false"/>
                                    </w:rPr>
                                    <w:t>☐</w:t>
                                  </w:r>
                                </w:p>
                              </w:tc>
                              <w:tc>
                                <w:tcPr>
                                  <w:tcW w:w="61" w:type="dxa"/>
                                  <w:tcBorders/>
                                  <w:vAlign w:val="center"/>
                                </w:tcPr>
                                <w:p>
                                  <w:pPr>
                                    <w:pStyle w:val="TableContents"/>
                                    <w:bidi w:val="0"/>
                                    <w:spacing w:before="0" w:after="283"/>
                                    <w:jc w:val="center"/>
                                    <w:rPr/>
                                  </w:pPr>
                                  <w:r>
                                    <w:rPr/>
                                    <w:t> </w:t>
                                  </w:r>
                                </w:p>
                              </w:tc>
                            </w:tr>
                            <w:tr>
                              <w:trPr/>
                              <w:tc>
                                <w:tcPr>
                                  <w:tcW w:w="1077"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2181"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61" w:type="dxa"/>
                                  <w:tcBorders/>
                                </w:tcPr>
                                <w:p>
                                  <w:pPr>
                                    <w:pStyle w:val="TableContents"/>
                                    <w:bidi w:val="0"/>
                                    <w:spacing w:before="0" w:after="283"/>
                                    <w:jc w:val="left"/>
                                    <w:rPr>
                                      <w:sz w:val="4"/>
                                      <w:szCs w:val="4"/>
                                    </w:rPr>
                                  </w:pPr>
                                  <w:r>
                                    <w:rPr>
                                      <w:sz w:val="4"/>
                                      <w:szCs w:val="4"/>
                                    </w:rPr>
                                  </w:r>
                                </w:p>
                              </w:tc>
                            </w:tr>
                            <w:tr>
                              <w:trPr/>
                              <w:tc>
                                <w:tcPr>
                                  <w:tcW w:w="1077"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pPr>
                                  <w:r>
                                    <w:rPr/>
                                    <w:t>1e.</w:t>
                                  </w:r>
                                </w:p>
                              </w:tc>
                              <w:tc>
                                <w:tcPr>
                                  <w:tcW w:w="2181" w:type="dxa"/>
                                  <w:tcBorders/>
                                  <w:vAlign w:val="center"/>
                                </w:tcPr>
                                <w:p>
                                  <w:pPr>
                                    <w:pStyle w:val="TableContents"/>
                                    <w:bidi w:val="0"/>
                                    <w:spacing w:before="0" w:after="283"/>
                                    <w:jc w:val="left"/>
                                    <w:rPr/>
                                  </w:pPr>
                                  <w:r>
                                    <w:rPr/>
                                    <w:t>George R. Oliver</w:t>
                                  </w:r>
                                </w:p>
                              </w:tc>
                              <w:tc>
                                <w:tcPr>
                                  <w:tcW w:w="235" w:type="dxa"/>
                                  <w:tcBorders/>
                                  <w:vAlign w:val="center"/>
                                </w:tcPr>
                                <w:p>
                                  <w:pPr>
                                    <w:pStyle w:val="TableContents"/>
                                    <w:bidi w:val="0"/>
                                    <w:spacing w:before="0" w:after="283"/>
                                    <w:jc w:val="center"/>
                                    <w:rPr>
                                      <w:caps w:val="false"/>
                                      <w:smallCaps w:val="false"/>
                                    </w:rPr>
                                  </w:pPr>
                                  <w:r>
                                    <w:rPr>
                                      <w:caps w:val="false"/>
                                      <w:smallCaps w:val="false"/>
                                    </w:rPr>
                                    <w:t>☐</w:t>
                                  </w:r>
                                </w:p>
                              </w:tc>
                              <w:tc>
                                <w:tcPr>
                                  <w:tcW w:w="495" w:type="dxa"/>
                                  <w:tcBorders/>
                                  <w:vAlign w:val="center"/>
                                </w:tcPr>
                                <w:p>
                                  <w:pPr>
                                    <w:pStyle w:val="TableContents"/>
                                    <w:bidi w:val="0"/>
                                    <w:spacing w:before="0" w:after="283"/>
                                    <w:jc w:val="center"/>
                                    <w:rPr>
                                      <w:caps w:val="false"/>
                                      <w:smallCaps w:val="false"/>
                                    </w:rPr>
                                  </w:pPr>
                                  <w:r>
                                    <w:rPr>
                                      <w:caps w:val="false"/>
                                      <w:smallCaps w:val="false"/>
                                    </w:rPr>
                                    <w:t>☐</w:t>
                                  </w:r>
                                </w:p>
                              </w:tc>
                              <w:tc>
                                <w:tcPr>
                                  <w:tcW w:w="495" w:type="dxa"/>
                                  <w:tcBorders/>
                                  <w:vAlign w:val="center"/>
                                </w:tcPr>
                                <w:p>
                                  <w:pPr>
                                    <w:pStyle w:val="TableContents"/>
                                    <w:bidi w:val="0"/>
                                    <w:spacing w:before="0" w:after="283"/>
                                    <w:jc w:val="center"/>
                                    <w:rPr>
                                      <w:caps w:val="false"/>
                                      <w:smallCaps w:val="false"/>
                                    </w:rPr>
                                  </w:pPr>
                                  <w:r>
                                    <w:rPr>
                                      <w:caps w:val="false"/>
                                      <w:smallCaps w:val="false"/>
                                    </w:rPr>
                                    <w:t>☐</w:t>
                                  </w:r>
                                </w:p>
                              </w:tc>
                              <w:tc>
                                <w:tcPr>
                                  <w:tcW w:w="61" w:type="dxa"/>
                                  <w:tcBorders/>
                                  <w:vAlign w:val="center"/>
                                </w:tcPr>
                                <w:p>
                                  <w:pPr>
                                    <w:pStyle w:val="TableContents"/>
                                    <w:bidi w:val="0"/>
                                    <w:spacing w:before="0" w:after="283"/>
                                    <w:jc w:val="center"/>
                                    <w:rPr/>
                                  </w:pPr>
                                  <w:r>
                                    <w:rPr/>
                                    <w:t> </w:t>
                                  </w:r>
                                </w:p>
                              </w:tc>
                            </w:tr>
                            <w:tr>
                              <w:trPr/>
                              <w:tc>
                                <w:tcPr>
                                  <w:tcW w:w="1077"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2181"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61" w:type="dxa"/>
                                  <w:tcBorders/>
                                </w:tcPr>
                                <w:p>
                                  <w:pPr>
                                    <w:pStyle w:val="TableContents"/>
                                    <w:bidi w:val="0"/>
                                    <w:spacing w:before="0" w:after="283"/>
                                    <w:jc w:val="left"/>
                                    <w:rPr>
                                      <w:sz w:val="4"/>
                                      <w:szCs w:val="4"/>
                                    </w:rPr>
                                  </w:pPr>
                                  <w:r>
                                    <w:rPr>
                                      <w:sz w:val="4"/>
                                      <w:szCs w:val="4"/>
                                    </w:rPr>
                                  </w:r>
                                </w:p>
                              </w:tc>
                            </w:tr>
                            <w:tr>
                              <w:trPr/>
                              <w:tc>
                                <w:tcPr>
                                  <w:tcW w:w="1077"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pPr>
                                  <w:r>
                                    <w:rPr/>
                                    <w:t>1f.</w:t>
                                  </w:r>
                                </w:p>
                              </w:tc>
                              <w:tc>
                                <w:tcPr>
                                  <w:tcW w:w="2181" w:type="dxa"/>
                                  <w:tcBorders/>
                                  <w:vAlign w:val="center"/>
                                </w:tcPr>
                                <w:p>
                                  <w:pPr>
                                    <w:pStyle w:val="TableContents"/>
                                    <w:bidi w:val="0"/>
                                    <w:spacing w:before="0" w:after="283"/>
                                    <w:jc w:val="left"/>
                                    <w:rPr/>
                                  </w:pPr>
                                  <w:r>
                                    <w:rPr/>
                                    <w:t>Ellen M. Pawlikowski</w:t>
                                  </w:r>
                                </w:p>
                              </w:tc>
                              <w:tc>
                                <w:tcPr>
                                  <w:tcW w:w="235" w:type="dxa"/>
                                  <w:tcBorders/>
                                  <w:vAlign w:val="center"/>
                                </w:tcPr>
                                <w:p>
                                  <w:pPr>
                                    <w:pStyle w:val="TableContents"/>
                                    <w:bidi w:val="0"/>
                                    <w:spacing w:before="0" w:after="283"/>
                                    <w:jc w:val="center"/>
                                    <w:rPr>
                                      <w:caps w:val="false"/>
                                      <w:smallCaps w:val="false"/>
                                    </w:rPr>
                                  </w:pPr>
                                  <w:r>
                                    <w:rPr>
                                      <w:caps w:val="false"/>
                                      <w:smallCaps w:val="false"/>
                                    </w:rPr>
                                    <w:t>☐</w:t>
                                  </w:r>
                                </w:p>
                              </w:tc>
                              <w:tc>
                                <w:tcPr>
                                  <w:tcW w:w="495" w:type="dxa"/>
                                  <w:tcBorders/>
                                  <w:vAlign w:val="center"/>
                                </w:tcPr>
                                <w:p>
                                  <w:pPr>
                                    <w:pStyle w:val="TableContents"/>
                                    <w:bidi w:val="0"/>
                                    <w:spacing w:before="0" w:after="283"/>
                                    <w:jc w:val="center"/>
                                    <w:rPr>
                                      <w:caps w:val="false"/>
                                      <w:smallCaps w:val="false"/>
                                    </w:rPr>
                                  </w:pPr>
                                  <w:r>
                                    <w:rPr>
                                      <w:caps w:val="false"/>
                                      <w:smallCaps w:val="false"/>
                                    </w:rPr>
                                    <w:t>☐</w:t>
                                  </w:r>
                                </w:p>
                              </w:tc>
                              <w:tc>
                                <w:tcPr>
                                  <w:tcW w:w="495" w:type="dxa"/>
                                  <w:tcBorders/>
                                  <w:vAlign w:val="center"/>
                                </w:tcPr>
                                <w:p>
                                  <w:pPr>
                                    <w:pStyle w:val="TableContents"/>
                                    <w:bidi w:val="0"/>
                                    <w:spacing w:before="0" w:after="283"/>
                                    <w:jc w:val="center"/>
                                    <w:rPr>
                                      <w:caps w:val="false"/>
                                      <w:smallCaps w:val="false"/>
                                    </w:rPr>
                                  </w:pPr>
                                  <w:r>
                                    <w:rPr>
                                      <w:caps w:val="false"/>
                                      <w:smallCaps w:val="false"/>
                                    </w:rPr>
                                    <w:t>☐</w:t>
                                  </w:r>
                                </w:p>
                              </w:tc>
                              <w:tc>
                                <w:tcPr>
                                  <w:tcW w:w="61" w:type="dxa"/>
                                  <w:tcBorders/>
                                  <w:vAlign w:val="center"/>
                                </w:tcPr>
                                <w:p>
                                  <w:pPr>
                                    <w:pStyle w:val="TableContents"/>
                                    <w:bidi w:val="0"/>
                                    <w:spacing w:before="0" w:after="283"/>
                                    <w:jc w:val="center"/>
                                    <w:rPr/>
                                  </w:pPr>
                                  <w:r>
                                    <w:rPr/>
                                    <w:t> </w:t>
                                  </w:r>
                                </w:p>
                              </w:tc>
                            </w:tr>
                            <w:tr>
                              <w:trPr/>
                              <w:tc>
                                <w:tcPr>
                                  <w:tcW w:w="1077"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2181"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61" w:type="dxa"/>
                                  <w:tcBorders/>
                                </w:tcPr>
                                <w:p>
                                  <w:pPr>
                                    <w:pStyle w:val="TableContents"/>
                                    <w:bidi w:val="0"/>
                                    <w:spacing w:before="0" w:after="283"/>
                                    <w:jc w:val="left"/>
                                    <w:rPr>
                                      <w:sz w:val="4"/>
                                      <w:szCs w:val="4"/>
                                    </w:rPr>
                                  </w:pPr>
                                  <w:r>
                                    <w:rPr>
                                      <w:sz w:val="4"/>
                                      <w:szCs w:val="4"/>
                                    </w:rPr>
                                  </w:r>
                                </w:p>
                              </w:tc>
                            </w:tr>
                            <w:tr>
                              <w:trPr/>
                              <w:tc>
                                <w:tcPr>
                                  <w:tcW w:w="1077"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pPr>
                                  <w:r>
                                    <w:rPr/>
                                    <w:t>1g.</w:t>
                                  </w:r>
                                </w:p>
                              </w:tc>
                              <w:tc>
                                <w:tcPr>
                                  <w:tcW w:w="2181" w:type="dxa"/>
                                  <w:tcBorders/>
                                  <w:vAlign w:val="center"/>
                                </w:tcPr>
                                <w:p>
                                  <w:pPr>
                                    <w:pStyle w:val="TableContents"/>
                                    <w:bidi w:val="0"/>
                                    <w:spacing w:before="0" w:after="283"/>
                                    <w:jc w:val="left"/>
                                    <w:rPr/>
                                  </w:pPr>
                                  <w:r>
                                    <w:rPr/>
                                    <w:t>Denise L. Ramos</w:t>
                                  </w:r>
                                </w:p>
                              </w:tc>
                              <w:tc>
                                <w:tcPr>
                                  <w:tcW w:w="235" w:type="dxa"/>
                                  <w:tcBorders/>
                                  <w:vAlign w:val="center"/>
                                </w:tcPr>
                                <w:p>
                                  <w:pPr>
                                    <w:pStyle w:val="TableContents"/>
                                    <w:bidi w:val="0"/>
                                    <w:spacing w:before="0" w:after="283"/>
                                    <w:jc w:val="center"/>
                                    <w:rPr>
                                      <w:caps w:val="false"/>
                                      <w:smallCaps w:val="false"/>
                                    </w:rPr>
                                  </w:pPr>
                                  <w:r>
                                    <w:rPr>
                                      <w:caps w:val="false"/>
                                      <w:smallCaps w:val="false"/>
                                    </w:rPr>
                                    <w:t>☐</w:t>
                                  </w:r>
                                </w:p>
                              </w:tc>
                              <w:tc>
                                <w:tcPr>
                                  <w:tcW w:w="495" w:type="dxa"/>
                                  <w:tcBorders/>
                                  <w:vAlign w:val="center"/>
                                </w:tcPr>
                                <w:p>
                                  <w:pPr>
                                    <w:pStyle w:val="TableContents"/>
                                    <w:bidi w:val="0"/>
                                    <w:spacing w:before="0" w:after="283"/>
                                    <w:jc w:val="center"/>
                                    <w:rPr>
                                      <w:caps w:val="false"/>
                                      <w:smallCaps w:val="false"/>
                                    </w:rPr>
                                  </w:pPr>
                                  <w:r>
                                    <w:rPr>
                                      <w:caps w:val="false"/>
                                      <w:smallCaps w:val="false"/>
                                    </w:rPr>
                                    <w:t>☐</w:t>
                                  </w:r>
                                </w:p>
                              </w:tc>
                              <w:tc>
                                <w:tcPr>
                                  <w:tcW w:w="495" w:type="dxa"/>
                                  <w:tcBorders/>
                                  <w:vAlign w:val="center"/>
                                </w:tcPr>
                                <w:p>
                                  <w:pPr>
                                    <w:pStyle w:val="TableContents"/>
                                    <w:bidi w:val="0"/>
                                    <w:spacing w:before="0" w:after="283"/>
                                    <w:jc w:val="center"/>
                                    <w:rPr>
                                      <w:caps w:val="false"/>
                                      <w:smallCaps w:val="false"/>
                                    </w:rPr>
                                  </w:pPr>
                                  <w:r>
                                    <w:rPr>
                                      <w:caps w:val="false"/>
                                      <w:smallCaps w:val="false"/>
                                    </w:rPr>
                                    <w:t>☐</w:t>
                                  </w:r>
                                </w:p>
                              </w:tc>
                              <w:tc>
                                <w:tcPr>
                                  <w:tcW w:w="61" w:type="dxa"/>
                                  <w:tcBorders/>
                                  <w:vAlign w:val="center"/>
                                </w:tcPr>
                                <w:p>
                                  <w:pPr>
                                    <w:pStyle w:val="TableContents"/>
                                    <w:bidi w:val="0"/>
                                    <w:spacing w:before="0" w:after="283"/>
                                    <w:jc w:val="center"/>
                                    <w:rPr/>
                                  </w:pPr>
                                  <w:r>
                                    <w:rPr/>
                                    <w:t> </w:t>
                                  </w:r>
                                </w:p>
                              </w:tc>
                            </w:tr>
                            <w:tr>
                              <w:trPr/>
                              <w:tc>
                                <w:tcPr>
                                  <w:tcW w:w="1077"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2181"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61" w:type="dxa"/>
                                  <w:tcBorders/>
                                </w:tcPr>
                                <w:p>
                                  <w:pPr>
                                    <w:pStyle w:val="TableContents"/>
                                    <w:bidi w:val="0"/>
                                    <w:spacing w:before="0" w:after="283"/>
                                    <w:jc w:val="left"/>
                                    <w:rPr>
                                      <w:sz w:val="4"/>
                                      <w:szCs w:val="4"/>
                                    </w:rPr>
                                  </w:pPr>
                                  <w:r>
                                    <w:rPr>
                                      <w:sz w:val="4"/>
                                      <w:szCs w:val="4"/>
                                    </w:rPr>
                                  </w:r>
                                </w:p>
                              </w:tc>
                            </w:tr>
                            <w:tr>
                              <w:trPr/>
                              <w:tc>
                                <w:tcPr>
                                  <w:tcW w:w="1077"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pPr>
                                  <w:r>
                                    <w:rPr/>
                                    <w:t>1h.</w:t>
                                  </w:r>
                                </w:p>
                              </w:tc>
                              <w:tc>
                                <w:tcPr>
                                  <w:tcW w:w="2181" w:type="dxa"/>
                                  <w:tcBorders/>
                                  <w:vAlign w:val="center"/>
                                </w:tcPr>
                                <w:p>
                                  <w:pPr>
                                    <w:pStyle w:val="TableContents"/>
                                    <w:bidi w:val="0"/>
                                    <w:spacing w:before="0" w:after="283"/>
                                    <w:jc w:val="left"/>
                                    <w:rPr/>
                                  </w:pPr>
                                  <w:r>
                                    <w:rPr/>
                                    <w:t>Fredric G. Reynolds</w:t>
                                  </w:r>
                                </w:p>
                              </w:tc>
                              <w:tc>
                                <w:tcPr>
                                  <w:tcW w:w="235" w:type="dxa"/>
                                  <w:tcBorders/>
                                  <w:vAlign w:val="center"/>
                                </w:tcPr>
                                <w:p>
                                  <w:pPr>
                                    <w:pStyle w:val="TableContents"/>
                                    <w:bidi w:val="0"/>
                                    <w:spacing w:before="0" w:after="283"/>
                                    <w:jc w:val="center"/>
                                    <w:rPr>
                                      <w:caps w:val="false"/>
                                      <w:smallCaps w:val="false"/>
                                    </w:rPr>
                                  </w:pPr>
                                  <w:r>
                                    <w:rPr>
                                      <w:caps w:val="false"/>
                                      <w:smallCaps w:val="false"/>
                                    </w:rPr>
                                    <w:t>☐</w:t>
                                  </w:r>
                                </w:p>
                              </w:tc>
                              <w:tc>
                                <w:tcPr>
                                  <w:tcW w:w="495" w:type="dxa"/>
                                  <w:tcBorders/>
                                  <w:vAlign w:val="center"/>
                                </w:tcPr>
                                <w:p>
                                  <w:pPr>
                                    <w:pStyle w:val="TableContents"/>
                                    <w:bidi w:val="0"/>
                                    <w:spacing w:before="0" w:after="283"/>
                                    <w:jc w:val="center"/>
                                    <w:rPr>
                                      <w:caps w:val="false"/>
                                      <w:smallCaps w:val="false"/>
                                    </w:rPr>
                                  </w:pPr>
                                  <w:r>
                                    <w:rPr>
                                      <w:caps w:val="false"/>
                                      <w:smallCaps w:val="false"/>
                                    </w:rPr>
                                    <w:t>☐</w:t>
                                  </w:r>
                                </w:p>
                              </w:tc>
                              <w:tc>
                                <w:tcPr>
                                  <w:tcW w:w="495" w:type="dxa"/>
                                  <w:tcBorders/>
                                  <w:vAlign w:val="center"/>
                                </w:tcPr>
                                <w:p>
                                  <w:pPr>
                                    <w:pStyle w:val="TableContents"/>
                                    <w:bidi w:val="0"/>
                                    <w:spacing w:before="0" w:after="283"/>
                                    <w:jc w:val="center"/>
                                    <w:rPr>
                                      <w:caps w:val="false"/>
                                      <w:smallCaps w:val="false"/>
                                    </w:rPr>
                                  </w:pPr>
                                  <w:r>
                                    <w:rPr>
                                      <w:caps w:val="false"/>
                                      <w:smallCaps w:val="false"/>
                                    </w:rPr>
                                    <w:t>☐</w:t>
                                  </w:r>
                                </w:p>
                              </w:tc>
                              <w:tc>
                                <w:tcPr>
                                  <w:tcW w:w="61" w:type="dxa"/>
                                  <w:tcBorders/>
                                  <w:vAlign w:val="center"/>
                                </w:tcPr>
                                <w:p>
                                  <w:pPr>
                                    <w:pStyle w:val="TableContents"/>
                                    <w:bidi w:val="0"/>
                                    <w:spacing w:before="0" w:after="283"/>
                                    <w:jc w:val="center"/>
                                    <w:rPr/>
                                  </w:pPr>
                                  <w:r>
                                    <w:rPr/>
                                    <w:t> </w:t>
                                  </w:r>
                                </w:p>
                              </w:tc>
                            </w:tr>
                            <w:tr>
                              <w:trPr/>
                              <w:tc>
                                <w:tcPr>
                                  <w:tcW w:w="1077"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2181"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61" w:type="dxa"/>
                                  <w:tcBorders/>
                                </w:tcPr>
                                <w:p>
                                  <w:pPr>
                                    <w:pStyle w:val="TableContents"/>
                                    <w:bidi w:val="0"/>
                                    <w:spacing w:before="0" w:after="283"/>
                                    <w:jc w:val="left"/>
                                    <w:rPr>
                                      <w:sz w:val="4"/>
                                      <w:szCs w:val="4"/>
                                    </w:rPr>
                                  </w:pPr>
                                  <w:r>
                                    <w:rPr>
                                      <w:sz w:val="4"/>
                                      <w:szCs w:val="4"/>
                                    </w:rPr>
                                  </w:r>
                                </w:p>
                              </w:tc>
                            </w:tr>
                            <w:tr>
                              <w:trPr/>
                              <w:tc>
                                <w:tcPr>
                                  <w:tcW w:w="1077"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pPr>
                                  <w:r>
                                    <w:rPr/>
                                    <w:t>1i.</w:t>
                                  </w:r>
                                </w:p>
                              </w:tc>
                              <w:tc>
                                <w:tcPr>
                                  <w:tcW w:w="2181" w:type="dxa"/>
                                  <w:tcBorders/>
                                  <w:vAlign w:val="center"/>
                                </w:tcPr>
                                <w:p>
                                  <w:pPr>
                                    <w:pStyle w:val="TableContents"/>
                                    <w:bidi w:val="0"/>
                                    <w:spacing w:before="0" w:after="283"/>
                                    <w:jc w:val="left"/>
                                    <w:rPr/>
                                  </w:pPr>
                                  <w:r>
                                    <w:rPr/>
                                    <w:t>Brian C. Rogers</w:t>
                                  </w:r>
                                </w:p>
                              </w:tc>
                              <w:tc>
                                <w:tcPr>
                                  <w:tcW w:w="235" w:type="dxa"/>
                                  <w:tcBorders/>
                                  <w:vAlign w:val="center"/>
                                </w:tcPr>
                                <w:p>
                                  <w:pPr>
                                    <w:pStyle w:val="TableContents"/>
                                    <w:bidi w:val="0"/>
                                    <w:spacing w:before="0" w:after="283"/>
                                    <w:jc w:val="center"/>
                                    <w:rPr>
                                      <w:caps w:val="false"/>
                                      <w:smallCaps w:val="false"/>
                                    </w:rPr>
                                  </w:pPr>
                                  <w:r>
                                    <w:rPr>
                                      <w:caps w:val="false"/>
                                      <w:smallCaps w:val="false"/>
                                    </w:rPr>
                                    <w:t>☐</w:t>
                                  </w:r>
                                </w:p>
                              </w:tc>
                              <w:tc>
                                <w:tcPr>
                                  <w:tcW w:w="495" w:type="dxa"/>
                                  <w:tcBorders/>
                                  <w:vAlign w:val="center"/>
                                </w:tcPr>
                                <w:p>
                                  <w:pPr>
                                    <w:pStyle w:val="TableContents"/>
                                    <w:bidi w:val="0"/>
                                    <w:spacing w:before="0" w:after="283"/>
                                    <w:jc w:val="center"/>
                                    <w:rPr>
                                      <w:caps w:val="false"/>
                                      <w:smallCaps w:val="false"/>
                                    </w:rPr>
                                  </w:pPr>
                                  <w:r>
                                    <w:rPr>
                                      <w:caps w:val="false"/>
                                      <w:smallCaps w:val="false"/>
                                    </w:rPr>
                                    <w:t>☐</w:t>
                                  </w:r>
                                </w:p>
                              </w:tc>
                              <w:tc>
                                <w:tcPr>
                                  <w:tcW w:w="495" w:type="dxa"/>
                                  <w:tcBorders/>
                                  <w:vAlign w:val="center"/>
                                </w:tcPr>
                                <w:p>
                                  <w:pPr>
                                    <w:pStyle w:val="TableContents"/>
                                    <w:bidi w:val="0"/>
                                    <w:spacing w:before="0" w:after="283"/>
                                    <w:jc w:val="center"/>
                                    <w:rPr>
                                      <w:caps w:val="false"/>
                                      <w:smallCaps w:val="false"/>
                                    </w:rPr>
                                  </w:pPr>
                                  <w:r>
                                    <w:rPr>
                                      <w:caps w:val="false"/>
                                      <w:smallCaps w:val="false"/>
                                    </w:rPr>
                                    <w:t>☐</w:t>
                                  </w:r>
                                </w:p>
                              </w:tc>
                              <w:tc>
                                <w:tcPr>
                                  <w:tcW w:w="61" w:type="dxa"/>
                                  <w:tcBorders/>
                                  <w:vAlign w:val="center"/>
                                </w:tcPr>
                                <w:p>
                                  <w:pPr>
                                    <w:pStyle w:val="TableContents"/>
                                    <w:bidi w:val="0"/>
                                    <w:spacing w:before="0" w:after="283"/>
                                    <w:jc w:val="center"/>
                                    <w:rPr/>
                                  </w:pPr>
                                  <w:r>
                                    <w:rPr/>
                                    <w:t> </w:t>
                                  </w:r>
                                </w:p>
                              </w:tc>
                            </w:tr>
                            <w:tr>
                              <w:trPr/>
                              <w:tc>
                                <w:tcPr>
                                  <w:tcW w:w="1077"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2181"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61" w:type="dxa"/>
                                  <w:tcBorders/>
                                </w:tcPr>
                                <w:p>
                                  <w:pPr>
                                    <w:pStyle w:val="TableContents"/>
                                    <w:bidi w:val="0"/>
                                    <w:spacing w:before="0" w:after="283"/>
                                    <w:jc w:val="left"/>
                                    <w:rPr>
                                      <w:sz w:val="4"/>
                                      <w:szCs w:val="4"/>
                                    </w:rPr>
                                  </w:pPr>
                                  <w:r>
                                    <w:rPr>
                                      <w:sz w:val="4"/>
                                      <w:szCs w:val="4"/>
                                    </w:rPr>
                                  </w:r>
                                </w:p>
                              </w:tc>
                            </w:tr>
                            <w:tr>
                              <w:trPr/>
                              <w:tc>
                                <w:tcPr>
                                  <w:tcW w:w="1077"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pPr>
                                  <w:r>
                                    <w:rPr/>
                                    <w:t>1j.</w:t>
                                  </w:r>
                                </w:p>
                              </w:tc>
                              <w:tc>
                                <w:tcPr>
                                  <w:tcW w:w="2181" w:type="dxa"/>
                                  <w:tcBorders/>
                                  <w:vAlign w:val="center"/>
                                </w:tcPr>
                                <w:p>
                                  <w:pPr>
                                    <w:pStyle w:val="TableContents"/>
                                    <w:bidi w:val="0"/>
                                    <w:spacing w:before="0" w:after="283"/>
                                    <w:jc w:val="left"/>
                                    <w:rPr/>
                                  </w:pPr>
                                  <w:r>
                                    <w:rPr/>
                                    <w:t>Robert O. Work</w:t>
                                  </w:r>
                                </w:p>
                              </w:tc>
                              <w:tc>
                                <w:tcPr>
                                  <w:tcW w:w="235" w:type="dxa"/>
                                  <w:tcBorders/>
                                  <w:vAlign w:val="center"/>
                                </w:tcPr>
                                <w:p>
                                  <w:pPr>
                                    <w:pStyle w:val="TableContents"/>
                                    <w:bidi w:val="0"/>
                                    <w:spacing w:before="0" w:after="283"/>
                                    <w:jc w:val="center"/>
                                    <w:rPr>
                                      <w:caps w:val="false"/>
                                      <w:smallCaps w:val="false"/>
                                    </w:rPr>
                                  </w:pPr>
                                  <w:r>
                                    <w:rPr>
                                      <w:caps w:val="false"/>
                                      <w:smallCaps w:val="false"/>
                                    </w:rPr>
                                    <w:t>☐</w:t>
                                  </w:r>
                                </w:p>
                              </w:tc>
                              <w:tc>
                                <w:tcPr>
                                  <w:tcW w:w="495" w:type="dxa"/>
                                  <w:tcBorders/>
                                  <w:vAlign w:val="center"/>
                                </w:tcPr>
                                <w:p>
                                  <w:pPr>
                                    <w:pStyle w:val="TableContents"/>
                                    <w:bidi w:val="0"/>
                                    <w:spacing w:before="0" w:after="283"/>
                                    <w:jc w:val="center"/>
                                    <w:rPr>
                                      <w:caps w:val="false"/>
                                      <w:smallCaps w:val="false"/>
                                    </w:rPr>
                                  </w:pPr>
                                  <w:r>
                                    <w:rPr>
                                      <w:caps w:val="false"/>
                                      <w:smallCaps w:val="false"/>
                                    </w:rPr>
                                    <w:t>☐</w:t>
                                  </w:r>
                                </w:p>
                              </w:tc>
                              <w:tc>
                                <w:tcPr>
                                  <w:tcW w:w="495" w:type="dxa"/>
                                  <w:tcBorders/>
                                  <w:vAlign w:val="center"/>
                                </w:tcPr>
                                <w:p>
                                  <w:pPr>
                                    <w:pStyle w:val="TableContents"/>
                                    <w:bidi w:val="0"/>
                                    <w:spacing w:before="0" w:after="283"/>
                                    <w:jc w:val="center"/>
                                    <w:rPr>
                                      <w:caps w:val="false"/>
                                      <w:smallCaps w:val="false"/>
                                    </w:rPr>
                                  </w:pPr>
                                  <w:r>
                                    <w:rPr>
                                      <w:caps w:val="false"/>
                                      <w:smallCaps w:val="false"/>
                                    </w:rPr>
                                    <w:t>☐</w:t>
                                  </w:r>
                                </w:p>
                              </w:tc>
                              <w:tc>
                                <w:tcPr>
                                  <w:tcW w:w="61" w:type="dxa"/>
                                  <w:tcBorders/>
                                  <w:vAlign w:val="center"/>
                                </w:tcPr>
                                <w:p>
                                  <w:pPr>
                                    <w:pStyle w:val="TableContents"/>
                                    <w:bidi w:val="0"/>
                                    <w:spacing w:before="0" w:after="283"/>
                                    <w:jc w:val="center"/>
                                    <w:rPr/>
                                  </w:pPr>
                                  <w:r>
                                    <w:rPr/>
                                    <w:t> </w:t>
                                  </w:r>
                                </w:p>
                              </w:tc>
                            </w:tr>
                            <w:tr>
                              <w:trPr/>
                              <w:tc>
                                <w:tcPr>
                                  <w:tcW w:w="1077" w:type="dxa"/>
                                  <w:tcBorders/>
                                  <w:vAlign w:val="center"/>
                                </w:tcPr>
                                <w:p>
                                  <w:pPr>
                                    <w:pStyle w:val="TableContents"/>
                                    <w:bidi w:val="0"/>
                                    <w:spacing w:before="0" w:after="283"/>
                                    <w:jc w:val="left"/>
                                    <w:rPr/>
                                  </w:pPr>
                                  <w:r>
                                    <w:rPr/>
                                    <w:t> </w:t>
                                  </w:r>
                                </w:p>
                              </w:tc>
                              <w:tc>
                                <w:tcPr>
                                  <w:tcW w:w="618" w:type="dxa"/>
                                  <w:tcBorders/>
                                  <w:vAlign w:val="center"/>
                                </w:tcPr>
                                <w:p>
                                  <w:pPr>
                                    <w:pStyle w:val="TableContents"/>
                                    <w:bidi w:val="0"/>
                                    <w:spacing w:before="0" w:after="283"/>
                                    <w:jc w:val="left"/>
                                    <w:rPr/>
                                  </w:pPr>
                                  <w:r>
                                    <w:rPr/>
                                    <w:t> </w:t>
                                  </w:r>
                                </w:p>
                              </w:tc>
                              <w:tc>
                                <w:tcPr>
                                  <w:tcW w:w="2181"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center"/>
                                    <w:rPr/>
                                  </w:pPr>
                                  <w:r>
                                    <w:rPr/>
                                    <w:t> </w:t>
                                  </w:r>
                                </w:p>
                              </w:tc>
                              <w:tc>
                                <w:tcPr>
                                  <w:tcW w:w="495" w:type="dxa"/>
                                  <w:tcBorders/>
                                  <w:vAlign w:val="center"/>
                                </w:tcPr>
                                <w:p>
                                  <w:pPr>
                                    <w:pStyle w:val="TableContents"/>
                                    <w:bidi w:val="0"/>
                                    <w:spacing w:before="0" w:after="283"/>
                                    <w:jc w:val="center"/>
                                    <w:rPr/>
                                  </w:pPr>
                                  <w:r>
                                    <w:rPr/>
                                    <w:t> </w:t>
                                  </w:r>
                                </w:p>
                              </w:tc>
                              <w:tc>
                                <w:tcPr>
                                  <w:tcW w:w="495" w:type="dxa"/>
                                  <w:tcBorders/>
                                  <w:vAlign w:val="center"/>
                                </w:tcPr>
                                <w:p>
                                  <w:pPr>
                                    <w:pStyle w:val="TableContents"/>
                                    <w:bidi w:val="0"/>
                                    <w:spacing w:before="0" w:after="283"/>
                                    <w:jc w:val="center"/>
                                    <w:rPr/>
                                  </w:pPr>
                                  <w:r>
                                    <w:rPr/>
                                    <w:t> </w:t>
                                  </w:r>
                                </w:p>
                              </w:tc>
                              <w:tc>
                                <w:tcPr>
                                  <w:tcW w:w="61" w:type="dxa"/>
                                  <w:tcBorders/>
                                  <w:vAlign w:val="center"/>
                                </w:tcPr>
                                <w:p>
                                  <w:pPr>
                                    <w:pStyle w:val="TableContents"/>
                                    <w:bidi w:val="0"/>
                                    <w:spacing w:before="0" w:after="283"/>
                                    <w:jc w:val="center"/>
                                    <w:rPr/>
                                  </w:pPr>
                                  <w:r>
                                    <w:rPr/>
                                    <w:t>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742.8pt;mso-wrap-distance-left:0pt;mso-wrap-distance-right:0pt;mso-wrap-distance-top:0pt;mso-wrap-distance-bottom:0pt;margin-top:0pt;mso-position-vertical:top;mso-position-vertical-relative:text;margin-left:0pt;mso-position-horizontal:left;mso-position-horizontal-relative:text">
                <v:textbox inset="0in,0in,0in,0in">
                  <w:txbxContent>
                    <w:tbl>
                      <w:tblPr>
                        <w:tblW w:w="5162" w:type="dxa"/>
                        <w:jc w:val="left"/>
                        <w:tblInd w:w="0" w:type="dxa"/>
                        <w:tblLayout w:type="fixed"/>
                        <w:tblCellMar>
                          <w:top w:w="0" w:type="dxa"/>
                          <w:left w:w="0" w:type="dxa"/>
                          <w:bottom w:w="0" w:type="dxa"/>
                          <w:right w:w="0" w:type="dxa"/>
                        </w:tblCellMar>
                      </w:tblPr>
                      <w:tblGrid>
                        <w:gridCol w:w="1077"/>
                        <w:gridCol w:w="618"/>
                        <w:gridCol w:w="2181"/>
                        <w:gridCol w:w="235"/>
                        <w:gridCol w:w="495"/>
                        <w:gridCol w:w="495"/>
                        <w:gridCol w:w="61"/>
                      </w:tblGrid>
                      <w:tr>
                        <w:trPr/>
                        <w:tc>
                          <w:tcPr>
                            <w:tcW w:w="5162" w:type="dxa"/>
                            <w:gridSpan w:val="7"/>
                            <w:tcBorders/>
                            <w:vAlign w:val="center"/>
                          </w:tcPr>
                          <w:p>
                            <w:pPr>
                              <w:pStyle w:val="TableContents"/>
                              <w:bidi w:val="0"/>
                              <w:spacing w:before="0" w:after="283"/>
                              <w:jc w:val="both"/>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 xml:space="preserve">The </w:t>
                            </w:r>
                            <w:r>
                              <w:rPr>
                                <w:rFonts w:ascii="Arial;Helvetica;Sans-Serif" w:hAnsi="Arial;Helvetica;Sans-Serif"/>
                                <w:b/>
                                <w:i w:val="false"/>
                                <w:caps w:val="false"/>
                                <w:smallCaps w:val="false"/>
                                <w:sz w:val="14"/>
                              </w:rPr>
                              <w:t>Board of Directors</w:t>
                            </w:r>
                            <w:r>
                              <w:rPr>
                                <w:rFonts w:ascii="Arial;Helvetica;Sans-Serif" w:hAnsi="Arial;Helvetica;Sans-Serif"/>
                                <w:b w:val="false"/>
                                <w:i w:val="false"/>
                                <w:caps w:val="false"/>
                                <w:smallCaps w:val="false"/>
                                <w:sz w:val="14"/>
                              </w:rPr>
                              <w:t xml:space="preserve"> recommends a vote </w:t>
                            </w:r>
                            <w:r>
                              <w:rPr>
                                <w:rFonts w:ascii="Arial;Helvetica;Sans-Serif" w:hAnsi="Arial;Helvetica;Sans-Serif"/>
                                <w:b/>
                                <w:i w:val="false"/>
                                <w:caps w:val="false"/>
                                <w:smallCaps w:val="false"/>
                                <w:sz w:val="14"/>
                              </w:rPr>
                              <w:t>FOR</w:t>
                            </w:r>
                            <w:r>
                              <w:rPr>
                                <w:rFonts w:ascii="Arial;Helvetica;Sans-Serif" w:hAnsi="Arial;Helvetica;Sans-Serif"/>
                                <w:b w:val="false"/>
                                <w:i w:val="false"/>
                                <w:caps w:val="false"/>
                                <w:smallCaps w:val="false"/>
                                <w:sz w:val="14"/>
                              </w:rPr>
                              <w:t xml:space="preserve"> the listed nominees under Item 1.</w:t>
                            </w:r>
                          </w:p>
                        </w:tc>
                      </w:tr>
                      <w:tr>
                        <w:trPr/>
                        <w:tc>
                          <w:tcPr>
                            <w:tcW w:w="3876" w:type="dxa"/>
                            <w:gridSpan w:val="3"/>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61" w:type="dxa"/>
                            <w:tcBorders/>
                          </w:tcPr>
                          <w:p>
                            <w:pPr>
                              <w:pStyle w:val="TableContents"/>
                              <w:bidi w:val="0"/>
                              <w:spacing w:before="0" w:after="283"/>
                              <w:jc w:val="left"/>
                              <w:rPr>
                                <w:sz w:val="4"/>
                                <w:szCs w:val="4"/>
                              </w:rPr>
                            </w:pPr>
                            <w:r>
                              <w:rPr>
                                <w:sz w:val="4"/>
                                <w:szCs w:val="4"/>
                              </w:rPr>
                            </w:r>
                          </w:p>
                        </w:tc>
                      </w:tr>
                      <w:tr>
                        <w:trPr/>
                        <w:tc>
                          <w:tcPr>
                            <w:tcW w:w="1077" w:type="dxa"/>
                            <w:tcBorders/>
                            <w:vAlign w:val="center"/>
                          </w:tcPr>
                          <w:p>
                            <w:pPr>
                              <w:pStyle w:val="TableContents"/>
                              <w:bidi w:val="0"/>
                              <w:spacing w:before="0" w:after="283"/>
                              <w:jc w:val="left"/>
                              <w:rPr/>
                            </w:pPr>
                            <w:r>
                              <w:rPr/>
                              <w:t>Item 1 -     </w:t>
                            </w:r>
                          </w:p>
                        </w:tc>
                        <w:tc>
                          <w:tcPr>
                            <w:tcW w:w="2799" w:type="dxa"/>
                            <w:gridSpan w:val="2"/>
                            <w:tcBorders/>
                            <w:vAlign w:val="center"/>
                          </w:tcPr>
                          <w:p>
                            <w:pPr>
                              <w:pStyle w:val="TableContents"/>
                              <w:bidi w:val="0"/>
                              <w:spacing w:before="0" w:after="283"/>
                              <w:jc w:val="both"/>
                              <w:rPr/>
                            </w:pPr>
                            <w:r>
                              <w:rPr/>
                              <w:t>Election of Directors</w:t>
                            </w:r>
                          </w:p>
                        </w:tc>
                        <w:tc>
                          <w:tcPr>
                            <w:tcW w:w="235" w:type="dxa"/>
                            <w:tcBorders/>
                            <w:vAlign w:val="center"/>
                          </w:tcPr>
                          <w:p>
                            <w:pPr>
                              <w:pStyle w:val="TableContents"/>
                              <w:bidi w:val="0"/>
                              <w:spacing w:before="0" w:after="283"/>
                              <w:jc w:val="center"/>
                              <w:rPr/>
                            </w:pPr>
                            <w:r>
                              <w:rPr/>
                              <w:t> </w:t>
                            </w:r>
                          </w:p>
                        </w:tc>
                        <w:tc>
                          <w:tcPr>
                            <w:tcW w:w="495" w:type="dxa"/>
                            <w:tcBorders/>
                            <w:vAlign w:val="center"/>
                          </w:tcPr>
                          <w:p>
                            <w:pPr>
                              <w:pStyle w:val="TableContents"/>
                              <w:bidi w:val="0"/>
                              <w:spacing w:before="0" w:after="283"/>
                              <w:jc w:val="center"/>
                              <w:rPr/>
                            </w:pPr>
                            <w:r>
                              <w:rPr/>
                              <w:t> </w:t>
                            </w:r>
                          </w:p>
                        </w:tc>
                        <w:tc>
                          <w:tcPr>
                            <w:tcW w:w="495" w:type="dxa"/>
                            <w:tcBorders/>
                            <w:vAlign w:val="center"/>
                          </w:tcPr>
                          <w:p>
                            <w:pPr>
                              <w:pStyle w:val="TableContents"/>
                              <w:bidi w:val="0"/>
                              <w:spacing w:before="0" w:after="283"/>
                              <w:jc w:val="center"/>
                              <w:rPr/>
                            </w:pPr>
                            <w:r>
                              <w:rPr/>
                              <w:t> </w:t>
                            </w:r>
                          </w:p>
                        </w:tc>
                        <w:tc>
                          <w:tcPr>
                            <w:tcW w:w="61" w:type="dxa"/>
                            <w:tcBorders/>
                            <w:vAlign w:val="center"/>
                          </w:tcPr>
                          <w:p>
                            <w:pPr>
                              <w:pStyle w:val="TableContents"/>
                              <w:bidi w:val="0"/>
                              <w:spacing w:before="0" w:after="283"/>
                              <w:jc w:val="center"/>
                              <w:rPr/>
                            </w:pPr>
                            <w:r>
                              <w:rPr/>
                              <w:t> </w:t>
                            </w:r>
                          </w:p>
                        </w:tc>
                      </w:tr>
                      <w:tr>
                        <w:trPr/>
                        <w:tc>
                          <w:tcPr>
                            <w:tcW w:w="1077" w:type="dxa"/>
                            <w:tcBorders/>
                            <w:vAlign w:val="center"/>
                          </w:tcPr>
                          <w:p>
                            <w:pPr>
                              <w:pStyle w:val="TableContents"/>
                              <w:bidi w:val="0"/>
                              <w:spacing w:before="0" w:after="283"/>
                              <w:jc w:val="left"/>
                              <w:rPr/>
                            </w:pPr>
                            <w:r>
                              <w:rPr/>
                              <w:t>      </w:t>
                            </w:r>
                          </w:p>
                        </w:tc>
                        <w:tc>
                          <w:tcPr>
                            <w:tcW w:w="2799" w:type="dxa"/>
                            <w:gridSpan w:val="2"/>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center"/>
                              <w:rPr>
                                <w:b/>
                                <w:sz w:val="14"/>
                              </w:rPr>
                            </w:pPr>
                            <w:r>
                              <w:rPr>
                                <w:b/>
                                <w:sz w:val="14"/>
                              </w:rPr>
                              <w:t>For</w:t>
                            </w:r>
                          </w:p>
                        </w:tc>
                        <w:tc>
                          <w:tcPr>
                            <w:tcW w:w="495" w:type="dxa"/>
                            <w:tcBorders/>
                            <w:vAlign w:val="center"/>
                          </w:tcPr>
                          <w:p>
                            <w:pPr>
                              <w:pStyle w:val="TableContents"/>
                              <w:bidi w:val="0"/>
                              <w:spacing w:before="0" w:after="283"/>
                              <w:jc w:val="center"/>
                              <w:rPr>
                                <w:b/>
                                <w:sz w:val="14"/>
                              </w:rPr>
                            </w:pPr>
                            <w:r>
                              <w:rPr>
                                <w:b/>
                                <w:sz w:val="14"/>
                              </w:rPr>
                              <w:t>Against</w:t>
                            </w:r>
                          </w:p>
                        </w:tc>
                        <w:tc>
                          <w:tcPr>
                            <w:tcW w:w="495" w:type="dxa"/>
                            <w:tcBorders/>
                            <w:vAlign w:val="center"/>
                          </w:tcPr>
                          <w:p>
                            <w:pPr>
                              <w:pStyle w:val="TableContents"/>
                              <w:bidi w:val="0"/>
                              <w:spacing w:before="0" w:after="283"/>
                              <w:jc w:val="center"/>
                              <w:rPr>
                                <w:b/>
                                <w:sz w:val="14"/>
                              </w:rPr>
                            </w:pPr>
                            <w:r>
                              <w:rPr>
                                <w:b/>
                                <w:sz w:val="14"/>
                              </w:rPr>
                              <w:t>Abstain</w:t>
                            </w:r>
                          </w:p>
                        </w:tc>
                        <w:tc>
                          <w:tcPr>
                            <w:tcW w:w="61" w:type="dxa"/>
                            <w:tcBorders/>
                            <w:vAlign w:val="center"/>
                          </w:tcPr>
                          <w:p>
                            <w:pPr>
                              <w:pStyle w:val="TableContents"/>
                              <w:bidi w:val="0"/>
                              <w:spacing w:before="0" w:after="283"/>
                              <w:jc w:val="center"/>
                              <w:rPr/>
                            </w:pPr>
                            <w:r>
                              <w:rPr/>
                              <w:t> </w:t>
                            </w:r>
                          </w:p>
                        </w:tc>
                      </w:tr>
                      <w:tr>
                        <w:trPr/>
                        <w:tc>
                          <w:tcPr>
                            <w:tcW w:w="1077" w:type="dxa"/>
                            <w:tcBorders/>
                            <w:vAlign w:val="center"/>
                          </w:tcPr>
                          <w:p>
                            <w:pPr>
                              <w:pStyle w:val="TableContents"/>
                              <w:bidi w:val="0"/>
                              <w:spacing w:before="0" w:after="283"/>
                              <w:jc w:val="left"/>
                              <w:rPr/>
                            </w:pPr>
                            <w:r>
                              <w:rPr/>
                              <w:t> </w:t>
                            </w:r>
                          </w:p>
                        </w:tc>
                        <w:tc>
                          <w:tcPr>
                            <w:tcW w:w="2799" w:type="dxa"/>
                            <w:gridSpan w:val="2"/>
                            <w:tcBorders/>
                            <w:vAlign w:val="center"/>
                          </w:tcPr>
                          <w:p>
                            <w:pPr>
                              <w:pStyle w:val="TableContents"/>
                              <w:bidi w:val="0"/>
                              <w:spacing w:before="0" w:after="283"/>
                              <w:jc w:val="left"/>
                              <w:rPr>
                                <w:b/>
                              </w:rPr>
                            </w:pPr>
                            <w:r>
                              <w:rPr>
                                <w:b/>
                              </w:rPr>
                              <w:t>Nominees:</w:t>
                            </w:r>
                          </w:p>
                        </w:tc>
                        <w:tc>
                          <w:tcPr>
                            <w:tcW w:w="235" w:type="dxa"/>
                            <w:tcBorders/>
                            <w:vAlign w:val="center"/>
                          </w:tcPr>
                          <w:p>
                            <w:pPr>
                              <w:pStyle w:val="TableContents"/>
                              <w:bidi w:val="0"/>
                              <w:spacing w:before="0" w:after="283"/>
                              <w:jc w:val="center"/>
                              <w:rPr/>
                            </w:pPr>
                            <w:r>
                              <w:rPr/>
                              <w:t> </w:t>
                            </w:r>
                          </w:p>
                        </w:tc>
                        <w:tc>
                          <w:tcPr>
                            <w:tcW w:w="495" w:type="dxa"/>
                            <w:tcBorders/>
                            <w:vAlign w:val="center"/>
                          </w:tcPr>
                          <w:p>
                            <w:pPr>
                              <w:pStyle w:val="TableContents"/>
                              <w:bidi w:val="0"/>
                              <w:spacing w:before="0" w:after="283"/>
                              <w:jc w:val="center"/>
                              <w:rPr/>
                            </w:pPr>
                            <w:r>
                              <w:rPr/>
                              <w:t> </w:t>
                            </w:r>
                          </w:p>
                        </w:tc>
                        <w:tc>
                          <w:tcPr>
                            <w:tcW w:w="495" w:type="dxa"/>
                            <w:tcBorders/>
                            <w:vAlign w:val="center"/>
                          </w:tcPr>
                          <w:p>
                            <w:pPr>
                              <w:pStyle w:val="TableContents"/>
                              <w:bidi w:val="0"/>
                              <w:spacing w:before="0" w:after="283"/>
                              <w:jc w:val="center"/>
                              <w:rPr/>
                            </w:pPr>
                            <w:r>
                              <w:rPr/>
                              <w:t> </w:t>
                            </w:r>
                          </w:p>
                        </w:tc>
                        <w:tc>
                          <w:tcPr>
                            <w:tcW w:w="61" w:type="dxa"/>
                            <w:tcBorders/>
                            <w:vAlign w:val="center"/>
                          </w:tcPr>
                          <w:p>
                            <w:pPr>
                              <w:pStyle w:val="TableContents"/>
                              <w:bidi w:val="0"/>
                              <w:spacing w:before="0" w:after="283"/>
                              <w:jc w:val="center"/>
                              <w:rPr/>
                            </w:pPr>
                            <w:r>
                              <w:rPr/>
                              <w:t> </w:t>
                            </w:r>
                          </w:p>
                        </w:tc>
                      </w:tr>
                      <w:tr>
                        <w:trPr/>
                        <w:tc>
                          <w:tcPr>
                            <w:tcW w:w="1077" w:type="dxa"/>
                            <w:tcBorders/>
                            <w:vAlign w:val="center"/>
                          </w:tcPr>
                          <w:p>
                            <w:pPr>
                              <w:pStyle w:val="TableContents"/>
                              <w:bidi w:val="0"/>
                              <w:spacing w:before="0" w:after="283"/>
                              <w:jc w:val="left"/>
                              <w:rPr/>
                            </w:pPr>
                            <w:r>
                              <w:rPr/>
                              <w:t> </w:t>
                            </w:r>
                          </w:p>
                        </w:tc>
                        <w:tc>
                          <w:tcPr>
                            <w:tcW w:w="2799" w:type="dxa"/>
                            <w:gridSpan w:val="2"/>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center"/>
                              <w:rPr/>
                            </w:pPr>
                            <w:r>
                              <w:rPr/>
                              <w:t> </w:t>
                            </w:r>
                          </w:p>
                        </w:tc>
                        <w:tc>
                          <w:tcPr>
                            <w:tcW w:w="495" w:type="dxa"/>
                            <w:tcBorders/>
                            <w:vAlign w:val="center"/>
                          </w:tcPr>
                          <w:p>
                            <w:pPr>
                              <w:pStyle w:val="TableContents"/>
                              <w:bidi w:val="0"/>
                              <w:spacing w:before="0" w:after="283"/>
                              <w:jc w:val="center"/>
                              <w:rPr/>
                            </w:pPr>
                            <w:r>
                              <w:rPr/>
                              <w:t> </w:t>
                            </w:r>
                          </w:p>
                        </w:tc>
                        <w:tc>
                          <w:tcPr>
                            <w:tcW w:w="495" w:type="dxa"/>
                            <w:tcBorders/>
                            <w:vAlign w:val="center"/>
                          </w:tcPr>
                          <w:p>
                            <w:pPr>
                              <w:pStyle w:val="TableContents"/>
                              <w:bidi w:val="0"/>
                              <w:spacing w:before="0" w:after="283"/>
                              <w:jc w:val="center"/>
                              <w:rPr/>
                            </w:pPr>
                            <w:r>
                              <w:rPr/>
                              <w:t> </w:t>
                            </w:r>
                          </w:p>
                        </w:tc>
                        <w:tc>
                          <w:tcPr>
                            <w:tcW w:w="61" w:type="dxa"/>
                            <w:tcBorders/>
                            <w:vAlign w:val="center"/>
                          </w:tcPr>
                          <w:p>
                            <w:pPr>
                              <w:pStyle w:val="TableContents"/>
                              <w:bidi w:val="0"/>
                              <w:spacing w:before="0" w:after="283"/>
                              <w:jc w:val="center"/>
                              <w:rPr/>
                            </w:pPr>
                            <w:r>
                              <w:rPr/>
                              <w:t> </w:t>
                            </w:r>
                          </w:p>
                        </w:tc>
                      </w:tr>
                      <w:tr>
                        <w:trPr/>
                        <w:tc>
                          <w:tcPr>
                            <w:tcW w:w="1077"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pPr>
                            <w:r>
                              <w:rPr/>
                              <w:t>1a.     </w:t>
                            </w:r>
                          </w:p>
                        </w:tc>
                        <w:tc>
                          <w:tcPr>
                            <w:tcW w:w="2181" w:type="dxa"/>
                            <w:tcBorders/>
                            <w:vAlign w:val="center"/>
                          </w:tcPr>
                          <w:p>
                            <w:pPr>
                              <w:pStyle w:val="TableContents"/>
                              <w:bidi w:val="0"/>
                              <w:spacing w:before="0" w:after="283"/>
                              <w:jc w:val="left"/>
                              <w:rPr/>
                            </w:pPr>
                            <w:r>
                              <w:rPr/>
                              <w:t>Tracy A. Atkinson</w:t>
                            </w:r>
                          </w:p>
                        </w:tc>
                        <w:tc>
                          <w:tcPr>
                            <w:tcW w:w="235" w:type="dxa"/>
                            <w:tcBorders/>
                            <w:vAlign w:val="center"/>
                          </w:tcPr>
                          <w:p>
                            <w:pPr>
                              <w:pStyle w:val="TableContents"/>
                              <w:bidi w:val="0"/>
                              <w:spacing w:before="0" w:after="283"/>
                              <w:jc w:val="center"/>
                              <w:rPr>
                                <w:caps w:val="false"/>
                                <w:smallCaps w:val="false"/>
                              </w:rPr>
                            </w:pPr>
                            <w:r>
                              <w:rPr>
                                <w:caps w:val="false"/>
                                <w:smallCaps w:val="false"/>
                              </w:rPr>
                              <w:t>☐</w:t>
                            </w:r>
                          </w:p>
                        </w:tc>
                        <w:tc>
                          <w:tcPr>
                            <w:tcW w:w="495" w:type="dxa"/>
                            <w:tcBorders/>
                            <w:vAlign w:val="center"/>
                          </w:tcPr>
                          <w:p>
                            <w:pPr>
                              <w:pStyle w:val="TableContents"/>
                              <w:bidi w:val="0"/>
                              <w:spacing w:before="0" w:after="283"/>
                              <w:jc w:val="center"/>
                              <w:rPr>
                                <w:caps w:val="false"/>
                                <w:smallCaps w:val="false"/>
                              </w:rPr>
                            </w:pPr>
                            <w:r>
                              <w:rPr>
                                <w:caps w:val="false"/>
                                <w:smallCaps w:val="false"/>
                              </w:rPr>
                              <w:t>☐</w:t>
                            </w:r>
                          </w:p>
                        </w:tc>
                        <w:tc>
                          <w:tcPr>
                            <w:tcW w:w="495" w:type="dxa"/>
                            <w:tcBorders/>
                            <w:vAlign w:val="center"/>
                          </w:tcPr>
                          <w:p>
                            <w:pPr>
                              <w:pStyle w:val="TableContents"/>
                              <w:bidi w:val="0"/>
                              <w:spacing w:before="0" w:after="283"/>
                              <w:jc w:val="center"/>
                              <w:rPr>
                                <w:caps w:val="false"/>
                                <w:smallCaps w:val="false"/>
                              </w:rPr>
                            </w:pPr>
                            <w:r>
                              <w:rPr>
                                <w:caps w:val="false"/>
                                <w:smallCaps w:val="false"/>
                              </w:rPr>
                              <w:t>☐</w:t>
                            </w:r>
                          </w:p>
                        </w:tc>
                        <w:tc>
                          <w:tcPr>
                            <w:tcW w:w="61" w:type="dxa"/>
                            <w:tcBorders/>
                            <w:vAlign w:val="center"/>
                          </w:tcPr>
                          <w:p>
                            <w:pPr>
                              <w:pStyle w:val="TableContents"/>
                              <w:bidi w:val="0"/>
                              <w:spacing w:before="0" w:after="283"/>
                              <w:jc w:val="center"/>
                              <w:rPr/>
                            </w:pPr>
                            <w:r>
                              <w:rPr/>
                              <w:t> </w:t>
                            </w:r>
                          </w:p>
                        </w:tc>
                      </w:tr>
                      <w:tr>
                        <w:trPr/>
                        <w:tc>
                          <w:tcPr>
                            <w:tcW w:w="1077"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2181"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61" w:type="dxa"/>
                            <w:tcBorders/>
                          </w:tcPr>
                          <w:p>
                            <w:pPr>
                              <w:pStyle w:val="TableContents"/>
                              <w:bidi w:val="0"/>
                              <w:spacing w:before="0" w:after="283"/>
                              <w:jc w:val="left"/>
                              <w:rPr>
                                <w:sz w:val="4"/>
                                <w:szCs w:val="4"/>
                              </w:rPr>
                            </w:pPr>
                            <w:r>
                              <w:rPr>
                                <w:sz w:val="4"/>
                                <w:szCs w:val="4"/>
                              </w:rPr>
                            </w:r>
                          </w:p>
                        </w:tc>
                      </w:tr>
                      <w:tr>
                        <w:trPr/>
                        <w:tc>
                          <w:tcPr>
                            <w:tcW w:w="1077"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pPr>
                            <w:r>
                              <w:rPr/>
                              <w:t>1b.</w:t>
                            </w:r>
                          </w:p>
                        </w:tc>
                        <w:tc>
                          <w:tcPr>
                            <w:tcW w:w="2181" w:type="dxa"/>
                            <w:tcBorders/>
                            <w:vAlign w:val="center"/>
                          </w:tcPr>
                          <w:p>
                            <w:pPr>
                              <w:pStyle w:val="TableContents"/>
                              <w:bidi w:val="0"/>
                              <w:spacing w:before="0" w:after="283"/>
                              <w:jc w:val="left"/>
                              <w:rPr/>
                            </w:pPr>
                            <w:r>
                              <w:rPr/>
                              <w:t>Christopher T. Calio</w:t>
                            </w:r>
                          </w:p>
                        </w:tc>
                        <w:tc>
                          <w:tcPr>
                            <w:tcW w:w="235" w:type="dxa"/>
                            <w:tcBorders/>
                            <w:vAlign w:val="center"/>
                          </w:tcPr>
                          <w:p>
                            <w:pPr>
                              <w:pStyle w:val="TableContents"/>
                              <w:bidi w:val="0"/>
                              <w:spacing w:before="0" w:after="283"/>
                              <w:jc w:val="center"/>
                              <w:rPr>
                                <w:caps w:val="false"/>
                                <w:smallCaps w:val="false"/>
                              </w:rPr>
                            </w:pPr>
                            <w:r>
                              <w:rPr>
                                <w:caps w:val="false"/>
                                <w:smallCaps w:val="false"/>
                              </w:rPr>
                              <w:t>☐</w:t>
                            </w:r>
                          </w:p>
                        </w:tc>
                        <w:tc>
                          <w:tcPr>
                            <w:tcW w:w="495" w:type="dxa"/>
                            <w:tcBorders/>
                            <w:vAlign w:val="center"/>
                          </w:tcPr>
                          <w:p>
                            <w:pPr>
                              <w:pStyle w:val="TableContents"/>
                              <w:bidi w:val="0"/>
                              <w:spacing w:before="0" w:after="283"/>
                              <w:jc w:val="center"/>
                              <w:rPr>
                                <w:caps w:val="false"/>
                                <w:smallCaps w:val="false"/>
                              </w:rPr>
                            </w:pPr>
                            <w:r>
                              <w:rPr>
                                <w:caps w:val="false"/>
                                <w:smallCaps w:val="false"/>
                              </w:rPr>
                              <w:t>☐</w:t>
                            </w:r>
                          </w:p>
                        </w:tc>
                        <w:tc>
                          <w:tcPr>
                            <w:tcW w:w="495" w:type="dxa"/>
                            <w:tcBorders/>
                            <w:vAlign w:val="center"/>
                          </w:tcPr>
                          <w:p>
                            <w:pPr>
                              <w:pStyle w:val="TableContents"/>
                              <w:bidi w:val="0"/>
                              <w:spacing w:before="0" w:after="283"/>
                              <w:jc w:val="center"/>
                              <w:rPr>
                                <w:caps w:val="false"/>
                                <w:smallCaps w:val="false"/>
                              </w:rPr>
                            </w:pPr>
                            <w:r>
                              <w:rPr>
                                <w:caps w:val="false"/>
                                <w:smallCaps w:val="false"/>
                              </w:rPr>
                              <w:t>☐</w:t>
                            </w:r>
                          </w:p>
                        </w:tc>
                        <w:tc>
                          <w:tcPr>
                            <w:tcW w:w="61" w:type="dxa"/>
                            <w:tcBorders/>
                            <w:vAlign w:val="center"/>
                          </w:tcPr>
                          <w:p>
                            <w:pPr>
                              <w:pStyle w:val="TableContents"/>
                              <w:bidi w:val="0"/>
                              <w:spacing w:before="0" w:after="283"/>
                              <w:jc w:val="center"/>
                              <w:rPr/>
                            </w:pPr>
                            <w:r>
                              <w:rPr/>
                              <w:t> </w:t>
                            </w:r>
                          </w:p>
                        </w:tc>
                      </w:tr>
                      <w:tr>
                        <w:trPr/>
                        <w:tc>
                          <w:tcPr>
                            <w:tcW w:w="1077"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2181"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61" w:type="dxa"/>
                            <w:tcBorders/>
                          </w:tcPr>
                          <w:p>
                            <w:pPr>
                              <w:pStyle w:val="TableContents"/>
                              <w:bidi w:val="0"/>
                              <w:spacing w:before="0" w:after="283"/>
                              <w:jc w:val="left"/>
                              <w:rPr>
                                <w:sz w:val="4"/>
                                <w:szCs w:val="4"/>
                              </w:rPr>
                            </w:pPr>
                            <w:r>
                              <w:rPr>
                                <w:sz w:val="4"/>
                                <w:szCs w:val="4"/>
                              </w:rPr>
                            </w:r>
                          </w:p>
                        </w:tc>
                      </w:tr>
                      <w:tr>
                        <w:trPr/>
                        <w:tc>
                          <w:tcPr>
                            <w:tcW w:w="1077"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pPr>
                            <w:r>
                              <w:rPr/>
                              <w:t>1c.</w:t>
                            </w:r>
                          </w:p>
                        </w:tc>
                        <w:tc>
                          <w:tcPr>
                            <w:tcW w:w="2181" w:type="dxa"/>
                            <w:tcBorders/>
                            <w:vAlign w:val="center"/>
                          </w:tcPr>
                          <w:p>
                            <w:pPr>
                              <w:pStyle w:val="TableContents"/>
                              <w:bidi w:val="0"/>
                              <w:spacing w:before="0" w:after="283"/>
                              <w:jc w:val="left"/>
                              <w:rPr/>
                            </w:pPr>
                            <w:r>
                              <w:rPr/>
                              <w:t>Leanne G. Caret</w:t>
                            </w:r>
                          </w:p>
                        </w:tc>
                        <w:tc>
                          <w:tcPr>
                            <w:tcW w:w="235" w:type="dxa"/>
                            <w:tcBorders/>
                            <w:vAlign w:val="center"/>
                          </w:tcPr>
                          <w:p>
                            <w:pPr>
                              <w:pStyle w:val="TableContents"/>
                              <w:bidi w:val="0"/>
                              <w:spacing w:before="0" w:after="283"/>
                              <w:jc w:val="center"/>
                              <w:rPr>
                                <w:caps w:val="false"/>
                                <w:smallCaps w:val="false"/>
                              </w:rPr>
                            </w:pPr>
                            <w:r>
                              <w:rPr>
                                <w:caps w:val="false"/>
                                <w:smallCaps w:val="false"/>
                              </w:rPr>
                              <w:t>☐</w:t>
                            </w:r>
                          </w:p>
                        </w:tc>
                        <w:tc>
                          <w:tcPr>
                            <w:tcW w:w="495" w:type="dxa"/>
                            <w:tcBorders/>
                            <w:vAlign w:val="center"/>
                          </w:tcPr>
                          <w:p>
                            <w:pPr>
                              <w:pStyle w:val="TableContents"/>
                              <w:bidi w:val="0"/>
                              <w:spacing w:before="0" w:after="283"/>
                              <w:jc w:val="center"/>
                              <w:rPr>
                                <w:caps w:val="false"/>
                                <w:smallCaps w:val="false"/>
                              </w:rPr>
                            </w:pPr>
                            <w:r>
                              <w:rPr>
                                <w:caps w:val="false"/>
                                <w:smallCaps w:val="false"/>
                              </w:rPr>
                              <w:t>☐</w:t>
                            </w:r>
                          </w:p>
                        </w:tc>
                        <w:tc>
                          <w:tcPr>
                            <w:tcW w:w="495" w:type="dxa"/>
                            <w:tcBorders/>
                            <w:vAlign w:val="center"/>
                          </w:tcPr>
                          <w:p>
                            <w:pPr>
                              <w:pStyle w:val="TableContents"/>
                              <w:bidi w:val="0"/>
                              <w:spacing w:before="0" w:after="283"/>
                              <w:jc w:val="center"/>
                              <w:rPr>
                                <w:caps w:val="false"/>
                                <w:smallCaps w:val="false"/>
                              </w:rPr>
                            </w:pPr>
                            <w:r>
                              <w:rPr>
                                <w:caps w:val="false"/>
                                <w:smallCaps w:val="false"/>
                              </w:rPr>
                              <w:t>☐</w:t>
                            </w:r>
                          </w:p>
                        </w:tc>
                        <w:tc>
                          <w:tcPr>
                            <w:tcW w:w="61" w:type="dxa"/>
                            <w:tcBorders/>
                            <w:vAlign w:val="center"/>
                          </w:tcPr>
                          <w:p>
                            <w:pPr>
                              <w:pStyle w:val="TableContents"/>
                              <w:bidi w:val="0"/>
                              <w:spacing w:before="0" w:after="283"/>
                              <w:jc w:val="center"/>
                              <w:rPr/>
                            </w:pPr>
                            <w:r>
                              <w:rPr/>
                              <w:t> </w:t>
                            </w:r>
                          </w:p>
                        </w:tc>
                      </w:tr>
                      <w:tr>
                        <w:trPr/>
                        <w:tc>
                          <w:tcPr>
                            <w:tcW w:w="1077"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2181"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61" w:type="dxa"/>
                            <w:tcBorders/>
                          </w:tcPr>
                          <w:p>
                            <w:pPr>
                              <w:pStyle w:val="TableContents"/>
                              <w:bidi w:val="0"/>
                              <w:spacing w:before="0" w:after="283"/>
                              <w:jc w:val="left"/>
                              <w:rPr>
                                <w:sz w:val="4"/>
                                <w:szCs w:val="4"/>
                              </w:rPr>
                            </w:pPr>
                            <w:r>
                              <w:rPr>
                                <w:sz w:val="4"/>
                                <w:szCs w:val="4"/>
                              </w:rPr>
                            </w:r>
                          </w:p>
                        </w:tc>
                      </w:tr>
                      <w:tr>
                        <w:trPr/>
                        <w:tc>
                          <w:tcPr>
                            <w:tcW w:w="1077"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pPr>
                            <w:r>
                              <w:rPr/>
                              <w:t>1d.</w:t>
                            </w:r>
                          </w:p>
                        </w:tc>
                        <w:tc>
                          <w:tcPr>
                            <w:tcW w:w="2181" w:type="dxa"/>
                            <w:tcBorders/>
                            <w:vAlign w:val="center"/>
                          </w:tcPr>
                          <w:p>
                            <w:pPr>
                              <w:pStyle w:val="TableContents"/>
                              <w:bidi w:val="0"/>
                              <w:spacing w:before="0" w:after="283"/>
                              <w:jc w:val="left"/>
                              <w:rPr/>
                            </w:pPr>
                            <w:r>
                              <w:rPr/>
                              <w:t>Bernard A. Harris, Jr.</w:t>
                            </w:r>
                          </w:p>
                        </w:tc>
                        <w:tc>
                          <w:tcPr>
                            <w:tcW w:w="235" w:type="dxa"/>
                            <w:tcBorders/>
                            <w:vAlign w:val="center"/>
                          </w:tcPr>
                          <w:p>
                            <w:pPr>
                              <w:pStyle w:val="TableContents"/>
                              <w:bidi w:val="0"/>
                              <w:spacing w:before="0" w:after="283"/>
                              <w:jc w:val="center"/>
                              <w:rPr>
                                <w:caps w:val="false"/>
                                <w:smallCaps w:val="false"/>
                              </w:rPr>
                            </w:pPr>
                            <w:r>
                              <w:rPr>
                                <w:caps w:val="false"/>
                                <w:smallCaps w:val="false"/>
                              </w:rPr>
                              <w:t>☐</w:t>
                            </w:r>
                          </w:p>
                        </w:tc>
                        <w:tc>
                          <w:tcPr>
                            <w:tcW w:w="495" w:type="dxa"/>
                            <w:tcBorders/>
                            <w:vAlign w:val="center"/>
                          </w:tcPr>
                          <w:p>
                            <w:pPr>
                              <w:pStyle w:val="TableContents"/>
                              <w:bidi w:val="0"/>
                              <w:spacing w:before="0" w:after="283"/>
                              <w:jc w:val="center"/>
                              <w:rPr>
                                <w:caps w:val="false"/>
                                <w:smallCaps w:val="false"/>
                              </w:rPr>
                            </w:pPr>
                            <w:r>
                              <w:rPr>
                                <w:caps w:val="false"/>
                                <w:smallCaps w:val="false"/>
                              </w:rPr>
                              <w:t>☐</w:t>
                            </w:r>
                          </w:p>
                        </w:tc>
                        <w:tc>
                          <w:tcPr>
                            <w:tcW w:w="495" w:type="dxa"/>
                            <w:tcBorders/>
                            <w:vAlign w:val="center"/>
                          </w:tcPr>
                          <w:p>
                            <w:pPr>
                              <w:pStyle w:val="TableContents"/>
                              <w:bidi w:val="0"/>
                              <w:spacing w:before="0" w:after="283"/>
                              <w:jc w:val="center"/>
                              <w:rPr>
                                <w:caps w:val="false"/>
                                <w:smallCaps w:val="false"/>
                              </w:rPr>
                            </w:pPr>
                            <w:r>
                              <w:rPr>
                                <w:caps w:val="false"/>
                                <w:smallCaps w:val="false"/>
                              </w:rPr>
                              <w:t>☐</w:t>
                            </w:r>
                          </w:p>
                        </w:tc>
                        <w:tc>
                          <w:tcPr>
                            <w:tcW w:w="61" w:type="dxa"/>
                            <w:tcBorders/>
                            <w:vAlign w:val="center"/>
                          </w:tcPr>
                          <w:p>
                            <w:pPr>
                              <w:pStyle w:val="TableContents"/>
                              <w:bidi w:val="0"/>
                              <w:spacing w:before="0" w:after="283"/>
                              <w:jc w:val="center"/>
                              <w:rPr/>
                            </w:pPr>
                            <w:r>
                              <w:rPr/>
                              <w:t> </w:t>
                            </w:r>
                          </w:p>
                        </w:tc>
                      </w:tr>
                      <w:tr>
                        <w:trPr/>
                        <w:tc>
                          <w:tcPr>
                            <w:tcW w:w="1077"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2181"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61" w:type="dxa"/>
                            <w:tcBorders/>
                          </w:tcPr>
                          <w:p>
                            <w:pPr>
                              <w:pStyle w:val="TableContents"/>
                              <w:bidi w:val="0"/>
                              <w:spacing w:before="0" w:after="283"/>
                              <w:jc w:val="left"/>
                              <w:rPr>
                                <w:sz w:val="4"/>
                                <w:szCs w:val="4"/>
                              </w:rPr>
                            </w:pPr>
                            <w:r>
                              <w:rPr>
                                <w:sz w:val="4"/>
                                <w:szCs w:val="4"/>
                              </w:rPr>
                            </w:r>
                          </w:p>
                        </w:tc>
                      </w:tr>
                      <w:tr>
                        <w:trPr/>
                        <w:tc>
                          <w:tcPr>
                            <w:tcW w:w="1077"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pPr>
                            <w:r>
                              <w:rPr/>
                              <w:t>1e.</w:t>
                            </w:r>
                          </w:p>
                        </w:tc>
                        <w:tc>
                          <w:tcPr>
                            <w:tcW w:w="2181" w:type="dxa"/>
                            <w:tcBorders/>
                            <w:vAlign w:val="center"/>
                          </w:tcPr>
                          <w:p>
                            <w:pPr>
                              <w:pStyle w:val="TableContents"/>
                              <w:bidi w:val="0"/>
                              <w:spacing w:before="0" w:after="283"/>
                              <w:jc w:val="left"/>
                              <w:rPr/>
                            </w:pPr>
                            <w:r>
                              <w:rPr/>
                              <w:t>George R. Oliver</w:t>
                            </w:r>
                          </w:p>
                        </w:tc>
                        <w:tc>
                          <w:tcPr>
                            <w:tcW w:w="235" w:type="dxa"/>
                            <w:tcBorders/>
                            <w:vAlign w:val="center"/>
                          </w:tcPr>
                          <w:p>
                            <w:pPr>
                              <w:pStyle w:val="TableContents"/>
                              <w:bidi w:val="0"/>
                              <w:spacing w:before="0" w:after="283"/>
                              <w:jc w:val="center"/>
                              <w:rPr>
                                <w:caps w:val="false"/>
                                <w:smallCaps w:val="false"/>
                              </w:rPr>
                            </w:pPr>
                            <w:r>
                              <w:rPr>
                                <w:caps w:val="false"/>
                                <w:smallCaps w:val="false"/>
                              </w:rPr>
                              <w:t>☐</w:t>
                            </w:r>
                          </w:p>
                        </w:tc>
                        <w:tc>
                          <w:tcPr>
                            <w:tcW w:w="495" w:type="dxa"/>
                            <w:tcBorders/>
                            <w:vAlign w:val="center"/>
                          </w:tcPr>
                          <w:p>
                            <w:pPr>
                              <w:pStyle w:val="TableContents"/>
                              <w:bidi w:val="0"/>
                              <w:spacing w:before="0" w:after="283"/>
                              <w:jc w:val="center"/>
                              <w:rPr>
                                <w:caps w:val="false"/>
                                <w:smallCaps w:val="false"/>
                              </w:rPr>
                            </w:pPr>
                            <w:r>
                              <w:rPr>
                                <w:caps w:val="false"/>
                                <w:smallCaps w:val="false"/>
                              </w:rPr>
                              <w:t>☐</w:t>
                            </w:r>
                          </w:p>
                        </w:tc>
                        <w:tc>
                          <w:tcPr>
                            <w:tcW w:w="495" w:type="dxa"/>
                            <w:tcBorders/>
                            <w:vAlign w:val="center"/>
                          </w:tcPr>
                          <w:p>
                            <w:pPr>
                              <w:pStyle w:val="TableContents"/>
                              <w:bidi w:val="0"/>
                              <w:spacing w:before="0" w:after="283"/>
                              <w:jc w:val="center"/>
                              <w:rPr>
                                <w:caps w:val="false"/>
                                <w:smallCaps w:val="false"/>
                              </w:rPr>
                            </w:pPr>
                            <w:r>
                              <w:rPr>
                                <w:caps w:val="false"/>
                                <w:smallCaps w:val="false"/>
                              </w:rPr>
                              <w:t>☐</w:t>
                            </w:r>
                          </w:p>
                        </w:tc>
                        <w:tc>
                          <w:tcPr>
                            <w:tcW w:w="61" w:type="dxa"/>
                            <w:tcBorders/>
                            <w:vAlign w:val="center"/>
                          </w:tcPr>
                          <w:p>
                            <w:pPr>
                              <w:pStyle w:val="TableContents"/>
                              <w:bidi w:val="0"/>
                              <w:spacing w:before="0" w:after="283"/>
                              <w:jc w:val="center"/>
                              <w:rPr/>
                            </w:pPr>
                            <w:r>
                              <w:rPr/>
                              <w:t> </w:t>
                            </w:r>
                          </w:p>
                        </w:tc>
                      </w:tr>
                      <w:tr>
                        <w:trPr/>
                        <w:tc>
                          <w:tcPr>
                            <w:tcW w:w="1077"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2181"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61" w:type="dxa"/>
                            <w:tcBorders/>
                          </w:tcPr>
                          <w:p>
                            <w:pPr>
                              <w:pStyle w:val="TableContents"/>
                              <w:bidi w:val="0"/>
                              <w:spacing w:before="0" w:after="283"/>
                              <w:jc w:val="left"/>
                              <w:rPr>
                                <w:sz w:val="4"/>
                                <w:szCs w:val="4"/>
                              </w:rPr>
                            </w:pPr>
                            <w:r>
                              <w:rPr>
                                <w:sz w:val="4"/>
                                <w:szCs w:val="4"/>
                              </w:rPr>
                            </w:r>
                          </w:p>
                        </w:tc>
                      </w:tr>
                      <w:tr>
                        <w:trPr/>
                        <w:tc>
                          <w:tcPr>
                            <w:tcW w:w="1077"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pPr>
                            <w:r>
                              <w:rPr/>
                              <w:t>1f.</w:t>
                            </w:r>
                          </w:p>
                        </w:tc>
                        <w:tc>
                          <w:tcPr>
                            <w:tcW w:w="2181" w:type="dxa"/>
                            <w:tcBorders/>
                            <w:vAlign w:val="center"/>
                          </w:tcPr>
                          <w:p>
                            <w:pPr>
                              <w:pStyle w:val="TableContents"/>
                              <w:bidi w:val="0"/>
                              <w:spacing w:before="0" w:after="283"/>
                              <w:jc w:val="left"/>
                              <w:rPr/>
                            </w:pPr>
                            <w:r>
                              <w:rPr/>
                              <w:t>Ellen M. Pawlikowski</w:t>
                            </w:r>
                          </w:p>
                        </w:tc>
                        <w:tc>
                          <w:tcPr>
                            <w:tcW w:w="235" w:type="dxa"/>
                            <w:tcBorders/>
                            <w:vAlign w:val="center"/>
                          </w:tcPr>
                          <w:p>
                            <w:pPr>
                              <w:pStyle w:val="TableContents"/>
                              <w:bidi w:val="0"/>
                              <w:spacing w:before="0" w:after="283"/>
                              <w:jc w:val="center"/>
                              <w:rPr>
                                <w:caps w:val="false"/>
                                <w:smallCaps w:val="false"/>
                              </w:rPr>
                            </w:pPr>
                            <w:r>
                              <w:rPr>
                                <w:caps w:val="false"/>
                                <w:smallCaps w:val="false"/>
                              </w:rPr>
                              <w:t>☐</w:t>
                            </w:r>
                          </w:p>
                        </w:tc>
                        <w:tc>
                          <w:tcPr>
                            <w:tcW w:w="495" w:type="dxa"/>
                            <w:tcBorders/>
                            <w:vAlign w:val="center"/>
                          </w:tcPr>
                          <w:p>
                            <w:pPr>
                              <w:pStyle w:val="TableContents"/>
                              <w:bidi w:val="0"/>
                              <w:spacing w:before="0" w:after="283"/>
                              <w:jc w:val="center"/>
                              <w:rPr>
                                <w:caps w:val="false"/>
                                <w:smallCaps w:val="false"/>
                              </w:rPr>
                            </w:pPr>
                            <w:r>
                              <w:rPr>
                                <w:caps w:val="false"/>
                                <w:smallCaps w:val="false"/>
                              </w:rPr>
                              <w:t>☐</w:t>
                            </w:r>
                          </w:p>
                        </w:tc>
                        <w:tc>
                          <w:tcPr>
                            <w:tcW w:w="495" w:type="dxa"/>
                            <w:tcBorders/>
                            <w:vAlign w:val="center"/>
                          </w:tcPr>
                          <w:p>
                            <w:pPr>
                              <w:pStyle w:val="TableContents"/>
                              <w:bidi w:val="0"/>
                              <w:spacing w:before="0" w:after="283"/>
                              <w:jc w:val="center"/>
                              <w:rPr>
                                <w:caps w:val="false"/>
                                <w:smallCaps w:val="false"/>
                              </w:rPr>
                            </w:pPr>
                            <w:r>
                              <w:rPr>
                                <w:caps w:val="false"/>
                                <w:smallCaps w:val="false"/>
                              </w:rPr>
                              <w:t>☐</w:t>
                            </w:r>
                          </w:p>
                        </w:tc>
                        <w:tc>
                          <w:tcPr>
                            <w:tcW w:w="61" w:type="dxa"/>
                            <w:tcBorders/>
                            <w:vAlign w:val="center"/>
                          </w:tcPr>
                          <w:p>
                            <w:pPr>
                              <w:pStyle w:val="TableContents"/>
                              <w:bidi w:val="0"/>
                              <w:spacing w:before="0" w:after="283"/>
                              <w:jc w:val="center"/>
                              <w:rPr/>
                            </w:pPr>
                            <w:r>
                              <w:rPr/>
                              <w:t> </w:t>
                            </w:r>
                          </w:p>
                        </w:tc>
                      </w:tr>
                      <w:tr>
                        <w:trPr/>
                        <w:tc>
                          <w:tcPr>
                            <w:tcW w:w="1077"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2181"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61" w:type="dxa"/>
                            <w:tcBorders/>
                          </w:tcPr>
                          <w:p>
                            <w:pPr>
                              <w:pStyle w:val="TableContents"/>
                              <w:bidi w:val="0"/>
                              <w:spacing w:before="0" w:after="283"/>
                              <w:jc w:val="left"/>
                              <w:rPr>
                                <w:sz w:val="4"/>
                                <w:szCs w:val="4"/>
                              </w:rPr>
                            </w:pPr>
                            <w:r>
                              <w:rPr>
                                <w:sz w:val="4"/>
                                <w:szCs w:val="4"/>
                              </w:rPr>
                            </w:r>
                          </w:p>
                        </w:tc>
                      </w:tr>
                      <w:tr>
                        <w:trPr/>
                        <w:tc>
                          <w:tcPr>
                            <w:tcW w:w="1077"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pPr>
                            <w:r>
                              <w:rPr/>
                              <w:t>1g.</w:t>
                            </w:r>
                          </w:p>
                        </w:tc>
                        <w:tc>
                          <w:tcPr>
                            <w:tcW w:w="2181" w:type="dxa"/>
                            <w:tcBorders/>
                            <w:vAlign w:val="center"/>
                          </w:tcPr>
                          <w:p>
                            <w:pPr>
                              <w:pStyle w:val="TableContents"/>
                              <w:bidi w:val="0"/>
                              <w:spacing w:before="0" w:after="283"/>
                              <w:jc w:val="left"/>
                              <w:rPr/>
                            </w:pPr>
                            <w:r>
                              <w:rPr/>
                              <w:t>Denise L. Ramos</w:t>
                            </w:r>
                          </w:p>
                        </w:tc>
                        <w:tc>
                          <w:tcPr>
                            <w:tcW w:w="235" w:type="dxa"/>
                            <w:tcBorders/>
                            <w:vAlign w:val="center"/>
                          </w:tcPr>
                          <w:p>
                            <w:pPr>
                              <w:pStyle w:val="TableContents"/>
                              <w:bidi w:val="0"/>
                              <w:spacing w:before="0" w:after="283"/>
                              <w:jc w:val="center"/>
                              <w:rPr>
                                <w:caps w:val="false"/>
                                <w:smallCaps w:val="false"/>
                              </w:rPr>
                            </w:pPr>
                            <w:r>
                              <w:rPr>
                                <w:caps w:val="false"/>
                                <w:smallCaps w:val="false"/>
                              </w:rPr>
                              <w:t>☐</w:t>
                            </w:r>
                          </w:p>
                        </w:tc>
                        <w:tc>
                          <w:tcPr>
                            <w:tcW w:w="495" w:type="dxa"/>
                            <w:tcBorders/>
                            <w:vAlign w:val="center"/>
                          </w:tcPr>
                          <w:p>
                            <w:pPr>
                              <w:pStyle w:val="TableContents"/>
                              <w:bidi w:val="0"/>
                              <w:spacing w:before="0" w:after="283"/>
                              <w:jc w:val="center"/>
                              <w:rPr>
                                <w:caps w:val="false"/>
                                <w:smallCaps w:val="false"/>
                              </w:rPr>
                            </w:pPr>
                            <w:r>
                              <w:rPr>
                                <w:caps w:val="false"/>
                                <w:smallCaps w:val="false"/>
                              </w:rPr>
                              <w:t>☐</w:t>
                            </w:r>
                          </w:p>
                        </w:tc>
                        <w:tc>
                          <w:tcPr>
                            <w:tcW w:w="495" w:type="dxa"/>
                            <w:tcBorders/>
                            <w:vAlign w:val="center"/>
                          </w:tcPr>
                          <w:p>
                            <w:pPr>
                              <w:pStyle w:val="TableContents"/>
                              <w:bidi w:val="0"/>
                              <w:spacing w:before="0" w:after="283"/>
                              <w:jc w:val="center"/>
                              <w:rPr>
                                <w:caps w:val="false"/>
                                <w:smallCaps w:val="false"/>
                              </w:rPr>
                            </w:pPr>
                            <w:r>
                              <w:rPr>
                                <w:caps w:val="false"/>
                                <w:smallCaps w:val="false"/>
                              </w:rPr>
                              <w:t>☐</w:t>
                            </w:r>
                          </w:p>
                        </w:tc>
                        <w:tc>
                          <w:tcPr>
                            <w:tcW w:w="61" w:type="dxa"/>
                            <w:tcBorders/>
                            <w:vAlign w:val="center"/>
                          </w:tcPr>
                          <w:p>
                            <w:pPr>
                              <w:pStyle w:val="TableContents"/>
                              <w:bidi w:val="0"/>
                              <w:spacing w:before="0" w:after="283"/>
                              <w:jc w:val="center"/>
                              <w:rPr/>
                            </w:pPr>
                            <w:r>
                              <w:rPr/>
                              <w:t> </w:t>
                            </w:r>
                          </w:p>
                        </w:tc>
                      </w:tr>
                      <w:tr>
                        <w:trPr/>
                        <w:tc>
                          <w:tcPr>
                            <w:tcW w:w="1077"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2181"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61" w:type="dxa"/>
                            <w:tcBorders/>
                          </w:tcPr>
                          <w:p>
                            <w:pPr>
                              <w:pStyle w:val="TableContents"/>
                              <w:bidi w:val="0"/>
                              <w:spacing w:before="0" w:after="283"/>
                              <w:jc w:val="left"/>
                              <w:rPr>
                                <w:sz w:val="4"/>
                                <w:szCs w:val="4"/>
                              </w:rPr>
                            </w:pPr>
                            <w:r>
                              <w:rPr>
                                <w:sz w:val="4"/>
                                <w:szCs w:val="4"/>
                              </w:rPr>
                            </w:r>
                          </w:p>
                        </w:tc>
                      </w:tr>
                      <w:tr>
                        <w:trPr/>
                        <w:tc>
                          <w:tcPr>
                            <w:tcW w:w="1077"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pPr>
                            <w:r>
                              <w:rPr/>
                              <w:t>1h.</w:t>
                            </w:r>
                          </w:p>
                        </w:tc>
                        <w:tc>
                          <w:tcPr>
                            <w:tcW w:w="2181" w:type="dxa"/>
                            <w:tcBorders/>
                            <w:vAlign w:val="center"/>
                          </w:tcPr>
                          <w:p>
                            <w:pPr>
                              <w:pStyle w:val="TableContents"/>
                              <w:bidi w:val="0"/>
                              <w:spacing w:before="0" w:after="283"/>
                              <w:jc w:val="left"/>
                              <w:rPr/>
                            </w:pPr>
                            <w:r>
                              <w:rPr/>
                              <w:t>Fredric G. Reynolds</w:t>
                            </w:r>
                          </w:p>
                        </w:tc>
                        <w:tc>
                          <w:tcPr>
                            <w:tcW w:w="235" w:type="dxa"/>
                            <w:tcBorders/>
                            <w:vAlign w:val="center"/>
                          </w:tcPr>
                          <w:p>
                            <w:pPr>
                              <w:pStyle w:val="TableContents"/>
                              <w:bidi w:val="0"/>
                              <w:spacing w:before="0" w:after="283"/>
                              <w:jc w:val="center"/>
                              <w:rPr>
                                <w:caps w:val="false"/>
                                <w:smallCaps w:val="false"/>
                              </w:rPr>
                            </w:pPr>
                            <w:r>
                              <w:rPr>
                                <w:caps w:val="false"/>
                                <w:smallCaps w:val="false"/>
                              </w:rPr>
                              <w:t>☐</w:t>
                            </w:r>
                          </w:p>
                        </w:tc>
                        <w:tc>
                          <w:tcPr>
                            <w:tcW w:w="495" w:type="dxa"/>
                            <w:tcBorders/>
                            <w:vAlign w:val="center"/>
                          </w:tcPr>
                          <w:p>
                            <w:pPr>
                              <w:pStyle w:val="TableContents"/>
                              <w:bidi w:val="0"/>
                              <w:spacing w:before="0" w:after="283"/>
                              <w:jc w:val="center"/>
                              <w:rPr>
                                <w:caps w:val="false"/>
                                <w:smallCaps w:val="false"/>
                              </w:rPr>
                            </w:pPr>
                            <w:r>
                              <w:rPr>
                                <w:caps w:val="false"/>
                                <w:smallCaps w:val="false"/>
                              </w:rPr>
                              <w:t>☐</w:t>
                            </w:r>
                          </w:p>
                        </w:tc>
                        <w:tc>
                          <w:tcPr>
                            <w:tcW w:w="495" w:type="dxa"/>
                            <w:tcBorders/>
                            <w:vAlign w:val="center"/>
                          </w:tcPr>
                          <w:p>
                            <w:pPr>
                              <w:pStyle w:val="TableContents"/>
                              <w:bidi w:val="0"/>
                              <w:spacing w:before="0" w:after="283"/>
                              <w:jc w:val="center"/>
                              <w:rPr>
                                <w:caps w:val="false"/>
                                <w:smallCaps w:val="false"/>
                              </w:rPr>
                            </w:pPr>
                            <w:r>
                              <w:rPr>
                                <w:caps w:val="false"/>
                                <w:smallCaps w:val="false"/>
                              </w:rPr>
                              <w:t>☐</w:t>
                            </w:r>
                          </w:p>
                        </w:tc>
                        <w:tc>
                          <w:tcPr>
                            <w:tcW w:w="61" w:type="dxa"/>
                            <w:tcBorders/>
                            <w:vAlign w:val="center"/>
                          </w:tcPr>
                          <w:p>
                            <w:pPr>
                              <w:pStyle w:val="TableContents"/>
                              <w:bidi w:val="0"/>
                              <w:spacing w:before="0" w:after="283"/>
                              <w:jc w:val="center"/>
                              <w:rPr/>
                            </w:pPr>
                            <w:r>
                              <w:rPr/>
                              <w:t> </w:t>
                            </w:r>
                          </w:p>
                        </w:tc>
                      </w:tr>
                      <w:tr>
                        <w:trPr/>
                        <w:tc>
                          <w:tcPr>
                            <w:tcW w:w="1077"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2181"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61" w:type="dxa"/>
                            <w:tcBorders/>
                          </w:tcPr>
                          <w:p>
                            <w:pPr>
                              <w:pStyle w:val="TableContents"/>
                              <w:bidi w:val="0"/>
                              <w:spacing w:before="0" w:after="283"/>
                              <w:jc w:val="left"/>
                              <w:rPr>
                                <w:sz w:val="4"/>
                                <w:szCs w:val="4"/>
                              </w:rPr>
                            </w:pPr>
                            <w:r>
                              <w:rPr>
                                <w:sz w:val="4"/>
                                <w:szCs w:val="4"/>
                              </w:rPr>
                            </w:r>
                          </w:p>
                        </w:tc>
                      </w:tr>
                      <w:tr>
                        <w:trPr/>
                        <w:tc>
                          <w:tcPr>
                            <w:tcW w:w="1077"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pPr>
                            <w:r>
                              <w:rPr/>
                              <w:t>1i.</w:t>
                            </w:r>
                          </w:p>
                        </w:tc>
                        <w:tc>
                          <w:tcPr>
                            <w:tcW w:w="2181" w:type="dxa"/>
                            <w:tcBorders/>
                            <w:vAlign w:val="center"/>
                          </w:tcPr>
                          <w:p>
                            <w:pPr>
                              <w:pStyle w:val="TableContents"/>
                              <w:bidi w:val="0"/>
                              <w:spacing w:before="0" w:after="283"/>
                              <w:jc w:val="left"/>
                              <w:rPr/>
                            </w:pPr>
                            <w:r>
                              <w:rPr/>
                              <w:t>Brian C. Rogers</w:t>
                            </w:r>
                          </w:p>
                        </w:tc>
                        <w:tc>
                          <w:tcPr>
                            <w:tcW w:w="235" w:type="dxa"/>
                            <w:tcBorders/>
                            <w:vAlign w:val="center"/>
                          </w:tcPr>
                          <w:p>
                            <w:pPr>
                              <w:pStyle w:val="TableContents"/>
                              <w:bidi w:val="0"/>
                              <w:spacing w:before="0" w:after="283"/>
                              <w:jc w:val="center"/>
                              <w:rPr>
                                <w:caps w:val="false"/>
                                <w:smallCaps w:val="false"/>
                              </w:rPr>
                            </w:pPr>
                            <w:r>
                              <w:rPr>
                                <w:caps w:val="false"/>
                                <w:smallCaps w:val="false"/>
                              </w:rPr>
                              <w:t>☐</w:t>
                            </w:r>
                          </w:p>
                        </w:tc>
                        <w:tc>
                          <w:tcPr>
                            <w:tcW w:w="495" w:type="dxa"/>
                            <w:tcBorders/>
                            <w:vAlign w:val="center"/>
                          </w:tcPr>
                          <w:p>
                            <w:pPr>
                              <w:pStyle w:val="TableContents"/>
                              <w:bidi w:val="0"/>
                              <w:spacing w:before="0" w:after="283"/>
                              <w:jc w:val="center"/>
                              <w:rPr>
                                <w:caps w:val="false"/>
                                <w:smallCaps w:val="false"/>
                              </w:rPr>
                            </w:pPr>
                            <w:r>
                              <w:rPr>
                                <w:caps w:val="false"/>
                                <w:smallCaps w:val="false"/>
                              </w:rPr>
                              <w:t>☐</w:t>
                            </w:r>
                          </w:p>
                        </w:tc>
                        <w:tc>
                          <w:tcPr>
                            <w:tcW w:w="495" w:type="dxa"/>
                            <w:tcBorders/>
                            <w:vAlign w:val="center"/>
                          </w:tcPr>
                          <w:p>
                            <w:pPr>
                              <w:pStyle w:val="TableContents"/>
                              <w:bidi w:val="0"/>
                              <w:spacing w:before="0" w:after="283"/>
                              <w:jc w:val="center"/>
                              <w:rPr>
                                <w:caps w:val="false"/>
                                <w:smallCaps w:val="false"/>
                              </w:rPr>
                            </w:pPr>
                            <w:r>
                              <w:rPr>
                                <w:caps w:val="false"/>
                                <w:smallCaps w:val="false"/>
                              </w:rPr>
                              <w:t>☐</w:t>
                            </w:r>
                          </w:p>
                        </w:tc>
                        <w:tc>
                          <w:tcPr>
                            <w:tcW w:w="61" w:type="dxa"/>
                            <w:tcBorders/>
                            <w:vAlign w:val="center"/>
                          </w:tcPr>
                          <w:p>
                            <w:pPr>
                              <w:pStyle w:val="TableContents"/>
                              <w:bidi w:val="0"/>
                              <w:spacing w:before="0" w:after="283"/>
                              <w:jc w:val="center"/>
                              <w:rPr/>
                            </w:pPr>
                            <w:r>
                              <w:rPr/>
                              <w:t> </w:t>
                            </w:r>
                          </w:p>
                        </w:tc>
                      </w:tr>
                      <w:tr>
                        <w:trPr/>
                        <w:tc>
                          <w:tcPr>
                            <w:tcW w:w="1077"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2181"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61" w:type="dxa"/>
                            <w:tcBorders/>
                          </w:tcPr>
                          <w:p>
                            <w:pPr>
                              <w:pStyle w:val="TableContents"/>
                              <w:bidi w:val="0"/>
                              <w:spacing w:before="0" w:after="283"/>
                              <w:jc w:val="left"/>
                              <w:rPr>
                                <w:sz w:val="4"/>
                                <w:szCs w:val="4"/>
                              </w:rPr>
                            </w:pPr>
                            <w:r>
                              <w:rPr>
                                <w:sz w:val="4"/>
                                <w:szCs w:val="4"/>
                              </w:rPr>
                            </w:r>
                          </w:p>
                        </w:tc>
                      </w:tr>
                      <w:tr>
                        <w:trPr/>
                        <w:tc>
                          <w:tcPr>
                            <w:tcW w:w="1077"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pPr>
                            <w:r>
                              <w:rPr/>
                              <w:t>1j.</w:t>
                            </w:r>
                          </w:p>
                        </w:tc>
                        <w:tc>
                          <w:tcPr>
                            <w:tcW w:w="2181" w:type="dxa"/>
                            <w:tcBorders/>
                            <w:vAlign w:val="center"/>
                          </w:tcPr>
                          <w:p>
                            <w:pPr>
                              <w:pStyle w:val="TableContents"/>
                              <w:bidi w:val="0"/>
                              <w:spacing w:before="0" w:after="283"/>
                              <w:jc w:val="left"/>
                              <w:rPr/>
                            </w:pPr>
                            <w:r>
                              <w:rPr/>
                              <w:t>Robert O. Work</w:t>
                            </w:r>
                          </w:p>
                        </w:tc>
                        <w:tc>
                          <w:tcPr>
                            <w:tcW w:w="235" w:type="dxa"/>
                            <w:tcBorders/>
                            <w:vAlign w:val="center"/>
                          </w:tcPr>
                          <w:p>
                            <w:pPr>
                              <w:pStyle w:val="TableContents"/>
                              <w:bidi w:val="0"/>
                              <w:spacing w:before="0" w:after="283"/>
                              <w:jc w:val="center"/>
                              <w:rPr>
                                <w:caps w:val="false"/>
                                <w:smallCaps w:val="false"/>
                              </w:rPr>
                            </w:pPr>
                            <w:r>
                              <w:rPr>
                                <w:caps w:val="false"/>
                                <w:smallCaps w:val="false"/>
                              </w:rPr>
                              <w:t>☐</w:t>
                            </w:r>
                          </w:p>
                        </w:tc>
                        <w:tc>
                          <w:tcPr>
                            <w:tcW w:w="495" w:type="dxa"/>
                            <w:tcBorders/>
                            <w:vAlign w:val="center"/>
                          </w:tcPr>
                          <w:p>
                            <w:pPr>
                              <w:pStyle w:val="TableContents"/>
                              <w:bidi w:val="0"/>
                              <w:spacing w:before="0" w:after="283"/>
                              <w:jc w:val="center"/>
                              <w:rPr>
                                <w:caps w:val="false"/>
                                <w:smallCaps w:val="false"/>
                              </w:rPr>
                            </w:pPr>
                            <w:r>
                              <w:rPr>
                                <w:caps w:val="false"/>
                                <w:smallCaps w:val="false"/>
                              </w:rPr>
                              <w:t>☐</w:t>
                            </w:r>
                          </w:p>
                        </w:tc>
                        <w:tc>
                          <w:tcPr>
                            <w:tcW w:w="495" w:type="dxa"/>
                            <w:tcBorders/>
                            <w:vAlign w:val="center"/>
                          </w:tcPr>
                          <w:p>
                            <w:pPr>
                              <w:pStyle w:val="TableContents"/>
                              <w:bidi w:val="0"/>
                              <w:spacing w:before="0" w:after="283"/>
                              <w:jc w:val="center"/>
                              <w:rPr>
                                <w:caps w:val="false"/>
                                <w:smallCaps w:val="false"/>
                              </w:rPr>
                            </w:pPr>
                            <w:r>
                              <w:rPr>
                                <w:caps w:val="false"/>
                                <w:smallCaps w:val="false"/>
                              </w:rPr>
                              <w:t>☐</w:t>
                            </w:r>
                          </w:p>
                        </w:tc>
                        <w:tc>
                          <w:tcPr>
                            <w:tcW w:w="61" w:type="dxa"/>
                            <w:tcBorders/>
                            <w:vAlign w:val="center"/>
                          </w:tcPr>
                          <w:p>
                            <w:pPr>
                              <w:pStyle w:val="TableContents"/>
                              <w:bidi w:val="0"/>
                              <w:spacing w:before="0" w:after="283"/>
                              <w:jc w:val="center"/>
                              <w:rPr/>
                            </w:pPr>
                            <w:r>
                              <w:rPr/>
                              <w:t> </w:t>
                            </w:r>
                          </w:p>
                        </w:tc>
                      </w:tr>
                      <w:tr>
                        <w:trPr/>
                        <w:tc>
                          <w:tcPr>
                            <w:tcW w:w="1077" w:type="dxa"/>
                            <w:tcBorders/>
                            <w:vAlign w:val="center"/>
                          </w:tcPr>
                          <w:p>
                            <w:pPr>
                              <w:pStyle w:val="TableContents"/>
                              <w:bidi w:val="0"/>
                              <w:spacing w:before="0" w:after="283"/>
                              <w:jc w:val="left"/>
                              <w:rPr/>
                            </w:pPr>
                            <w:r>
                              <w:rPr/>
                              <w:t> </w:t>
                            </w:r>
                          </w:p>
                        </w:tc>
                        <w:tc>
                          <w:tcPr>
                            <w:tcW w:w="618" w:type="dxa"/>
                            <w:tcBorders/>
                            <w:vAlign w:val="center"/>
                          </w:tcPr>
                          <w:p>
                            <w:pPr>
                              <w:pStyle w:val="TableContents"/>
                              <w:bidi w:val="0"/>
                              <w:spacing w:before="0" w:after="283"/>
                              <w:jc w:val="left"/>
                              <w:rPr/>
                            </w:pPr>
                            <w:r>
                              <w:rPr/>
                              <w:t> </w:t>
                            </w:r>
                          </w:p>
                        </w:tc>
                        <w:tc>
                          <w:tcPr>
                            <w:tcW w:w="2181"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center"/>
                              <w:rPr/>
                            </w:pPr>
                            <w:r>
                              <w:rPr/>
                              <w:t> </w:t>
                            </w:r>
                          </w:p>
                        </w:tc>
                        <w:tc>
                          <w:tcPr>
                            <w:tcW w:w="495" w:type="dxa"/>
                            <w:tcBorders/>
                            <w:vAlign w:val="center"/>
                          </w:tcPr>
                          <w:p>
                            <w:pPr>
                              <w:pStyle w:val="TableContents"/>
                              <w:bidi w:val="0"/>
                              <w:spacing w:before="0" w:after="283"/>
                              <w:jc w:val="center"/>
                              <w:rPr/>
                            </w:pPr>
                            <w:r>
                              <w:rPr/>
                              <w:t> </w:t>
                            </w:r>
                          </w:p>
                        </w:tc>
                        <w:tc>
                          <w:tcPr>
                            <w:tcW w:w="495" w:type="dxa"/>
                            <w:tcBorders/>
                            <w:vAlign w:val="center"/>
                          </w:tcPr>
                          <w:p>
                            <w:pPr>
                              <w:pStyle w:val="TableContents"/>
                              <w:bidi w:val="0"/>
                              <w:spacing w:before="0" w:after="283"/>
                              <w:jc w:val="center"/>
                              <w:rPr/>
                            </w:pPr>
                            <w:r>
                              <w:rPr/>
                              <w:t> </w:t>
                            </w:r>
                          </w:p>
                        </w:tc>
                        <w:tc>
                          <w:tcPr>
                            <w:tcW w:w="61" w:type="dxa"/>
                            <w:tcBorders/>
                            <w:vAlign w:val="center"/>
                          </w:tcPr>
                          <w:p>
                            <w:pPr>
                              <w:pStyle w:val="TableContents"/>
                              <w:bidi w:val="0"/>
                              <w:spacing w:before="0" w:after="283"/>
                              <w:jc w:val="center"/>
                              <w:rPr/>
                            </w:pPr>
                            <w:r>
                              <w:rPr/>
                              <w:t> </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327">
                <wp:simplePos x="0" y="0"/>
                <wp:positionH relativeFrom="column">
                  <wp:align>right</wp:align>
                </wp:positionH>
                <wp:positionV relativeFrom="line">
                  <wp:posOffset>635</wp:posOffset>
                </wp:positionV>
                <wp:extent cx="3110230" cy="7090410"/>
                <wp:effectExtent l="0" t="0" r="0" b="0"/>
                <wp:wrapSquare wrapText="left"/>
                <wp:docPr id="382" name="Frame74"/>
                <a:graphic xmlns:a="http://schemas.openxmlformats.org/drawingml/2006/main">
                  <a:graphicData uri="http://schemas.microsoft.com/office/word/2010/wordprocessingShape">
                    <wps:wsp>
                      <wps:cNvSpPr txBox="1"/>
                      <wps:spPr>
                        <a:xfrm>
                          <a:off x="0" y="0"/>
                          <a:ext cx="3110230" cy="7090410"/>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4211"/>
                              <w:gridCol w:w="2677"/>
                              <w:gridCol w:w="2116"/>
                              <w:gridCol w:w="230"/>
                              <w:gridCol w:w="485"/>
                              <w:gridCol w:w="486"/>
                            </w:tblGrid>
                            <w:tr>
                              <w:trPr/>
                              <w:tc>
                                <w:tcPr>
                                  <w:tcW w:w="4211" w:type="dxa"/>
                                  <w:tcBorders/>
                                  <w:vAlign w:val="center"/>
                                </w:tcPr>
                                <w:p>
                                  <w:pPr>
                                    <w:pStyle w:val="TableContents"/>
                                    <w:bidi w:val="0"/>
                                    <w:spacing w:before="0" w:after="283"/>
                                    <w:jc w:val="right"/>
                                    <w:rPr/>
                                  </w:pPr>
                                  <w:r>
                                    <w:rPr/>
                                    <w:t> </w:t>
                                  </w:r>
                                </w:p>
                              </w:tc>
                              <w:tc>
                                <w:tcPr>
                                  <w:tcW w:w="2677" w:type="dxa"/>
                                  <w:tcBorders/>
                                  <w:vAlign w:val="center"/>
                                </w:tcPr>
                                <w:p>
                                  <w:pPr>
                                    <w:pStyle w:val="TableContents"/>
                                    <w:bidi w:val="0"/>
                                    <w:spacing w:before="0" w:after="283"/>
                                    <w:jc w:val="right"/>
                                    <w:rPr/>
                                  </w:pPr>
                                  <w:r>
                                    <w:rPr/>
                                    <w:t> </w:t>
                                  </w:r>
                                </w:p>
                              </w:tc>
                              <w:tc>
                                <w:tcPr>
                                  <w:tcW w:w="2116" w:type="dxa"/>
                                  <w:tcBorders/>
                                  <w:vAlign w:val="center"/>
                                </w:tcPr>
                                <w:p>
                                  <w:pPr>
                                    <w:pStyle w:val="TableContents"/>
                                    <w:bidi w:val="0"/>
                                    <w:spacing w:before="0" w:after="283"/>
                                    <w:jc w:val="right"/>
                                    <w:rPr/>
                                  </w:pPr>
                                  <w:r>
                                    <w:rPr/>
                                    <w:t> </w:t>
                                  </w:r>
                                </w:p>
                              </w:tc>
                              <w:tc>
                                <w:tcPr>
                                  <w:tcW w:w="230" w:type="dxa"/>
                                  <w:tcBorders/>
                                  <w:vAlign w:val="center"/>
                                </w:tcPr>
                                <w:p>
                                  <w:pPr>
                                    <w:pStyle w:val="TableContents"/>
                                    <w:bidi w:val="0"/>
                                    <w:spacing w:before="0" w:after="283"/>
                                    <w:jc w:val="right"/>
                                    <w:rPr/>
                                  </w:pPr>
                                  <w:r>
                                    <w:rPr/>
                                    <w:t> </w:t>
                                  </w:r>
                                </w:p>
                              </w:tc>
                              <w:tc>
                                <w:tcPr>
                                  <w:tcW w:w="485" w:type="dxa"/>
                                  <w:tcBorders/>
                                  <w:vAlign w:val="center"/>
                                </w:tcPr>
                                <w:p>
                                  <w:pPr>
                                    <w:pStyle w:val="TableContents"/>
                                    <w:bidi w:val="0"/>
                                    <w:spacing w:before="0" w:after="283"/>
                                    <w:jc w:val="right"/>
                                    <w:rPr/>
                                  </w:pPr>
                                  <w:r>
                                    <w:rPr/>
                                    <w:t> </w:t>
                                  </w:r>
                                </w:p>
                              </w:tc>
                              <w:tc>
                                <w:tcPr>
                                  <w:tcW w:w="486"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vAlign w:val="center"/>
                                </w:tcPr>
                                <w:p>
                                  <w:pPr>
                                    <w:pStyle w:val="TableContents"/>
                                    <w:bidi w:val="0"/>
                                    <w:spacing w:before="0" w:after="283"/>
                                    <w:jc w:val="left"/>
                                    <w:rPr/>
                                  </w:pPr>
                                  <w:r>
                                    <w:rPr/>
                                    <w:t> </w:t>
                                  </w:r>
                                </w:p>
                              </w:tc>
                            </w:tr>
                            <w:tr>
                              <w:trPr/>
                              <w:tc>
                                <w:tcPr>
                                  <w:tcW w:w="10205" w:type="dxa"/>
                                  <w:gridSpan w:val="6"/>
                                  <w:tcBorders/>
                                  <w:vAlign w:val="center"/>
                                </w:tcPr>
                                <w:p>
                                  <w:pPr>
                                    <w:pStyle w:val="TableContents"/>
                                    <w:bidi w:val="0"/>
                                    <w:spacing w:before="0" w:after="283"/>
                                    <w:jc w:val="left"/>
                                    <w:rPr/>
                                  </w:pPr>
                                  <w:r>
                                    <w:rPr/>
                                    <w:t> </w:t>
                                  </w:r>
                                </w:p>
                              </w:tc>
                            </w:tr>
                            <w:tr>
                              <w:trPr/>
                              <w:tc>
                                <w:tcPr>
                                  <w:tcW w:w="10205" w:type="dxa"/>
                                  <w:gridSpan w:val="6"/>
                                  <w:tcBorders/>
                                  <w:vAlign w:val="center"/>
                                </w:tcPr>
                                <w:p>
                                  <w:pPr>
                                    <w:pStyle w:val="TableContents"/>
                                    <w:bidi w:val="0"/>
                                    <w:spacing w:before="0" w:after="283"/>
                                    <w:jc w:val="left"/>
                                    <w:rPr/>
                                  </w:pPr>
                                  <w:r>
                                    <w:rPr/>
                                    <w:t> </w:t>
                                  </w:r>
                                </w:p>
                              </w:tc>
                            </w:tr>
                            <w:tr>
                              <w:trPr/>
                              <w:tc>
                                <w:tcPr>
                                  <w:tcW w:w="10205" w:type="dxa"/>
                                  <w:gridSpan w:val="6"/>
                                  <w:tcBorders/>
                                  <w:vAlign w:val="center"/>
                                </w:tcPr>
                                <w:p>
                                  <w:pPr>
                                    <w:pStyle w:val="TableContents"/>
                                    <w:bidi w:val="0"/>
                                    <w:spacing w:before="0" w:after="283"/>
                                    <w:jc w:val="left"/>
                                    <w:rPr/>
                                  </w:pPr>
                                  <w:r>
                                    <w:rPr/>
                                    <w:t> </w:t>
                                  </w:r>
                                </w:p>
                              </w:tc>
                            </w:tr>
                            <w:tr>
                              <w:trPr/>
                              <w:tc>
                                <w:tcPr>
                                  <w:tcW w:w="10205" w:type="dxa"/>
                                  <w:gridSpan w:val="6"/>
                                  <w:tcBorders/>
                                  <w:vAlign w:val="center"/>
                                </w:tcPr>
                                <w:p>
                                  <w:pPr>
                                    <w:pStyle w:val="TableContents"/>
                                    <w:bidi w:val="0"/>
                                    <w:spacing w:before="0" w:after="283"/>
                                    <w:jc w:val="left"/>
                                    <w:rPr/>
                                  </w:pPr>
                                  <w:r>
                                    <w:rPr/>
                                    <w:t> </w:t>
                                  </w:r>
                                </w:p>
                              </w:tc>
                            </w:tr>
                            <w:tr>
                              <w:trPr/>
                              <w:tc>
                                <w:tcPr>
                                  <w:tcW w:w="10205" w:type="dxa"/>
                                  <w:gridSpan w:val="6"/>
                                  <w:tcBorders/>
                                  <w:vAlign w:val="center"/>
                                </w:tcPr>
                                <w:p>
                                  <w:pPr>
                                    <w:pStyle w:val="TableContents"/>
                                    <w:bidi w:val="0"/>
                                    <w:spacing w:before="0" w:after="283"/>
                                    <w:jc w:val="left"/>
                                    <w:rPr/>
                                  </w:pPr>
                                  <w:r>
                                    <w:rPr/>
                                    <w:t> </w:t>
                                  </w:r>
                                </w:p>
                              </w:tc>
                            </w:tr>
                            <w:tr>
                              <w:trPr/>
                              <w:tc>
                                <w:tcPr>
                                  <w:tcW w:w="9004" w:type="dxa"/>
                                  <w:gridSpan w:val="3"/>
                                  <w:tcBorders/>
                                  <w:vAlign w:val="center"/>
                                </w:tcPr>
                                <w:p>
                                  <w:pPr>
                                    <w:pStyle w:val="TableContents"/>
                                    <w:bidi w:val="0"/>
                                    <w:spacing w:before="0" w:after="283"/>
                                    <w:jc w:val="both"/>
                                    <w:rPr/>
                                  </w:pPr>
                                  <w:r>
                                    <w:rPr>
                                      <w:b/>
                                    </w:rPr>
                                    <w:t>COMPANY PROPOSALS:</w:t>
                                  </w:r>
                                  <w:r>
                                    <w:rPr/>
                                    <w:t xml:space="preserve"> The </w:t>
                                  </w:r>
                                  <w:r>
                                    <w:rPr>
                                      <w:b/>
                                    </w:rPr>
                                    <w:t>Board of Directors</w:t>
                                  </w:r>
                                  <w:r>
                                    <w:rPr/>
                                    <w:t xml:space="preserve"> recommends a vote </w:t>
                                  </w:r>
                                  <w:r>
                                    <w:rPr>
                                      <w:b/>
                                    </w:rPr>
                                    <w:t>FOR</w:t>
                                  </w:r>
                                  <w:r>
                                    <w:rPr/>
                                    <w:t xml:space="preserve"> Items 2 and 3.</w:t>
                                  </w:r>
                                </w:p>
                              </w:tc>
                              <w:tc>
                                <w:tcPr>
                                  <w:tcW w:w="230" w:type="dxa"/>
                                  <w:tcBorders/>
                                  <w:vAlign w:val="center"/>
                                </w:tcPr>
                                <w:p>
                                  <w:pPr>
                                    <w:pStyle w:val="TableContents"/>
                                    <w:bidi w:val="0"/>
                                    <w:spacing w:before="0" w:after="283"/>
                                    <w:jc w:val="center"/>
                                    <w:rPr>
                                      <w:b/>
                                      <w:sz w:val="14"/>
                                    </w:rPr>
                                  </w:pPr>
                                  <w:r>
                                    <w:rPr>
                                      <w:b/>
                                      <w:sz w:val="14"/>
                                    </w:rPr>
                                    <w:t>For</w:t>
                                  </w:r>
                                </w:p>
                              </w:tc>
                              <w:tc>
                                <w:tcPr>
                                  <w:tcW w:w="485" w:type="dxa"/>
                                  <w:tcBorders/>
                                  <w:vAlign w:val="center"/>
                                </w:tcPr>
                                <w:p>
                                  <w:pPr>
                                    <w:pStyle w:val="TableContents"/>
                                    <w:bidi w:val="0"/>
                                    <w:spacing w:before="0" w:after="283"/>
                                    <w:jc w:val="center"/>
                                    <w:rPr>
                                      <w:b/>
                                      <w:sz w:val="14"/>
                                    </w:rPr>
                                  </w:pPr>
                                  <w:r>
                                    <w:rPr>
                                      <w:b/>
                                      <w:sz w:val="14"/>
                                    </w:rPr>
                                    <w:t>Against</w:t>
                                  </w:r>
                                </w:p>
                              </w:tc>
                              <w:tc>
                                <w:tcPr>
                                  <w:tcW w:w="486" w:type="dxa"/>
                                  <w:tcBorders/>
                                  <w:vAlign w:val="center"/>
                                </w:tcPr>
                                <w:p>
                                  <w:pPr>
                                    <w:pStyle w:val="TableContents"/>
                                    <w:bidi w:val="0"/>
                                    <w:spacing w:before="0" w:after="283"/>
                                    <w:jc w:val="center"/>
                                    <w:rPr>
                                      <w:b/>
                                      <w:sz w:val="14"/>
                                    </w:rPr>
                                  </w:pPr>
                                  <w:r>
                                    <w:rPr>
                                      <w:b/>
                                      <w:sz w:val="14"/>
                                    </w:rPr>
                                    <w:t>Abstain</w:t>
                                  </w:r>
                                </w:p>
                              </w:tc>
                            </w:tr>
                            <w:tr>
                              <w:trPr/>
                              <w:tc>
                                <w:tcPr>
                                  <w:tcW w:w="4211" w:type="dxa"/>
                                  <w:tcBorders/>
                                  <w:vAlign w:val="center"/>
                                </w:tcPr>
                                <w:p>
                                  <w:pPr>
                                    <w:pStyle w:val="TableContents"/>
                                    <w:bidi w:val="0"/>
                                    <w:spacing w:before="0" w:after="283"/>
                                    <w:jc w:val="left"/>
                                    <w:rPr/>
                                  </w:pPr>
                                  <w:r>
                                    <w:rPr/>
                                    <w:t> </w:t>
                                  </w:r>
                                </w:p>
                              </w:tc>
                              <w:tc>
                                <w:tcPr>
                                  <w:tcW w:w="4793" w:type="dxa"/>
                                  <w:gridSpan w:val="2"/>
                                  <w:tcBorders/>
                                  <w:vAlign w:val="center"/>
                                </w:tcPr>
                                <w:p>
                                  <w:pPr>
                                    <w:pStyle w:val="TableContents"/>
                                    <w:bidi w:val="0"/>
                                    <w:spacing w:before="0" w:after="283"/>
                                    <w:jc w:val="both"/>
                                    <w:rPr/>
                                  </w:pPr>
                                  <w:r>
                                    <w:rPr/>
                                    <w:t> </w:t>
                                  </w:r>
                                </w:p>
                              </w:tc>
                              <w:tc>
                                <w:tcPr>
                                  <w:tcW w:w="230" w:type="dxa"/>
                                  <w:tcBorders/>
                                  <w:vAlign w:val="center"/>
                                </w:tcPr>
                                <w:p>
                                  <w:pPr>
                                    <w:pStyle w:val="TableContents"/>
                                    <w:bidi w:val="0"/>
                                    <w:spacing w:before="0" w:after="283"/>
                                    <w:jc w:val="center"/>
                                    <w:rPr/>
                                  </w:pPr>
                                  <w:r>
                                    <w:rPr/>
                                    <w:t> </w:t>
                                  </w:r>
                                </w:p>
                              </w:tc>
                              <w:tc>
                                <w:tcPr>
                                  <w:tcW w:w="485" w:type="dxa"/>
                                  <w:tcBorders/>
                                  <w:vAlign w:val="center"/>
                                </w:tcPr>
                                <w:p>
                                  <w:pPr>
                                    <w:pStyle w:val="TableContents"/>
                                    <w:bidi w:val="0"/>
                                    <w:spacing w:before="0" w:after="283"/>
                                    <w:jc w:val="center"/>
                                    <w:rPr/>
                                  </w:pPr>
                                  <w:r>
                                    <w:rPr/>
                                    <w:t> </w:t>
                                  </w:r>
                                </w:p>
                              </w:tc>
                              <w:tc>
                                <w:tcPr>
                                  <w:tcW w:w="486" w:type="dxa"/>
                                  <w:tcBorders/>
                                  <w:vAlign w:val="center"/>
                                </w:tcPr>
                                <w:p>
                                  <w:pPr>
                                    <w:pStyle w:val="TableContents"/>
                                    <w:bidi w:val="0"/>
                                    <w:spacing w:before="0" w:after="283"/>
                                    <w:jc w:val="center"/>
                                    <w:rPr/>
                                  </w:pPr>
                                  <w:r>
                                    <w:rPr/>
                                    <w:t> </w:t>
                                  </w:r>
                                </w:p>
                              </w:tc>
                            </w:tr>
                            <w:tr>
                              <w:trPr/>
                              <w:tc>
                                <w:tcPr>
                                  <w:tcW w:w="4211" w:type="dxa"/>
                                  <w:tcBorders/>
                                  <w:vAlign w:val="center"/>
                                </w:tcPr>
                                <w:p>
                                  <w:pPr>
                                    <w:pStyle w:val="TableContents"/>
                                    <w:bidi w:val="0"/>
                                    <w:spacing w:before="0" w:after="283"/>
                                    <w:jc w:val="left"/>
                                    <w:rPr/>
                                  </w:pPr>
                                  <w:r>
                                    <w:rPr/>
                                    <w:t>Item 2 -          </w:t>
                                  </w:r>
                                </w:p>
                              </w:tc>
                              <w:tc>
                                <w:tcPr>
                                  <w:tcW w:w="4793" w:type="dxa"/>
                                  <w:gridSpan w:val="2"/>
                                  <w:tcBorders/>
                                  <w:vAlign w:val="center"/>
                                </w:tcPr>
                                <w:p>
                                  <w:pPr>
                                    <w:pStyle w:val="TableContents"/>
                                    <w:bidi w:val="0"/>
                                    <w:spacing w:before="0" w:after="283"/>
                                    <w:jc w:val="both"/>
                                    <w:rPr/>
                                  </w:pPr>
                                  <w:r>
                                    <w:rPr/>
                                    <w:t>Advisory Vote to Approve Executive Compensation</w:t>
                                  </w:r>
                                </w:p>
                              </w:tc>
                              <w:tc>
                                <w:tcPr>
                                  <w:tcW w:w="230" w:type="dxa"/>
                                  <w:tcBorders/>
                                  <w:vAlign w:val="center"/>
                                </w:tcPr>
                                <w:p>
                                  <w:pPr>
                                    <w:pStyle w:val="TableContents"/>
                                    <w:bidi w:val="0"/>
                                    <w:spacing w:before="0" w:after="283"/>
                                    <w:jc w:val="center"/>
                                    <w:rPr>
                                      <w:caps w:val="false"/>
                                      <w:smallCaps w:val="false"/>
                                    </w:rPr>
                                  </w:pPr>
                                  <w:r>
                                    <w:rPr>
                                      <w:caps w:val="false"/>
                                      <w:smallCaps w:val="false"/>
                                    </w:rPr>
                                    <w:t>☐</w:t>
                                  </w:r>
                                </w:p>
                              </w:tc>
                              <w:tc>
                                <w:tcPr>
                                  <w:tcW w:w="485" w:type="dxa"/>
                                  <w:tcBorders/>
                                  <w:vAlign w:val="center"/>
                                </w:tcPr>
                                <w:p>
                                  <w:pPr>
                                    <w:pStyle w:val="TableContents"/>
                                    <w:bidi w:val="0"/>
                                    <w:spacing w:before="0" w:after="283"/>
                                    <w:jc w:val="center"/>
                                    <w:rPr>
                                      <w:caps w:val="false"/>
                                      <w:smallCaps w:val="false"/>
                                    </w:rPr>
                                  </w:pPr>
                                  <w:r>
                                    <w:rPr>
                                      <w:caps w:val="false"/>
                                      <w:smallCaps w:val="false"/>
                                    </w:rPr>
                                    <w:t>☐</w:t>
                                  </w:r>
                                </w:p>
                              </w:tc>
                              <w:tc>
                                <w:tcPr>
                                  <w:tcW w:w="486" w:type="dxa"/>
                                  <w:tcBorders/>
                                  <w:vAlign w:val="center"/>
                                </w:tcPr>
                                <w:p>
                                  <w:pPr>
                                    <w:pStyle w:val="TableContents"/>
                                    <w:bidi w:val="0"/>
                                    <w:spacing w:before="0" w:after="283"/>
                                    <w:jc w:val="center"/>
                                    <w:rPr>
                                      <w:caps w:val="false"/>
                                      <w:smallCaps w:val="false"/>
                                    </w:rPr>
                                  </w:pPr>
                                  <w:r>
                                    <w:rPr>
                                      <w:caps w:val="false"/>
                                      <w:smallCaps w:val="false"/>
                                    </w:rPr>
                                    <w:t>☐</w:t>
                                  </w:r>
                                </w:p>
                              </w:tc>
                            </w:tr>
                            <w:tr>
                              <w:trPr/>
                              <w:tc>
                                <w:tcPr>
                                  <w:tcW w:w="4211" w:type="dxa"/>
                                  <w:tcBorders/>
                                  <w:vAlign w:val="center"/>
                                </w:tcPr>
                                <w:p>
                                  <w:pPr>
                                    <w:pStyle w:val="TableContents"/>
                                    <w:bidi w:val="0"/>
                                    <w:spacing w:before="0" w:after="283"/>
                                    <w:jc w:val="left"/>
                                    <w:rPr/>
                                  </w:pPr>
                                  <w:r>
                                    <w:rPr/>
                                    <w:t> </w:t>
                                  </w:r>
                                </w:p>
                              </w:tc>
                              <w:tc>
                                <w:tcPr>
                                  <w:tcW w:w="4793" w:type="dxa"/>
                                  <w:gridSpan w:val="2"/>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center"/>
                                    <w:rPr/>
                                  </w:pPr>
                                  <w:r>
                                    <w:rPr/>
                                    <w:t> </w:t>
                                  </w:r>
                                </w:p>
                              </w:tc>
                              <w:tc>
                                <w:tcPr>
                                  <w:tcW w:w="485" w:type="dxa"/>
                                  <w:tcBorders/>
                                  <w:vAlign w:val="center"/>
                                </w:tcPr>
                                <w:p>
                                  <w:pPr>
                                    <w:pStyle w:val="TableContents"/>
                                    <w:bidi w:val="0"/>
                                    <w:spacing w:before="0" w:after="283"/>
                                    <w:jc w:val="center"/>
                                    <w:rPr/>
                                  </w:pPr>
                                  <w:r>
                                    <w:rPr/>
                                    <w:t> </w:t>
                                  </w:r>
                                </w:p>
                              </w:tc>
                              <w:tc>
                                <w:tcPr>
                                  <w:tcW w:w="486" w:type="dxa"/>
                                  <w:tcBorders/>
                                  <w:vAlign w:val="center"/>
                                </w:tcPr>
                                <w:p>
                                  <w:pPr>
                                    <w:pStyle w:val="TableContents"/>
                                    <w:bidi w:val="0"/>
                                    <w:spacing w:before="0" w:after="283"/>
                                    <w:jc w:val="center"/>
                                    <w:rPr/>
                                  </w:pPr>
                                  <w:r>
                                    <w:rPr/>
                                    <w:t> </w:t>
                                  </w:r>
                                </w:p>
                              </w:tc>
                            </w:tr>
                            <w:tr>
                              <w:trPr/>
                              <w:tc>
                                <w:tcPr>
                                  <w:tcW w:w="4211" w:type="dxa"/>
                                  <w:tcBorders/>
                                  <w:vAlign w:val="center"/>
                                </w:tcPr>
                                <w:p>
                                  <w:pPr>
                                    <w:pStyle w:val="TableContents"/>
                                    <w:bidi w:val="0"/>
                                    <w:spacing w:before="0" w:after="283"/>
                                    <w:jc w:val="left"/>
                                    <w:rPr/>
                                  </w:pPr>
                                  <w:r>
                                    <w:rPr/>
                                    <w:t>Item 3 -     </w:t>
                                  </w:r>
                                </w:p>
                              </w:tc>
                              <w:tc>
                                <w:tcPr>
                                  <w:tcW w:w="4793" w:type="dxa"/>
                                  <w:gridSpan w:val="2"/>
                                  <w:tcBorders/>
                                  <w:vAlign w:val="center"/>
                                </w:tcPr>
                                <w:p>
                                  <w:pPr>
                                    <w:pStyle w:val="TableContents"/>
                                    <w:bidi w:val="0"/>
                                    <w:spacing w:before="0" w:after="283"/>
                                    <w:jc w:val="both"/>
                                    <w:rPr/>
                                  </w:pPr>
                                  <w:r>
                                    <w:rPr/>
                                    <w:t>Appointment of PricewaterhouseCoopers LLP to Serve as Independent Auditor for 2026</w:t>
                                  </w:r>
                                </w:p>
                              </w:tc>
                              <w:tc>
                                <w:tcPr>
                                  <w:tcW w:w="230" w:type="dxa"/>
                                  <w:tcBorders/>
                                  <w:vAlign w:val="center"/>
                                </w:tcPr>
                                <w:p>
                                  <w:pPr>
                                    <w:pStyle w:val="TableContents"/>
                                    <w:bidi w:val="0"/>
                                    <w:spacing w:before="0" w:after="283"/>
                                    <w:jc w:val="center"/>
                                    <w:rPr>
                                      <w:caps w:val="false"/>
                                      <w:smallCaps w:val="false"/>
                                    </w:rPr>
                                  </w:pPr>
                                  <w:r>
                                    <w:rPr>
                                      <w:caps w:val="false"/>
                                      <w:smallCaps w:val="false"/>
                                    </w:rPr>
                                    <w:t>☐</w:t>
                                  </w:r>
                                </w:p>
                              </w:tc>
                              <w:tc>
                                <w:tcPr>
                                  <w:tcW w:w="485" w:type="dxa"/>
                                  <w:tcBorders/>
                                  <w:vAlign w:val="center"/>
                                </w:tcPr>
                                <w:p>
                                  <w:pPr>
                                    <w:pStyle w:val="TableContents"/>
                                    <w:bidi w:val="0"/>
                                    <w:spacing w:before="0" w:after="283"/>
                                    <w:jc w:val="center"/>
                                    <w:rPr>
                                      <w:caps w:val="false"/>
                                      <w:smallCaps w:val="false"/>
                                    </w:rPr>
                                  </w:pPr>
                                  <w:r>
                                    <w:rPr>
                                      <w:caps w:val="false"/>
                                      <w:smallCaps w:val="false"/>
                                    </w:rPr>
                                    <w:t>☐</w:t>
                                  </w:r>
                                </w:p>
                              </w:tc>
                              <w:tc>
                                <w:tcPr>
                                  <w:tcW w:w="486" w:type="dxa"/>
                                  <w:tcBorders/>
                                  <w:vAlign w:val="center"/>
                                </w:tcPr>
                                <w:p>
                                  <w:pPr>
                                    <w:pStyle w:val="TableContents"/>
                                    <w:bidi w:val="0"/>
                                    <w:spacing w:before="0" w:after="283"/>
                                    <w:jc w:val="center"/>
                                    <w:rPr>
                                      <w:caps w:val="false"/>
                                      <w:smallCaps w:val="false"/>
                                    </w:rPr>
                                  </w:pPr>
                                  <w:r>
                                    <w:rPr>
                                      <w:caps w:val="false"/>
                                      <w:smallCaps w:val="false"/>
                                    </w:rPr>
                                    <w:t>☐</w:t>
                                  </w:r>
                                </w:p>
                              </w:tc>
                            </w:tr>
                            <w:tr>
                              <w:trPr/>
                              <w:tc>
                                <w:tcPr>
                                  <w:tcW w:w="4211" w:type="dxa"/>
                                  <w:tcBorders/>
                                  <w:vAlign w:val="center"/>
                                </w:tcPr>
                                <w:p>
                                  <w:pPr>
                                    <w:pStyle w:val="TableContents"/>
                                    <w:bidi w:val="0"/>
                                    <w:spacing w:before="0" w:after="283"/>
                                    <w:jc w:val="left"/>
                                    <w:rPr/>
                                  </w:pPr>
                                  <w:r>
                                    <w:rPr/>
                                    <w:t> </w:t>
                                  </w:r>
                                </w:p>
                              </w:tc>
                              <w:tc>
                                <w:tcPr>
                                  <w:tcW w:w="4793" w:type="dxa"/>
                                  <w:gridSpan w:val="2"/>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center"/>
                                    <w:rPr/>
                                  </w:pPr>
                                  <w:r>
                                    <w:rPr/>
                                    <w:t> </w:t>
                                  </w:r>
                                </w:p>
                              </w:tc>
                              <w:tc>
                                <w:tcPr>
                                  <w:tcW w:w="485" w:type="dxa"/>
                                  <w:tcBorders/>
                                  <w:vAlign w:val="center"/>
                                </w:tcPr>
                                <w:p>
                                  <w:pPr>
                                    <w:pStyle w:val="TableContents"/>
                                    <w:bidi w:val="0"/>
                                    <w:spacing w:before="0" w:after="283"/>
                                    <w:jc w:val="center"/>
                                    <w:rPr/>
                                  </w:pPr>
                                  <w:r>
                                    <w:rPr/>
                                    <w:t> </w:t>
                                  </w:r>
                                </w:p>
                              </w:tc>
                              <w:tc>
                                <w:tcPr>
                                  <w:tcW w:w="486" w:type="dxa"/>
                                  <w:tcBorders/>
                                  <w:vAlign w:val="center"/>
                                </w:tcPr>
                                <w:p>
                                  <w:pPr>
                                    <w:pStyle w:val="TableContents"/>
                                    <w:bidi w:val="0"/>
                                    <w:spacing w:before="0" w:after="283"/>
                                    <w:jc w:val="center"/>
                                    <w:rPr/>
                                  </w:pPr>
                                  <w:r>
                                    <w:rPr/>
                                    <w:t> </w:t>
                                  </w:r>
                                </w:p>
                              </w:tc>
                            </w:tr>
                            <w:tr>
                              <w:trPr/>
                              <w:tc>
                                <w:tcPr>
                                  <w:tcW w:w="4211" w:type="dxa"/>
                                  <w:tcBorders/>
                                  <w:vAlign w:val="center"/>
                                </w:tcPr>
                                <w:p>
                                  <w:pPr>
                                    <w:pStyle w:val="TableContents"/>
                                    <w:bidi w:val="0"/>
                                    <w:spacing w:before="0" w:after="283"/>
                                    <w:jc w:val="left"/>
                                    <w:rPr/>
                                  </w:pPr>
                                  <w:r>
                                    <w:rPr/>
                                    <w:t> </w:t>
                                  </w:r>
                                </w:p>
                              </w:tc>
                              <w:tc>
                                <w:tcPr>
                                  <w:tcW w:w="4793" w:type="dxa"/>
                                  <w:gridSpan w:val="2"/>
                                  <w:tcBorders/>
                                  <w:vAlign w:val="center"/>
                                </w:tcPr>
                                <w:p>
                                  <w:pPr>
                                    <w:pStyle w:val="TableContents"/>
                                    <w:bidi w:val="0"/>
                                    <w:spacing w:before="0" w:after="283"/>
                                    <w:jc w:val="both"/>
                                    <w:rPr/>
                                  </w:pPr>
                                  <w:r>
                                    <w:rPr/>
                                    <w:t> </w:t>
                                  </w:r>
                                </w:p>
                              </w:tc>
                              <w:tc>
                                <w:tcPr>
                                  <w:tcW w:w="230" w:type="dxa"/>
                                  <w:tcBorders/>
                                  <w:vAlign w:val="center"/>
                                </w:tcPr>
                                <w:p>
                                  <w:pPr>
                                    <w:pStyle w:val="TableContents"/>
                                    <w:bidi w:val="0"/>
                                    <w:spacing w:before="0" w:after="283"/>
                                    <w:jc w:val="center"/>
                                    <w:rPr/>
                                  </w:pPr>
                                  <w:r>
                                    <w:rPr/>
                                    <w:t> </w:t>
                                  </w:r>
                                </w:p>
                              </w:tc>
                              <w:tc>
                                <w:tcPr>
                                  <w:tcW w:w="485" w:type="dxa"/>
                                  <w:tcBorders/>
                                  <w:vAlign w:val="center"/>
                                </w:tcPr>
                                <w:p>
                                  <w:pPr>
                                    <w:pStyle w:val="TableContents"/>
                                    <w:bidi w:val="0"/>
                                    <w:spacing w:before="0" w:after="283"/>
                                    <w:jc w:val="center"/>
                                    <w:rPr/>
                                  </w:pPr>
                                  <w:r>
                                    <w:rPr/>
                                    <w:t> </w:t>
                                  </w:r>
                                </w:p>
                              </w:tc>
                              <w:tc>
                                <w:tcPr>
                                  <w:tcW w:w="486" w:type="dxa"/>
                                  <w:tcBorders/>
                                  <w:vAlign w:val="center"/>
                                </w:tcPr>
                                <w:p>
                                  <w:pPr>
                                    <w:pStyle w:val="TableContents"/>
                                    <w:bidi w:val="0"/>
                                    <w:spacing w:before="0" w:after="283"/>
                                    <w:jc w:val="center"/>
                                    <w:rPr/>
                                  </w:pPr>
                                  <w:r>
                                    <w:rPr/>
                                    <w:t> </w:t>
                                  </w:r>
                                </w:p>
                              </w:tc>
                            </w:tr>
                            <w:tr>
                              <w:trPr/>
                              <w:tc>
                                <w:tcPr>
                                  <w:tcW w:w="4211" w:type="dxa"/>
                                  <w:tcBorders/>
                                  <w:vAlign w:val="center"/>
                                </w:tcPr>
                                <w:p>
                                  <w:pPr>
                                    <w:pStyle w:val="TableContents"/>
                                    <w:bidi w:val="0"/>
                                    <w:spacing w:before="0" w:after="283"/>
                                    <w:jc w:val="left"/>
                                    <w:rPr/>
                                  </w:pPr>
                                  <w:r>
                                    <w:rPr/>
                                    <w:t> </w:t>
                                  </w:r>
                                </w:p>
                              </w:tc>
                              <w:tc>
                                <w:tcPr>
                                  <w:tcW w:w="4793" w:type="dxa"/>
                                  <w:gridSpan w:val="2"/>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center"/>
                                    <w:rPr/>
                                  </w:pPr>
                                  <w:r>
                                    <w:rPr/>
                                    <w:t> </w:t>
                                  </w:r>
                                </w:p>
                              </w:tc>
                              <w:tc>
                                <w:tcPr>
                                  <w:tcW w:w="485" w:type="dxa"/>
                                  <w:tcBorders/>
                                  <w:vAlign w:val="center"/>
                                </w:tcPr>
                                <w:p>
                                  <w:pPr>
                                    <w:pStyle w:val="TableContents"/>
                                    <w:bidi w:val="0"/>
                                    <w:spacing w:before="0" w:after="283"/>
                                    <w:jc w:val="center"/>
                                    <w:rPr/>
                                  </w:pPr>
                                  <w:r>
                                    <w:rPr/>
                                    <w:t> </w:t>
                                  </w:r>
                                </w:p>
                              </w:tc>
                              <w:tc>
                                <w:tcPr>
                                  <w:tcW w:w="486" w:type="dxa"/>
                                  <w:tcBorders/>
                                  <w:vAlign w:val="center"/>
                                </w:tcPr>
                                <w:p>
                                  <w:pPr>
                                    <w:pStyle w:val="TableContents"/>
                                    <w:bidi w:val="0"/>
                                    <w:spacing w:before="0" w:after="283"/>
                                    <w:jc w:val="center"/>
                                    <w:rPr/>
                                  </w:pPr>
                                  <w:r>
                                    <w:rPr/>
                                    <w:t> </w:t>
                                  </w:r>
                                </w:p>
                              </w:tc>
                            </w:tr>
                            <w:tr>
                              <w:trPr/>
                              <w:tc>
                                <w:tcPr>
                                  <w:tcW w:w="9004" w:type="dxa"/>
                                  <w:gridSpan w:val="3"/>
                                  <w:tcBorders/>
                                  <w:vAlign w:val="center"/>
                                </w:tcPr>
                                <w:p>
                                  <w:pPr>
                                    <w:pStyle w:val="TableContents"/>
                                    <w:bidi w:val="0"/>
                                    <w:spacing w:before="0" w:after="283"/>
                                    <w:jc w:val="both"/>
                                    <w:rPr/>
                                  </w:pPr>
                                  <w:r>
                                    <w:rPr/>
                                    <w:t> </w:t>
                                  </w:r>
                                </w:p>
                              </w:tc>
                              <w:tc>
                                <w:tcPr>
                                  <w:tcW w:w="230" w:type="dxa"/>
                                  <w:tcBorders/>
                                  <w:vAlign w:val="center"/>
                                </w:tcPr>
                                <w:p>
                                  <w:pPr>
                                    <w:pStyle w:val="TableContents"/>
                                    <w:bidi w:val="0"/>
                                    <w:spacing w:before="0" w:after="283"/>
                                    <w:jc w:val="center"/>
                                    <w:rPr/>
                                  </w:pPr>
                                  <w:r>
                                    <w:rPr/>
                                    <w:t> </w:t>
                                  </w:r>
                                </w:p>
                              </w:tc>
                              <w:tc>
                                <w:tcPr>
                                  <w:tcW w:w="485" w:type="dxa"/>
                                  <w:tcBorders/>
                                  <w:vAlign w:val="center"/>
                                </w:tcPr>
                                <w:p>
                                  <w:pPr>
                                    <w:pStyle w:val="TableContents"/>
                                    <w:bidi w:val="0"/>
                                    <w:spacing w:before="0" w:after="283"/>
                                    <w:jc w:val="center"/>
                                    <w:rPr/>
                                  </w:pPr>
                                  <w:r>
                                    <w:rPr/>
                                    <w:t> </w:t>
                                  </w:r>
                                </w:p>
                              </w:tc>
                              <w:tc>
                                <w:tcPr>
                                  <w:tcW w:w="486" w:type="dxa"/>
                                  <w:tcBorders/>
                                  <w:vAlign w:val="center"/>
                                </w:tcPr>
                                <w:p>
                                  <w:pPr>
                                    <w:pStyle w:val="TableContents"/>
                                    <w:bidi w:val="0"/>
                                    <w:spacing w:before="0" w:after="283"/>
                                    <w:jc w:val="center"/>
                                    <w:rPr/>
                                  </w:pPr>
                                  <w:r>
                                    <w:rPr/>
                                    <w:t> </w:t>
                                  </w:r>
                                </w:p>
                              </w:tc>
                            </w:tr>
                            <w:tr>
                              <w:trPr/>
                              <w:tc>
                                <w:tcPr>
                                  <w:tcW w:w="10205" w:type="dxa"/>
                                  <w:gridSpan w:val="6"/>
                                  <w:tcBorders/>
                                  <w:vAlign w:val="center"/>
                                </w:tcPr>
                                <w:p>
                                  <w:pPr>
                                    <w:pStyle w:val="TableContents"/>
                                    <w:bidi w:val="0"/>
                                    <w:spacing w:before="0" w:after="283"/>
                                    <w:jc w:val="left"/>
                                    <w:rPr/>
                                  </w:pPr>
                                  <w:r>
                                    <w:rPr/>
                                    <w:t> </w:t>
                                  </w:r>
                                </w:p>
                              </w:tc>
                            </w:tr>
                            <w:tr>
                              <w:trPr/>
                              <w:tc>
                                <w:tcPr>
                                  <w:tcW w:w="10205" w:type="dxa"/>
                                  <w:gridSpan w:val="6"/>
                                  <w:tcBorders/>
                                  <w:vAlign w:val="center"/>
                                </w:tcPr>
                                <w:p>
                                  <w:pPr>
                                    <w:pStyle w:val="TableContents"/>
                                    <w:bidi w:val="0"/>
                                    <w:spacing w:before="0" w:after="283"/>
                                    <w:jc w:val="left"/>
                                    <w:rPr/>
                                  </w:pPr>
                                  <w:r>
                                    <w:rPr/>
                                    <w:t>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558.3pt;mso-wrap-distance-left:0pt;mso-wrap-distance-right:0pt;mso-wrap-distance-top:0pt;mso-wrap-distance-bottom:0pt;margin-top:0pt;mso-position-vertical:top;mso-position-vertical-relative:text;margin-left:265.35pt;mso-position-horizontal:right;mso-position-horizontal-relative:text">
                <v:textbox>
                  <w:txbxContent>
                    <w:tbl>
                      <w:tblPr>
                        <w:tblW w:w="10205" w:type="dxa"/>
                        <w:jc w:val="left"/>
                        <w:tblInd w:w="0" w:type="dxa"/>
                        <w:tblLayout w:type="fixed"/>
                        <w:tblCellMar>
                          <w:top w:w="0" w:type="dxa"/>
                          <w:left w:w="0" w:type="dxa"/>
                          <w:bottom w:w="0" w:type="dxa"/>
                          <w:right w:w="0" w:type="dxa"/>
                        </w:tblCellMar>
                      </w:tblPr>
                      <w:tblGrid>
                        <w:gridCol w:w="4211"/>
                        <w:gridCol w:w="2677"/>
                        <w:gridCol w:w="2116"/>
                        <w:gridCol w:w="230"/>
                        <w:gridCol w:w="485"/>
                        <w:gridCol w:w="486"/>
                      </w:tblGrid>
                      <w:tr>
                        <w:trPr/>
                        <w:tc>
                          <w:tcPr>
                            <w:tcW w:w="4211" w:type="dxa"/>
                            <w:tcBorders/>
                            <w:vAlign w:val="center"/>
                          </w:tcPr>
                          <w:p>
                            <w:pPr>
                              <w:pStyle w:val="TableContents"/>
                              <w:bidi w:val="0"/>
                              <w:spacing w:before="0" w:after="283"/>
                              <w:jc w:val="right"/>
                              <w:rPr/>
                            </w:pPr>
                            <w:r>
                              <w:rPr/>
                              <w:t> </w:t>
                            </w:r>
                          </w:p>
                        </w:tc>
                        <w:tc>
                          <w:tcPr>
                            <w:tcW w:w="2677" w:type="dxa"/>
                            <w:tcBorders/>
                            <w:vAlign w:val="center"/>
                          </w:tcPr>
                          <w:p>
                            <w:pPr>
                              <w:pStyle w:val="TableContents"/>
                              <w:bidi w:val="0"/>
                              <w:spacing w:before="0" w:after="283"/>
                              <w:jc w:val="right"/>
                              <w:rPr/>
                            </w:pPr>
                            <w:r>
                              <w:rPr/>
                              <w:t> </w:t>
                            </w:r>
                          </w:p>
                        </w:tc>
                        <w:tc>
                          <w:tcPr>
                            <w:tcW w:w="2116" w:type="dxa"/>
                            <w:tcBorders/>
                            <w:vAlign w:val="center"/>
                          </w:tcPr>
                          <w:p>
                            <w:pPr>
                              <w:pStyle w:val="TableContents"/>
                              <w:bidi w:val="0"/>
                              <w:spacing w:before="0" w:after="283"/>
                              <w:jc w:val="right"/>
                              <w:rPr/>
                            </w:pPr>
                            <w:r>
                              <w:rPr/>
                              <w:t> </w:t>
                            </w:r>
                          </w:p>
                        </w:tc>
                        <w:tc>
                          <w:tcPr>
                            <w:tcW w:w="230" w:type="dxa"/>
                            <w:tcBorders/>
                            <w:vAlign w:val="center"/>
                          </w:tcPr>
                          <w:p>
                            <w:pPr>
                              <w:pStyle w:val="TableContents"/>
                              <w:bidi w:val="0"/>
                              <w:spacing w:before="0" w:after="283"/>
                              <w:jc w:val="right"/>
                              <w:rPr/>
                            </w:pPr>
                            <w:r>
                              <w:rPr/>
                              <w:t> </w:t>
                            </w:r>
                          </w:p>
                        </w:tc>
                        <w:tc>
                          <w:tcPr>
                            <w:tcW w:w="485" w:type="dxa"/>
                            <w:tcBorders/>
                            <w:vAlign w:val="center"/>
                          </w:tcPr>
                          <w:p>
                            <w:pPr>
                              <w:pStyle w:val="TableContents"/>
                              <w:bidi w:val="0"/>
                              <w:spacing w:before="0" w:after="283"/>
                              <w:jc w:val="right"/>
                              <w:rPr/>
                            </w:pPr>
                            <w:r>
                              <w:rPr/>
                              <w:t> </w:t>
                            </w:r>
                          </w:p>
                        </w:tc>
                        <w:tc>
                          <w:tcPr>
                            <w:tcW w:w="486"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vAlign w:val="center"/>
                          </w:tcPr>
                          <w:p>
                            <w:pPr>
                              <w:pStyle w:val="TableContents"/>
                              <w:bidi w:val="0"/>
                              <w:spacing w:before="0" w:after="283"/>
                              <w:jc w:val="left"/>
                              <w:rPr/>
                            </w:pPr>
                            <w:r>
                              <w:rPr/>
                              <w:t> </w:t>
                            </w:r>
                          </w:p>
                        </w:tc>
                      </w:tr>
                      <w:tr>
                        <w:trPr/>
                        <w:tc>
                          <w:tcPr>
                            <w:tcW w:w="10205" w:type="dxa"/>
                            <w:gridSpan w:val="6"/>
                            <w:tcBorders/>
                            <w:vAlign w:val="center"/>
                          </w:tcPr>
                          <w:p>
                            <w:pPr>
                              <w:pStyle w:val="TableContents"/>
                              <w:bidi w:val="0"/>
                              <w:spacing w:before="0" w:after="283"/>
                              <w:jc w:val="left"/>
                              <w:rPr/>
                            </w:pPr>
                            <w:r>
                              <w:rPr/>
                              <w:t> </w:t>
                            </w:r>
                          </w:p>
                        </w:tc>
                      </w:tr>
                      <w:tr>
                        <w:trPr/>
                        <w:tc>
                          <w:tcPr>
                            <w:tcW w:w="10205" w:type="dxa"/>
                            <w:gridSpan w:val="6"/>
                            <w:tcBorders/>
                            <w:vAlign w:val="center"/>
                          </w:tcPr>
                          <w:p>
                            <w:pPr>
                              <w:pStyle w:val="TableContents"/>
                              <w:bidi w:val="0"/>
                              <w:spacing w:before="0" w:after="283"/>
                              <w:jc w:val="left"/>
                              <w:rPr/>
                            </w:pPr>
                            <w:r>
                              <w:rPr/>
                              <w:t> </w:t>
                            </w:r>
                          </w:p>
                        </w:tc>
                      </w:tr>
                      <w:tr>
                        <w:trPr/>
                        <w:tc>
                          <w:tcPr>
                            <w:tcW w:w="10205" w:type="dxa"/>
                            <w:gridSpan w:val="6"/>
                            <w:tcBorders/>
                            <w:vAlign w:val="center"/>
                          </w:tcPr>
                          <w:p>
                            <w:pPr>
                              <w:pStyle w:val="TableContents"/>
                              <w:bidi w:val="0"/>
                              <w:spacing w:before="0" w:after="283"/>
                              <w:jc w:val="left"/>
                              <w:rPr/>
                            </w:pPr>
                            <w:r>
                              <w:rPr/>
                              <w:t> </w:t>
                            </w:r>
                          </w:p>
                        </w:tc>
                      </w:tr>
                      <w:tr>
                        <w:trPr/>
                        <w:tc>
                          <w:tcPr>
                            <w:tcW w:w="10205" w:type="dxa"/>
                            <w:gridSpan w:val="6"/>
                            <w:tcBorders/>
                            <w:vAlign w:val="center"/>
                          </w:tcPr>
                          <w:p>
                            <w:pPr>
                              <w:pStyle w:val="TableContents"/>
                              <w:bidi w:val="0"/>
                              <w:spacing w:before="0" w:after="283"/>
                              <w:jc w:val="left"/>
                              <w:rPr/>
                            </w:pPr>
                            <w:r>
                              <w:rPr/>
                              <w:t> </w:t>
                            </w:r>
                          </w:p>
                        </w:tc>
                      </w:tr>
                      <w:tr>
                        <w:trPr/>
                        <w:tc>
                          <w:tcPr>
                            <w:tcW w:w="10205" w:type="dxa"/>
                            <w:gridSpan w:val="6"/>
                            <w:tcBorders/>
                            <w:vAlign w:val="center"/>
                          </w:tcPr>
                          <w:p>
                            <w:pPr>
                              <w:pStyle w:val="TableContents"/>
                              <w:bidi w:val="0"/>
                              <w:spacing w:before="0" w:after="283"/>
                              <w:jc w:val="left"/>
                              <w:rPr/>
                            </w:pPr>
                            <w:r>
                              <w:rPr/>
                              <w:t> </w:t>
                            </w:r>
                          </w:p>
                        </w:tc>
                      </w:tr>
                      <w:tr>
                        <w:trPr/>
                        <w:tc>
                          <w:tcPr>
                            <w:tcW w:w="9004" w:type="dxa"/>
                            <w:gridSpan w:val="3"/>
                            <w:tcBorders/>
                            <w:vAlign w:val="center"/>
                          </w:tcPr>
                          <w:p>
                            <w:pPr>
                              <w:pStyle w:val="TableContents"/>
                              <w:bidi w:val="0"/>
                              <w:spacing w:before="0" w:after="283"/>
                              <w:jc w:val="both"/>
                              <w:rPr/>
                            </w:pPr>
                            <w:r>
                              <w:rPr>
                                <w:b/>
                              </w:rPr>
                              <w:t>COMPANY PROPOSALS:</w:t>
                            </w:r>
                            <w:r>
                              <w:rPr/>
                              <w:t xml:space="preserve"> The </w:t>
                            </w:r>
                            <w:r>
                              <w:rPr>
                                <w:b/>
                              </w:rPr>
                              <w:t>Board of Directors</w:t>
                            </w:r>
                            <w:r>
                              <w:rPr/>
                              <w:t xml:space="preserve"> recommends a vote </w:t>
                            </w:r>
                            <w:r>
                              <w:rPr>
                                <w:b/>
                              </w:rPr>
                              <w:t>FOR</w:t>
                            </w:r>
                            <w:r>
                              <w:rPr/>
                              <w:t xml:space="preserve"> Items 2 and 3.</w:t>
                            </w:r>
                          </w:p>
                        </w:tc>
                        <w:tc>
                          <w:tcPr>
                            <w:tcW w:w="230" w:type="dxa"/>
                            <w:tcBorders/>
                            <w:vAlign w:val="center"/>
                          </w:tcPr>
                          <w:p>
                            <w:pPr>
                              <w:pStyle w:val="TableContents"/>
                              <w:bidi w:val="0"/>
                              <w:spacing w:before="0" w:after="283"/>
                              <w:jc w:val="center"/>
                              <w:rPr>
                                <w:b/>
                                <w:sz w:val="14"/>
                              </w:rPr>
                            </w:pPr>
                            <w:r>
                              <w:rPr>
                                <w:b/>
                                <w:sz w:val="14"/>
                              </w:rPr>
                              <w:t>For</w:t>
                            </w:r>
                          </w:p>
                        </w:tc>
                        <w:tc>
                          <w:tcPr>
                            <w:tcW w:w="485" w:type="dxa"/>
                            <w:tcBorders/>
                            <w:vAlign w:val="center"/>
                          </w:tcPr>
                          <w:p>
                            <w:pPr>
                              <w:pStyle w:val="TableContents"/>
                              <w:bidi w:val="0"/>
                              <w:spacing w:before="0" w:after="283"/>
                              <w:jc w:val="center"/>
                              <w:rPr>
                                <w:b/>
                                <w:sz w:val="14"/>
                              </w:rPr>
                            </w:pPr>
                            <w:r>
                              <w:rPr>
                                <w:b/>
                                <w:sz w:val="14"/>
                              </w:rPr>
                              <w:t>Against</w:t>
                            </w:r>
                          </w:p>
                        </w:tc>
                        <w:tc>
                          <w:tcPr>
                            <w:tcW w:w="486" w:type="dxa"/>
                            <w:tcBorders/>
                            <w:vAlign w:val="center"/>
                          </w:tcPr>
                          <w:p>
                            <w:pPr>
                              <w:pStyle w:val="TableContents"/>
                              <w:bidi w:val="0"/>
                              <w:spacing w:before="0" w:after="283"/>
                              <w:jc w:val="center"/>
                              <w:rPr>
                                <w:b/>
                                <w:sz w:val="14"/>
                              </w:rPr>
                            </w:pPr>
                            <w:r>
                              <w:rPr>
                                <w:b/>
                                <w:sz w:val="14"/>
                              </w:rPr>
                              <w:t>Abstain</w:t>
                            </w:r>
                          </w:p>
                        </w:tc>
                      </w:tr>
                      <w:tr>
                        <w:trPr/>
                        <w:tc>
                          <w:tcPr>
                            <w:tcW w:w="4211" w:type="dxa"/>
                            <w:tcBorders/>
                            <w:vAlign w:val="center"/>
                          </w:tcPr>
                          <w:p>
                            <w:pPr>
                              <w:pStyle w:val="TableContents"/>
                              <w:bidi w:val="0"/>
                              <w:spacing w:before="0" w:after="283"/>
                              <w:jc w:val="left"/>
                              <w:rPr/>
                            </w:pPr>
                            <w:r>
                              <w:rPr/>
                              <w:t> </w:t>
                            </w:r>
                          </w:p>
                        </w:tc>
                        <w:tc>
                          <w:tcPr>
                            <w:tcW w:w="4793" w:type="dxa"/>
                            <w:gridSpan w:val="2"/>
                            <w:tcBorders/>
                            <w:vAlign w:val="center"/>
                          </w:tcPr>
                          <w:p>
                            <w:pPr>
                              <w:pStyle w:val="TableContents"/>
                              <w:bidi w:val="0"/>
                              <w:spacing w:before="0" w:after="283"/>
                              <w:jc w:val="both"/>
                              <w:rPr/>
                            </w:pPr>
                            <w:r>
                              <w:rPr/>
                              <w:t> </w:t>
                            </w:r>
                          </w:p>
                        </w:tc>
                        <w:tc>
                          <w:tcPr>
                            <w:tcW w:w="230" w:type="dxa"/>
                            <w:tcBorders/>
                            <w:vAlign w:val="center"/>
                          </w:tcPr>
                          <w:p>
                            <w:pPr>
                              <w:pStyle w:val="TableContents"/>
                              <w:bidi w:val="0"/>
                              <w:spacing w:before="0" w:after="283"/>
                              <w:jc w:val="center"/>
                              <w:rPr/>
                            </w:pPr>
                            <w:r>
                              <w:rPr/>
                              <w:t> </w:t>
                            </w:r>
                          </w:p>
                        </w:tc>
                        <w:tc>
                          <w:tcPr>
                            <w:tcW w:w="485" w:type="dxa"/>
                            <w:tcBorders/>
                            <w:vAlign w:val="center"/>
                          </w:tcPr>
                          <w:p>
                            <w:pPr>
                              <w:pStyle w:val="TableContents"/>
                              <w:bidi w:val="0"/>
                              <w:spacing w:before="0" w:after="283"/>
                              <w:jc w:val="center"/>
                              <w:rPr/>
                            </w:pPr>
                            <w:r>
                              <w:rPr/>
                              <w:t> </w:t>
                            </w:r>
                          </w:p>
                        </w:tc>
                        <w:tc>
                          <w:tcPr>
                            <w:tcW w:w="486" w:type="dxa"/>
                            <w:tcBorders/>
                            <w:vAlign w:val="center"/>
                          </w:tcPr>
                          <w:p>
                            <w:pPr>
                              <w:pStyle w:val="TableContents"/>
                              <w:bidi w:val="0"/>
                              <w:spacing w:before="0" w:after="283"/>
                              <w:jc w:val="center"/>
                              <w:rPr/>
                            </w:pPr>
                            <w:r>
                              <w:rPr/>
                              <w:t> </w:t>
                            </w:r>
                          </w:p>
                        </w:tc>
                      </w:tr>
                      <w:tr>
                        <w:trPr/>
                        <w:tc>
                          <w:tcPr>
                            <w:tcW w:w="4211" w:type="dxa"/>
                            <w:tcBorders/>
                            <w:vAlign w:val="center"/>
                          </w:tcPr>
                          <w:p>
                            <w:pPr>
                              <w:pStyle w:val="TableContents"/>
                              <w:bidi w:val="0"/>
                              <w:spacing w:before="0" w:after="283"/>
                              <w:jc w:val="left"/>
                              <w:rPr/>
                            </w:pPr>
                            <w:r>
                              <w:rPr/>
                              <w:t>Item 2 -          </w:t>
                            </w:r>
                          </w:p>
                        </w:tc>
                        <w:tc>
                          <w:tcPr>
                            <w:tcW w:w="4793" w:type="dxa"/>
                            <w:gridSpan w:val="2"/>
                            <w:tcBorders/>
                            <w:vAlign w:val="center"/>
                          </w:tcPr>
                          <w:p>
                            <w:pPr>
                              <w:pStyle w:val="TableContents"/>
                              <w:bidi w:val="0"/>
                              <w:spacing w:before="0" w:after="283"/>
                              <w:jc w:val="both"/>
                              <w:rPr/>
                            </w:pPr>
                            <w:r>
                              <w:rPr/>
                              <w:t>Advisory Vote to Approve Executive Compensation</w:t>
                            </w:r>
                          </w:p>
                        </w:tc>
                        <w:tc>
                          <w:tcPr>
                            <w:tcW w:w="230" w:type="dxa"/>
                            <w:tcBorders/>
                            <w:vAlign w:val="center"/>
                          </w:tcPr>
                          <w:p>
                            <w:pPr>
                              <w:pStyle w:val="TableContents"/>
                              <w:bidi w:val="0"/>
                              <w:spacing w:before="0" w:after="283"/>
                              <w:jc w:val="center"/>
                              <w:rPr>
                                <w:caps w:val="false"/>
                                <w:smallCaps w:val="false"/>
                              </w:rPr>
                            </w:pPr>
                            <w:r>
                              <w:rPr>
                                <w:caps w:val="false"/>
                                <w:smallCaps w:val="false"/>
                              </w:rPr>
                              <w:t>☐</w:t>
                            </w:r>
                          </w:p>
                        </w:tc>
                        <w:tc>
                          <w:tcPr>
                            <w:tcW w:w="485" w:type="dxa"/>
                            <w:tcBorders/>
                            <w:vAlign w:val="center"/>
                          </w:tcPr>
                          <w:p>
                            <w:pPr>
                              <w:pStyle w:val="TableContents"/>
                              <w:bidi w:val="0"/>
                              <w:spacing w:before="0" w:after="283"/>
                              <w:jc w:val="center"/>
                              <w:rPr>
                                <w:caps w:val="false"/>
                                <w:smallCaps w:val="false"/>
                              </w:rPr>
                            </w:pPr>
                            <w:r>
                              <w:rPr>
                                <w:caps w:val="false"/>
                                <w:smallCaps w:val="false"/>
                              </w:rPr>
                              <w:t>☐</w:t>
                            </w:r>
                          </w:p>
                        </w:tc>
                        <w:tc>
                          <w:tcPr>
                            <w:tcW w:w="486" w:type="dxa"/>
                            <w:tcBorders/>
                            <w:vAlign w:val="center"/>
                          </w:tcPr>
                          <w:p>
                            <w:pPr>
                              <w:pStyle w:val="TableContents"/>
                              <w:bidi w:val="0"/>
                              <w:spacing w:before="0" w:after="283"/>
                              <w:jc w:val="center"/>
                              <w:rPr>
                                <w:caps w:val="false"/>
                                <w:smallCaps w:val="false"/>
                              </w:rPr>
                            </w:pPr>
                            <w:r>
                              <w:rPr>
                                <w:caps w:val="false"/>
                                <w:smallCaps w:val="false"/>
                              </w:rPr>
                              <w:t>☐</w:t>
                            </w:r>
                          </w:p>
                        </w:tc>
                      </w:tr>
                      <w:tr>
                        <w:trPr/>
                        <w:tc>
                          <w:tcPr>
                            <w:tcW w:w="4211" w:type="dxa"/>
                            <w:tcBorders/>
                            <w:vAlign w:val="center"/>
                          </w:tcPr>
                          <w:p>
                            <w:pPr>
                              <w:pStyle w:val="TableContents"/>
                              <w:bidi w:val="0"/>
                              <w:spacing w:before="0" w:after="283"/>
                              <w:jc w:val="left"/>
                              <w:rPr/>
                            </w:pPr>
                            <w:r>
                              <w:rPr/>
                              <w:t> </w:t>
                            </w:r>
                          </w:p>
                        </w:tc>
                        <w:tc>
                          <w:tcPr>
                            <w:tcW w:w="4793" w:type="dxa"/>
                            <w:gridSpan w:val="2"/>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center"/>
                              <w:rPr/>
                            </w:pPr>
                            <w:r>
                              <w:rPr/>
                              <w:t> </w:t>
                            </w:r>
                          </w:p>
                        </w:tc>
                        <w:tc>
                          <w:tcPr>
                            <w:tcW w:w="485" w:type="dxa"/>
                            <w:tcBorders/>
                            <w:vAlign w:val="center"/>
                          </w:tcPr>
                          <w:p>
                            <w:pPr>
                              <w:pStyle w:val="TableContents"/>
                              <w:bidi w:val="0"/>
                              <w:spacing w:before="0" w:after="283"/>
                              <w:jc w:val="center"/>
                              <w:rPr/>
                            </w:pPr>
                            <w:r>
                              <w:rPr/>
                              <w:t> </w:t>
                            </w:r>
                          </w:p>
                        </w:tc>
                        <w:tc>
                          <w:tcPr>
                            <w:tcW w:w="486" w:type="dxa"/>
                            <w:tcBorders/>
                            <w:vAlign w:val="center"/>
                          </w:tcPr>
                          <w:p>
                            <w:pPr>
                              <w:pStyle w:val="TableContents"/>
                              <w:bidi w:val="0"/>
                              <w:spacing w:before="0" w:after="283"/>
                              <w:jc w:val="center"/>
                              <w:rPr/>
                            </w:pPr>
                            <w:r>
                              <w:rPr/>
                              <w:t> </w:t>
                            </w:r>
                          </w:p>
                        </w:tc>
                      </w:tr>
                      <w:tr>
                        <w:trPr/>
                        <w:tc>
                          <w:tcPr>
                            <w:tcW w:w="4211" w:type="dxa"/>
                            <w:tcBorders/>
                            <w:vAlign w:val="center"/>
                          </w:tcPr>
                          <w:p>
                            <w:pPr>
                              <w:pStyle w:val="TableContents"/>
                              <w:bidi w:val="0"/>
                              <w:spacing w:before="0" w:after="283"/>
                              <w:jc w:val="left"/>
                              <w:rPr/>
                            </w:pPr>
                            <w:r>
                              <w:rPr/>
                              <w:t>Item 3 -     </w:t>
                            </w:r>
                          </w:p>
                        </w:tc>
                        <w:tc>
                          <w:tcPr>
                            <w:tcW w:w="4793" w:type="dxa"/>
                            <w:gridSpan w:val="2"/>
                            <w:tcBorders/>
                            <w:vAlign w:val="center"/>
                          </w:tcPr>
                          <w:p>
                            <w:pPr>
                              <w:pStyle w:val="TableContents"/>
                              <w:bidi w:val="0"/>
                              <w:spacing w:before="0" w:after="283"/>
                              <w:jc w:val="both"/>
                              <w:rPr/>
                            </w:pPr>
                            <w:r>
                              <w:rPr/>
                              <w:t>Appointment of PricewaterhouseCoopers LLP to Serve as Independent Auditor for 2026</w:t>
                            </w:r>
                          </w:p>
                        </w:tc>
                        <w:tc>
                          <w:tcPr>
                            <w:tcW w:w="230" w:type="dxa"/>
                            <w:tcBorders/>
                            <w:vAlign w:val="center"/>
                          </w:tcPr>
                          <w:p>
                            <w:pPr>
                              <w:pStyle w:val="TableContents"/>
                              <w:bidi w:val="0"/>
                              <w:spacing w:before="0" w:after="283"/>
                              <w:jc w:val="center"/>
                              <w:rPr>
                                <w:caps w:val="false"/>
                                <w:smallCaps w:val="false"/>
                              </w:rPr>
                            </w:pPr>
                            <w:r>
                              <w:rPr>
                                <w:caps w:val="false"/>
                                <w:smallCaps w:val="false"/>
                              </w:rPr>
                              <w:t>☐</w:t>
                            </w:r>
                          </w:p>
                        </w:tc>
                        <w:tc>
                          <w:tcPr>
                            <w:tcW w:w="485" w:type="dxa"/>
                            <w:tcBorders/>
                            <w:vAlign w:val="center"/>
                          </w:tcPr>
                          <w:p>
                            <w:pPr>
                              <w:pStyle w:val="TableContents"/>
                              <w:bidi w:val="0"/>
                              <w:spacing w:before="0" w:after="283"/>
                              <w:jc w:val="center"/>
                              <w:rPr>
                                <w:caps w:val="false"/>
                                <w:smallCaps w:val="false"/>
                              </w:rPr>
                            </w:pPr>
                            <w:r>
                              <w:rPr>
                                <w:caps w:val="false"/>
                                <w:smallCaps w:val="false"/>
                              </w:rPr>
                              <w:t>☐</w:t>
                            </w:r>
                          </w:p>
                        </w:tc>
                        <w:tc>
                          <w:tcPr>
                            <w:tcW w:w="486" w:type="dxa"/>
                            <w:tcBorders/>
                            <w:vAlign w:val="center"/>
                          </w:tcPr>
                          <w:p>
                            <w:pPr>
                              <w:pStyle w:val="TableContents"/>
                              <w:bidi w:val="0"/>
                              <w:spacing w:before="0" w:after="283"/>
                              <w:jc w:val="center"/>
                              <w:rPr>
                                <w:caps w:val="false"/>
                                <w:smallCaps w:val="false"/>
                              </w:rPr>
                            </w:pPr>
                            <w:r>
                              <w:rPr>
                                <w:caps w:val="false"/>
                                <w:smallCaps w:val="false"/>
                              </w:rPr>
                              <w:t>☐</w:t>
                            </w:r>
                          </w:p>
                        </w:tc>
                      </w:tr>
                      <w:tr>
                        <w:trPr/>
                        <w:tc>
                          <w:tcPr>
                            <w:tcW w:w="4211" w:type="dxa"/>
                            <w:tcBorders/>
                            <w:vAlign w:val="center"/>
                          </w:tcPr>
                          <w:p>
                            <w:pPr>
                              <w:pStyle w:val="TableContents"/>
                              <w:bidi w:val="0"/>
                              <w:spacing w:before="0" w:after="283"/>
                              <w:jc w:val="left"/>
                              <w:rPr/>
                            </w:pPr>
                            <w:r>
                              <w:rPr/>
                              <w:t> </w:t>
                            </w:r>
                          </w:p>
                        </w:tc>
                        <w:tc>
                          <w:tcPr>
                            <w:tcW w:w="4793" w:type="dxa"/>
                            <w:gridSpan w:val="2"/>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center"/>
                              <w:rPr/>
                            </w:pPr>
                            <w:r>
                              <w:rPr/>
                              <w:t> </w:t>
                            </w:r>
                          </w:p>
                        </w:tc>
                        <w:tc>
                          <w:tcPr>
                            <w:tcW w:w="485" w:type="dxa"/>
                            <w:tcBorders/>
                            <w:vAlign w:val="center"/>
                          </w:tcPr>
                          <w:p>
                            <w:pPr>
                              <w:pStyle w:val="TableContents"/>
                              <w:bidi w:val="0"/>
                              <w:spacing w:before="0" w:after="283"/>
                              <w:jc w:val="center"/>
                              <w:rPr/>
                            </w:pPr>
                            <w:r>
                              <w:rPr/>
                              <w:t> </w:t>
                            </w:r>
                          </w:p>
                        </w:tc>
                        <w:tc>
                          <w:tcPr>
                            <w:tcW w:w="486" w:type="dxa"/>
                            <w:tcBorders/>
                            <w:vAlign w:val="center"/>
                          </w:tcPr>
                          <w:p>
                            <w:pPr>
                              <w:pStyle w:val="TableContents"/>
                              <w:bidi w:val="0"/>
                              <w:spacing w:before="0" w:after="283"/>
                              <w:jc w:val="center"/>
                              <w:rPr/>
                            </w:pPr>
                            <w:r>
                              <w:rPr/>
                              <w:t> </w:t>
                            </w:r>
                          </w:p>
                        </w:tc>
                      </w:tr>
                      <w:tr>
                        <w:trPr/>
                        <w:tc>
                          <w:tcPr>
                            <w:tcW w:w="4211" w:type="dxa"/>
                            <w:tcBorders/>
                            <w:vAlign w:val="center"/>
                          </w:tcPr>
                          <w:p>
                            <w:pPr>
                              <w:pStyle w:val="TableContents"/>
                              <w:bidi w:val="0"/>
                              <w:spacing w:before="0" w:after="283"/>
                              <w:jc w:val="left"/>
                              <w:rPr/>
                            </w:pPr>
                            <w:r>
                              <w:rPr/>
                              <w:t> </w:t>
                            </w:r>
                          </w:p>
                        </w:tc>
                        <w:tc>
                          <w:tcPr>
                            <w:tcW w:w="4793" w:type="dxa"/>
                            <w:gridSpan w:val="2"/>
                            <w:tcBorders/>
                            <w:vAlign w:val="center"/>
                          </w:tcPr>
                          <w:p>
                            <w:pPr>
                              <w:pStyle w:val="TableContents"/>
                              <w:bidi w:val="0"/>
                              <w:spacing w:before="0" w:after="283"/>
                              <w:jc w:val="both"/>
                              <w:rPr/>
                            </w:pPr>
                            <w:r>
                              <w:rPr/>
                              <w:t> </w:t>
                            </w:r>
                          </w:p>
                        </w:tc>
                        <w:tc>
                          <w:tcPr>
                            <w:tcW w:w="230" w:type="dxa"/>
                            <w:tcBorders/>
                            <w:vAlign w:val="center"/>
                          </w:tcPr>
                          <w:p>
                            <w:pPr>
                              <w:pStyle w:val="TableContents"/>
                              <w:bidi w:val="0"/>
                              <w:spacing w:before="0" w:after="283"/>
                              <w:jc w:val="center"/>
                              <w:rPr/>
                            </w:pPr>
                            <w:r>
                              <w:rPr/>
                              <w:t> </w:t>
                            </w:r>
                          </w:p>
                        </w:tc>
                        <w:tc>
                          <w:tcPr>
                            <w:tcW w:w="485" w:type="dxa"/>
                            <w:tcBorders/>
                            <w:vAlign w:val="center"/>
                          </w:tcPr>
                          <w:p>
                            <w:pPr>
                              <w:pStyle w:val="TableContents"/>
                              <w:bidi w:val="0"/>
                              <w:spacing w:before="0" w:after="283"/>
                              <w:jc w:val="center"/>
                              <w:rPr/>
                            </w:pPr>
                            <w:r>
                              <w:rPr/>
                              <w:t> </w:t>
                            </w:r>
                          </w:p>
                        </w:tc>
                        <w:tc>
                          <w:tcPr>
                            <w:tcW w:w="486" w:type="dxa"/>
                            <w:tcBorders/>
                            <w:vAlign w:val="center"/>
                          </w:tcPr>
                          <w:p>
                            <w:pPr>
                              <w:pStyle w:val="TableContents"/>
                              <w:bidi w:val="0"/>
                              <w:spacing w:before="0" w:after="283"/>
                              <w:jc w:val="center"/>
                              <w:rPr/>
                            </w:pPr>
                            <w:r>
                              <w:rPr/>
                              <w:t> </w:t>
                            </w:r>
                          </w:p>
                        </w:tc>
                      </w:tr>
                      <w:tr>
                        <w:trPr/>
                        <w:tc>
                          <w:tcPr>
                            <w:tcW w:w="4211" w:type="dxa"/>
                            <w:tcBorders/>
                            <w:vAlign w:val="center"/>
                          </w:tcPr>
                          <w:p>
                            <w:pPr>
                              <w:pStyle w:val="TableContents"/>
                              <w:bidi w:val="0"/>
                              <w:spacing w:before="0" w:after="283"/>
                              <w:jc w:val="left"/>
                              <w:rPr/>
                            </w:pPr>
                            <w:r>
                              <w:rPr/>
                              <w:t> </w:t>
                            </w:r>
                          </w:p>
                        </w:tc>
                        <w:tc>
                          <w:tcPr>
                            <w:tcW w:w="4793" w:type="dxa"/>
                            <w:gridSpan w:val="2"/>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center"/>
                              <w:rPr/>
                            </w:pPr>
                            <w:r>
                              <w:rPr/>
                              <w:t> </w:t>
                            </w:r>
                          </w:p>
                        </w:tc>
                        <w:tc>
                          <w:tcPr>
                            <w:tcW w:w="485" w:type="dxa"/>
                            <w:tcBorders/>
                            <w:vAlign w:val="center"/>
                          </w:tcPr>
                          <w:p>
                            <w:pPr>
                              <w:pStyle w:val="TableContents"/>
                              <w:bidi w:val="0"/>
                              <w:spacing w:before="0" w:after="283"/>
                              <w:jc w:val="center"/>
                              <w:rPr/>
                            </w:pPr>
                            <w:r>
                              <w:rPr/>
                              <w:t> </w:t>
                            </w:r>
                          </w:p>
                        </w:tc>
                        <w:tc>
                          <w:tcPr>
                            <w:tcW w:w="486" w:type="dxa"/>
                            <w:tcBorders/>
                            <w:vAlign w:val="center"/>
                          </w:tcPr>
                          <w:p>
                            <w:pPr>
                              <w:pStyle w:val="TableContents"/>
                              <w:bidi w:val="0"/>
                              <w:spacing w:before="0" w:after="283"/>
                              <w:jc w:val="center"/>
                              <w:rPr/>
                            </w:pPr>
                            <w:r>
                              <w:rPr/>
                              <w:t> </w:t>
                            </w:r>
                          </w:p>
                        </w:tc>
                      </w:tr>
                      <w:tr>
                        <w:trPr/>
                        <w:tc>
                          <w:tcPr>
                            <w:tcW w:w="9004" w:type="dxa"/>
                            <w:gridSpan w:val="3"/>
                            <w:tcBorders/>
                            <w:vAlign w:val="center"/>
                          </w:tcPr>
                          <w:p>
                            <w:pPr>
                              <w:pStyle w:val="TableContents"/>
                              <w:bidi w:val="0"/>
                              <w:spacing w:before="0" w:after="283"/>
                              <w:jc w:val="both"/>
                              <w:rPr/>
                            </w:pPr>
                            <w:r>
                              <w:rPr/>
                              <w:t> </w:t>
                            </w:r>
                          </w:p>
                        </w:tc>
                        <w:tc>
                          <w:tcPr>
                            <w:tcW w:w="230" w:type="dxa"/>
                            <w:tcBorders/>
                            <w:vAlign w:val="center"/>
                          </w:tcPr>
                          <w:p>
                            <w:pPr>
                              <w:pStyle w:val="TableContents"/>
                              <w:bidi w:val="0"/>
                              <w:spacing w:before="0" w:after="283"/>
                              <w:jc w:val="center"/>
                              <w:rPr/>
                            </w:pPr>
                            <w:r>
                              <w:rPr/>
                              <w:t> </w:t>
                            </w:r>
                          </w:p>
                        </w:tc>
                        <w:tc>
                          <w:tcPr>
                            <w:tcW w:w="485" w:type="dxa"/>
                            <w:tcBorders/>
                            <w:vAlign w:val="center"/>
                          </w:tcPr>
                          <w:p>
                            <w:pPr>
                              <w:pStyle w:val="TableContents"/>
                              <w:bidi w:val="0"/>
                              <w:spacing w:before="0" w:after="283"/>
                              <w:jc w:val="center"/>
                              <w:rPr/>
                            </w:pPr>
                            <w:r>
                              <w:rPr/>
                              <w:t> </w:t>
                            </w:r>
                          </w:p>
                        </w:tc>
                        <w:tc>
                          <w:tcPr>
                            <w:tcW w:w="486" w:type="dxa"/>
                            <w:tcBorders/>
                            <w:vAlign w:val="center"/>
                          </w:tcPr>
                          <w:p>
                            <w:pPr>
                              <w:pStyle w:val="TableContents"/>
                              <w:bidi w:val="0"/>
                              <w:spacing w:before="0" w:after="283"/>
                              <w:jc w:val="center"/>
                              <w:rPr/>
                            </w:pPr>
                            <w:r>
                              <w:rPr/>
                              <w:t> </w:t>
                            </w:r>
                          </w:p>
                        </w:tc>
                      </w:tr>
                      <w:tr>
                        <w:trPr/>
                        <w:tc>
                          <w:tcPr>
                            <w:tcW w:w="10205" w:type="dxa"/>
                            <w:gridSpan w:val="6"/>
                            <w:tcBorders/>
                            <w:vAlign w:val="center"/>
                          </w:tcPr>
                          <w:p>
                            <w:pPr>
                              <w:pStyle w:val="TableContents"/>
                              <w:bidi w:val="0"/>
                              <w:spacing w:before="0" w:after="283"/>
                              <w:jc w:val="left"/>
                              <w:rPr/>
                            </w:pPr>
                            <w:r>
                              <w:rPr/>
                              <w:t> </w:t>
                            </w:r>
                          </w:p>
                        </w:tc>
                      </w:tr>
                      <w:tr>
                        <w:trPr/>
                        <w:tc>
                          <w:tcPr>
                            <w:tcW w:w="10205" w:type="dxa"/>
                            <w:gridSpan w:val="6"/>
                            <w:tcBorders/>
                            <w:vAlign w:val="center"/>
                          </w:tcPr>
                          <w:p>
                            <w:pPr>
                              <w:pStyle w:val="TableContents"/>
                              <w:bidi w:val="0"/>
                              <w:spacing w:before="0" w:after="283"/>
                              <w:jc w:val="left"/>
                              <w:rPr/>
                            </w:pPr>
                            <w:r>
                              <w:rPr/>
                              <w:t> </w:t>
                            </w:r>
                          </w:p>
                        </w:tc>
                      </w:tr>
                    </w:tbl>
                    <w:p>
                      <w:pPr>
                        <w:pStyle w:val="TextBody"/>
                        <w:bidi w:val="0"/>
                        <w:spacing w:before="0" w:after="283"/>
                        <w:jc w:val="left"/>
                        <w:rPr/>
                      </w:pPr>
                      <w:r>
                        <w:rPr/>
                      </w:r>
                    </w:p>
                  </w:txbxContent>
                </v:textbox>
                <w10:wrap type="square" side="left"/>
              </v:rect>
            </w:pict>
          </mc:Fallback>
        </mc:AlternateContent>
      </w:r>
    </w:p>
    <w:tbl>
      <w:tblPr>
        <w:tblW w:w="10045" w:type="dxa"/>
        <w:jc w:val="left"/>
        <w:tblInd w:w="160" w:type="dxa"/>
        <w:tblLayout w:type="fixed"/>
        <w:tblCellMar>
          <w:top w:w="0" w:type="dxa"/>
          <w:left w:w="0" w:type="dxa"/>
          <w:bottom w:w="0" w:type="dxa"/>
          <w:right w:w="0" w:type="dxa"/>
        </w:tblCellMar>
      </w:tblPr>
      <w:tblGrid>
        <w:gridCol w:w="5236"/>
        <w:gridCol w:w="567"/>
        <w:gridCol w:w="111"/>
        <w:gridCol w:w="3441"/>
        <w:gridCol w:w="567"/>
        <w:gridCol w:w="60"/>
        <w:gridCol w:w="63"/>
      </w:tblGrid>
      <w:tr>
        <w:trPr/>
        <w:tc>
          <w:tcPr>
            <w:tcW w:w="9922" w:type="dxa"/>
            <w:gridSpan w:val="5"/>
            <w:tcBorders/>
            <w:vAlign w:val="center"/>
          </w:tcPr>
          <w:p>
            <w:pPr>
              <w:pStyle w:val="TableContents"/>
              <w:bidi w:val="0"/>
              <w:spacing w:before="0" w:after="283"/>
              <w:jc w:val="both"/>
              <w:rPr>
                <w:rFonts w:ascii="Arial;Helvetica;Sans-Serif" w:hAnsi="Arial;Helvetica;Sans-Serif"/>
                <w:b w:val="false"/>
                <w:i w:val="false"/>
                <w:caps w:val="false"/>
                <w:smallCaps w:val="false"/>
                <w:sz w:val="12"/>
              </w:rPr>
            </w:pPr>
            <w:r>
              <w:rPr>
                <w:rFonts w:ascii="Arial;Helvetica;Sans-Serif" w:hAnsi="Arial;Helvetica;Sans-Serif"/>
                <w:b w:val="false"/>
                <w:i w:val="false"/>
                <w:caps w:val="false"/>
                <w:smallCaps w:val="false"/>
                <w:sz w:val="12"/>
              </w:rPr>
              <w:t>Please date and sign name exactly as it appears hereon. Executors, administrators, trustees, etc. should so indicate when signing. If the shareowner is a corporation, the full corporate name should be inserted and the proxy signed by an officer of the corporation indicating his/her title.</w:t>
            </w:r>
          </w:p>
        </w:tc>
        <w:tc>
          <w:tcPr>
            <w:tcW w:w="123" w:type="dxa"/>
            <w:gridSpan w:val="2"/>
            <w:tcBorders/>
            <w:vAlign w:val="center"/>
          </w:tcPr>
          <w:p>
            <w:pPr>
              <w:pStyle w:val="TableContents"/>
              <w:bidi w:val="0"/>
              <w:spacing w:before="0" w:after="283"/>
              <w:jc w:val="left"/>
              <w:rPr/>
            </w:pPr>
            <w:r>
              <w:rPr/>
              <w:t> </w:t>
            </w:r>
          </w:p>
        </w:tc>
      </w:tr>
      <w:tr>
        <w:trPr/>
        <w:tc>
          <w:tcPr>
            <w:tcW w:w="5236" w:type="dxa"/>
            <w:tcBorders/>
            <w:vAlign w:val="center"/>
          </w:tcPr>
          <w:p>
            <w:pPr>
              <w:pStyle w:val="TableContents"/>
              <w:bidi w:val="0"/>
              <w:spacing w:before="0" w:after="283"/>
              <w:jc w:val="left"/>
              <w:rPr>
                <w:caps w:val="false"/>
                <w:smallCaps w:val="false"/>
              </w:rPr>
            </w:pPr>
            <w:r>
              <w:rPr>
                <w:caps w:val="false"/>
                <w:smallCaps w:val="false"/>
              </w:rPr>
              <w:t> </w:t>
            </w:r>
          </w:p>
        </w:tc>
        <w:tc>
          <w:tcPr>
            <w:tcW w:w="567" w:type="dxa"/>
            <w:tcBorders/>
            <w:vAlign w:val="center"/>
          </w:tcPr>
          <w:p>
            <w:pPr>
              <w:pStyle w:val="TableContents"/>
              <w:bidi w:val="0"/>
              <w:spacing w:before="0" w:after="283"/>
              <w:jc w:val="left"/>
              <w:rPr>
                <w:caps w:val="false"/>
                <w:smallCaps w:val="false"/>
              </w:rPr>
            </w:pPr>
            <w:r>
              <w:rPr>
                <w:caps w:val="false"/>
                <w:smallCaps w:val="false"/>
              </w:rPr>
              <w:t> </w:t>
            </w:r>
          </w:p>
        </w:tc>
        <w:tc>
          <w:tcPr>
            <w:tcW w:w="111" w:type="dxa"/>
            <w:tcBorders/>
            <w:vAlign w:val="center"/>
          </w:tcPr>
          <w:p>
            <w:pPr>
              <w:pStyle w:val="TableContents"/>
              <w:bidi w:val="0"/>
              <w:spacing w:before="0" w:after="283"/>
              <w:jc w:val="left"/>
              <w:rPr>
                <w:caps w:val="false"/>
                <w:smallCaps w:val="false"/>
              </w:rPr>
            </w:pPr>
            <w:r>
              <w:rPr>
                <w:caps w:val="false"/>
                <w:smallCaps w:val="false"/>
              </w:rPr>
              <w:t> </w:t>
            </w:r>
          </w:p>
        </w:tc>
        <w:tc>
          <w:tcPr>
            <w:tcW w:w="3441" w:type="dxa"/>
            <w:tcBorders/>
            <w:vAlign w:val="center"/>
          </w:tcPr>
          <w:p>
            <w:pPr>
              <w:pStyle w:val="TableContents"/>
              <w:bidi w:val="0"/>
              <w:spacing w:before="0" w:after="283"/>
              <w:jc w:val="left"/>
              <w:rPr>
                <w:caps w:val="false"/>
                <w:smallCaps w:val="false"/>
              </w:rPr>
            </w:pPr>
            <w:r>
              <w:rPr>
                <w:caps w:val="false"/>
                <w:smallCaps w:val="false"/>
              </w:rPr>
              <w:t> </w:t>
            </w:r>
          </w:p>
        </w:tc>
        <w:tc>
          <w:tcPr>
            <w:tcW w:w="567" w:type="dxa"/>
            <w:tcBorders/>
            <w:vAlign w:val="center"/>
          </w:tcPr>
          <w:p>
            <w:pPr>
              <w:pStyle w:val="TableContents"/>
              <w:bidi w:val="0"/>
              <w:spacing w:before="0" w:after="283"/>
              <w:jc w:val="left"/>
              <w:rPr>
                <w:caps w:val="false"/>
                <w:smallCaps w:val="false"/>
              </w:rPr>
            </w:pPr>
            <w:r>
              <w:rPr>
                <w:caps w:val="false"/>
                <w:smallCaps w:val="false"/>
              </w:rPr>
              <w:t> </w:t>
            </w:r>
          </w:p>
        </w:tc>
        <w:tc>
          <w:tcPr>
            <w:tcW w:w="123"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5236" w:type="dxa"/>
            <w:tcBorders>
              <w:top w:val="single" w:sz="2" w:space="0" w:color="000000"/>
              <w:left w:val="single" w:sz="2" w:space="0" w:color="000000"/>
              <w:bottom w:val="single" w:sz="12" w:space="0" w:color="000000"/>
              <w:right w:val="single" w:sz="2" w:space="0" w:color="000000"/>
            </w:tcBorders>
            <w:tcMar>
              <w:top w:w="40" w:type="dxa"/>
              <w:left w:w="28" w:type="dxa"/>
              <w:bottom w:w="40" w:type="dxa"/>
              <w:right w:w="28" w:type="dxa"/>
            </w:tcMar>
            <w:vAlign w:val="center"/>
          </w:tcPr>
          <w:p>
            <w:pPr>
              <w:pStyle w:val="TableContents"/>
              <w:bidi w:val="0"/>
              <w:spacing w:before="0" w:after="283"/>
              <w:jc w:val="left"/>
              <w:rPr/>
            </w:pPr>
            <w:r>
              <w:rPr/>
              <w:t> </w:t>
            </w:r>
          </w:p>
        </w:tc>
        <w:tc>
          <w:tcPr>
            <w:tcW w:w="567" w:type="dxa"/>
            <w:tcBorders>
              <w:top w:val="single" w:sz="2" w:space="0" w:color="000000"/>
              <w:bottom w:val="single" w:sz="12" w:space="0" w:color="000000"/>
              <w:right w:val="single" w:sz="2" w:space="0" w:color="000000"/>
            </w:tcBorders>
            <w:tcMar>
              <w:top w:w="40" w:type="dxa"/>
              <w:bottom w:w="40" w:type="dxa"/>
              <w:right w:w="28" w:type="dxa"/>
            </w:tcMar>
            <w:vAlign w:val="center"/>
          </w:tcPr>
          <w:p>
            <w:pPr>
              <w:pStyle w:val="TableContents"/>
              <w:bidi w:val="0"/>
              <w:spacing w:before="0" w:after="283"/>
              <w:jc w:val="left"/>
              <w:rPr/>
            </w:pPr>
            <w:r>
              <w:rPr/>
              <w:t> </w:t>
            </w:r>
          </w:p>
        </w:tc>
        <w:tc>
          <w:tcPr>
            <w:tcW w:w="111" w:type="dxa"/>
            <w:tcBorders>
              <w:right w:val="single" w:sz="2" w:space="0" w:color="000000"/>
            </w:tcBorders>
            <w:tcMar>
              <w:right w:w="28" w:type="dxa"/>
            </w:tcMar>
            <w:vAlign w:val="center"/>
          </w:tcPr>
          <w:p>
            <w:pPr>
              <w:pStyle w:val="TableContents"/>
              <w:bidi w:val="0"/>
              <w:spacing w:before="0" w:after="283"/>
              <w:jc w:val="left"/>
              <w:rPr/>
            </w:pPr>
            <w:r>
              <w:rPr/>
              <w:t> </w:t>
            </w:r>
          </w:p>
        </w:tc>
        <w:tc>
          <w:tcPr>
            <w:tcW w:w="3441" w:type="dxa"/>
            <w:tcBorders>
              <w:top w:val="single" w:sz="2" w:space="0" w:color="000000"/>
              <w:bottom w:val="single" w:sz="12" w:space="0" w:color="000000"/>
              <w:right w:val="single" w:sz="2" w:space="0" w:color="000000"/>
            </w:tcBorders>
            <w:tcMar>
              <w:top w:w="40" w:type="dxa"/>
              <w:bottom w:w="40" w:type="dxa"/>
              <w:right w:w="28" w:type="dxa"/>
            </w:tcMar>
            <w:vAlign w:val="center"/>
          </w:tcPr>
          <w:p>
            <w:pPr>
              <w:pStyle w:val="TableContents"/>
              <w:bidi w:val="0"/>
              <w:spacing w:before="0" w:after="283"/>
              <w:jc w:val="left"/>
              <w:rPr/>
            </w:pPr>
            <w:r>
              <w:rPr/>
              <w:t> </w:t>
            </w:r>
          </w:p>
        </w:tc>
        <w:tc>
          <w:tcPr>
            <w:tcW w:w="567" w:type="dxa"/>
            <w:tcBorders>
              <w:top w:val="single" w:sz="2" w:space="0" w:color="000000"/>
              <w:bottom w:val="single" w:sz="12" w:space="0" w:color="000000"/>
              <w:right w:val="single" w:sz="2" w:space="0" w:color="000000"/>
            </w:tcBorders>
            <w:tcMar>
              <w:top w:w="40" w:type="dxa"/>
              <w:bottom w:w="40" w:type="dxa"/>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r>
      <w:tr>
        <w:trPr/>
        <w:tc>
          <w:tcPr>
            <w:tcW w:w="5236"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Signature [PLEASE SIGN WITHIN BOX]          </w:t>
            </w:r>
          </w:p>
        </w:tc>
        <w:tc>
          <w:tcPr>
            <w:tcW w:w="567"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Date</w:t>
            </w:r>
          </w:p>
        </w:tc>
        <w:tc>
          <w:tcPr>
            <w:tcW w:w="111" w:type="dxa"/>
            <w:tcBorders/>
            <w:vAlign w:val="center"/>
          </w:tcPr>
          <w:p>
            <w:pPr>
              <w:pStyle w:val="TableContents"/>
              <w:bidi w:val="0"/>
              <w:spacing w:before="0" w:after="283"/>
              <w:jc w:val="left"/>
              <w:rPr>
                <w:sz w:val="4"/>
                <w:szCs w:val="4"/>
              </w:rPr>
            </w:pPr>
            <w:r>
              <w:rPr>
                <w:sz w:val="4"/>
                <w:szCs w:val="4"/>
              </w:rPr>
            </w:r>
          </w:p>
        </w:tc>
        <w:tc>
          <w:tcPr>
            <w:tcW w:w="3441"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Signature (Joint Owners)         </w:t>
            </w:r>
          </w:p>
        </w:tc>
        <w:tc>
          <w:tcPr>
            <w:tcW w:w="567"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Date</w:t>
            </w:r>
          </w:p>
        </w:tc>
        <w:tc>
          <w:tcPr>
            <w:tcW w:w="123" w:type="dxa"/>
            <w:gridSpan w:val="2"/>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t> </w:t>
      </w:r>
    </w:p>
    <w:p>
      <w:pPr>
        <w:pStyle w:val="HorizontalLine"/>
        <w:pBdr>
          <w:bottom w:val="double" w:sz="2" w:space="0" w:color="808080"/>
        </w:pBdr>
        <w:bidi w:val="0"/>
        <w:spacing w:before="0" w:after="283"/>
        <w:jc w:val="left"/>
        <w:rPr/>
      </w:pPr>
      <w:r>
        <w:rPr/>
      </w:r>
    </w:p>
    <w:p>
      <w:pPr>
        <w:pStyle w:val="TextBody"/>
        <w:bidi w:val="0"/>
        <w:spacing w:before="200" w:after="200"/>
        <w:jc w:val="left"/>
        <w:rPr/>
      </w:pPr>
      <w:hyperlink w:anchor="toc">
        <w:r>
          <w:rPr>
            <w:rStyle w:val="InternetLink"/>
            <w:rFonts w:ascii="Arial;Helvetica;Sans-Serif" w:hAnsi="Arial;Helvetica;Sans-Serif"/>
            <w:b/>
            <w:i w:val="false"/>
            <w:caps w:val="false"/>
            <w:smallCaps w:val="false"/>
            <w:sz w:val="16"/>
          </w:rPr>
          <w:t>Table of Contents</w:t>
        </w:r>
      </w:hyperlink>
    </w:p>
    <w:p>
      <w:pPr>
        <w:pStyle w:val="TextBody"/>
        <w:bidi w:val="0"/>
        <w:spacing w:before="0" w:after="0"/>
        <w:jc w:val="center"/>
        <w:rPr/>
      </w:pPr>
      <w:r>
        <w:rPr/>
        <w:t> </w:t>
      </w:r>
    </w:p>
    <w:p>
      <w:pPr>
        <w:pStyle w:val="TextBody"/>
        <w:bidi w:val="0"/>
        <w:spacing w:before="0" w:after="0"/>
        <w:jc w:val="center"/>
        <w:rPr/>
      </w:pPr>
      <w:r>
        <w:rPr/>
        <w:drawing>
          <wp:inline distT="0" distB="0" distL="0" distR="0">
            <wp:extent cx="2095500" cy="2457450"/>
            <wp:effectExtent l="0" t="0" r="0" b="0"/>
            <wp:docPr id="383" name="Image2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3" name="Image251" descr=""/>
                    <pic:cNvPicPr>
                      <a:picLocks noChangeAspect="1" noChangeArrowheads="1"/>
                    </pic:cNvPicPr>
                  </pic:nvPicPr>
                  <pic:blipFill>
                    <a:blip r:embed="rId310"/>
                    <a:stretch>
                      <a:fillRect/>
                    </a:stretch>
                  </pic:blipFill>
                  <pic:spPr bwMode="auto">
                    <a:xfrm>
                      <a:off x="0" y="0"/>
                      <a:ext cx="2095500" cy="2457450"/>
                    </a:xfrm>
                    <a:prstGeom prst="rect">
                      <a:avLst/>
                    </a:prstGeom>
                  </pic:spPr>
                </pic:pic>
              </a:graphicData>
            </a:graphic>
          </wp:inline>
        </w:drawing>
      </w:r>
    </w:p>
    <w:p>
      <w:pPr>
        <w:pStyle w:val="TextBody"/>
        <w:bidi w:val="0"/>
        <w:spacing w:before="0" w:after="0"/>
        <w:jc w:val="center"/>
        <w:rPr/>
      </w:pPr>
      <w:r>
        <w:rPr/>
        <w:t> </w:t>
      </w:r>
    </w:p>
    <w:p>
      <w:pPr>
        <w:pStyle w:val="TextBody"/>
        <w:bidi w:val="0"/>
        <w:spacing w:before="0" w:after="0"/>
        <w:jc w:val="center"/>
        <w:rPr/>
      </w:pPr>
      <w:r>
        <w:rPr/>
        <w:t> </w:t>
      </w:r>
    </w:p>
    <w:p>
      <w:pPr>
        <w:pStyle w:val="TextBody"/>
        <w:bidi w:val="0"/>
        <w:spacing w:before="0" w:after="0"/>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Thursday, April 30, 2026, 8:00 a.m. Eastern Time</w:t>
        <w:br/>
        <w:t>www.virtualshareholdermeeting.com/RTX2026</w:t>
      </w:r>
    </w:p>
    <w:p>
      <w:pPr>
        <w:pStyle w:val="TextBody"/>
        <w:bidi w:val="0"/>
        <w:spacing w:before="0" w:after="0"/>
        <w:jc w:val="center"/>
        <w:rPr/>
      </w:pPr>
      <w:r>
        <w:rPr/>
        <w:t> </w:t>
      </w:r>
    </w:p>
    <w:p>
      <w:pPr>
        <w:pStyle w:val="TextBody"/>
        <w:bidi w:val="0"/>
        <w:spacing w:before="0" w:after="0"/>
        <w:jc w:val="center"/>
        <w:rPr/>
      </w:pPr>
      <w:r>
        <w:rPr/>
        <w:t> </w:t>
      </w:r>
    </w:p>
    <w:p>
      <w:pPr>
        <w:pStyle w:val="TextBody"/>
        <w:bidi w:val="0"/>
        <w:spacing w:before="0" w:after="0"/>
        <w:jc w:val="center"/>
        <w:rPr/>
      </w:pPr>
      <w:r>
        <w:rPr/>
        <w:t> </w:t>
      </w:r>
    </w:p>
    <w:p>
      <w:pPr>
        <w:pStyle w:val="TextBody"/>
        <w:bidi w:val="0"/>
        <w:spacing w:before="0" w:after="0"/>
        <w:jc w:val="center"/>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Important Notice Regarding the Availability of Proxy Materials for the Annual Meeting:</w:t>
      </w:r>
      <w:r>
        <w:rPr>
          <w:rFonts w:ascii="Arial;Helvetica;Sans-Serif" w:hAnsi="Arial;Helvetica;Sans-Serif"/>
          <w:b w:val="false"/>
          <w:i w:val="false"/>
          <w:caps w:val="false"/>
          <w:smallCaps w:val="false"/>
          <w:sz w:val="20"/>
        </w:rPr>
        <w:t xml:space="preserve"> </w:t>
        <w:br/>
        <w:t>The Notice and Proxy Statement and Annual Report are available at www.proxyvote.com.</w:t>
      </w:r>
    </w:p>
    <w:p>
      <w:pPr>
        <w:pStyle w:val="TextBody"/>
        <w:bidi w:val="0"/>
        <w:spacing w:before="0" w:after="0"/>
        <w:jc w:val="center"/>
        <w:rPr/>
      </w:pPr>
      <w:r>
        <w:rPr/>
        <w:t> </w:t>
      </w:r>
    </w:p>
    <w:tbl>
      <w:tblPr>
        <w:tblW w:w="1490" w:type="dxa"/>
        <w:jc w:val="left"/>
        <w:tblInd w:w="0" w:type="dxa"/>
        <w:tblLayout w:type="fixed"/>
        <w:tblCellMar>
          <w:top w:w="140" w:type="dxa"/>
          <w:left w:w="0" w:type="dxa"/>
          <w:bottom w:w="0" w:type="dxa"/>
          <w:right w:w="0" w:type="dxa"/>
        </w:tblCellMar>
      </w:tblPr>
      <w:tblGrid>
        <w:gridCol w:w="1490"/>
      </w:tblGrid>
      <w:tr>
        <w:trPr/>
        <w:tc>
          <w:tcPr>
            <w:tcW w:w="1490" w:type="dxa"/>
            <w:tcBorders>
              <w:top w:val="dashed" w:sz="12" w:space="0" w:color="000000"/>
            </w:tcBorders>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V88188-P42225-Z91759</w:t>
            </w:r>
          </w:p>
        </w:tc>
      </w:tr>
    </w:tbl>
    <w:p>
      <w:pPr>
        <w:pStyle w:val="TextBody"/>
        <w:bidi w:val="0"/>
        <w:spacing w:before="200" w:after="0"/>
        <w:jc w:val="center"/>
        <w:rPr>
          <w:bdr w:val="single" w:sz="12" w:space="4" w:color="000000"/>
        </w:rPr>
      </w:pPr>
      <w:r>
        <w:rPr>
          <w:bdr w:val="single" w:sz="12" w:space="4" w:color="000000"/>
        </w:rPr>
        <w:drawing>
          <wp:inline distT="0" distB="0" distL="0" distR="0">
            <wp:extent cx="2095500" cy="2457450"/>
            <wp:effectExtent l="0" t="0" r="0" b="0"/>
            <wp:docPr id="384" name="Image2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4" name="Image252" descr=""/>
                    <pic:cNvPicPr>
                      <a:picLocks noChangeAspect="1" noChangeArrowheads="1"/>
                    </pic:cNvPicPr>
                  </pic:nvPicPr>
                  <pic:blipFill>
                    <a:blip r:embed="rId311"/>
                    <a:stretch>
                      <a:fillRect/>
                    </a:stretch>
                  </pic:blipFill>
                  <pic:spPr bwMode="auto">
                    <a:xfrm>
                      <a:off x="0" y="0"/>
                      <a:ext cx="2095500" cy="2457450"/>
                    </a:xfrm>
                    <a:prstGeom prst="rect">
                      <a:avLst/>
                    </a:prstGeom>
                  </pic:spPr>
                </pic:pic>
              </a:graphicData>
            </a:graphic>
          </wp:inline>
        </w:drawing>
      </w:r>
    </w:p>
    <w:p>
      <w:pPr>
        <w:pStyle w:val="TextBody"/>
        <w:bidi w:val="0"/>
        <w:spacing w:before="0" w:after="0"/>
        <w:jc w:val="center"/>
        <w:rPr>
          <w:caps w:val="false"/>
          <w:smallCaps w:val="false"/>
          <w:bdr w:val="single" w:sz="12" w:space="4" w:color="000000"/>
        </w:rPr>
      </w:pPr>
      <w:r>
        <w:rPr>
          <w:caps w:val="false"/>
          <w:smallCaps w:val="false"/>
          <w:bdr w:val="single" w:sz="12" w:space="4" w:color="000000"/>
        </w:rPr>
        <w:t> </w:t>
      </w:r>
    </w:p>
    <w:p>
      <w:pPr>
        <w:pStyle w:val="TextBody"/>
        <w:bidi w:val="0"/>
        <w:spacing w:before="0" w:after="0"/>
        <w:jc w:val="center"/>
        <w:rPr>
          <w:rFonts w:ascii="Arial;Helvetica;Sans-Serif" w:hAnsi="Arial;Helvetica;Sans-Serif"/>
          <w:b/>
          <w:i w:val="false"/>
          <w:caps w:val="false"/>
          <w:smallCaps w:val="false"/>
          <w:sz w:val="22"/>
          <w:bdr w:val="single" w:sz="12" w:space="4" w:color="000000"/>
        </w:rPr>
      </w:pPr>
      <w:r>
        <w:rPr>
          <w:rFonts w:ascii="Arial;Helvetica;Sans-Serif" w:hAnsi="Arial;Helvetica;Sans-Serif"/>
          <w:b/>
          <w:i w:val="false"/>
          <w:caps w:val="false"/>
          <w:smallCaps w:val="false"/>
          <w:sz w:val="22"/>
          <w:bdr w:val="single" w:sz="12" w:space="4" w:color="000000"/>
        </w:rPr>
        <w:t>THIS PROXY IS SOLICITED ON BEHALF OF THE BOARD OF DIRECTORS</w:t>
        <w:br/>
        <w:t>ANNUAL MEETING OF SHAREOWNERS</w:t>
        <w:br/>
        <w:t>THURSDAY, APRIL 30, 2026</w:t>
      </w:r>
    </w:p>
    <w:p>
      <w:pPr>
        <w:pStyle w:val="TextBody"/>
        <w:bidi w:val="0"/>
        <w:spacing w:before="0" w:after="0"/>
        <w:jc w:val="center"/>
        <w:rPr>
          <w:caps w:val="false"/>
          <w:smallCaps w:val="false"/>
          <w:bdr w:val="single" w:sz="12" w:space="4" w:color="000000"/>
        </w:rPr>
      </w:pPr>
      <w:r>
        <w:rPr>
          <w:caps w:val="false"/>
          <w:smallCaps w:val="false"/>
          <w:bdr w:val="single" w:sz="12" w:space="4" w:color="000000"/>
        </w:rPr>
        <w:t> </w:t>
      </w:r>
    </w:p>
    <w:p>
      <w:pPr>
        <w:pStyle w:val="TextBody"/>
        <w:bidi w:val="0"/>
        <w:spacing w:before="0" w:after="0"/>
        <w:jc w:val="both"/>
        <w:rPr>
          <w:rFonts w:ascii="Arial;Helvetica;Sans-Serif" w:hAnsi="Arial;Helvetica;Sans-Serif"/>
          <w:b w:val="false"/>
          <w:i w:val="false"/>
          <w:caps w:val="false"/>
          <w:smallCaps w:val="false"/>
          <w:sz w:val="18"/>
          <w:bdr w:val="single" w:sz="12" w:space="4" w:color="000000"/>
        </w:rPr>
      </w:pPr>
      <w:r>
        <w:rPr>
          <w:rFonts w:ascii="Arial;Helvetica;Sans-Serif" w:hAnsi="Arial;Helvetica;Sans-Serif"/>
          <w:b w:val="false"/>
          <w:i w:val="false"/>
          <w:caps w:val="false"/>
          <w:smallCaps w:val="false"/>
          <w:sz w:val="18"/>
          <w:bdr w:val="single" w:sz="12" w:space="4" w:color="000000"/>
        </w:rPr>
        <w:t>The undersigned hereby appoints Christopher T. Calio, Neil G. Mitchill, Jr. and Ramsaran Maharajh, or any of them, as proxies, each with full power of substitution, and hereby authorizes them to represent and to vote, as designated on the reverse side of this ballot (with discretionary authority as to any and all other business that may properly come before the meeting), all of the shares of Common Stock of RTX Corporation that the Shareowner(s) is/are entitled to vote at the Annual Meeting of Shareowners to be held at 8:00 a.m. Eastern Time on Thursday, April 30, 2026 virtually at www.virtualshareholdermeeting.com/RTX2026, and at any adjournment, continuation or postponement thereof.</w:t>
      </w:r>
    </w:p>
    <w:p>
      <w:pPr>
        <w:pStyle w:val="TextBody"/>
        <w:bidi w:val="0"/>
        <w:spacing w:before="0" w:after="0"/>
        <w:jc w:val="both"/>
        <w:rPr>
          <w:caps w:val="false"/>
          <w:smallCaps w:val="false"/>
          <w:bdr w:val="single" w:sz="12" w:space="4" w:color="000000"/>
        </w:rPr>
      </w:pPr>
      <w:r>
        <w:rPr>
          <w:caps w:val="false"/>
          <w:smallCaps w:val="false"/>
          <w:bdr w:val="single" w:sz="12" w:space="4" w:color="000000"/>
        </w:rPr>
        <w:t> </w:t>
      </w:r>
    </w:p>
    <w:p>
      <w:pPr>
        <w:pStyle w:val="TextBody"/>
        <w:bidi w:val="0"/>
        <w:spacing w:before="0" w:after="0"/>
        <w:jc w:val="both"/>
        <w:rPr>
          <w:rFonts w:ascii="Arial;Helvetica;Sans-Serif" w:hAnsi="Arial;Helvetica;Sans-Serif"/>
          <w:b/>
          <w:i w:val="false"/>
          <w:caps w:val="false"/>
          <w:smallCaps w:val="false"/>
          <w:sz w:val="18"/>
          <w:bdr w:val="single" w:sz="12" w:space="4" w:color="000000"/>
        </w:rPr>
      </w:pPr>
      <w:r>
        <w:rPr>
          <w:rFonts w:ascii="Arial;Helvetica;Sans-Serif" w:hAnsi="Arial;Helvetica;Sans-Serif"/>
          <w:b/>
          <w:i w:val="false"/>
          <w:caps w:val="false"/>
          <w:smallCaps w:val="false"/>
          <w:sz w:val="18"/>
          <w:bdr w:val="single" w:sz="12" w:space="4" w:color="000000"/>
        </w:rPr>
        <w:t>THIS PROXY, WHEN PROPERLY EXECUTED, WILL BE VOTED AS DIRECTED BY THE SHAREOWNER(S). IF NO SUCH DIRECTIONS ARE MADE, THIS PROXY WILL BE VOTED IN ACCORDANCE WITH THE RECOMMENDATION OF THE BOARD OF DIRECTORS.</w:t>
      </w:r>
    </w:p>
    <w:p>
      <w:pPr>
        <w:pStyle w:val="TextBody"/>
        <w:bidi w:val="0"/>
        <w:spacing w:before="0" w:after="0"/>
        <w:jc w:val="left"/>
        <w:rPr>
          <w:caps w:val="false"/>
          <w:smallCaps w:val="false"/>
          <w:bdr w:val="single" w:sz="12" w:space="4" w:color="000000"/>
        </w:rPr>
      </w:pPr>
      <w:r>
        <w:rPr>
          <w:caps w:val="false"/>
          <w:smallCaps w:val="false"/>
          <w:bdr w:val="single" w:sz="12" w:space="4" w:color="000000"/>
        </w:rPr>
        <w:t> </w:t>
      </w:r>
    </w:p>
    <w:p>
      <w:pPr>
        <w:pStyle w:val="TextBody"/>
        <w:bidi w:val="0"/>
        <w:ind w:left="0" w:right="0" w:hanging="0"/>
        <w:jc w:val="both"/>
        <w:rPr>
          <w:rFonts w:ascii="Arial;Helvetica;Sans-Serif" w:hAnsi="Arial;Helvetica;Sans-Serif"/>
          <w:b w:val="false"/>
          <w:i w:val="false"/>
          <w:caps w:val="false"/>
          <w:smallCaps w:val="false"/>
          <w:sz w:val="18"/>
          <w:bdr w:val="single" w:sz="12" w:space="4" w:color="000000"/>
        </w:rPr>
      </w:pPr>
      <w:r>
        <w:rPr>
          <w:rFonts w:ascii="Arial;Helvetica;Sans-Serif" w:hAnsi="Arial;Helvetica;Sans-Serif"/>
          <w:b w:val="false"/>
          <w:i w:val="false"/>
          <w:caps w:val="false"/>
          <w:smallCaps w:val="false"/>
          <w:sz w:val="18"/>
          <w:bdr w:val="single" w:sz="12" w:space="4" w:color="000000"/>
        </w:rPr>
        <w:t xml:space="preserve">If the undersigned is a participant in a company savings plan and has shares of Common Stock of RTX Corporation allocated to their plan account, the undersigned hereby instructs the plan trustee to vote all such shares of stock in accordance with the instructions on the reverse side of this ballot at the Annual Meeting and at any adjournment, continuation or postponement thereof. </w:t>
      </w:r>
      <w:r>
        <w:rPr>
          <w:rFonts w:ascii="Arial;Helvetica;Sans-Serif" w:hAnsi="Arial;Helvetica;Sans-Serif"/>
          <w:b/>
          <w:i w:val="false"/>
          <w:caps w:val="false"/>
          <w:smallCaps w:val="false"/>
          <w:sz w:val="18"/>
          <w:bdr w:val="single" w:sz="12" w:space="4" w:color="000000"/>
        </w:rPr>
        <w:t>IF NO VOTING INSTRUCTION IS PROVIDED, THE PLAN TRUSTEE WILL VOTE THE SHARES ALLOCATED TO THE PARTICIPANT’S PLAN ACCOUNT IN ACCORDANCE WITH THE PROPER VOTING INSTRUCTIONS THE TRUSTEE RECEIVES WITH RESPECT TO A PLURALITY OF PLAN SHARES FOR WHICH THE TRUSTEE RECEIVES PROPER VOTING INSTRUCTIONS.</w:t>
      </w:r>
    </w:p>
    <w:p>
      <w:pPr>
        <w:pStyle w:val="TextBody"/>
        <w:bidi w:val="0"/>
        <w:spacing w:before="0" w:after="0"/>
        <w:jc w:val="left"/>
        <w:rPr>
          <w:caps w:val="false"/>
          <w:smallCaps w:val="false"/>
          <w:bdr w:val="single" w:sz="12" w:space="4" w:color="000000"/>
        </w:rPr>
      </w:pPr>
      <w:r>
        <w:rPr>
          <w:caps w:val="false"/>
          <w:smallCaps w:val="false"/>
          <w:bdr w:val="single" w:sz="12" w:space="4" w:color="000000"/>
        </w:rPr>
        <w:t> </w:t>
      </w:r>
    </w:p>
    <w:p>
      <w:pPr>
        <w:pStyle w:val="TextBody"/>
        <w:bidi w:val="0"/>
        <w:spacing w:before="0" w:after="0"/>
        <w:jc w:val="center"/>
        <w:rPr>
          <w:rFonts w:ascii="Arial;Helvetica;Sans-Serif" w:hAnsi="Arial;Helvetica;Sans-Serif"/>
          <w:b/>
          <w:i w:val="false"/>
          <w:caps w:val="false"/>
          <w:smallCaps w:val="false"/>
          <w:sz w:val="18"/>
          <w:bdr w:val="single" w:sz="12" w:space="4" w:color="000000"/>
        </w:rPr>
      </w:pPr>
      <w:r>
        <w:rPr>
          <w:rFonts w:ascii="Arial;Helvetica;Sans-Serif" w:hAnsi="Arial;Helvetica;Sans-Serif"/>
          <w:b/>
          <w:i w:val="false"/>
          <w:caps w:val="false"/>
          <w:smallCaps w:val="false"/>
          <w:sz w:val="18"/>
          <w:bdr w:val="single" w:sz="12" w:space="4" w:color="000000"/>
        </w:rPr>
        <w:t>IF YOU ARE NOT VOTING ON THE INTERNET OR BY TELEPHONE, PLEASE MARK, SIGN, DATE</w:t>
        <w:br/>
        <w:t>AND RETURN THIS PROXY CARD PROMPTLY USING THE ENCLOSED REPLY ENVELOPE.</w:t>
      </w:r>
    </w:p>
    <w:p>
      <w:pPr>
        <w:pStyle w:val="TextBody"/>
        <w:bidi w:val="0"/>
        <w:spacing w:before="0" w:after="0"/>
        <w:jc w:val="left"/>
        <w:rPr>
          <w:caps w:val="false"/>
          <w:smallCaps w:val="false"/>
          <w:bdr w:val="single" w:sz="12" w:space="4" w:color="000000"/>
        </w:rPr>
      </w:pPr>
      <w:r>
        <w:rPr>
          <w:caps w:val="false"/>
          <w:smallCaps w:val="false"/>
          <w:bdr w:val="single" w:sz="12" w:space="4" w:color="000000"/>
        </w:rPr>
        <w:t> </w:t>
      </w:r>
    </w:p>
    <w:p>
      <w:pPr>
        <w:pStyle w:val="TextBody"/>
        <w:bidi w:val="0"/>
        <w:spacing w:before="0" w:after="0"/>
        <w:jc w:val="left"/>
        <w:rPr>
          <w:caps w:val="false"/>
          <w:smallCaps w:val="false"/>
          <w:bdr w:val="single" w:sz="12" w:space="4" w:color="000000"/>
        </w:rPr>
      </w:pPr>
      <w:r>
        <w:rPr>
          <w:caps w:val="false"/>
          <w:smallCaps w:val="false"/>
          <w:bdr w:val="single" w:sz="12" w:space="4" w:color="000000"/>
        </w:rPr>
        <w:t> </w:t>
      </w:r>
    </w:p>
    <w:p>
      <w:pPr>
        <w:pStyle w:val="TextBody"/>
        <w:bidi w:val="0"/>
        <w:spacing w:before="0" w:after="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Arial">
    <w:charset w:val="01"/>
    <w:family w:val="auto"/>
    <w:pitch w:val="default"/>
  </w:font>
  <w:font w:name="NeueFrutigerWorld-Book-Identity">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3.jpeg"/><Relationship Id="rId12" Type="http://schemas.openxmlformats.org/officeDocument/2006/relationships/image" Target="media/image10.jpeg"/><Relationship Id="rId13" Type="http://schemas.openxmlformats.org/officeDocument/2006/relationships/image" Target="media/image11.jpeg"/><Relationship Id="rId14" Type="http://schemas.openxmlformats.org/officeDocument/2006/relationships/image" Target="media/image12.jpeg"/><Relationship Id="rId15" Type="http://schemas.openxmlformats.org/officeDocument/2006/relationships/image" Target="media/image13.jpeg"/><Relationship Id="rId16" Type="http://schemas.openxmlformats.org/officeDocument/2006/relationships/image" Target="media/image10.jpeg"/><Relationship Id="rId17" Type="http://schemas.openxmlformats.org/officeDocument/2006/relationships/image" Target="media/image11.jpeg"/><Relationship Id="rId18" Type="http://schemas.openxmlformats.org/officeDocument/2006/relationships/image" Target="media/image12.jpeg"/><Relationship Id="rId19" Type="http://schemas.openxmlformats.org/officeDocument/2006/relationships/image" Target="media/image13.jpeg"/><Relationship Id="rId20" Type="http://schemas.openxmlformats.org/officeDocument/2006/relationships/image" Target="media/image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6.jpeg"/><Relationship Id="rId35" Type="http://schemas.openxmlformats.org/officeDocument/2006/relationships/image" Target="media/image26.jpeg"/><Relationship Id="rId36" Type="http://schemas.openxmlformats.org/officeDocument/2006/relationships/image" Target="media/image26.jpeg"/><Relationship Id="rId37" Type="http://schemas.openxmlformats.org/officeDocument/2006/relationships/image" Target="media/image27.jpeg"/><Relationship Id="rId38" Type="http://schemas.openxmlformats.org/officeDocument/2006/relationships/image" Target="media/image28.jpeg"/><Relationship Id="rId39" Type="http://schemas.openxmlformats.org/officeDocument/2006/relationships/image" Target="media/image29.jpeg"/><Relationship Id="rId40" Type="http://schemas.openxmlformats.org/officeDocument/2006/relationships/image" Target="media/image30.jpeg"/><Relationship Id="rId41" Type="http://schemas.openxmlformats.org/officeDocument/2006/relationships/image" Target="media/image31.jpeg"/><Relationship Id="rId42" Type="http://schemas.openxmlformats.org/officeDocument/2006/relationships/image" Target="media/image32.jpeg"/><Relationship Id="rId43" Type="http://schemas.openxmlformats.org/officeDocument/2006/relationships/image" Target="media/image33.jpeg"/><Relationship Id="rId44" Type="http://schemas.openxmlformats.org/officeDocument/2006/relationships/image" Target="media/image34.jpeg"/><Relationship Id="rId45" Type="http://schemas.openxmlformats.org/officeDocument/2006/relationships/image" Target="media/image35.jpeg"/><Relationship Id="rId46" Type="http://schemas.openxmlformats.org/officeDocument/2006/relationships/image" Target="media/image36.jpeg"/><Relationship Id="rId47" Type="http://schemas.openxmlformats.org/officeDocument/2006/relationships/image" Target="media/image37.jpeg"/><Relationship Id="rId48" Type="http://schemas.openxmlformats.org/officeDocument/2006/relationships/image" Target="media/image38.jpeg"/><Relationship Id="rId49" Type="http://schemas.openxmlformats.org/officeDocument/2006/relationships/image" Target="media/image38.jpeg"/><Relationship Id="rId50" Type="http://schemas.openxmlformats.org/officeDocument/2006/relationships/image" Target="media/image38.jpeg"/><Relationship Id="rId51" Type="http://schemas.openxmlformats.org/officeDocument/2006/relationships/image" Target="media/image38.jpeg"/><Relationship Id="rId52" Type="http://schemas.openxmlformats.org/officeDocument/2006/relationships/image" Target="media/image38.jpeg"/><Relationship Id="rId53" Type="http://schemas.openxmlformats.org/officeDocument/2006/relationships/image" Target="media/image38.jpeg"/><Relationship Id="rId54" Type="http://schemas.openxmlformats.org/officeDocument/2006/relationships/image" Target="media/image38.jpeg"/><Relationship Id="rId55" Type="http://schemas.openxmlformats.org/officeDocument/2006/relationships/image" Target="media/image38.jpeg"/><Relationship Id="rId56" Type="http://schemas.openxmlformats.org/officeDocument/2006/relationships/image" Target="media/image38.jpeg"/><Relationship Id="rId57" Type="http://schemas.openxmlformats.org/officeDocument/2006/relationships/image" Target="media/image38.jpeg"/><Relationship Id="rId58" Type="http://schemas.openxmlformats.org/officeDocument/2006/relationships/image" Target="media/image38.jpeg"/><Relationship Id="rId59" Type="http://schemas.openxmlformats.org/officeDocument/2006/relationships/image" Target="media/image38.jpeg"/><Relationship Id="rId60" Type="http://schemas.openxmlformats.org/officeDocument/2006/relationships/image" Target="media/image38.jpeg"/><Relationship Id="rId61" Type="http://schemas.openxmlformats.org/officeDocument/2006/relationships/image" Target="media/image38.jpeg"/><Relationship Id="rId62" Type="http://schemas.openxmlformats.org/officeDocument/2006/relationships/image" Target="media/image38.jpeg"/><Relationship Id="rId63" Type="http://schemas.openxmlformats.org/officeDocument/2006/relationships/image" Target="media/image38.jpeg"/><Relationship Id="rId64" Type="http://schemas.openxmlformats.org/officeDocument/2006/relationships/image" Target="media/image38.jpeg"/><Relationship Id="rId65" Type="http://schemas.openxmlformats.org/officeDocument/2006/relationships/image" Target="media/image38.jpeg"/><Relationship Id="rId66" Type="http://schemas.openxmlformats.org/officeDocument/2006/relationships/image" Target="media/image38.jpeg"/><Relationship Id="rId67" Type="http://schemas.openxmlformats.org/officeDocument/2006/relationships/image" Target="media/image38.jpeg"/><Relationship Id="rId68" Type="http://schemas.openxmlformats.org/officeDocument/2006/relationships/image" Target="media/image38.jpeg"/><Relationship Id="rId69" Type="http://schemas.openxmlformats.org/officeDocument/2006/relationships/image" Target="media/image38.jpeg"/><Relationship Id="rId70" Type="http://schemas.openxmlformats.org/officeDocument/2006/relationships/image" Target="media/image38.jpeg"/><Relationship Id="rId71" Type="http://schemas.openxmlformats.org/officeDocument/2006/relationships/image" Target="media/image38.jpeg"/><Relationship Id="rId72" Type="http://schemas.openxmlformats.org/officeDocument/2006/relationships/image" Target="media/image38.jpeg"/><Relationship Id="rId73" Type="http://schemas.openxmlformats.org/officeDocument/2006/relationships/image" Target="media/image38.jpeg"/><Relationship Id="rId74" Type="http://schemas.openxmlformats.org/officeDocument/2006/relationships/image" Target="media/image38.jpeg"/><Relationship Id="rId75" Type="http://schemas.openxmlformats.org/officeDocument/2006/relationships/image" Target="media/image38.jpeg"/><Relationship Id="rId76" Type="http://schemas.openxmlformats.org/officeDocument/2006/relationships/image" Target="media/image38.jpeg"/><Relationship Id="rId77" Type="http://schemas.openxmlformats.org/officeDocument/2006/relationships/image" Target="media/image38.jpeg"/><Relationship Id="rId78" Type="http://schemas.openxmlformats.org/officeDocument/2006/relationships/image" Target="media/image38.jpeg"/><Relationship Id="rId79" Type="http://schemas.openxmlformats.org/officeDocument/2006/relationships/image" Target="media/image38.jpeg"/><Relationship Id="rId80" Type="http://schemas.openxmlformats.org/officeDocument/2006/relationships/image" Target="media/image38.jpeg"/><Relationship Id="rId81" Type="http://schemas.openxmlformats.org/officeDocument/2006/relationships/image" Target="media/image38.jpeg"/><Relationship Id="rId82" Type="http://schemas.openxmlformats.org/officeDocument/2006/relationships/image" Target="media/image38.jpeg"/><Relationship Id="rId83" Type="http://schemas.openxmlformats.org/officeDocument/2006/relationships/image" Target="media/image38.jpeg"/><Relationship Id="rId84" Type="http://schemas.openxmlformats.org/officeDocument/2006/relationships/image" Target="media/image38.jpeg"/><Relationship Id="rId85" Type="http://schemas.openxmlformats.org/officeDocument/2006/relationships/image" Target="media/image38.jpeg"/><Relationship Id="rId86" Type="http://schemas.openxmlformats.org/officeDocument/2006/relationships/image" Target="media/image38.jpeg"/><Relationship Id="rId87" Type="http://schemas.openxmlformats.org/officeDocument/2006/relationships/image" Target="media/image38.jpeg"/><Relationship Id="rId88" Type="http://schemas.openxmlformats.org/officeDocument/2006/relationships/image" Target="media/image38.jpeg"/><Relationship Id="rId89" Type="http://schemas.openxmlformats.org/officeDocument/2006/relationships/image" Target="media/image38.jpeg"/><Relationship Id="rId90" Type="http://schemas.openxmlformats.org/officeDocument/2006/relationships/image" Target="media/image38.jpeg"/><Relationship Id="rId91" Type="http://schemas.openxmlformats.org/officeDocument/2006/relationships/image" Target="media/image38.jpeg"/><Relationship Id="rId92" Type="http://schemas.openxmlformats.org/officeDocument/2006/relationships/image" Target="media/image38.jpeg"/><Relationship Id="rId93" Type="http://schemas.openxmlformats.org/officeDocument/2006/relationships/image" Target="media/image38.jpeg"/><Relationship Id="rId94" Type="http://schemas.openxmlformats.org/officeDocument/2006/relationships/image" Target="media/image38.jpeg"/><Relationship Id="rId95" Type="http://schemas.openxmlformats.org/officeDocument/2006/relationships/image" Target="media/image38.jpeg"/><Relationship Id="rId96" Type="http://schemas.openxmlformats.org/officeDocument/2006/relationships/image" Target="media/image38.jpeg"/><Relationship Id="rId97" Type="http://schemas.openxmlformats.org/officeDocument/2006/relationships/image" Target="media/image38.jpeg"/><Relationship Id="rId98" Type="http://schemas.openxmlformats.org/officeDocument/2006/relationships/image" Target="media/image38.jpeg"/><Relationship Id="rId99" Type="http://schemas.openxmlformats.org/officeDocument/2006/relationships/image" Target="media/image38.jpeg"/><Relationship Id="rId100" Type="http://schemas.openxmlformats.org/officeDocument/2006/relationships/image" Target="media/image38.jpeg"/><Relationship Id="rId101" Type="http://schemas.openxmlformats.org/officeDocument/2006/relationships/image" Target="media/image38.jpeg"/><Relationship Id="rId102" Type="http://schemas.openxmlformats.org/officeDocument/2006/relationships/image" Target="media/image38.jpeg"/><Relationship Id="rId103" Type="http://schemas.openxmlformats.org/officeDocument/2006/relationships/image" Target="media/image38.jpeg"/><Relationship Id="rId104" Type="http://schemas.openxmlformats.org/officeDocument/2006/relationships/image" Target="media/image38.jpeg"/><Relationship Id="rId105" Type="http://schemas.openxmlformats.org/officeDocument/2006/relationships/image" Target="media/image38.jpeg"/><Relationship Id="rId106" Type="http://schemas.openxmlformats.org/officeDocument/2006/relationships/image" Target="media/image38.jpeg"/><Relationship Id="rId107" Type="http://schemas.openxmlformats.org/officeDocument/2006/relationships/image" Target="media/image38.jpeg"/><Relationship Id="rId108" Type="http://schemas.openxmlformats.org/officeDocument/2006/relationships/image" Target="media/image38.jpeg"/><Relationship Id="rId109" Type="http://schemas.openxmlformats.org/officeDocument/2006/relationships/image" Target="media/image38.jpeg"/><Relationship Id="rId110" Type="http://schemas.openxmlformats.org/officeDocument/2006/relationships/image" Target="media/image38.jpeg"/><Relationship Id="rId111" Type="http://schemas.openxmlformats.org/officeDocument/2006/relationships/image" Target="media/image39.jpeg"/><Relationship Id="rId112" Type="http://schemas.openxmlformats.org/officeDocument/2006/relationships/image" Target="media/image40.jpeg"/><Relationship Id="rId113" Type="http://schemas.openxmlformats.org/officeDocument/2006/relationships/image" Target="media/image41.jpeg"/><Relationship Id="rId114" Type="http://schemas.openxmlformats.org/officeDocument/2006/relationships/image" Target="media/image42.jpeg"/><Relationship Id="rId115" Type="http://schemas.openxmlformats.org/officeDocument/2006/relationships/image" Target="media/image43.jpeg"/><Relationship Id="rId116" Type="http://schemas.openxmlformats.org/officeDocument/2006/relationships/image" Target="media/image44.jpeg"/><Relationship Id="rId117" Type="http://schemas.openxmlformats.org/officeDocument/2006/relationships/image" Target="media/image45.jpeg"/><Relationship Id="rId118" Type="http://schemas.openxmlformats.org/officeDocument/2006/relationships/image" Target="media/image46.jpeg"/><Relationship Id="rId119" Type="http://schemas.openxmlformats.org/officeDocument/2006/relationships/image" Target="media/image47.jpeg"/><Relationship Id="rId120" Type="http://schemas.openxmlformats.org/officeDocument/2006/relationships/image" Target="media/image48.jpeg"/><Relationship Id="rId121" Type="http://schemas.openxmlformats.org/officeDocument/2006/relationships/image" Target="media/image49.jpeg"/><Relationship Id="rId122" Type="http://schemas.openxmlformats.org/officeDocument/2006/relationships/image" Target="media/image50.jpeg"/><Relationship Id="rId123" Type="http://schemas.openxmlformats.org/officeDocument/2006/relationships/image" Target="media/image51.jpeg"/><Relationship Id="rId124" Type="http://schemas.openxmlformats.org/officeDocument/2006/relationships/image" Target="media/image52.jpeg"/><Relationship Id="rId125" Type="http://schemas.openxmlformats.org/officeDocument/2006/relationships/image" Target="media/image53.jpeg"/><Relationship Id="rId126" Type="http://schemas.openxmlformats.org/officeDocument/2006/relationships/image" Target="media/image50.jpeg"/><Relationship Id="rId127" Type="http://schemas.openxmlformats.org/officeDocument/2006/relationships/image" Target="media/image54.jpeg"/><Relationship Id="rId128" Type="http://schemas.openxmlformats.org/officeDocument/2006/relationships/image" Target="media/image46.jpeg"/><Relationship Id="rId129" Type="http://schemas.openxmlformats.org/officeDocument/2006/relationships/image" Target="media/image55.jpeg"/><Relationship Id="rId130" Type="http://schemas.openxmlformats.org/officeDocument/2006/relationships/image" Target="media/image46.jpeg"/><Relationship Id="rId131" Type="http://schemas.openxmlformats.org/officeDocument/2006/relationships/image" Target="media/image56.jpeg"/><Relationship Id="rId132" Type="http://schemas.openxmlformats.org/officeDocument/2006/relationships/image" Target="media/image57.jpeg"/><Relationship Id="rId133" Type="http://schemas.openxmlformats.org/officeDocument/2006/relationships/image" Target="media/image58.jpeg"/><Relationship Id="rId134" Type="http://schemas.openxmlformats.org/officeDocument/2006/relationships/image" Target="media/image50.jpeg"/><Relationship Id="rId135" Type="http://schemas.openxmlformats.org/officeDocument/2006/relationships/image" Target="media/image59.jpeg"/><Relationship Id="rId136" Type="http://schemas.openxmlformats.org/officeDocument/2006/relationships/image" Target="media/image60.jpeg"/><Relationship Id="rId137" Type="http://schemas.openxmlformats.org/officeDocument/2006/relationships/image" Target="media/image61.jpeg"/><Relationship Id="rId138" Type="http://schemas.openxmlformats.org/officeDocument/2006/relationships/image" Target="media/image62.jpeg"/><Relationship Id="rId139" Type="http://schemas.openxmlformats.org/officeDocument/2006/relationships/image" Target="media/image63.jpeg"/><Relationship Id="rId140" Type="http://schemas.openxmlformats.org/officeDocument/2006/relationships/image" Target="media/image61.jpeg"/><Relationship Id="rId141" Type="http://schemas.openxmlformats.org/officeDocument/2006/relationships/image" Target="media/image62.jpeg"/><Relationship Id="rId142" Type="http://schemas.openxmlformats.org/officeDocument/2006/relationships/image" Target="media/image63.jpeg"/><Relationship Id="rId143" Type="http://schemas.openxmlformats.org/officeDocument/2006/relationships/image" Target="media/image64.jpeg"/><Relationship Id="rId144" Type="http://schemas.openxmlformats.org/officeDocument/2006/relationships/image" Target="media/image64.jpeg"/><Relationship Id="rId145" Type="http://schemas.openxmlformats.org/officeDocument/2006/relationships/image" Target="media/image65.jpeg"/><Relationship Id="rId146" Type="http://schemas.openxmlformats.org/officeDocument/2006/relationships/image" Target="media/image66.jpeg"/><Relationship Id="rId147" Type="http://schemas.openxmlformats.org/officeDocument/2006/relationships/image" Target="media/image62.jpeg"/><Relationship Id="rId148" Type="http://schemas.openxmlformats.org/officeDocument/2006/relationships/image" Target="media/image65.jpeg"/><Relationship Id="rId149" Type="http://schemas.openxmlformats.org/officeDocument/2006/relationships/image" Target="media/image66.jpeg"/><Relationship Id="rId150" Type="http://schemas.openxmlformats.org/officeDocument/2006/relationships/image" Target="media/image62.jpeg"/><Relationship Id="rId151" Type="http://schemas.openxmlformats.org/officeDocument/2006/relationships/image" Target="media/image67.jpeg"/><Relationship Id="rId152" Type="http://schemas.openxmlformats.org/officeDocument/2006/relationships/image" Target="media/image67.jpeg"/><Relationship Id="rId153" Type="http://schemas.openxmlformats.org/officeDocument/2006/relationships/image" Target="media/image61.jpeg"/><Relationship Id="rId154" Type="http://schemas.openxmlformats.org/officeDocument/2006/relationships/image" Target="media/image65.jpeg"/><Relationship Id="rId155" Type="http://schemas.openxmlformats.org/officeDocument/2006/relationships/image" Target="media/image68.jpeg"/><Relationship Id="rId156" Type="http://schemas.openxmlformats.org/officeDocument/2006/relationships/image" Target="media/image61.jpeg"/><Relationship Id="rId157" Type="http://schemas.openxmlformats.org/officeDocument/2006/relationships/image" Target="media/image65.jpeg"/><Relationship Id="rId158" Type="http://schemas.openxmlformats.org/officeDocument/2006/relationships/image" Target="media/image68.jpeg"/><Relationship Id="rId159" Type="http://schemas.openxmlformats.org/officeDocument/2006/relationships/image" Target="media/image69.jpeg"/><Relationship Id="rId160" Type="http://schemas.openxmlformats.org/officeDocument/2006/relationships/image" Target="media/image69.jpeg"/><Relationship Id="rId161" Type="http://schemas.openxmlformats.org/officeDocument/2006/relationships/image" Target="media/image65.jpeg"/><Relationship Id="rId162" Type="http://schemas.openxmlformats.org/officeDocument/2006/relationships/image" Target="media/image70.jpeg"/><Relationship Id="rId163" Type="http://schemas.openxmlformats.org/officeDocument/2006/relationships/image" Target="media/image71.jpeg"/><Relationship Id="rId164" Type="http://schemas.openxmlformats.org/officeDocument/2006/relationships/image" Target="media/image65.jpeg"/><Relationship Id="rId165" Type="http://schemas.openxmlformats.org/officeDocument/2006/relationships/image" Target="media/image70.jpeg"/><Relationship Id="rId166" Type="http://schemas.openxmlformats.org/officeDocument/2006/relationships/image" Target="media/image71.jpeg"/><Relationship Id="rId167" Type="http://schemas.openxmlformats.org/officeDocument/2006/relationships/image" Target="media/image72.jpeg"/><Relationship Id="rId168" Type="http://schemas.openxmlformats.org/officeDocument/2006/relationships/image" Target="media/image72.jpeg"/><Relationship Id="rId169" Type="http://schemas.openxmlformats.org/officeDocument/2006/relationships/image" Target="media/image73.jpeg"/><Relationship Id="rId170" Type="http://schemas.openxmlformats.org/officeDocument/2006/relationships/image" Target="media/image62.jpeg"/><Relationship Id="rId171" Type="http://schemas.openxmlformats.org/officeDocument/2006/relationships/image" Target="media/image74.jpeg"/><Relationship Id="rId172" Type="http://schemas.openxmlformats.org/officeDocument/2006/relationships/image" Target="media/image73.jpeg"/><Relationship Id="rId173" Type="http://schemas.openxmlformats.org/officeDocument/2006/relationships/image" Target="media/image62.jpeg"/><Relationship Id="rId174" Type="http://schemas.openxmlformats.org/officeDocument/2006/relationships/image" Target="media/image74.jpeg"/><Relationship Id="rId175" Type="http://schemas.openxmlformats.org/officeDocument/2006/relationships/image" Target="media/image75.jpeg"/><Relationship Id="rId176" Type="http://schemas.openxmlformats.org/officeDocument/2006/relationships/image" Target="media/image75.jpeg"/><Relationship Id="rId177" Type="http://schemas.openxmlformats.org/officeDocument/2006/relationships/image" Target="media/image76.jpeg"/><Relationship Id="rId178" Type="http://schemas.openxmlformats.org/officeDocument/2006/relationships/image" Target="media/image62.jpeg"/><Relationship Id="rId179" Type="http://schemas.openxmlformats.org/officeDocument/2006/relationships/image" Target="media/image65.jpeg"/><Relationship Id="rId180" Type="http://schemas.openxmlformats.org/officeDocument/2006/relationships/image" Target="media/image76.jpeg"/><Relationship Id="rId181" Type="http://schemas.openxmlformats.org/officeDocument/2006/relationships/image" Target="media/image62.jpeg"/><Relationship Id="rId182" Type="http://schemas.openxmlformats.org/officeDocument/2006/relationships/image" Target="media/image65.jpeg"/><Relationship Id="rId183" Type="http://schemas.openxmlformats.org/officeDocument/2006/relationships/image" Target="media/image77.jpeg"/><Relationship Id="rId184" Type="http://schemas.openxmlformats.org/officeDocument/2006/relationships/image" Target="media/image77.jpeg"/><Relationship Id="rId185" Type="http://schemas.openxmlformats.org/officeDocument/2006/relationships/image" Target="media/image74.jpeg"/><Relationship Id="rId186" Type="http://schemas.openxmlformats.org/officeDocument/2006/relationships/image" Target="media/image62.jpeg"/><Relationship Id="rId187" Type="http://schemas.openxmlformats.org/officeDocument/2006/relationships/image" Target="media/image61.jpeg"/><Relationship Id="rId188" Type="http://schemas.openxmlformats.org/officeDocument/2006/relationships/image" Target="media/image74.jpeg"/><Relationship Id="rId189" Type="http://schemas.openxmlformats.org/officeDocument/2006/relationships/image" Target="media/image62.jpeg"/><Relationship Id="rId190" Type="http://schemas.openxmlformats.org/officeDocument/2006/relationships/image" Target="media/image61.jpeg"/><Relationship Id="rId191" Type="http://schemas.openxmlformats.org/officeDocument/2006/relationships/image" Target="media/image78.jpeg"/><Relationship Id="rId192" Type="http://schemas.openxmlformats.org/officeDocument/2006/relationships/image" Target="media/image78.jpeg"/><Relationship Id="rId193" Type="http://schemas.openxmlformats.org/officeDocument/2006/relationships/image" Target="media/image61.jpeg"/><Relationship Id="rId194" Type="http://schemas.openxmlformats.org/officeDocument/2006/relationships/image" Target="media/image63.jpeg"/><Relationship Id="rId195" Type="http://schemas.openxmlformats.org/officeDocument/2006/relationships/image" Target="media/image62.jpeg"/><Relationship Id="rId196" Type="http://schemas.openxmlformats.org/officeDocument/2006/relationships/image" Target="media/image61.jpeg"/><Relationship Id="rId197" Type="http://schemas.openxmlformats.org/officeDocument/2006/relationships/image" Target="media/image63.jpeg"/><Relationship Id="rId198" Type="http://schemas.openxmlformats.org/officeDocument/2006/relationships/image" Target="media/image62.jpeg"/><Relationship Id="rId199" Type="http://schemas.openxmlformats.org/officeDocument/2006/relationships/image" Target="media/image79.jpeg"/><Relationship Id="rId200" Type="http://schemas.openxmlformats.org/officeDocument/2006/relationships/image" Target="media/image79.jpeg"/><Relationship Id="rId201" Type="http://schemas.openxmlformats.org/officeDocument/2006/relationships/image" Target="media/image61.jpeg"/><Relationship Id="rId202" Type="http://schemas.openxmlformats.org/officeDocument/2006/relationships/image" Target="media/image63.jpeg"/><Relationship Id="rId203" Type="http://schemas.openxmlformats.org/officeDocument/2006/relationships/image" Target="media/image62.jpeg"/><Relationship Id="rId204" Type="http://schemas.openxmlformats.org/officeDocument/2006/relationships/image" Target="media/image61.jpeg"/><Relationship Id="rId205" Type="http://schemas.openxmlformats.org/officeDocument/2006/relationships/image" Target="media/image63.jpeg"/><Relationship Id="rId206" Type="http://schemas.openxmlformats.org/officeDocument/2006/relationships/image" Target="media/image62.jpeg"/><Relationship Id="rId207" Type="http://schemas.openxmlformats.org/officeDocument/2006/relationships/image" Target="media/image80.jpeg"/><Relationship Id="rId208" Type="http://schemas.openxmlformats.org/officeDocument/2006/relationships/image" Target="media/image80.jpeg"/><Relationship Id="rId209" Type="http://schemas.openxmlformats.org/officeDocument/2006/relationships/image" Target="media/image76.jpeg"/><Relationship Id="rId210" Type="http://schemas.openxmlformats.org/officeDocument/2006/relationships/image" Target="media/image65.jpeg"/><Relationship Id="rId211" Type="http://schemas.openxmlformats.org/officeDocument/2006/relationships/image" Target="media/image70.jpeg"/><Relationship Id="rId212" Type="http://schemas.openxmlformats.org/officeDocument/2006/relationships/image" Target="media/image76.jpeg"/><Relationship Id="rId213" Type="http://schemas.openxmlformats.org/officeDocument/2006/relationships/image" Target="media/image65.jpeg"/><Relationship Id="rId214" Type="http://schemas.openxmlformats.org/officeDocument/2006/relationships/image" Target="media/image70.jpeg"/><Relationship Id="rId215" Type="http://schemas.openxmlformats.org/officeDocument/2006/relationships/image" Target="media/image81.jpeg"/><Relationship Id="rId216" Type="http://schemas.openxmlformats.org/officeDocument/2006/relationships/image" Target="media/image81.jpeg"/><Relationship Id="rId217" Type="http://schemas.openxmlformats.org/officeDocument/2006/relationships/image" Target="media/image82.jpeg"/><Relationship Id="rId218" Type="http://schemas.openxmlformats.org/officeDocument/2006/relationships/image" Target="media/image83.jpeg"/><Relationship Id="rId219" Type="http://schemas.openxmlformats.org/officeDocument/2006/relationships/image" Target="media/image84.jpeg"/><Relationship Id="rId220" Type="http://schemas.openxmlformats.org/officeDocument/2006/relationships/image" Target="media/image85.jpeg"/><Relationship Id="rId221" Type="http://schemas.openxmlformats.org/officeDocument/2006/relationships/image" Target="media/image86.jpeg"/><Relationship Id="rId222" Type="http://schemas.openxmlformats.org/officeDocument/2006/relationships/image" Target="media/image87.jpeg"/><Relationship Id="rId223" Type="http://schemas.openxmlformats.org/officeDocument/2006/relationships/image" Target="media/image88.jpeg"/><Relationship Id="rId224" Type="http://schemas.openxmlformats.org/officeDocument/2006/relationships/image" Target="media/image89.jpeg"/><Relationship Id="rId225" Type="http://schemas.openxmlformats.org/officeDocument/2006/relationships/image" Target="media/image90.jpeg"/><Relationship Id="rId226" Type="http://schemas.openxmlformats.org/officeDocument/2006/relationships/image" Target="media/image91.jpeg"/><Relationship Id="rId227" Type="http://schemas.openxmlformats.org/officeDocument/2006/relationships/image" Target="media/image92.jpeg"/><Relationship Id="rId228" Type="http://schemas.openxmlformats.org/officeDocument/2006/relationships/image" Target="media/image93.jpeg"/><Relationship Id="rId229" Type="http://schemas.openxmlformats.org/officeDocument/2006/relationships/image" Target="media/image94.jpeg"/><Relationship Id="rId230" Type="http://schemas.openxmlformats.org/officeDocument/2006/relationships/image" Target="media/image95.jpeg"/><Relationship Id="rId231" Type="http://schemas.openxmlformats.org/officeDocument/2006/relationships/image" Target="media/image96.jpeg"/><Relationship Id="rId232" Type="http://schemas.openxmlformats.org/officeDocument/2006/relationships/image" Target="media/image97.jpeg"/><Relationship Id="rId233" Type="http://schemas.openxmlformats.org/officeDocument/2006/relationships/image" Target="media/image98.jpeg"/><Relationship Id="rId234" Type="http://schemas.openxmlformats.org/officeDocument/2006/relationships/image" Target="media/image99.jpeg"/><Relationship Id="rId235" Type="http://schemas.openxmlformats.org/officeDocument/2006/relationships/image" Target="media/image100.jpeg"/><Relationship Id="rId236" Type="http://schemas.openxmlformats.org/officeDocument/2006/relationships/image" Target="media/image101.jpeg"/><Relationship Id="rId237" Type="http://schemas.openxmlformats.org/officeDocument/2006/relationships/image" Target="media/image102.jpeg"/><Relationship Id="rId238" Type="http://schemas.openxmlformats.org/officeDocument/2006/relationships/image" Target="media/image103.jpeg"/><Relationship Id="rId239" Type="http://schemas.openxmlformats.org/officeDocument/2006/relationships/image" Target="media/image104.jpeg"/><Relationship Id="rId240" Type="http://schemas.openxmlformats.org/officeDocument/2006/relationships/image" Target="media/image100.jpeg"/><Relationship Id="rId241" Type="http://schemas.openxmlformats.org/officeDocument/2006/relationships/image" Target="media/image101.jpeg"/><Relationship Id="rId242" Type="http://schemas.openxmlformats.org/officeDocument/2006/relationships/image" Target="media/image102.jpeg"/><Relationship Id="rId243" Type="http://schemas.openxmlformats.org/officeDocument/2006/relationships/image" Target="media/image103.jpeg"/><Relationship Id="rId244" Type="http://schemas.openxmlformats.org/officeDocument/2006/relationships/image" Target="media/image104.jpeg"/><Relationship Id="rId245" Type="http://schemas.openxmlformats.org/officeDocument/2006/relationships/image" Target="media/image105.jpeg"/><Relationship Id="rId246" Type="http://schemas.openxmlformats.org/officeDocument/2006/relationships/image" Target="media/image106.jpeg"/><Relationship Id="rId247" Type="http://schemas.openxmlformats.org/officeDocument/2006/relationships/image" Target="media/image107.jpeg"/><Relationship Id="rId248" Type="http://schemas.openxmlformats.org/officeDocument/2006/relationships/image" Target="media/image108.jpeg"/><Relationship Id="rId249" Type="http://schemas.openxmlformats.org/officeDocument/2006/relationships/image" Target="media/image109.jpeg"/><Relationship Id="rId250" Type="http://schemas.openxmlformats.org/officeDocument/2006/relationships/image" Target="media/image110.jpeg"/><Relationship Id="rId251" Type="http://schemas.openxmlformats.org/officeDocument/2006/relationships/image" Target="media/image111.jpeg"/><Relationship Id="rId252" Type="http://schemas.openxmlformats.org/officeDocument/2006/relationships/image" Target="media/image112.jpeg"/><Relationship Id="rId253" Type="http://schemas.openxmlformats.org/officeDocument/2006/relationships/image" Target="media/image113.jpeg"/><Relationship Id="rId254" Type="http://schemas.openxmlformats.org/officeDocument/2006/relationships/image" Target="media/image114.jpeg"/><Relationship Id="rId255" Type="http://schemas.openxmlformats.org/officeDocument/2006/relationships/image" Target="media/image115.jpeg"/><Relationship Id="rId256" Type="http://schemas.openxmlformats.org/officeDocument/2006/relationships/image" Target="media/image116.jpeg"/><Relationship Id="rId257" Type="http://schemas.openxmlformats.org/officeDocument/2006/relationships/image" Target="media/image117.jpeg"/><Relationship Id="rId258" Type="http://schemas.openxmlformats.org/officeDocument/2006/relationships/image" Target="media/image118.jpeg"/><Relationship Id="rId259" Type="http://schemas.openxmlformats.org/officeDocument/2006/relationships/image" Target="media/image119.jpeg"/><Relationship Id="rId260" Type="http://schemas.openxmlformats.org/officeDocument/2006/relationships/image" Target="media/image120.jpeg"/><Relationship Id="rId261" Type="http://schemas.openxmlformats.org/officeDocument/2006/relationships/image" Target="media/image121.jpeg"/><Relationship Id="rId262" Type="http://schemas.openxmlformats.org/officeDocument/2006/relationships/image" Target="media/image122.jpeg"/><Relationship Id="rId263" Type="http://schemas.openxmlformats.org/officeDocument/2006/relationships/image" Target="media/image123.jpeg"/><Relationship Id="rId264" Type="http://schemas.openxmlformats.org/officeDocument/2006/relationships/image" Target="media/image124.jpeg"/><Relationship Id="rId265" Type="http://schemas.openxmlformats.org/officeDocument/2006/relationships/image" Target="media/image125.jpeg"/><Relationship Id="rId266" Type="http://schemas.openxmlformats.org/officeDocument/2006/relationships/image" Target="media/image126.jpeg"/><Relationship Id="rId267" Type="http://schemas.openxmlformats.org/officeDocument/2006/relationships/image" Target="media/image127.jpeg"/><Relationship Id="rId268" Type="http://schemas.openxmlformats.org/officeDocument/2006/relationships/image" Target="media/image127.jpeg"/><Relationship Id="rId269" Type="http://schemas.openxmlformats.org/officeDocument/2006/relationships/image" Target="media/image128.jpeg"/><Relationship Id="rId270" Type="http://schemas.openxmlformats.org/officeDocument/2006/relationships/image" Target="media/image129.jpeg"/><Relationship Id="rId271" Type="http://schemas.openxmlformats.org/officeDocument/2006/relationships/image" Target="media/image130.jpeg"/><Relationship Id="rId272" Type="http://schemas.openxmlformats.org/officeDocument/2006/relationships/image" Target="media/image131.jpeg"/><Relationship Id="rId273" Type="http://schemas.openxmlformats.org/officeDocument/2006/relationships/image" Target="media/image132.jpeg"/><Relationship Id="rId274" Type="http://schemas.openxmlformats.org/officeDocument/2006/relationships/image" Target="media/image133.jpeg"/><Relationship Id="rId275" Type="http://schemas.openxmlformats.org/officeDocument/2006/relationships/image" Target="media/image133.jpeg"/><Relationship Id="rId276" Type="http://schemas.openxmlformats.org/officeDocument/2006/relationships/image" Target="media/image134.jpeg"/><Relationship Id="rId277" Type="http://schemas.openxmlformats.org/officeDocument/2006/relationships/image" Target="media/image135.jpeg"/><Relationship Id="rId278" Type="http://schemas.openxmlformats.org/officeDocument/2006/relationships/image" Target="media/image136.jpeg"/><Relationship Id="rId279" Type="http://schemas.openxmlformats.org/officeDocument/2006/relationships/image" Target="media/image136.jpeg"/><Relationship Id="rId280" Type="http://schemas.openxmlformats.org/officeDocument/2006/relationships/image" Target="media/image137.jpeg"/><Relationship Id="rId281" Type="http://schemas.openxmlformats.org/officeDocument/2006/relationships/image" Target="media/image138.jpeg"/><Relationship Id="rId282" Type="http://schemas.openxmlformats.org/officeDocument/2006/relationships/image" Target="media/image138.jpeg"/><Relationship Id="rId283" Type="http://schemas.openxmlformats.org/officeDocument/2006/relationships/image" Target="media/image139.jpeg"/><Relationship Id="rId284" Type="http://schemas.openxmlformats.org/officeDocument/2006/relationships/image" Target="media/image140.jpeg"/><Relationship Id="rId285" Type="http://schemas.openxmlformats.org/officeDocument/2006/relationships/image" Target="media/image140.jpeg"/><Relationship Id="rId286" Type="http://schemas.openxmlformats.org/officeDocument/2006/relationships/image" Target="media/image141.jpeg"/><Relationship Id="rId287" Type="http://schemas.openxmlformats.org/officeDocument/2006/relationships/image" Target="media/image142.jpeg"/><Relationship Id="rId288" Type="http://schemas.openxmlformats.org/officeDocument/2006/relationships/image" Target="media/image142.jpeg"/><Relationship Id="rId289" Type="http://schemas.openxmlformats.org/officeDocument/2006/relationships/image" Target="media/image143.jpeg"/><Relationship Id="rId290" Type="http://schemas.openxmlformats.org/officeDocument/2006/relationships/image" Target="media/image144.jpeg"/><Relationship Id="rId291" Type="http://schemas.openxmlformats.org/officeDocument/2006/relationships/image" Target="media/image145.jpeg"/><Relationship Id="rId292" Type="http://schemas.openxmlformats.org/officeDocument/2006/relationships/image" Target="media/image146.jpeg"/><Relationship Id="rId293" Type="http://schemas.openxmlformats.org/officeDocument/2006/relationships/image" Target="media/image147.jpeg"/><Relationship Id="rId294" Type="http://schemas.openxmlformats.org/officeDocument/2006/relationships/image" Target="media/image148.jpeg"/><Relationship Id="rId295" Type="http://schemas.openxmlformats.org/officeDocument/2006/relationships/image" Target="media/image149.jpeg"/><Relationship Id="rId296" Type="http://schemas.openxmlformats.org/officeDocument/2006/relationships/image" Target="media/image150.jpeg"/><Relationship Id="rId297" Type="http://schemas.openxmlformats.org/officeDocument/2006/relationships/image" Target="media/image151.jpeg"/><Relationship Id="rId298" Type="http://schemas.openxmlformats.org/officeDocument/2006/relationships/image" Target="media/image10.jpeg"/><Relationship Id="rId299" Type="http://schemas.openxmlformats.org/officeDocument/2006/relationships/image" Target="media/image11.jpeg"/><Relationship Id="rId300" Type="http://schemas.openxmlformats.org/officeDocument/2006/relationships/image" Target="media/image12.jpeg"/><Relationship Id="rId301" Type="http://schemas.openxmlformats.org/officeDocument/2006/relationships/image" Target="media/image13.jpeg"/><Relationship Id="rId302" Type="http://schemas.openxmlformats.org/officeDocument/2006/relationships/image" Target="media/image152.jpeg"/><Relationship Id="rId303" Type="http://schemas.openxmlformats.org/officeDocument/2006/relationships/image" Target="media/image153.jpeg"/><Relationship Id="rId304" Type="http://schemas.openxmlformats.org/officeDocument/2006/relationships/image" Target="media/image154.jpeg"/><Relationship Id="rId305" Type="http://schemas.openxmlformats.org/officeDocument/2006/relationships/image" Target="media/image154.jpeg"/><Relationship Id="rId306" Type="http://schemas.openxmlformats.org/officeDocument/2006/relationships/image" Target="media/image155.jpeg"/><Relationship Id="rId307" Type="http://schemas.openxmlformats.org/officeDocument/2006/relationships/image" Target="media/image156.jpeg"/><Relationship Id="rId308" Type="http://schemas.openxmlformats.org/officeDocument/2006/relationships/image" Target="media/image155.jpeg"/><Relationship Id="rId309" Type="http://schemas.openxmlformats.org/officeDocument/2006/relationships/image" Target="media/image156.jpeg"/><Relationship Id="rId310" Type="http://schemas.openxmlformats.org/officeDocument/2006/relationships/image" Target="media/image157.jpeg"/><Relationship Id="rId311" Type="http://schemas.openxmlformats.org/officeDocument/2006/relationships/image" Target="media/image157.jpeg"/><Relationship Id="rId312" Type="http://schemas.openxmlformats.org/officeDocument/2006/relationships/fontTable" Target="fontTable.xml"/><Relationship Id="rId3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49875</Words>
  <Characters>284031</Characters>
  <CharactersWithSpaces>334430</CharactersWithSpaces>
  <Paragraphs>9160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