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20" w:lineRule="exact"/>
        <w:rPr>
          <w:sz w:val="24"/>
          <w:szCs w:val="24"/>
          <w:color w:val="auto"/>
        </w:rPr>
      </w:pPr>
    </w:p>
    <w:p>
      <w:pPr>
        <w:ind w:left="680" w:right="20" w:hanging="641"/>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001-00812</w:t>
      </w:r>
    </w:p>
    <w:p>
      <w:pPr>
        <w:spacing w:after="0" w:line="2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RAYTHEON TECHNOLOGIES CORPORATION</w:t>
      </w:r>
    </w:p>
    <w:p>
      <w:pPr>
        <w:spacing w:after="0" w:line="50" w:lineRule="exact"/>
        <w:rPr>
          <w:sz w:val="24"/>
          <w:szCs w:val="24"/>
          <w:color w:val="auto"/>
        </w:rPr>
      </w:pPr>
    </w:p>
    <w:tbl>
      <w:tblPr>
        <w:tblLayout w:type="fixed"/>
        <w:tblInd w:w="1420" w:type="dxa"/>
        <w:tblCellMar>
          <w:top w:w="0" w:type="dxa"/>
          <w:left w:w="0" w:type="dxa"/>
          <w:bottom w:w="0" w:type="dxa"/>
          <w:right w:w="0" w:type="dxa"/>
        </w:tblCellMar>
      </w:tblPr>
      <w:tr>
        <w:trPr>
          <w:trHeight w:val="230"/>
        </w:trPr>
        <w:tc>
          <w:tcPr>
            <w:tcW w:w="5920" w:type="dxa"/>
            <w:vAlign w:val="bottom"/>
            <w:gridSpan w:val="3"/>
          </w:tcPr>
          <w:p>
            <w:pPr>
              <w:jc w:val="right"/>
              <w:ind w:right="30"/>
              <w:spacing w:after="0"/>
              <w:rPr>
                <w:sz w:val="20"/>
                <w:szCs w:val="20"/>
                <w:color w:val="auto"/>
              </w:rPr>
            </w:pPr>
            <w:r>
              <w:rPr>
                <w:rFonts w:ascii="Arial" w:cs="Arial" w:eastAsia="Arial" w:hAnsi="Arial"/>
                <w:sz w:val="18"/>
                <w:szCs w:val="18"/>
                <w:color w:val="auto"/>
              </w:rPr>
              <w:t>____________________________________</w:t>
            </w:r>
          </w:p>
        </w:tc>
        <w:tc>
          <w:tcPr>
            <w:tcW w:w="2320" w:type="dxa"/>
            <w:vAlign w:val="bottom"/>
          </w:tcPr>
          <w:p>
            <w:pPr>
              <w:spacing w:after="0"/>
              <w:rPr>
                <w:sz w:val="20"/>
                <w:szCs w:val="20"/>
                <w:color w:val="auto"/>
              </w:rPr>
            </w:pPr>
          </w:p>
        </w:tc>
      </w:tr>
      <w:tr>
        <w:trPr>
          <w:trHeight w:val="231"/>
        </w:trPr>
        <w:tc>
          <w:tcPr>
            <w:tcW w:w="3320" w:type="dxa"/>
            <w:vAlign w:val="bottom"/>
          </w:tcPr>
          <w:p>
            <w:pPr>
              <w:jc w:val="center"/>
              <w:ind w:right="495"/>
              <w:spacing w:after="0"/>
              <w:rPr>
                <w:sz w:val="20"/>
                <w:szCs w:val="20"/>
                <w:color w:val="auto"/>
              </w:rPr>
            </w:pPr>
            <w:r>
              <w:rPr>
                <w:rFonts w:ascii="Arial" w:cs="Arial" w:eastAsia="Arial" w:hAnsi="Arial"/>
                <w:sz w:val="18"/>
                <w:szCs w:val="18"/>
                <w:b w:val="1"/>
                <w:bCs w:val="1"/>
                <w:color w:val="auto"/>
                <w:w w:val="93"/>
              </w:rPr>
              <w:t>Delaware</w:t>
            </w:r>
          </w:p>
        </w:tc>
        <w:tc>
          <w:tcPr>
            <w:tcW w:w="1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20" w:type="dxa"/>
            <w:vAlign w:val="bottom"/>
          </w:tcPr>
          <w:p>
            <w:pPr>
              <w:jc w:val="right"/>
              <w:ind w:right="576"/>
              <w:spacing w:after="0"/>
              <w:rPr>
                <w:sz w:val="20"/>
                <w:szCs w:val="20"/>
                <w:color w:val="auto"/>
              </w:rPr>
            </w:pPr>
            <w:r>
              <w:rPr>
                <w:rFonts w:ascii="Arial" w:cs="Arial" w:eastAsia="Arial" w:hAnsi="Arial"/>
                <w:sz w:val="18"/>
                <w:szCs w:val="18"/>
                <w:b w:val="1"/>
                <w:bCs w:val="1"/>
                <w:color w:val="auto"/>
              </w:rPr>
              <w:t>06-0570975</w:t>
            </w:r>
          </w:p>
        </w:tc>
      </w:tr>
      <w:tr>
        <w:trPr>
          <w:trHeight w:val="186"/>
        </w:trPr>
        <w:tc>
          <w:tcPr>
            <w:tcW w:w="3320" w:type="dxa"/>
            <w:vAlign w:val="bottom"/>
          </w:tcPr>
          <w:p>
            <w:pPr>
              <w:jc w:val="center"/>
              <w:ind w:right="495"/>
              <w:spacing w:after="0"/>
              <w:rPr>
                <w:sz w:val="20"/>
                <w:szCs w:val="20"/>
                <w:color w:val="auto"/>
              </w:rPr>
            </w:pPr>
            <w:r>
              <w:rPr>
                <w:rFonts w:ascii="Arial" w:cs="Arial" w:eastAsia="Arial" w:hAnsi="Arial"/>
                <w:sz w:val="14"/>
                <w:szCs w:val="14"/>
                <w:b w:val="1"/>
                <w:bCs w:val="1"/>
                <w:color w:val="auto"/>
                <w:w w:val="94"/>
              </w:rPr>
              <w:t>(State or other jurisdiction of incorporation)</w:t>
            </w:r>
          </w:p>
        </w:tc>
        <w:tc>
          <w:tcPr>
            <w:tcW w:w="1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320" w:type="dxa"/>
            <w:vAlign w:val="bottom"/>
          </w:tcPr>
          <w:p>
            <w:pPr>
              <w:jc w:val="center"/>
              <w:ind w:left="36"/>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71"/>
        </w:trPr>
        <w:tc>
          <w:tcPr>
            <w:tcW w:w="3320" w:type="dxa"/>
            <w:vAlign w:val="bottom"/>
          </w:tcPr>
          <w:p>
            <w:pPr>
              <w:ind w:left="1700"/>
              <w:spacing w:after="0"/>
              <w:rPr>
                <w:sz w:val="20"/>
                <w:szCs w:val="20"/>
                <w:color w:val="auto"/>
              </w:rPr>
            </w:pPr>
            <w:r>
              <w:rPr>
                <w:rFonts w:ascii="Arial" w:cs="Arial" w:eastAsia="Arial" w:hAnsi="Arial"/>
                <w:sz w:val="18"/>
                <w:szCs w:val="18"/>
                <w:b w:val="1"/>
                <w:bCs w:val="1"/>
                <w:color w:val="auto"/>
              </w:rPr>
              <w:t>870 Winter Street,</w:t>
            </w:r>
          </w:p>
        </w:tc>
        <w:tc>
          <w:tcPr>
            <w:tcW w:w="1100" w:type="dxa"/>
            <w:vAlign w:val="bottom"/>
          </w:tcPr>
          <w:p>
            <w:pPr>
              <w:ind w:left="200"/>
              <w:spacing w:after="0"/>
              <w:rPr>
                <w:sz w:val="20"/>
                <w:szCs w:val="20"/>
                <w:color w:val="auto"/>
              </w:rPr>
            </w:pPr>
            <w:r>
              <w:rPr>
                <w:rFonts w:ascii="Arial" w:cs="Arial" w:eastAsia="Arial" w:hAnsi="Arial"/>
                <w:sz w:val="18"/>
                <w:szCs w:val="18"/>
                <w:b w:val="1"/>
                <w:bCs w:val="1"/>
                <w:color w:val="auto"/>
              </w:rPr>
              <w:t>Waltham,</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Massachusetts</w:t>
            </w:r>
          </w:p>
        </w:tc>
        <w:tc>
          <w:tcPr>
            <w:tcW w:w="2320" w:type="dxa"/>
            <w:vAlign w:val="bottom"/>
          </w:tcPr>
          <w:p>
            <w:pPr>
              <w:jc w:val="right"/>
              <w:ind w:right="1636"/>
              <w:spacing w:after="0"/>
              <w:rPr>
                <w:sz w:val="20"/>
                <w:szCs w:val="20"/>
                <w:color w:val="auto"/>
              </w:rPr>
            </w:pPr>
            <w:r>
              <w:rPr>
                <w:rFonts w:ascii="Arial" w:cs="Arial" w:eastAsia="Arial" w:hAnsi="Arial"/>
                <w:sz w:val="18"/>
                <w:szCs w:val="18"/>
                <w:b w:val="1"/>
                <w:bCs w:val="1"/>
                <w:color w:val="auto"/>
              </w:rPr>
              <w:t>02451</w:t>
            </w:r>
          </w:p>
        </w:tc>
      </w:tr>
    </w:tbl>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(781) 522-3000</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6"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50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86"/>
              </w:rPr>
              <w:t>Title of each class</w:t>
            </w:r>
          </w:p>
        </w:tc>
        <w:tc>
          <w:tcPr>
            <w:tcW w:w="32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41"/>
        </w:trPr>
        <w:tc>
          <w:tcPr>
            <w:tcW w:w="29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0"/>
              </w:rPr>
              <w:t>Common Stock ($1 par value)</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9"/>
              </w:rPr>
              <w:t>RTX</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186"/>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5"/>
              </w:rPr>
              <w:t>(CUSIP 75513E 101)</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32"/>
        </w:trPr>
        <w:tc>
          <w:tcPr>
            <w:tcW w:w="29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9"/>
              </w:rPr>
              <w:t>2.150% Notes due 2030</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8"/>
              </w:rPr>
              <w:t>RTX 30</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186"/>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8"/>
              </w:rPr>
              <w:t>(CUSIP 75513E AB7)</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33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8" w:lineRule="exact"/>
        <w:rPr>
          <w:sz w:val="24"/>
          <w:szCs w:val="24"/>
          <w:color w:val="auto"/>
        </w:rPr>
      </w:pPr>
    </w:p>
    <w:p>
      <w:pPr>
        <w:ind w:right="60" w:firstLine="445"/>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during the preceding 12 months (or for such shorter period that the registrant was required to submit and post such</w:t>
      </w:r>
    </w:p>
    <w:p>
      <w:pPr>
        <w:spacing w:after="0" w:line="1" w:lineRule="exact"/>
        <w:rPr>
          <w:sz w:val="24"/>
          <w:szCs w:val="24"/>
          <w:color w:val="auto"/>
        </w:rPr>
      </w:pPr>
    </w:p>
    <w:p>
      <w:pPr>
        <w:spacing w:after="0" w:line="207" w:lineRule="exact"/>
        <w:tabs>
          <w:tab w:leader="none" w:pos="580" w:val="left"/>
          <w:tab w:leader="none" w:pos="132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62" w:lineRule="exact"/>
        <w:rPr>
          <w:sz w:val="24"/>
          <w:szCs w:val="24"/>
          <w:color w:val="auto"/>
        </w:rPr>
      </w:pPr>
    </w:p>
    <w:p>
      <w:pPr>
        <w:ind w:right="160" w:firstLine="44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company,” and “emerging growth company” in Rule 12b-2 of the Exchange Act.</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0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0"/>
          <w:szCs w:val="20"/>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2021 there were 1,507,878,091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11"/>
          </w:tcPr>
          <w:p>
            <w:pPr>
              <w:ind w:left="920"/>
              <w:spacing w:after="0"/>
              <w:rPr>
                <w:sz w:val="20"/>
                <w:szCs w:val="20"/>
                <w:color w:val="auto"/>
              </w:rPr>
            </w:pPr>
            <w:r>
              <w:rPr>
                <w:rFonts w:ascii="Arial" w:cs="Arial" w:eastAsia="Arial" w:hAnsi="Arial"/>
                <w:sz w:val="18"/>
                <w:szCs w:val="18"/>
                <w:b w:val="1"/>
                <w:bCs w:val="1"/>
                <w:color w:val="auto"/>
              </w:rPr>
              <w:t>RAYTHEON TECHNOLOGIES CORPORATION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20" w:type="dxa"/>
            <w:vAlign w:val="bottom"/>
            <w:gridSpan w:val="9"/>
          </w:tcPr>
          <w:p>
            <w:pPr>
              <w:jc w:val="center"/>
              <w:ind w:right="3880"/>
              <w:spacing w:after="0"/>
              <w:rPr>
                <w:sz w:val="20"/>
                <w:szCs w:val="20"/>
                <w:color w:val="auto"/>
              </w:rPr>
            </w:pPr>
            <w:r>
              <w:rPr>
                <w:rFonts w:ascii="Arial" w:cs="Arial" w:eastAsia="Arial" w:hAnsi="Arial"/>
                <w:sz w:val="18"/>
                <w:szCs w:val="18"/>
                <w:b w:val="1"/>
                <w:bCs w:val="1"/>
                <w:color w:val="auto"/>
                <w:w w:val="98"/>
              </w:rPr>
              <w:t>AND SUBSIDIARIES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gridSpan w:val="11"/>
          </w:tcPr>
          <w:p>
            <w:pPr>
              <w:jc w:val="center"/>
              <w:ind w:right="2380"/>
              <w:spacing w:after="0"/>
              <w:rPr>
                <w:sz w:val="20"/>
                <w:szCs w:val="20"/>
                <w:color w:val="auto"/>
              </w:rPr>
            </w:pPr>
            <w:r>
              <w:rPr>
                <w:rFonts w:ascii="Arial" w:cs="Arial" w:eastAsia="Arial" w:hAnsi="Arial"/>
                <w:sz w:val="18"/>
                <w:szCs w:val="18"/>
                <w:b w:val="1"/>
                <w:bCs w:val="1"/>
                <w:color w:val="auto"/>
                <w:w w:val="99"/>
              </w:rPr>
              <w:t>CONTENTS OF QUARTERLY REPORT ON FORM 10-Q</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40" w:type="dxa"/>
            <w:vAlign w:val="bottom"/>
            <w:gridSpan w:val="10"/>
          </w:tcPr>
          <w:p>
            <w:pPr>
              <w:jc w:val="center"/>
              <w:ind w:right="3660"/>
              <w:spacing w:after="0"/>
              <w:rPr>
                <w:sz w:val="20"/>
                <w:szCs w:val="20"/>
                <w:color w:val="auto"/>
              </w:rPr>
            </w:pPr>
            <w:r>
              <w:rPr>
                <w:rFonts w:ascii="Arial" w:cs="Arial" w:eastAsia="Arial" w:hAnsi="Arial"/>
                <w:sz w:val="18"/>
                <w:szCs w:val="18"/>
                <w:b w:val="1"/>
                <w:bCs w:val="1"/>
                <w:color w:val="auto"/>
                <w:w w:val="91"/>
              </w:rPr>
              <w:t>Quarter Ended June 30, 2021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229"/>
        </w:trPr>
        <w:tc>
          <w:tcPr>
            <w:tcW w:w="2980" w:type="dxa"/>
            <w:vAlign w:val="bottom"/>
            <w:gridSpan w:val="9"/>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PART I – FINANCIAL INFORMATION</w:t>
              </w:r>
            </w:hyperlink>
          </w:p>
        </w:tc>
        <w:tc>
          <w:tcPr>
            <w:tcW w:w="7580" w:type="dxa"/>
            <w:vAlign w:val="bottom"/>
            <w:gridSpan w:val="12"/>
          </w:tcPr>
          <w:p>
            <w:pPr>
              <w:spacing w:after="0"/>
              <w:rPr>
                <w:sz w:val="19"/>
                <w:szCs w:val="19"/>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920" w:type="dxa"/>
            <w:vAlign w:val="bottom"/>
            <w:gridSpan w:val="9"/>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Item 1. Unaudited Financial Statements:</w:t>
              </w:r>
            </w:hyperlink>
          </w:p>
        </w:tc>
        <w:tc>
          <w:tcPr>
            <w:tcW w:w="7520" w:type="dxa"/>
            <w:vAlign w:val="bottom"/>
            <w:gridSpan w:val="11"/>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120" w:type="dxa"/>
            <w:vAlign w:val="bottom"/>
            <w:gridSpan w:val="16"/>
          </w:tcPr>
          <w:p>
            <w:pPr>
              <w:ind w:left="20"/>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 of Operations for the quarters and six months ended June 30, 2021 and 2020</w:t>
              </w:r>
            </w:hyperlink>
          </w:p>
        </w:tc>
        <w:tc>
          <w:tcPr>
            <w:tcW w:w="2120" w:type="dxa"/>
            <w:vAlign w:val="bottom"/>
            <w:gridSpan w:val="3"/>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40" w:type="dxa"/>
            <w:vAlign w:val="bottom"/>
            <w:gridSpan w:val="18"/>
          </w:tcPr>
          <w:p>
            <w:pPr>
              <w:ind w:left="20"/>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 of Comprehensive Income (Loss) for the quarters and six months ended June 30, 2021 and 2020</w:t>
              </w:r>
            </w:hyperlink>
          </w:p>
        </w:tc>
        <w:tc>
          <w:tcPr>
            <w:tcW w:w="700" w:type="dxa"/>
            <w:vAlign w:val="bottom"/>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40" w:type="dxa"/>
            <w:vAlign w:val="bottom"/>
            <w:gridSpan w:val="18"/>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 at June 30, 2021 and December 31, 2020</w:t>
              </w:r>
            </w:hyperlink>
          </w:p>
        </w:tc>
        <w:tc>
          <w:tcPr>
            <w:tcW w:w="700" w:type="dxa"/>
            <w:vAlign w:val="bottom"/>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15"/>
          </w:tcPr>
          <w:p>
            <w:pPr>
              <w:ind w:left="20"/>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 of Cash Flows for the six months ended June 30, 2021 and 2020</w:t>
              </w:r>
            </w:hyperlink>
          </w:p>
        </w:tc>
        <w:tc>
          <w:tcPr>
            <w:tcW w:w="3000" w:type="dxa"/>
            <w:vAlign w:val="bottom"/>
            <w:gridSpan w:val="4"/>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60" w:type="dxa"/>
            <w:vAlign w:val="bottom"/>
            <w:gridSpan w:val="17"/>
          </w:tcPr>
          <w:p>
            <w:pPr>
              <w:ind w:left="20"/>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 of Changes in Equity for the quarters and six months ended June 30, 2021 and 2020</w:t>
              </w:r>
            </w:hyperlink>
          </w:p>
        </w:tc>
        <w:tc>
          <w:tcPr>
            <w:tcW w:w="1580" w:type="dxa"/>
            <w:vAlign w:val="bottom"/>
            <w:gridSpan w:val="2"/>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60" w:type="dxa"/>
            <w:vAlign w:val="bottom"/>
            <w:gridSpan w:val="17"/>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580" w:type="dxa"/>
            <w:vAlign w:val="bottom"/>
            <w:gridSpan w:val="2"/>
          </w:tcPr>
          <w:p>
            <w:pPr>
              <w:spacing w:after="0"/>
              <w:rPr>
                <w:sz w:val="22"/>
                <w:szCs w:val="22"/>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40" w:type="dxa"/>
            <w:vAlign w:val="bottom"/>
            <w:gridSpan w:val="19"/>
          </w:tcPr>
          <w:p>
            <w:pPr>
              <w:ind w:left="20"/>
              <w:spacing w:after="0"/>
              <w:rPr>
                <w:rFonts w:ascii="Arial" w:cs="Arial" w:eastAsia="Arial" w:hAnsi="Arial"/>
                <w:sz w:val="18"/>
                <w:szCs w:val="18"/>
                <w:color w:val="0000FF"/>
              </w:rPr>
            </w:pPr>
            <w:hyperlink w:anchor="page41">
              <w:r>
                <w:rPr>
                  <w:rFonts w:ascii="Arial" w:cs="Arial" w:eastAsia="Arial" w:hAnsi="Arial"/>
                  <w:sz w:val="18"/>
                  <w:szCs w:val="18"/>
                  <w:color w:val="0000FF"/>
                </w:rPr>
                <w:t>Report of Independent Registered Public Accounting Firm</w:t>
              </w:r>
            </w:hyperlink>
          </w:p>
        </w:tc>
        <w:tc>
          <w:tcPr>
            <w:tcW w:w="64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440" w:type="dxa"/>
            <w:vAlign w:val="bottom"/>
            <w:gridSpan w:val="2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2. Management’s Discussion and Analysis of Financial Condition and Results of Operations</w:t>
              </w:r>
            </w:hyperlink>
          </w:p>
        </w:tc>
        <w:tc>
          <w:tcPr>
            <w:tcW w:w="64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492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2"/>
              </w:rPr>
            </w:pPr>
            <w:hyperlink w:anchor="page67">
              <w:r>
                <w:rPr>
                  <w:rFonts w:ascii="Arial" w:cs="Arial" w:eastAsia="Arial" w:hAnsi="Arial"/>
                  <w:sz w:val="18"/>
                  <w:szCs w:val="18"/>
                  <w:color w:val="0000FF"/>
                  <w:w w:val="92"/>
                </w:rPr>
                <w:t>Item 3. Quantitative and Qualitative Disclosures About Market Risk</w:t>
              </w:r>
            </w:hyperlink>
          </w:p>
        </w:tc>
        <w:tc>
          <w:tcPr>
            <w:tcW w:w="2100" w:type="dxa"/>
            <w:vAlign w:val="bottom"/>
            <w:tcBorders>
              <w:top w:val="single" w:sz="8" w:color="0000FF"/>
            </w:tcBorders>
            <w:gridSpan w:val="2"/>
          </w:tcPr>
          <w:p>
            <w:pPr>
              <w:spacing w:after="0"/>
              <w:rPr>
                <w:sz w:val="22"/>
                <w:szCs w:val="22"/>
                <w:color w:val="auto"/>
              </w:rPr>
            </w:pPr>
          </w:p>
        </w:tc>
        <w:tc>
          <w:tcPr>
            <w:tcW w:w="3420" w:type="dxa"/>
            <w:vAlign w:val="bottom"/>
            <w:gridSpan w:val="5"/>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7">
              <w:r>
                <w:rPr>
                  <w:rFonts w:ascii="Arial" w:cs="Arial" w:eastAsia="Arial" w:hAnsi="Arial"/>
                  <w:sz w:val="18"/>
                  <w:szCs w:val="18"/>
                  <w:color w:val="0000FF"/>
                  <w:w w:val="79"/>
                </w:rPr>
                <w:t>67</w:t>
              </w:r>
            </w:hyperlink>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3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Item 4. Controls and Procedures</w:t>
              </w:r>
            </w:hyperlink>
          </w:p>
        </w:tc>
        <w:tc>
          <w:tcPr>
            <w:tcW w:w="8100" w:type="dxa"/>
            <w:vAlign w:val="bottom"/>
            <w:gridSpan w:val="14"/>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7">
              <w:r>
                <w:rPr>
                  <w:rFonts w:ascii="Arial" w:cs="Arial" w:eastAsia="Arial" w:hAnsi="Arial"/>
                  <w:sz w:val="18"/>
                  <w:szCs w:val="18"/>
                  <w:color w:val="0000FF"/>
                  <w:w w:val="79"/>
                </w:rPr>
                <w:t>68</w:t>
              </w:r>
            </w:hyperlink>
          </w:p>
        </w:tc>
        <w:tc>
          <w:tcPr>
            <w:tcW w:w="20" w:type="dxa"/>
            <w:vAlign w:val="bottom"/>
          </w:tcPr>
          <w:p>
            <w:pPr>
              <w:spacing w:after="0"/>
              <w:rPr>
                <w:sz w:val="22"/>
                <w:szCs w:val="22"/>
                <w:color w:val="auto"/>
              </w:rPr>
            </w:pPr>
          </w:p>
        </w:tc>
      </w:tr>
      <w:tr>
        <w:trPr>
          <w:trHeight w:val="263"/>
        </w:trPr>
        <w:tc>
          <w:tcPr>
            <w:tcW w:w="10560" w:type="dxa"/>
            <w:vAlign w:val="bottom"/>
            <w:gridSpan w:val="21"/>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PART II – OTHER INFORMATION</w:t>
              </w:r>
            </w:hyperlink>
          </w:p>
        </w:tc>
        <w:tc>
          <w:tcPr>
            <w:tcW w:w="64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20" w:type="dxa"/>
            <w:vAlign w:val="bottom"/>
          </w:tcPr>
          <w:p>
            <w:pPr>
              <w:spacing w:after="0"/>
              <w:rPr>
                <w:sz w:val="22"/>
                <w:szCs w:val="22"/>
                <w:color w:val="auto"/>
              </w:rPr>
            </w:pPr>
          </w:p>
        </w:tc>
      </w:tr>
      <w:tr>
        <w:trPr>
          <w:trHeight w:val="263"/>
        </w:trPr>
        <w:tc>
          <w:tcPr>
            <w:tcW w:w="120" w:type="dxa"/>
            <w:vAlign w:val="bottom"/>
            <w:tcBorders>
              <w:top w:val="single" w:sz="8" w:color="0000FF"/>
            </w:tcBorders>
          </w:tcPr>
          <w:p>
            <w:pPr>
              <w:spacing w:after="0"/>
              <w:rPr>
                <w:sz w:val="22"/>
                <w:szCs w:val="22"/>
                <w:color w:val="auto"/>
              </w:rPr>
            </w:pPr>
          </w:p>
        </w:tc>
        <w:tc>
          <w:tcPr>
            <w:tcW w:w="19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Item 1. Legal Proceedings</w:t>
              </w:r>
            </w:hyperlink>
          </w:p>
        </w:tc>
        <w:tc>
          <w:tcPr>
            <w:tcW w:w="640" w:type="dxa"/>
            <w:vAlign w:val="bottom"/>
            <w:tcBorders>
              <w:top w:val="single" w:sz="8" w:color="0000FF"/>
            </w:tcBorders>
            <w:gridSpan w:val="2"/>
          </w:tcPr>
          <w:p>
            <w:pPr>
              <w:spacing w:after="0"/>
              <w:rPr>
                <w:sz w:val="22"/>
                <w:szCs w:val="22"/>
                <w:color w:val="auto"/>
              </w:rPr>
            </w:pPr>
          </w:p>
        </w:tc>
        <w:tc>
          <w:tcPr>
            <w:tcW w:w="7900" w:type="dxa"/>
            <w:vAlign w:val="bottom"/>
            <w:gridSpan w:val="13"/>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16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Item 1A. Risk Factors</w:t>
              </w:r>
            </w:hyperlink>
          </w:p>
        </w:tc>
        <w:tc>
          <w:tcPr>
            <w:tcW w:w="8840" w:type="dxa"/>
            <w:vAlign w:val="bottom"/>
            <w:gridSpan w:val="16"/>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10440" w:type="dxa"/>
            <w:vAlign w:val="bottom"/>
            <w:gridSpan w:val="20"/>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Item 2. Unregistered Sales of Equity Securities and Use of Proceeds</w:t>
              </w:r>
            </w:hyperlink>
          </w:p>
        </w:tc>
        <w:tc>
          <w:tcPr>
            <w:tcW w:w="64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71</w:t>
              </w:r>
            </w:hyperlink>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4900" w:type="dxa"/>
            <w:vAlign w:val="bottom"/>
            <w:tcBorders>
              <w:top w:val="single" w:sz="8" w:color="0000FF"/>
            </w:tcBorders>
            <w:gridSpan w:val="12"/>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Item 6. Exhibits</w:t>
              </w:r>
            </w:hyperlink>
          </w:p>
        </w:tc>
        <w:tc>
          <w:tcPr>
            <w:tcW w:w="5540" w:type="dxa"/>
            <w:vAlign w:val="bottom"/>
            <w:gridSpan w:val="8"/>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71</w:t>
              </w:r>
            </w:hyperlink>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80" w:type="dxa"/>
            <w:vAlign w:val="bottom"/>
            <w:gridSpan w:val="1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60" w:type="dxa"/>
            <w:vAlign w:val="bottom"/>
            <w:gridSpan w:val="21"/>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SIGNATURES</w:t>
              </w:r>
            </w:hyperlink>
          </w:p>
        </w:tc>
        <w:tc>
          <w:tcPr>
            <w:tcW w:w="640" w:type="dxa"/>
            <w:vAlign w:val="bottom"/>
            <w:gridSpan w:val="3"/>
          </w:tcPr>
          <w:p>
            <w:pPr>
              <w:jc w:val="right"/>
              <w:spacing w:after="0"/>
              <w:rPr>
                <w:rFonts w:ascii="Arial" w:cs="Arial" w:eastAsia="Arial" w:hAnsi="Arial"/>
                <w:sz w:val="18"/>
                <w:szCs w:val="18"/>
                <w:color w:val="0000FF"/>
              </w:rPr>
            </w:pPr>
            <w:hyperlink w:anchor="page72">
              <w:r>
                <w:rPr>
                  <w:rFonts w:ascii="Arial" w:cs="Arial" w:eastAsia="Arial" w:hAnsi="Arial"/>
                  <w:sz w:val="18"/>
                  <w:szCs w:val="18"/>
                  <w:color w:val="0000FF"/>
                </w:rPr>
                <w:t>73</w:t>
              </w:r>
            </w:hyperlink>
          </w:p>
        </w:tc>
        <w:tc>
          <w:tcPr>
            <w:tcW w:w="20" w:type="dxa"/>
            <w:vAlign w:val="bottom"/>
          </w:tcPr>
          <w:p>
            <w:pPr>
              <w:spacing w:after="0"/>
              <w:rPr>
                <w:sz w:val="22"/>
                <w:szCs w:val="22"/>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Raytheon Technologies Corporation and its subsidiaries’ names, abbreviations thereof, logos, and product and service designators are all either the registered or unregistered trademarks or tradenames of Raytheon Technologies Corporation and its subsidiaries. Names, abbreviations of names, logos, and products and service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ind w:left="220"/>
              <w:spacing w:after="0"/>
              <w:rPr>
                <w:sz w:val="20"/>
                <w:szCs w:val="20"/>
                <w:color w:val="auto"/>
              </w:rPr>
            </w:pPr>
            <w:r>
              <w:rPr>
                <w:rFonts w:ascii="Arial" w:cs="Arial" w:eastAsia="Arial" w:hAnsi="Arial"/>
                <w:sz w:val="14"/>
                <w:szCs w:val="14"/>
                <w:b w:val="1"/>
                <w:bCs w:val="1"/>
                <w:color w:val="auto"/>
              </w:rPr>
              <w:t>Quarter Ended June 30,</w:t>
            </w:r>
          </w:p>
        </w:tc>
        <w:tc>
          <w:tcPr>
            <w:tcW w:w="260" w:type="dxa"/>
            <w:vAlign w:val="bottom"/>
          </w:tcPr>
          <w:p>
            <w:pPr>
              <w:spacing w:after="0"/>
              <w:rPr>
                <w:sz w:val="16"/>
                <w:szCs w:val="16"/>
                <w:color w:val="auto"/>
              </w:rPr>
            </w:pPr>
          </w:p>
        </w:tc>
        <w:tc>
          <w:tcPr>
            <w:tcW w:w="224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11"/>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7"/>
                <w:szCs w:val="17"/>
                <w:color w:val="auto"/>
              </w:rPr>
              <w:t>Product sales</w:t>
            </w:r>
          </w:p>
        </w:tc>
        <w:tc>
          <w:tcPr>
            <w:tcW w:w="28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12,179</w:t>
            </w: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10,768</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23,843</w:t>
            </w: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18,933</w:t>
            </w:r>
          </w:p>
        </w:tc>
      </w:tr>
      <w:tr>
        <w:trPr>
          <w:trHeight w:val="216"/>
        </w:trPr>
        <w:tc>
          <w:tcPr>
            <w:tcW w:w="6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Service sales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3,701</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3,293</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7,288</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6,488</w:t>
            </w:r>
          </w:p>
        </w:tc>
      </w:tr>
      <w:tr>
        <w:trPr>
          <w:trHeight w:val="209"/>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Net Sales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15,880</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14,061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31,131</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25,421</w:t>
            </w:r>
          </w:p>
        </w:tc>
      </w:tr>
      <w:tr>
        <w:trPr>
          <w:trHeight w:val="210"/>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7"/>
                <w:szCs w:val="17"/>
                <w:color w:val="auto"/>
              </w:rPr>
              <w:t>Cost of sales - products</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9,997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19,971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16,249</w:t>
            </w: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Cost of sales - services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2,658</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5,221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4,537</w:t>
            </w:r>
          </w:p>
        </w:tc>
      </w:tr>
      <w:tr>
        <w:trPr>
          <w:trHeight w:val="216"/>
        </w:trPr>
        <w:tc>
          <w:tcPr>
            <w:tcW w:w="614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657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1,246</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1,230</w:t>
            </w:r>
          </w:p>
        </w:tc>
      </w:tr>
      <w:tr>
        <w:trPr>
          <w:trHeight w:val="216"/>
        </w:trPr>
        <w:tc>
          <w:tcPr>
            <w:tcW w:w="6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Selling, 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1,368</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2,588</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2,788</w:t>
            </w:r>
          </w:p>
        </w:tc>
      </w:tr>
      <w:tr>
        <w:trPr>
          <w:trHeight w:val="209"/>
        </w:trPr>
        <w:tc>
          <w:tcPr>
            <w:tcW w:w="6140" w:type="dxa"/>
            <w:vAlign w:val="bottom"/>
          </w:tcPr>
          <w:p>
            <w:pPr>
              <w:ind w:left="20"/>
              <w:spacing w:after="0"/>
              <w:rPr>
                <w:sz w:val="20"/>
                <w:szCs w:val="20"/>
                <w:color w:val="auto"/>
              </w:rPr>
            </w:pPr>
            <w:r>
              <w:rPr>
                <w:rFonts w:ascii="Arial" w:cs="Arial" w:eastAsia="Arial" w:hAnsi="Arial"/>
                <w:sz w:val="17"/>
                <w:szCs w:val="17"/>
                <w:color w:val="auto"/>
              </w:rPr>
              <w:t>Total Costs and Expenses</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14,680</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14,720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29,026</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24,804</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(3,183)</w:t>
            </w:r>
          </w:p>
        </w:tc>
      </w:tr>
      <w:tr>
        <w:trPr>
          <w:trHeight w:val="216"/>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82</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190</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r>
      <w:tr>
        <w:trPr>
          <w:trHeight w:val="210"/>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profit (loss)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1,282</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2,295</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(2,465)</w:t>
            </w:r>
          </w:p>
        </w:tc>
      </w:tr>
      <w:tr>
        <w:trPr>
          <w:trHeight w:val="216"/>
        </w:trPr>
        <w:tc>
          <w:tcPr>
            <w:tcW w:w="6140" w:type="dxa"/>
            <w:vAlign w:val="bottom"/>
          </w:tcPr>
          <w:p>
            <w:pPr>
              <w:ind w:left="20"/>
              <w:spacing w:after="0"/>
              <w:rPr>
                <w:sz w:val="20"/>
                <w:szCs w:val="20"/>
                <w:color w:val="auto"/>
              </w:rPr>
            </w:pPr>
            <w:r>
              <w:rPr>
                <w:rFonts w:ascii="Arial" w:cs="Arial" w:eastAsia="Arial" w:hAnsi="Arial"/>
                <w:sz w:val="17"/>
                <w:szCs w:val="17"/>
                <w:color w:val="auto"/>
              </w:rPr>
              <w:t>Non-operating expense (income), net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Non-service pension benefit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r>
      <w:tr>
        <w:trPr>
          <w:trHeight w:val="216"/>
        </w:trPr>
        <w:tc>
          <w:tcPr>
            <w:tcW w:w="61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Interest expense,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342</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688</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w:t>
            </w:r>
          </w:p>
        </w:tc>
      </w:tr>
      <w:tr>
        <w:trPr>
          <w:trHeight w:val="210"/>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non-operating expense (income), net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(148)</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(293)</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w:t>
            </w:r>
          </w:p>
        </w:tc>
      </w:tr>
      <w:tr>
        <w:trPr>
          <w:trHeight w:val="210"/>
        </w:trPr>
        <w:tc>
          <w:tcPr>
            <w:tcW w:w="6140" w:type="dxa"/>
            <w:vAlign w:val="bottom"/>
          </w:tcPr>
          <w:p>
            <w:pPr>
              <w:ind w:left="20"/>
              <w:spacing w:after="0"/>
              <w:rPr>
                <w:sz w:val="20"/>
                <w:szCs w:val="20"/>
                <w:color w:val="auto"/>
              </w:rPr>
            </w:pPr>
            <w:r>
              <w:rPr>
                <w:rFonts w:ascii="Arial" w:cs="Arial" w:eastAsia="Arial" w:hAnsi="Arial"/>
                <w:sz w:val="17"/>
                <w:szCs w:val="17"/>
                <w:color w:val="auto"/>
              </w:rPr>
              <w:t>Income (loss) from continuing operations before income taxes</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1,430</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2,588</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(2,727)</w:t>
            </w:r>
          </w:p>
        </w:tc>
      </w:tr>
      <w:tr>
        <w:trPr>
          <w:trHeight w:val="216"/>
        </w:trPr>
        <w:tc>
          <w:tcPr>
            <w:tcW w:w="6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Income tax expense (benefit)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342</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687</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10"/>
        </w:trPr>
        <w:tc>
          <w:tcPr>
            <w:tcW w:w="6140" w:type="dxa"/>
            <w:vAlign w:val="bottom"/>
          </w:tcPr>
          <w:p>
            <w:pPr>
              <w:ind w:left="2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1,088</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1,901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(3,328)</w:t>
            </w:r>
          </w:p>
        </w:tc>
      </w:tr>
      <w:tr>
        <w:trPr>
          <w:trHeight w:val="216"/>
        </w:trPr>
        <w:tc>
          <w:tcPr>
            <w:tcW w:w="6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w w:val="95"/>
              </w:rPr>
              <w:t>Less: Noncontrolling interest in subsidiaries’ earnings from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48</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89</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(loss) from continuing operations attributable to common shareowners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1,040</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1,812</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(3,406)</w:t>
            </w:r>
          </w:p>
        </w:tc>
      </w:tr>
      <w:tr>
        <w:trPr>
          <w:trHeight w:val="210"/>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Discontinued operations (Note 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7"/>
                <w:szCs w:val="17"/>
                <w:color w:val="auto"/>
              </w:rPr>
              <w:t>Loss from discontinued operations, before tax</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(30)</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(232)</w:t>
            </w:r>
          </w:p>
        </w:tc>
      </w:tr>
      <w:tr>
        <w:trPr>
          <w:trHeight w:val="216"/>
        </w:trPr>
        <w:tc>
          <w:tcPr>
            <w:tcW w:w="6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Income tax (benefit) expense from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209"/>
        </w:trPr>
        <w:tc>
          <w:tcPr>
            <w:tcW w:w="6140" w:type="dxa"/>
            <w:vAlign w:val="bottom"/>
          </w:tcPr>
          <w:p>
            <w:pPr>
              <w:ind w:left="20"/>
              <w:spacing w:after="0"/>
              <w:rPr>
                <w:sz w:val="20"/>
                <w:szCs w:val="20"/>
                <w:color w:val="auto"/>
              </w:rPr>
            </w:pPr>
            <w:r>
              <w:rPr>
                <w:rFonts w:ascii="Arial" w:cs="Arial" w:eastAsia="Arial" w:hAnsi="Arial"/>
                <w:sz w:val="17"/>
                <w:szCs w:val="17"/>
                <w:color w:val="auto"/>
              </w:rPr>
              <w:t>Net income (loss) from discontinued operations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(469)</w:t>
            </w:r>
          </w:p>
        </w:tc>
      </w:tr>
      <w:tr>
        <w:trPr>
          <w:trHeight w:val="216"/>
        </w:trPr>
        <w:tc>
          <w:tcPr>
            <w:tcW w:w="6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w w:val="92"/>
              </w:rPr>
              <w:t>Less: Noncontrolling interest in subsidiaries’ earnings from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(loss) from discontinued operations attributable to common shareowners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w:t>
            </w:r>
          </w:p>
        </w:tc>
      </w:tr>
      <w:tr>
        <w:trPr>
          <w:trHeight w:val="216"/>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common shareowners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1,032</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(3,835)</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1,785</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(3,918)</w:t>
            </w:r>
          </w:p>
        </w:tc>
      </w:tr>
      <w:tr>
        <w:trPr>
          <w:trHeight w:val="40"/>
        </w:trPr>
        <w:tc>
          <w:tcPr>
            <w:tcW w:w="6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 attributable to common shareowners - Basic:</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7"/>
                <w:szCs w:val="17"/>
                <w:color w:val="auto"/>
              </w:rPr>
              <w:t>Income (loss) from continuing operations</w:t>
            </w:r>
          </w:p>
        </w:tc>
        <w:tc>
          <w:tcPr>
            <w:tcW w:w="28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0.69</w:t>
            </w: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1.20</w:t>
            </w: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(2.78)</w:t>
            </w:r>
          </w:p>
        </w:tc>
      </w:tr>
      <w:tr>
        <w:trPr>
          <w:trHeight w:val="216"/>
        </w:trPr>
        <w:tc>
          <w:tcPr>
            <w:tcW w:w="6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Income (loss) from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(0.02)</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(0.42)</w:t>
            </w:r>
          </w:p>
        </w:tc>
      </w:tr>
      <w:tr>
        <w:trPr>
          <w:trHeight w:val="217"/>
        </w:trPr>
        <w:tc>
          <w:tcPr>
            <w:tcW w:w="61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income (loss) attributable to common shareowners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0.69</w:t>
            </w: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1.18</w:t>
            </w: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 attributable to common shareowners - Diluted: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7"/>
                <w:szCs w:val="17"/>
                <w:color w:val="auto"/>
              </w:rPr>
              <w:t>Income (loss) from continuing operations</w:t>
            </w:r>
          </w:p>
        </w:tc>
        <w:tc>
          <w:tcPr>
            <w:tcW w:w="28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0.69</w:t>
            </w: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15"/>
              <w:spacing w:after="0"/>
              <w:rPr>
                <w:sz w:val="20"/>
                <w:szCs w:val="20"/>
                <w:color w:val="auto"/>
              </w:rPr>
            </w:pPr>
            <w:r>
              <w:rPr>
                <w:rFonts w:ascii="Arial" w:cs="Arial" w:eastAsia="Arial" w:hAnsi="Arial"/>
                <w:sz w:val="17"/>
                <w:szCs w:val="17"/>
                <w:b w:val="1"/>
                <w:bCs w:val="1"/>
                <w:color w:val="auto"/>
              </w:rPr>
              <w:t>1.20</w:t>
            </w: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(2.78)</w:t>
            </w:r>
          </w:p>
        </w:tc>
      </w:tr>
      <w:tr>
        <w:trPr>
          <w:trHeight w:val="216"/>
        </w:trPr>
        <w:tc>
          <w:tcPr>
            <w:tcW w:w="6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Income (loss) from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(0.01)</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(0.02)</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(0.42)</w:t>
            </w:r>
          </w:p>
        </w:tc>
      </w:tr>
      <w:tr>
        <w:trPr>
          <w:trHeight w:val="217"/>
        </w:trPr>
        <w:tc>
          <w:tcPr>
            <w:tcW w:w="61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income (loss) attributable to common shareowners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0.68</w:t>
            </w: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1.18</w:t>
            </w: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ind w:left="220"/>
              <w:spacing w:after="0"/>
              <w:rPr>
                <w:sz w:val="20"/>
                <w:szCs w:val="20"/>
                <w:color w:val="auto"/>
              </w:rPr>
            </w:pPr>
            <w:r>
              <w:rPr>
                <w:rFonts w:ascii="Arial" w:cs="Arial" w:eastAsia="Arial" w:hAnsi="Arial"/>
                <w:sz w:val="14"/>
                <w:szCs w:val="14"/>
                <w:b w:val="1"/>
                <w:bCs w:val="1"/>
                <w:color w:val="auto"/>
              </w:rPr>
              <w:t>Quarter Ended June 30,</w:t>
            </w:r>
          </w:p>
        </w:tc>
        <w:tc>
          <w:tcPr>
            <w:tcW w:w="280" w:type="dxa"/>
            <w:vAlign w:val="bottom"/>
          </w:tcPr>
          <w:p>
            <w:pPr>
              <w:spacing w:after="0"/>
              <w:rPr>
                <w:sz w:val="16"/>
                <w:szCs w:val="16"/>
                <w:color w:val="auto"/>
              </w:rPr>
            </w:pPr>
          </w:p>
        </w:tc>
        <w:tc>
          <w:tcPr>
            <w:tcW w:w="224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88"/>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and discontinued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1,080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1,874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Pension and postretirement benefit plans adjustments</w:t>
            </w: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50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104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(2,176)</w:t>
            </w:r>
          </w:p>
        </w:tc>
      </w:tr>
      <w:tr>
        <w:trPr>
          <w:trHeight w:val="230"/>
        </w:trPr>
        <w:tc>
          <w:tcPr>
            <w:tcW w:w="6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88</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396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214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(3,115)</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Income tax (expense) benefit related to items of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2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366</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179</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1,446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2,053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r>
      <w:tr>
        <w:trPr>
          <w:trHeight w:val="229"/>
        </w:trPr>
        <w:tc>
          <w:tcPr>
            <w:tcW w:w="6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48</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89</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common shareowners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1,398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1,964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w:t>
            </w: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December 31, 2020</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7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8,051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8,802</w:t>
            </w: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Accounts receivable, net</w:t>
            </w:r>
          </w:p>
        </w:tc>
        <w:tc>
          <w:tcPr>
            <w:tcW w:w="17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8,912</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9,254</w:t>
            </w: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Contract assets</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10,485</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9,931</w:t>
            </w: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Inventory, net</w:t>
            </w:r>
          </w:p>
        </w:tc>
        <w:tc>
          <w:tcPr>
            <w:tcW w:w="17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9,548</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9,411</w:t>
            </w:r>
          </w:p>
        </w:tc>
      </w:tr>
      <w:tr>
        <w:trPr>
          <w:trHeight w:val="216"/>
        </w:trPr>
        <w:tc>
          <w:tcPr>
            <w:tcW w:w="6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assets, current</w:t>
            </w:r>
          </w:p>
        </w:tc>
        <w:tc>
          <w:tcPr>
            <w:tcW w:w="17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3,883</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5,978</w:t>
            </w:r>
          </w:p>
        </w:tc>
      </w:tr>
      <w:tr>
        <w:trPr>
          <w:trHeight w:val="209"/>
        </w:trPr>
        <w:tc>
          <w:tcPr>
            <w:tcW w:w="6340" w:type="dxa"/>
            <w:vAlign w:val="bottom"/>
          </w:tcPr>
          <w:p>
            <w:pPr>
              <w:ind w:left="680"/>
              <w:spacing w:after="0"/>
              <w:rPr>
                <w:sz w:val="20"/>
                <w:szCs w:val="20"/>
                <w:color w:val="auto"/>
              </w:rPr>
            </w:pPr>
            <w:r>
              <w:rPr>
                <w:rFonts w:ascii="Arial" w:cs="Arial" w:eastAsia="Arial" w:hAnsi="Arial"/>
                <w:sz w:val="17"/>
                <w:szCs w:val="17"/>
                <w:color w:val="auto"/>
              </w:rPr>
              <w:t>Total Current Assets</w:t>
            </w:r>
          </w:p>
        </w:tc>
        <w:tc>
          <w:tcPr>
            <w:tcW w:w="17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40,879</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43,376</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financing assets</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3,063</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3,144</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Fixed assets</w:t>
            </w:r>
          </w:p>
        </w:tc>
        <w:tc>
          <w:tcPr>
            <w:tcW w:w="17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26,959</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26,346</w:t>
            </w:r>
          </w:p>
        </w:tc>
      </w:tr>
      <w:tr>
        <w:trPr>
          <w:trHeight w:val="216"/>
        </w:trPr>
        <w:tc>
          <w:tcPr>
            <w:tcW w:w="63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Accumulated depreciation</w:t>
            </w:r>
          </w:p>
        </w:tc>
        <w:tc>
          <w:tcPr>
            <w:tcW w:w="17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(12,294)</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(11,384)</w:t>
            </w:r>
          </w:p>
        </w:tc>
      </w:tr>
      <w:tr>
        <w:trPr>
          <w:trHeight w:val="209"/>
        </w:trPr>
        <w:tc>
          <w:tcPr>
            <w:tcW w:w="6340" w:type="dxa"/>
            <w:vAlign w:val="bottom"/>
          </w:tcPr>
          <w:p>
            <w:pPr>
              <w:ind w:left="680"/>
              <w:spacing w:after="0"/>
              <w:rPr>
                <w:sz w:val="20"/>
                <w:szCs w:val="20"/>
                <w:color w:val="auto"/>
              </w:rPr>
            </w:pPr>
            <w:r>
              <w:rPr>
                <w:rFonts w:ascii="Arial" w:cs="Arial" w:eastAsia="Arial" w:hAnsi="Arial"/>
                <w:sz w:val="17"/>
                <w:szCs w:val="17"/>
                <w:color w:val="auto"/>
              </w:rPr>
              <w:t>Fixed assets, net</w:t>
            </w:r>
          </w:p>
        </w:tc>
        <w:tc>
          <w:tcPr>
            <w:tcW w:w="17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14,665</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14,962</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1,900</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Goodwill</w:t>
            </w:r>
          </w:p>
        </w:tc>
        <w:tc>
          <w:tcPr>
            <w:tcW w:w="17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54,394</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54,285</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39,523</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40,539</w:t>
            </w:r>
          </w:p>
        </w:tc>
      </w:tr>
      <w:tr>
        <w:trPr>
          <w:trHeight w:val="216"/>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assets</w:t>
            </w:r>
          </w:p>
        </w:tc>
        <w:tc>
          <w:tcPr>
            <w:tcW w:w="1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4,414</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3,967</w:t>
            </w:r>
          </w:p>
        </w:tc>
      </w:tr>
      <w:tr>
        <w:trPr>
          <w:trHeight w:val="217"/>
        </w:trPr>
        <w:tc>
          <w:tcPr>
            <w:tcW w:w="6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Assets</w:t>
            </w:r>
          </w:p>
        </w:tc>
        <w:tc>
          <w:tcPr>
            <w:tcW w:w="17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158,838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162,153</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Liabilities, Redeemable Noncontrolling Interest and Equity</w:t>
            </w:r>
          </w:p>
        </w:tc>
        <w:tc>
          <w:tcPr>
            <w:tcW w:w="1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Short-term borrowings</w:t>
            </w:r>
          </w:p>
        </w:tc>
        <w:tc>
          <w:tcPr>
            <w:tcW w:w="17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196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247</w:t>
            </w: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8,043</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8,639</w:t>
            </w: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Accrued employee compensation</w:t>
            </w:r>
          </w:p>
        </w:tc>
        <w:tc>
          <w:tcPr>
            <w:tcW w:w="17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2,233</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3,006</w:t>
            </w:r>
          </w:p>
        </w:tc>
      </w:tr>
      <w:tr>
        <w:trPr>
          <w:trHeight w:val="216"/>
        </w:trPr>
        <w:tc>
          <w:tcPr>
            <w:tcW w:w="6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accrued liabilities</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10,361</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10,517</w:t>
            </w:r>
          </w:p>
        </w:tc>
      </w:tr>
      <w:tr>
        <w:trPr>
          <w:trHeight w:val="216"/>
        </w:trPr>
        <w:tc>
          <w:tcPr>
            <w:tcW w:w="6340" w:type="dxa"/>
            <w:vAlign w:val="bottom"/>
          </w:tcPr>
          <w:p>
            <w:pPr>
              <w:ind w:left="140"/>
              <w:spacing w:after="0"/>
              <w:rPr>
                <w:sz w:val="20"/>
                <w:szCs w:val="20"/>
                <w:color w:val="auto"/>
              </w:rPr>
            </w:pPr>
            <w:r>
              <w:rPr>
                <w:rFonts w:ascii="Arial" w:cs="Arial" w:eastAsia="Arial" w:hAnsi="Arial"/>
                <w:sz w:val="17"/>
                <w:szCs w:val="17"/>
                <w:color w:val="auto"/>
              </w:rPr>
              <w:t>Contract liabilities</w:t>
            </w:r>
          </w:p>
        </w:tc>
        <w:tc>
          <w:tcPr>
            <w:tcW w:w="17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12,591</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12,889</w:t>
            </w:r>
          </w:p>
        </w:tc>
      </w:tr>
      <w:tr>
        <w:trPr>
          <w:trHeight w:val="216"/>
        </w:trPr>
        <w:tc>
          <w:tcPr>
            <w:tcW w:w="6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Long-term debt currently due</w:t>
            </w:r>
          </w:p>
        </w:tc>
        <w:tc>
          <w:tcPr>
            <w:tcW w:w="17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1,370</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w:t>
            </w:r>
          </w:p>
        </w:tc>
      </w:tr>
      <w:tr>
        <w:trPr>
          <w:trHeight w:val="210"/>
        </w:trPr>
        <w:tc>
          <w:tcPr>
            <w:tcW w:w="6340" w:type="dxa"/>
            <w:vAlign w:val="bottom"/>
          </w:tcPr>
          <w:p>
            <w:pPr>
              <w:ind w:left="680"/>
              <w:spacing w:after="0"/>
              <w:rPr>
                <w:sz w:val="20"/>
                <w:szCs w:val="20"/>
                <w:color w:val="auto"/>
              </w:rPr>
            </w:pPr>
            <w:r>
              <w:rPr>
                <w:rFonts w:ascii="Arial" w:cs="Arial" w:eastAsia="Arial" w:hAnsi="Arial"/>
                <w:sz w:val="17"/>
                <w:szCs w:val="17"/>
                <w:color w:val="auto"/>
              </w:rPr>
              <w:t>Total Current Liabilities</w:t>
            </w:r>
          </w:p>
        </w:tc>
        <w:tc>
          <w:tcPr>
            <w:tcW w:w="17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34,794</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35,848</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29,916</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31,026</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Operating lease liabilities, non-current</w:t>
            </w:r>
          </w:p>
        </w:tc>
        <w:tc>
          <w:tcPr>
            <w:tcW w:w="17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1,563</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1,516</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Future pension and postretirement benefit obligations</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9,929</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10,342</w:t>
            </w:r>
          </w:p>
        </w:tc>
      </w:tr>
      <w:tr>
        <w:trPr>
          <w:trHeight w:val="216"/>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long-term liabilities</w:t>
            </w:r>
          </w:p>
        </w:tc>
        <w:tc>
          <w:tcPr>
            <w:tcW w:w="1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9,885</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9,537</w:t>
            </w:r>
          </w:p>
        </w:tc>
      </w:tr>
      <w:tr>
        <w:trPr>
          <w:trHeight w:val="209"/>
        </w:trPr>
        <w:tc>
          <w:tcPr>
            <w:tcW w:w="63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17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86,087</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88,269</w:t>
            </w:r>
          </w:p>
        </w:tc>
      </w:tr>
      <w:tr>
        <w:trPr>
          <w:trHeight w:val="210"/>
        </w:trPr>
        <w:tc>
          <w:tcPr>
            <w:tcW w:w="6340" w:type="dxa"/>
            <w:vAlign w:val="bottom"/>
          </w:tcPr>
          <w:p>
            <w:pPr>
              <w:ind w:left="20"/>
              <w:spacing w:after="0"/>
              <w:rPr>
                <w:sz w:val="20"/>
                <w:szCs w:val="20"/>
                <w:color w:val="auto"/>
              </w:rPr>
            </w:pPr>
            <w:r>
              <w:rPr>
                <w:rFonts w:ascii="Arial" w:cs="Arial" w:eastAsia="Arial" w:hAnsi="Arial"/>
                <w:sz w:val="17"/>
                <w:szCs w:val="17"/>
                <w:color w:val="auto"/>
              </w:rPr>
              <w:t>Commitments and contingencies (Note 17)</w:t>
            </w:r>
          </w:p>
        </w:tc>
        <w:tc>
          <w:tcPr>
            <w:tcW w:w="1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noncontrolling interest</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30</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6340" w:type="dxa"/>
            <w:vAlign w:val="bottom"/>
          </w:tcPr>
          <w:p>
            <w:pPr>
              <w:ind w:left="20"/>
              <w:spacing w:after="0"/>
              <w:rPr>
                <w:sz w:val="20"/>
                <w:szCs w:val="20"/>
                <w:color w:val="auto"/>
              </w:rPr>
            </w:pPr>
            <w:r>
              <w:rPr>
                <w:rFonts w:ascii="Arial" w:cs="Arial" w:eastAsia="Arial" w:hAnsi="Arial"/>
                <w:sz w:val="17"/>
                <w:szCs w:val="17"/>
                <w:color w:val="auto"/>
              </w:rPr>
              <w:t>Shareowners’ Equity:</w:t>
            </w:r>
          </w:p>
        </w:tc>
        <w:tc>
          <w:tcPr>
            <w:tcW w:w="1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Common Stock</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37,183</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36,930</w:t>
            </w:r>
          </w:p>
        </w:tc>
      </w:tr>
      <w:tr>
        <w:trPr>
          <w:trHeight w:val="216"/>
        </w:trPr>
        <w:tc>
          <w:tcPr>
            <w:tcW w:w="6340" w:type="dxa"/>
            <w:vAlign w:val="bottom"/>
          </w:tcPr>
          <w:p>
            <w:pPr>
              <w:ind w:left="680"/>
              <w:spacing w:after="0"/>
              <w:rPr>
                <w:sz w:val="20"/>
                <w:szCs w:val="20"/>
                <w:color w:val="auto"/>
              </w:rPr>
            </w:pPr>
            <w:r>
              <w:rPr>
                <w:rFonts w:ascii="Arial" w:cs="Arial" w:eastAsia="Arial" w:hAnsi="Arial"/>
                <w:sz w:val="17"/>
                <w:szCs w:val="17"/>
                <w:color w:val="auto"/>
              </w:rPr>
              <w:t>Treasury Stock</w:t>
            </w:r>
          </w:p>
        </w:tc>
        <w:tc>
          <w:tcPr>
            <w:tcW w:w="17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(11,424)</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(10,407)</w:t>
            </w:r>
          </w:p>
        </w:tc>
      </w:tr>
      <w:tr>
        <w:trPr>
          <w:trHeight w:val="216"/>
        </w:trPr>
        <w:tc>
          <w:tcPr>
            <w:tcW w:w="6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Retained earnings</w:t>
            </w:r>
          </w:p>
        </w:tc>
        <w:tc>
          <w:tcPr>
            <w:tcW w:w="17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48,954</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49,423</w:t>
            </w:r>
          </w:p>
        </w:tc>
      </w:tr>
      <w:tr>
        <w:trPr>
          <w:trHeight w:val="216"/>
        </w:trPr>
        <w:tc>
          <w:tcPr>
            <w:tcW w:w="6340" w:type="dxa"/>
            <w:vAlign w:val="bottom"/>
          </w:tcPr>
          <w:p>
            <w:pPr>
              <w:ind w:left="680"/>
              <w:spacing w:after="0"/>
              <w:rPr>
                <w:sz w:val="20"/>
                <w:szCs w:val="20"/>
                <w:color w:val="auto"/>
              </w:rPr>
            </w:pPr>
            <w:r>
              <w:rPr>
                <w:rFonts w:ascii="Arial" w:cs="Arial" w:eastAsia="Arial" w:hAnsi="Arial"/>
                <w:sz w:val="17"/>
                <w:szCs w:val="17"/>
                <w:color w:val="auto"/>
              </w:rPr>
              <w:t>Unearned ESOP shares</w:t>
            </w:r>
          </w:p>
        </w:tc>
        <w:tc>
          <w:tcPr>
            <w:tcW w:w="17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(43)</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6"/>
        </w:trPr>
        <w:tc>
          <w:tcPr>
            <w:tcW w:w="63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Accumulated other comprehensive loss</w:t>
            </w:r>
          </w:p>
        </w:tc>
        <w:tc>
          <w:tcPr>
            <w:tcW w:w="17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(3,555)</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(3,734)</w:t>
            </w:r>
          </w:p>
        </w:tc>
      </w:tr>
      <w:tr>
        <w:trPr>
          <w:trHeight w:val="209"/>
        </w:trPr>
        <w:tc>
          <w:tcPr>
            <w:tcW w:w="6340" w:type="dxa"/>
            <w:vAlign w:val="bottom"/>
          </w:tcPr>
          <w:p>
            <w:pPr>
              <w:ind w:left="1120"/>
              <w:spacing w:after="0"/>
              <w:rPr>
                <w:sz w:val="20"/>
                <w:szCs w:val="20"/>
                <w:color w:val="auto"/>
              </w:rPr>
            </w:pPr>
            <w:r>
              <w:rPr>
                <w:rFonts w:ascii="Arial" w:cs="Arial" w:eastAsia="Arial" w:hAnsi="Arial"/>
                <w:sz w:val="17"/>
                <w:szCs w:val="17"/>
                <w:color w:val="auto"/>
              </w:rPr>
              <w:t>Total Shareowners’ Equity</w:t>
            </w:r>
          </w:p>
        </w:tc>
        <w:tc>
          <w:tcPr>
            <w:tcW w:w="17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b w:val="1"/>
                <w:bCs w:val="1"/>
                <w:color w:val="auto"/>
              </w:rPr>
              <w:t>71,115</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72,163</w:t>
            </w:r>
          </w:p>
        </w:tc>
      </w:tr>
      <w:tr>
        <w:trPr>
          <w:trHeight w:val="216"/>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17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1,606</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1,689</w:t>
            </w:r>
          </w:p>
        </w:tc>
      </w:tr>
      <w:tr>
        <w:trPr>
          <w:trHeight w:val="209"/>
        </w:trPr>
        <w:tc>
          <w:tcPr>
            <w:tcW w:w="634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Total Equity</w:t>
            </w:r>
          </w:p>
        </w:tc>
        <w:tc>
          <w:tcPr>
            <w:tcW w:w="1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72,721</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73,852</w:t>
            </w:r>
          </w:p>
        </w:tc>
      </w:tr>
      <w:tr>
        <w:trPr>
          <w:trHeight w:val="217"/>
        </w:trPr>
        <w:tc>
          <w:tcPr>
            <w:tcW w:w="6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Total Liabilities, Redeemable Noncontrolling Interest and Equity</w:t>
            </w:r>
          </w:p>
        </w:tc>
        <w:tc>
          <w:tcPr>
            <w:tcW w:w="17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158,838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162,153</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11"/>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Net income (loss) from continuing operations</w:t>
            </w:r>
          </w:p>
        </w:tc>
        <w:tc>
          <w:tcPr>
            <w:tcW w:w="320" w:type="dxa"/>
            <w:vAlign w:val="bottom"/>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1,901</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(3,328)</w:t>
            </w:r>
          </w:p>
        </w:tc>
      </w:tr>
      <w:tr>
        <w:trPr>
          <w:trHeight w:val="162"/>
        </w:trPr>
        <w:tc>
          <w:tcPr>
            <w:tcW w:w="8460" w:type="dxa"/>
            <w:vAlign w:val="bottom"/>
            <w:shd w:val="clear" w:color="auto" w:fill="CCEEFF"/>
          </w:tcPr>
          <w:p>
            <w:pPr>
              <w:ind w:left="360"/>
              <w:spacing w:after="0" w:line="162" w:lineRule="exact"/>
              <w:rPr>
                <w:sz w:val="20"/>
                <w:szCs w:val="20"/>
                <w:color w:val="auto"/>
              </w:rPr>
            </w:pPr>
            <w:r>
              <w:rPr>
                <w:rFonts w:ascii="Arial" w:cs="Arial" w:eastAsia="Arial" w:hAnsi="Arial"/>
                <w:sz w:val="17"/>
                <w:szCs w:val="17"/>
                <w:color w:val="auto"/>
                <w:w w:val="98"/>
              </w:rPr>
              <w:t>Adjustments to reconcile net income (loss) from continuing operations to net cash flows provided by operating</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2,255</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1,839</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Deferred income tax provision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175</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Stock compensation cost</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227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Net periodic pension and other postretirement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(715)</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Goodwill impairment charge</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3,183</w:t>
            </w:r>
          </w:p>
        </w:tc>
      </w:tr>
      <w:tr>
        <w:trPr>
          <w:trHeight w:val="216"/>
        </w:trPr>
        <w:tc>
          <w:tcPr>
            <w:tcW w:w="84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Change in: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Accounts receivable</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293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1,163</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Contract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(557)</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Inventory</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(133)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(550)</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Other current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(258)</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r>
      <w:tr>
        <w:trPr>
          <w:trHeight w:val="216"/>
        </w:trPr>
        <w:tc>
          <w:tcPr>
            <w:tcW w:w="8460" w:type="dxa"/>
            <w:vAlign w:val="bottom"/>
          </w:tcPr>
          <w:p>
            <w:pPr>
              <w:ind w:left="880"/>
              <w:spacing w:after="0"/>
              <w:rPr>
                <w:sz w:val="20"/>
                <w:szCs w:val="20"/>
                <w:color w:val="auto"/>
              </w:rPr>
            </w:pPr>
            <w:r>
              <w:rPr>
                <w:rFonts w:ascii="Arial" w:cs="Arial" w:eastAsia="Arial" w:hAnsi="Arial"/>
                <w:sz w:val="17"/>
                <w:szCs w:val="17"/>
                <w:color w:val="auto"/>
              </w:rPr>
              <w:t>Accounts payable and accrued liabilities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(733)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(1,395)</w:t>
            </w:r>
          </w:p>
        </w:tc>
      </w:tr>
      <w:tr>
        <w:trPr>
          <w:trHeight w:val="216"/>
        </w:trPr>
        <w:tc>
          <w:tcPr>
            <w:tcW w:w="84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Contract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Global pension contributions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16"/>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Other operating activities,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(336)</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0"/>
        </w:trPr>
        <w:tc>
          <w:tcPr>
            <w:tcW w:w="84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Net cash flows provided by operating activities from continuing operations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2,049</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1,342</w:t>
            </w: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Capital expenditures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(747)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(783)</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Investments in businesses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Dispositions of businesses, net of cash transferred (Note 2)</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1,074</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acquired in Raytheon Merger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3,208</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Increase in customer financing assets,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(102)</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Increase in collaboration intangible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Receipts (payments) from settlements of derivative contracts, net</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50</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16"/>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Other investing activities,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30</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09"/>
        </w:trPr>
        <w:tc>
          <w:tcPr>
            <w:tcW w:w="84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Net cash flows provided by investing activities from continuing operations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239</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2,056</w:t>
            </w: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Issuance of long-term debt</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1,984</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Distribution from discontinued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17,207</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Repayment of long-term debt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(307)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(15,038)</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Decrease in short-term borrowings,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(2,045)</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Proceeds from Common Stock issued under employee stock plans</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2</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Dividends paid on Common Stock</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(1,461)</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Repurchase of Common Stock</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(1,007)</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transfers to discontinued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(1,966)</w:t>
            </w:r>
          </w:p>
        </w:tc>
      </w:tr>
      <w:tr>
        <w:trPr>
          <w:trHeight w:val="216"/>
        </w:trPr>
        <w:tc>
          <w:tcPr>
            <w:tcW w:w="846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Other financing activities,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r>
      <w:tr>
        <w:trPr>
          <w:trHeight w:val="210"/>
        </w:trPr>
        <w:tc>
          <w:tcPr>
            <w:tcW w:w="84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Net cash flows used in financing activities from continuing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(3,119)</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w:t>
            </w:r>
          </w:p>
        </w:tc>
      </w:tr>
      <w:tr>
        <w:trPr>
          <w:trHeight w:val="210"/>
        </w:trPr>
        <w:tc>
          <w:tcPr>
            <w:tcW w:w="8460" w:type="dxa"/>
            <w:vAlign w:val="bottom"/>
          </w:tcPr>
          <w:p>
            <w:pPr>
              <w:ind w:left="20"/>
              <w:spacing w:after="0"/>
              <w:rPr>
                <w:sz w:val="20"/>
                <w:szCs w:val="20"/>
                <w:color w:val="auto"/>
              </w:rPr>
            </w:pPr>
            <w:r>
              <w:rPr>
                <w:rFonts w:ascii="Arial" w:cs="Arial" w:eastAsia="Arial" w:hAnsi="Arial"/>
                <w:sz w:val="17"/>
                <w:szCs w:val="17"/>
                <w:color w:val="auto"/>
              </w:rPr>
              <w:t>Discontinued Operations: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cash used in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r>
      <w:tr>
        <w:trPr>
          <w:trHeight w:val="216"/>
        </w:trPr>
        <w:tc>
          <w:tcPr>
            <w:tcW w:w="8460" w:type="dxa"/>
            <w:vAlign w:val="bottom"/>
          </w:tcPr>
          <w:p>
            <w:pPr>
              <w:ind w:left="36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(241)</w:t>
            </w:r>
          </w:p>
        </w:tc>
      </w:tr>
      <w:tr>
        <w:trPr>
          <w:trHeight w:val="216"/>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(1,481)</w:t>
            </w:r>
          </w:p>
        </w:tc>
      </w:tr>
      <w:tr>
        <w:trPr>
          <w:trHeight w:val="210"/>
        </w:trPr>
        <w:tc>
          <w:tcPr>
            <w:tcW w:w="84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Net cash used in discontinued operations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(2,383)</w:t>
            </w: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foreign exchange rate changes on cash and cash equivalents from continuing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79</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 of foreign exchange rate changes on cash and cash equivalents from discontinued operations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r>
      <w:tr>
        <w:trPr>
          <w:trHeight w:val="209"/>
        </w:trPr>
        <w:tc>
          <w:tcPr>
            <w:tcW w:w="84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decrease in cash, cash equivalents and restricted cash</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r>
      <w:tr>
        <w:trPr>
          <w:trHeight w:val="216"/>
        </w:trPr>
        <w:tc>
          <w:tcPr>
            <w:tcW w:w="846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8,832</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4,961</w:t>
            </w:r>
          </w:p>
        </w:tc>
      </w:tr>
      <w:tr>
        <w:trPr>
          <w:trHeight w:val="216"/>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within assets related to discontinued operations,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2,459</w:t>
            </w:r>
          </w:p>
        </w:tc>
      </w:tr>
      <w:tr>
        <w:trPr>
          <w:trHeight w:val="209"/>
        </w:trPr>
        <w:tc>
          <w:tcPr>
            <w:tcW w:w="846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8,080</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7,017</w:t>
            </w:r>
          </w:p>
        </w:tc>
      </w:tr>
      <w:tr>
        <w:trPr>
          <w:trHeight w:val="216"/>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Less: Restricted cash, included in 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6"/>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8,051</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6,975</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ind w:left="160"/>
              <w:spacing w:after="0"/>
              <w:rPr>
                <w:sz w:val="20"/>
                <w:szCs w:val="20"/>
                <w:color w:val="auto"/>
              </w:rPr>
            </w:pPr>
            <w:r>
              <w:rPr>
                <w:rFonts w:ascii="Arial" w:cs="Arial" w:eastAsia="Arial" w:hAnsi="Arial"/>
                <w:sz w:val="14"/>
                <w:szCs w:val="14"/>
                <w:b w:val="1"/>
                <w:bCs w:val="1"/>
                <w:color w:val="auto"/>
              </w:rPr>
              <w:t>Quarter Ended June 30,</w:t>
            </w:r>
          </w:p>
        </w:tc>
        <w:tc>
          <w:tcPr>
            <w:tcW w:w="220" w:type="dxa"/>
            <w:vAlign w:val="bottom"/>
          </w:tcPr>
          <w:p>
            <w:pPr>
              <w:spacing w:after="0"/>
              <w:rPr>
                <w:sz w:val="16"/>
                <w:szCs w:val="16"/>
                <w:color w:val="auto"/>
              </w:rPr>
            </w:pPr>
          </w:p>
        </w:tc>
        <w:tc>
          <w:tcPr>
            <w:tcW w:w="2120" w:type="dxa"/>
            <w:vAlign w:val="bottom"/>
            <w:gridSpan w:val="3"/>
          </w:tcPr>
          <w:p>
            <w:pPr>
              <w:jc w:val="right"/>
              <w:ind w:right="235"/>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8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thousands)</w:t>
            </w: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 beginning balance</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73,308</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41,935</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73,852</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44,231</w:t>
            </w:r>
          </w:p>
        </w:tc>
        <w:tc>
          <w:tcPr>
            <w:tcW w:w="0" w:type="dxa"/>
            <w:vAlign w:val="bottom"/>
          </w:tcPr>
          <w:p>
            <w:pPr>
              <w:spacing w:after="0"/>
              <w:rPr>
                <w:sz w:val="1"/>
                <w:szCs w:val="1"/>
                <w:color w:val="auto"/>
              </w:rPr>
            </w:pPr>
          </w:p>
        </w:tc>
      </w:tr>
      <w:tr>
        <w:trPr>
          <w:trHeight w:val="209"/>
        </w:trPr>
        <w:tc>
          <w:tcPr>
            <w:tcW w:w="6480" w:type="dxa"/>
            <w:vAlign w:val="bottom"/>
          </w:tcPr>
          <w:p>
            <w:pPr>
              <w:ind w:left="140"/>
              <w:spacing w:after="0"/>
              <w:rPr>
                <w:sz w:val="20"/>
                <w:szCs w:val="20"/>
                <w:color w:val="auto"/>
              </w:rPr>
            </w:pPr>
            <w:r>
              <w:rPr>
                <w:rFonts w:ascii="Arial" w:cs="Arial" w:eastAsia="Arial" w:hAnsi="Arial"/>
                <w:sz w:val="17"/>
                <w:szCs w:val="17"/>
                <w:b w:val="1"/>
                <w:bCs w:val="1"/>
                <w:color w:val="auto"/>
              </w:rPr>
              <w:t>Common Stock</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36,997</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36,930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23,019</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Common Stock plans activity</w:t>
            </w:r>
          </w:p>
        </w:tc>
        <w:tc>
          <w:tcPr>
            <w:tcW w:w="26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186</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auto"/>
              </w:rPr>
              <w:t>253</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ind w:left="220"/>
              <w:spacing w:after="0" w:line="162" w:lineRule="exact"/>
              <w:rPr>
                <w:sz w:val="20"/>
                <w:szCs w:val="20"/>
                <w:color w:val="auto"/>
              </w:rPr>
            </w:pPr>
            <w:r>
              <w:rPr>
                <w:rFonts w:ascii="Arial" w:cs="Arial" w:eastAsia="Arial" w:hAnsi="Arial"/>
                <w:sz w:val="17"/>
                <w:szCs w:val="17"/>
                <w:color w:val="auto"/>
                <w:w w:val="97"/>
              </w:rPr>
              <w:t>Common Stock issued for Raytheon Company outstanding common stock and equity</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10,897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10,897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awards</w:t>
            </w: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Adjustment to Common Stock for the Otis Distribution</w:t>
            </w:r>
          </w:p>
        </w:tc>
        <w:tc>
          <w:tcPr>
            <w:tcW w:w="26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2,598</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Sale of subsidiary shares from noncontrolling interest, net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37,183</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36,735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37,183</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36,735</w:t>
            </w: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Treasury Stock</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(10,780)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(10,407)</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(32,626)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plans activity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Common Stock repurchased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(645)</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(1,020)</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ind w:left="220"/>
              <w:spacing w:after="0" w:line="162" w:lineRule="exact"/>
              <w:rPr>
                <w:sz w:val="20"/>
                <w:szCs w:val="20"/>
                <w:color w:val="auto"/>
              </w:rPr>
            </w:pPr>
            <w:r>
              <w:rPr>
                <w:rFonts w:ascii="Arial" w:cs="Arial" w:eastAsia="Arial" w:hAnsi="Arial"/>
                <w:sz w:val="17"/>
                <w:szCs w:val="17"/>
                <w:color w:val="auto"/>
                <w:w w:val="97"/>
              </w:rPr>
              <w:t>Common Stock issued for Raytheon Company outstanding common stock and equity</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22,269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22,269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awards</w:t>
            </w: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(11,424)</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(10,398)</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(11,424)</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(10,398)</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Retained Earnings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49,460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49,423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61,594</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Net income (loss)</w:t>
            </w:r>
          </w:p>
        </w:tc>
        <w:tc>
          <w:tcPr>
            <w:tcW w:w="26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1,032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auto"/>
              </w:rPr>
              <w:t>1,785</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(3,918)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 to retained earnings for the Carrier Distribution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(5,805)</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Dividends on Common Stock</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(1,510)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(2,215)</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(2,041)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on ESOP Common Stock</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Redeemable noncontrolling interest fair value adjustment</w:t>
            </w:r>
          </w:p>
        </w:tc>
        <w:tc>
          <w:tcPr>
            <w:tcW w:w="26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 including the adoption impact of ASU 2016-13 (Note 21)</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48,954</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49,744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48,954</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49,744</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Unearned ESOP Shares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(46)</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(49)</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Common Stock plans activity</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Accumulated Other Comprehensive Income (Loss)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(3,921)</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(11,788)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(3,734)</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(10,149)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comprehensive income (loss), net of tax</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366</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179</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Separation of Carrier and Otis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3,875</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(3,555)</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(8,800)</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(3,555)</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(8,800)</w:t>
            </w:r>
          </w:p>
        </w:tc>
        <w:tc>
          <w:tcPr>
            <w:tcW w:w="0" w:type="dxa"/>
            <w:vAlign w:val="bottom"/>
          </w:tcPr>
          <w:p>
            <w:pPr>
              <w:spacing w:after="0"/>
              <w:rPr>
                <w:sz w:val="1"/>
                <w:szCs w:val="1"/>
                <w:color w:val="auto"/>
              </w:rPr>
            </w:pPr>
          </w:p>
        </w:tc>
      </w:tr>
      <w:tr>
        <w:trPr>
          <w:trHeight w:val="210"/>
        </w:trPr>
        <w:tc>
          <w:tcPr>
            <w:tcW w:w="6480" w:type="dxa"/>
            <w:vAlign w:val="bottom"/>
          </w:tcPr>
          <w:p>
            <w:pPr>
              <w:ind w:left="140"/>
              <w:spacing w:after="0"/>
              <w:rPr>
                <w:sz w:val="20"/>
                <w:szCs w:val="20"/>
                <w:color w:val="auto"/>
              </w:rPr>
            </w:pPr>
            <w:r>
              <w:rPr>
                <w:rFonts w:ascii="Arial" w:cs="Arial" w:eastAsia="Arial" w:hAnsi="Arial"/>
                <w:sz w:val="17"/>
                <w:szCs w:val="17"/>
                <w:b w:val="1"/>
                <w:bCs w:val="1"/>
                <w:color w:val="auto"/>
              </w:rPr>
              <w:t>Noncontrolling Interest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1,598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1,689</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6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48</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auto"/>
              </w:rPr>
              <w:t>89</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Redeemable noncontrolling interest net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Other comprehensive income (loss), net of tax</w:t>
            </w:r>
          </w:p>
        </w:tc>
        <w:tc>
          <w:tcPr>
            <w:tcW w:w="26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attributable to noncontrolling interest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(169)</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Sale of subsidiary shares from noncontrolling interest, net</w:t>
            </w:r>
          </w:p>
        </w:tc>
        <w:tc>
          <w:tcPr>
            <w:tcW w:w="26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contributions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Separation of Carrier and Otis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1,606</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1,667</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1,606</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1,667</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Equity at June 30</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72,721</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68,892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72,721</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68,892</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share information</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Arial" w:cs="Arial" w:eastAsia="Arial" w:hAnsi="Arial"/>
                <w:sz w:val="17"/>
                <w:szCs w:val="17"/>
                <w:color w:val="auto"/>
              </w:rPr>
              <w:t>Shares of Common Stock issued under employee plans, net</w:t>
            </w:r>
          </w:p>
        </w:tc>
        <w:tc>
          <w:tcPr>
            <w:tcW w:w="26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223</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auto"/>
              </w:rPr>
              <w:t>1,276</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1,907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Common Stock repurchased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7,445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12,642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162"/>
        </w:trPr>
        <w:tc>
          <w:tcPr>
            <w:tcW w:w="6480" w:type="dxa"/>
            <w:vAlign w:val="bottom"/>
          </w:tcPr>
          <w:p>
            <w:pPr>
              <w:ind w:left="20"/>
              <w:spacing w:after="0" w:line="162" w:lineRule="exact"/>
              <w:rPr>
                <w:sz w:val="20"/>
                <w:szCs w:val="20"/>
                <w:color w:val="auto"/>
              </w:rPr>
            </w:pPr>
            <w:r>
              <w:rPr>
                <w:rFonts w:ascii="Arial" w:cs="Arial" w:eastAsia="Arial" w:hAnsi="Arial"/>
                <w:sz w:val="17"/>
                <w:szCs w:val="17"/>
                <w:color w:val="auto"/>
                <w:w w:val="99"/>
              </w:rPr>
              <w:t>Shares of Common Stock issued for Raytheon Company outstanding common stock &amp;</w:t>
            </w:r>
          </w:p>
        </w:tc>
        <w:tc>
          <w:tcPr>
            <w:tcW w:w="260" w:type="dxa"/>
            <w:vAlign w:val="bottom"/>
          </w:tcPr>
          <w:p>
            <w:pPr>
              <w:spacing w:after="0"/>
              <w:rPr>
                <w:sz w:val="14"/>
                <w:szCs w:val="14"/>
                <w:color w:val="auto"/>
              </w:rPr>
            </w:pPr>
          </w:p>
        </w:tc>
        <w:tc>
          <w:tcPr>
            <w:tcW w:w="9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652,638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652,638</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7"/>
                <w:szCs w:val="17"/>
                <w:color w:val="auto"/>
              </w:rPr>
              <w:t>equity awards</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Dividends declared per share of Common Stock</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1.020</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1.495</w:t>
            </w:r>
          </w:p>
        </w:tc>
        <w:tc>
          <w:tcPr>
            <w:tcW w:w="3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Dividends paid per share of Common Stock</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0.510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0.475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0.985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1.210</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Condensed Consolidated Financial Statements at June 30, 2021 and for the quarters and six months ended June 30, 2021 and 2020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2020 Annual Report on Form 10-K. In addition, we reclassified certain amounts to conform to our current period presentation.</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Separation Transactions, Distributions and Raytheon Merger. </w:t>
      </w:r>
      <w:r>
        <w:rPr>
          <w:rFonts w:ascii="Arial" w:cs="Arial" w:eastAsia="Arial" w:hAnsi="Arial"/>
          <w:sz w:val="18"/>
          <w:szCs w:val="18"/>
          <w:color w:val="auto"/>
        </w:rPr>
        <w:t>On April 3, 2020, United Technologies Corporation (UTC) completed the separation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into three independent, publicly traded companies – UTC, Carrier Global Corporation (Carrier) and Otis Worldwide Corporation (Otis) (the Separation Transactions). UTC distributed all of the outstanding shares of Carrier common stock and all of the outstanding shares of Otis common stock to UTC shareowners who held shares of UTC common stock as of the close of business on March 19, 2020, the record date for the distributions (the Distributions) effective at 12:01 a.m., Eastern Time, on April 3, 2020. Immediately following the Separation Transactions and Distributions, on April 3, 2020, UTC and Raytheon Company completed their all-stock merger of equals transaction (the Raytheon Merger), pursuant to which Raytheon Company became a wholly-owned subsidiary of UTC and UTC was renamed Raytheon Technologies Corporation. As a result of these transactions, we now operate in four principal business segments: Collins Aerospace Systems (Collins Aerospace), Pratt &amp; Whitney, Raytheon Intelligence &amp; Space (RIS) and Raytheon Missiles &amp; Defense (RMD).</w:t>
      </w:r>
    </w:p>
    <w:p>
      <w:pPr>
        <w:spacing w:after="0" w:line="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UTC was determined to be the accounting acquirer in the Raytheon Merger, and, as a result, the financial statements of Raytheon Technologies include Raytheon Company’s financial position and results of operations for all periods subsequent to the completion of the Raytheon Merger on April 3, 2020. RIS and RMD follow a 4-4-5 fiscal calendar while Collins Aerospace and Pratt &amp; Whitney continue to use a quarter calendar end of June 30, 2021. Throughout this Quarterly Report on Form 10-Q, when we refer to the quarters ended June 30, 2021 and June 30, 2020 with respect to RIS or RMD, we are referring to their July 4, 2021 and June 28, 2020 fiscal quarter ends, respectively. The historical results of Carrier and Otis are presented as discontinued operations and, as such, have been excluded from both continuing operations and segment results for all periods presented. Throughout this Quarterly Report on Form 10-Q, unless otherwise indicated, amounts and activity are presented on a continuing operations basis.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the context otherwise requires, the terms “we,” “our,” “us,” “the Company,” “Raytheon Technologies,” and “RTC” mean United Technologies Corporation and its subsidiaries when referring to periods prior to the Raytheon Merger and to the combined company, Raytheon Technologies Corporation, when referring to periods after the Raytheon Merger. Unless the context otherwise requires, the terms “Raytheon Company,” or “Raytheon” mean Raytheon Company and its subsidiaries prior to the Raytheon Merger.</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COVID-19 Pandemic. </w:t>
      </w:r>
      <w:r>
        <w:rPr>
          <w:rFonts w:ascii="Arial" w:cs="Arial" w:eastAsia="Arial" w:hAnsi="Arial"/>
          <w:sz w:val="16"/>
          <w:szCs w:val="16"/>
          <w:color w:val="auto"/>
        </w:rPr>
        <w:t>Beginning in 2020, the coronavirus disease 2019 (COVID-19) negatively impacted both the U.S. and global economy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and operations and the industries in which we operate. The continued disruption to air travel and commercial activities and the significant restrictions and limitations on businesses, particularly within the aerospace and commercial airline industries, have negatively impacted global supply, demand and distribution capabilities. In particular, the unprecedented decrease in air travel resulting from the COVID-19 pandemic has adversely affected our airline and airframer customers, and their demand for the products and services of our Collins Aerospace and Pratt &amp; Whitney businesses.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In the six months ended June 30, 2020 we recorded write-downs of assets and significant unfavorable Estimate at Completion (EAC) adjustments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Collins Aerospace and Pratt &amp; Whitney businesses primarily related to:</w:t>
      </w:r>
    </w:p>
    <w:p>
      <w:pPr>
        <w:spacing w:after="0" w:line="9" w:lineRule="exact"/>
        <w:rPr>
          <w:sz w:val="20"/>
          <w:szCs w:val="20"/>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impairment charges of $3.2 billion in the quarter ended June 30, 2020 related to two of our Collins Aerospace reporting units. Refer to “Note 2: Acquisitions, Dispositions, Goodwill and Intangible Assets” for additional information,</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estimated credit losses on both our receivables and contract assets of $237 million and $309 million in the quarter and six months ended June 30, 2020, respectively,</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contract asset and inventory impairments at Collins Aerospace due to the impact of lower estimated future customer activity resulting from the expected acceleration of fleet retirements of a commercial aircraft of $122 million and $133 million in the quarter and six months ended June 30, 2020, respectively,</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EAC adjustments on commercial aftermarket contracts at Pratt &amp; Whitney based on a change in estimated future customer activity of $57 million in the quarter ended June 30,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impairment of a Collins Aerospace trade name of $17 million and $57 million, in the quarter and six months ended June 30, 2020, respectively, and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unfavorable EAC adjustment at Pratt &amp; Whitney related to a shift in overhead costs to military contracts of $44 million in the quarter ended June 30, 2020.</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RIS and RMD businesses, although experiencing minor impacts, have not experienced significant business disruptions as a result of the COVID-19 pandemic.</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Given the significant reduction in business and leisure passenger air travel, the number of planes temporarily grounded, and continued travel restrictions that have resulted from the ongoing COVID-19 pandemic, and the resulting impacts on our customers and their business activities, we expect our future operating results, particularly those of our Collins Aerospace and Pratt &amp; Whitney businesses, to continue to be negatively impacted when compared to pre-COVID-19 (2019) results. Our expectations regarding the COVID-19 pandemic and its potential financial impact are based on available information and assumptions that we believe are reasonable at this time; however, the actual financial impact is highly uncertain and subject to a wide range of factors and future developments. While we believe that the long-term outlook for the aerospace industry remains positive due to the fundamental drivers of air travel demand, there continues to be uncertainty with respect to the point at which commercial air traffic capacity will return to and/or exceed pre-COVID-19 levels. We have begun to see indications that commercial air travel is recovering in certain areas of demand; however, other areas continue to lag. As a result, we continue to estimate that a full recovery may occur in 2023 or 2024. New information may emerge concerning the scope, severity and duration of the COVID-19 pandemic, as well as any worsening of the pandemic, the effect of mutating strains and whether additional outbreaks of the pandemic will continue to occur, actions to contain the pandemic’s spread or treat its impact, continued availability of vaccines, and their distribution, acceptance and efficacy, and governmental, business and individual personal actions taken in response to the pandemic (including restrictions and limitations on travel and transportation, and changes in leisure and business travel patterns and work environments) among others. Some of these actions and related impacts may be trends that continue in the future even after the pandemic no longer poses a significant public health risk. As our commercial aerospace business begins to recover, we expect certain employee-related and discretionary costs, which were subject to prior year cost reduction actions, to return in 2021 and beyond. A recovery may also impact our judgments around credit risk related to estimated credit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Dispositions, Goodwill and Intangible Assets</w:t>
      </w:r>
    </w:p>
    <w:p>
      <w:pPr>
        <w:spacing w:after="0" w:line="1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Business Acquisitions. </w:t>
      </w:r>
      <w:r>
        <w:rPr>
          <w:rFonts w:ascii="Arial" w:cs="Arial" w:eastAsia="Arial" w:hAnsi="Arial"/>
          <w:sz w:val="16"/>
          <w:szCs w:val="16"/>
          <w:color w:val="auto"/>
        </w:rPr>
        <w:t>As described above, on April 3, 2020, pursuant to the Agreement and Plan of Merger dated June 9, 2019, as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Raytheon Merger Agreement) UTC and Raytheon Company completed their previously announced all-stock merger of equals, following the completion by UTC of the Separation Transactions and Distributions. Raytheon Company (previously New York Stock Exchange (NYSE): RTN) shares ceased trading prior to the market open on April 3, 2020, and each share of Raytheon common stock was converted in the merger into the right to receive 2.3348 shares of UTC common stock previously traded on the NYSE under the ticker symbol “UTX.” Upon closing of the Raytheon Merger, UTC’s name was changed to “Raytheon Technologies Corporation,” and its shares of common stock began trading as of April 3, 2020 on the NYSE under the ticker symbol “RTX.”</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Total consideration is calculated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Fair value of RTC common stock issued for Raytheon Company outstanding common stock and vested equity awards</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33,067</w:t>
            </w:r>
          </w:p>
        </w:tc>
      </w:tr>
      <w:tr>
        <w:trPr>
          <w:trHeight w:val="230"/>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attributable to pre-merger service for replacement equity awards</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9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merger consideration</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33,166</w:t>
            </w:r>
          </w:p>
        </w:tc>
      </w:tr>
      <w:tr>
        <w:trPr>
          <w:trHeight w:val="985"/>
        </w:trPr>
        <w:tc>
          <w:tcPr>
            <w:tcW w:w="9200" w:type="dxa"/>
            <w:vAlign w:val="bottom"/>
          </w:tcPr>
          <w:p>
            <w:pPr>
              <w:ind w:left="5540"/>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9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RTC common stock issued for Raytheon Company outstanding common stock and vested equity awards is calculated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and shares in millions, except per share amounts and exchange ratio)</w:t>
            </w: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Raytheon Company common shares outstanding as of April 3, 2020</w:t>
            </w: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29"/>
        </w:trPr>
        <w:tc>
          <w:tcPr>
            <w:tcW w:w="92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Number of Raytheon Company stock awards vested as a result of the Raytheon Merger </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outstanding shares of Raytheon Company common stock and equity awards entitled to merger consideration</w:t>
            </w: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29"/>
        </w:trPr>
        <w:tc>
          <w:tcPr>
            <w:tcW w:w="92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Exchange ratio </w:t>
            </w:r>
            <w:r>
              <w:rPr>
                <w:rFonts w:ascii="Arial" w:cs="Arial" w:eastAsia="Arial" w:hAnsi="Arial"/>
                <w:sz w:val="23"/>
                <w:szCs w:val="23"/>
                <w:color w:val="auto"/>
                <w:vertAlign w:val="superscript"/>
              </w:rPr>
              <w:t>(2)</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RTC common stock issued for Raytheon Company outstanding common stock and vested equity awards</w:t>
            </w:r>
          </w:p>
        </w:tc>
        <w:tc>
          <w:tcPr>
            <w:tcW w:w="9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r>
      <w:tr>
        <w:trPr>
          <w:trHeight w:val="229"/>
        </w:trPr>
        <w:tc>
          <w:tcPr>
            <w:tcW w:w="92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Price per share of RTC common stock </w:t>
            </w:r>
            <w:r>
              <w:rPr>
                <w:rFonts w:ascii="Arial" w:cs="Arial" w:eastAsia="Arial" w:hAnsi="Arial"/>
                <w:sz w:val="23"/>
                <w:szCs w:val="23"/>
                <w:color w:val="auto"/>
                <w:vertAlign w:val="superscript"/>
              </w:rPr>
              <w:t>(3)</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r>
      <w:tr>
        <w:trPr>
          <w:trHeight w:val="230"/>
        </w:trPr>
        <w:tc>
          <w:tcPr>
            <w:tcW w:w="9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Fair value of RTC common stock issued for Raytheon Company outstanding common stock and vested equity awards</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33,067</w:t>
            </w:r>
          </w:p>
        </w:tc>
      </w:tr>
    </w:tbl>
    <w:p>
      <w:pPr>
        <w:spacing w:after="0" w:line="184" w:lineRule="exact"/>
        <w:rPr>
          <w:sz w:val="20"/>
          <w:szCs w:val="20"/>
          <w:color w:val="auto"/>
        </w:rPr>
      </w:pPr>
    </w:p>
    <w:p>
      <w:pPr>
        <w:jc w:val="both"/>
        <w:ind w:left="340" w:hanging="332"/>
        <w:spacing w:after="0" w:line="245" w:lineRule="auto"/>
        <w:tabs>
          <w:tab w:leader="none" w:pos="383"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Raytheon Company stock awards that vested as a result of the Raytheon Merger, which is considered a “change in control” for purposes of the Raytheon 2010 Stock Plan. Certain Raytheon Company restricted stock awards and Raytheon Company restricted stock unit (RSU) awards, issued under the Raytheon 2010 Stock Plan vested on an accelerated basis as a result of the Raytheon Merger. Such vested awards were converted into the right to receive RTC common stock determined as the product of (1) the number of vested awards, and (2) the exchange ratio.</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exchange ratio is equal to 2.3348 shares of UTC common stock for each share of Raytheon Company common stock in accordance with the Raytheon Merger Agreement.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price per share of RTC common stock is based on the RTC opening stock price as of April 3, 2020.</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Allocation of Consideration Transferred to Net Assets Acquired. </w:t>
      </w:r>
      <w:r>
        <w:rPr>
          <w:rFonts w:ascii="Arial" w:cs="Arial" w:eastAsia="Arial" w:hAnsi="Arial"/>
          <w:sz w:val="18"/>
          <w:szCs w:val="18"/>
          <w:color w:val="auto"/>
        </w:rPr>
        <w:t>We accounted for the Raytheon Merger under the acquisition method and are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identifiable assets acquired and liabilities assumed of the acquiree (Raytheon Company) at the fair values on the closing date. During the first quarter of 2021, based on the finalization of our valuation and internal reviews, we completed the purchase price allocation which resulted in a net increase to goodwill of $61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final purchase price allocation, net of cash acquired, for the acquisition was as follows: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Inventory, net</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current</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Fixed assets, net</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4,745</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19,130</w:t>
            </w:r>
          </w:p>
        </w:tc>
      </w:tr>
      <w:tr>
        <w:trPr>
          <w:trHeight w:val="230"/>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relationships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r>
      <w:tr>
        <w:trPr>
          <w:trHeight w:val="229"/>
        </w:trPr>
        <w:tc>
          <w:tcPr>
            <w:tcW w:w="6860" w:type="dxa"/>
            <w:vAlign w:val="bottom"/>
          </w:tcPr>
          <w:p>
            <w:pPr>
              <w:ind w:left="240"/>
              <w:spacing w:after="0"/>
              <w:rPr>
                <w:sz w:val="20"/>
                <w:szCs w:val="20"/>
                <w:color w:val="auto"/>
              </w:rPr>
            </w:pPr>
            <w:r>
              <w:rPr>
                <w:rFonts w:ascii="Arial" w:cs="Arial" w:eastAsia="Arial" w:hAnsi="Arial"/>
                <w:sz w:val="18"/>
                <w:szCs w:val="18"/>
                <w:color w:val="auto"/>
              </w:rPr>
              <w:t>Tradenames/trademarks</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5,430</w:t>
            </w:r>
          </w:p>
        </w:tc>
      </w:tr>
      <w:tr>
        <w:trPr>
          <w:trHeight w:val="229"/>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Developed technology</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3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assets acquired</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38,916</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1,477</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 compensation</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4,700</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 portion</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Future pension and postretirement benefit obligation</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11,607</w:t>
            </w:r>
          </w:p>
        </w:tc>
      </w:tr>
      <w:tr>
        <w:trPr>
          <w:trHeight w:val="229"/>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23"/>
        </w:trPr>
        <w:tc>
          <w:tcPr>
            <w:tcW w:w="6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 liabilities acquired</w:t>
            </w:r>
          </w:p>
        </w:tc>
        <w:tc>
          <w:tcPr>
            <w:tcW w:w="3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27,305</w:t>
            </w:r>
          </w:p>
        </w:tc>
      </w:tr>
      <w:tr>
        <w:trPr>
          <w:trHeight w:val="223"/>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identifiable net assets</w:t>
            </w:r>
          </w:p>
        </w:tc>
        <w:tc>
          <w:tcPr>
            <w:tcW w:w="3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11,611</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21,589</w:t>
            </w:r>
          </w:p>
        </w:tc>
      </w:tr>
      <w:tr>
        <w:trPr>
          <w:trHeight w:val="230"/>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3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 consideration transferred</w:t>
            </w:r>
          </w:p>
        </w:tc>
        <w:tc>
          <w:tcPr>
            <w:tcW w:w="3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33,166</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adjustments to Raytheon Company’s identified assets and liabilities included an increase in fixed assets of $1.1 billion and an increase to future pension and postretirement benefit obligations of $3.6 billion, primarily related to remeasurement of the liability based on market conditions on the Raytheon Merger closing date. For further information, see “Note 10: Employee Benefit Plans.” In determining the fair value of identifiable assets acquired and liabilities assumed, a review was conducted for any significant contingent assets or liabilities existing as of the closing date. The assessment did not note any material contingencies related to existing legal or government action.</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fair values of the customer relationship intangible assets were determined by using a discounted cash flow valuation method, which is a form of the income approach. Under this approach, the estimated future cash flows attributable to the asset are adjusted to exclude the future cash flows that can be attributed to supporting assets, such as trade names or fixed assets. Both the amount and the duration of the cash flows are considered from a market participant perspective. Our estimates of market participant future cash flows, which require significant management judgement, included forecasted revenue growth rates, remaining developmental effort, operational performance including company specific synergies, program life cycles, material and labor pricing, and other relevant customer, contractual and market factors. Where appropriate, the net cash flows are probability-adjusted to reflect the uncertainties associated with the underlying assumptions, including cancellation rates related to backlog, government demand for sole-source and recompete contracts and win rates for recompete contracts, as well as the risk profile of the net cash flows utilized in the valuation. The probability-adjusted future cash flows are then discounted to present value, using an appropriate discount rate that requires significant judgment by management. The customer relationship intangible assets are being amortized based on the pattern of economic benefits we expect to realize over the estimated economic life of the underlying programs. The fair value of the tradename intangible assets were determined utilizing the relief from royalty method which is a form of the income approach. Under this method, a royalty rate based on observed market royalties is applied to projected revenue supporting the tradename and discounted to present value, using forecasted revenue growth rate projections and a discount rate, respectively, that requires significant judgment by management.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tradename intangible assets have been determined to have an indefinite life. The developed technology intangible assets are being amortized based on the pattern of economic benefits.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included above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Useful Life</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customer relationships</w:t>
            </w:r>
          </w:p>
        </w:tc>
        <w:tc>
          <w:tcPr>
            <w:tcW w:w="3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12,900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years</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Acquired tradenames</w:t>
            </w:r>
          </w:p>
        </w:tc>
        <w:tc>
          <w:tcPr>
            <w:tcW w:w="32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5,430</w:t>
            </w:r>
          </w:p>
        </w:tc>
        <w:tc>
          <w:tcPr>
            <w:tcW w:w="122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29"/>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Acquired developed technology</w:t>
            </w:r>
          </w:p>
        </w:tc>
        <w:tc>
          <w:tcPr>
            <w:tcW w:w="3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800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to 7 years</w:t>
            </w:r>
          </w:p>
        </w:tc>
      </w:tr>
      <w:tr>
        <w:trPr>
          <w:trHeight w:val="23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identifiable intangible assets</w:t>
            </w:r>
          </w:p>
        </w:tc>
        <w:tc>
          <w:tcPr>
            <w:tcW w:w="3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19,130</w:t>
            </w:r>
          </w:p>
        </w:tc>
        <w:tc>
          <w:tcPr>
            <w:tcW w:w="1220" w:type="dxa"/>
            <w:vAlign w:val="bottom"/>
            <w:tcBorders>
              <w:bottom w:val="single" w:sz="8" w:color="auto"/>
            </w:tcBorders>
          </w:tcPr>
          <w:p>
            <w:pPr>
              <w:spacing w:after="0"/>
              <w:rPr>
                <w:sz w:val="20"/>
                <w:szCs w:val="20"/>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identified customer contractual obligations on loss making programs and recorded liabilities of $222 million related to these programs based on the difference between the actual expected operating loss and a normalized operating profit. These liabilities will be liquidated based on the expected pattern of expenses incurred on these contracts.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recorded $21.6 billion of goodwill as a result of the Raytheon Merger which primarily relates to expected synergies from combining operations and the value of the existing workforce. The goodwill generated as a result of the Raytheon Merger is nondeductible for tax purposes.</w:t>
      </w:r>
    </w:p>
    <w:p>
      <w:pPr>
        <w:spacing w:after="0" w:line="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Merger-Related Costs. </w:t>
      </w:r>
      <w:r>
        <w:rPr>
          <w:rFonts w:ascii="Arial" w:cs="Arial" w:eastAsia="Arial" w:hAnsi="Arial"/>
          <w:sz w:val="16"/>
          <w:szCs w:val="16"/>
          <w:color w:val="auto"/>
        </w:rPr>
        <w:t>Merger-related costs have been expensed as incurred. In the six months ended June 30, 2021 we recorded $17 million of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integration costs. In the quarter and six months ended June 30, 2020 we recorded $70 million and $99 million, respectively, of transaction and integration costs. These costs are included in Selling, general and administrative expenses within the Condensed Consolidated Statement of Operations.</w:t>
      </w:r>
    </w:p>
    <w:p>
      <w:pPr>
        <w:spacing w:after="0" w:line="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Supplemental Pro-Forma Data. </w:t>
      </w:r>
      <w:r>
        <w:rPr>
          <w:rFonts w:ascii="Arial" w:cs="Arial" w:eastAsia="Arial" w:hAnsi="Arial"/>
          <w:sz w:val="16"/>
          <w:szCs w:val="16"/>
          <w:color w:val="auto"/>
        </w:rPr>
        <w:t>Raytheon Company’s results of operations have been included in RTC’s financial statements for the period subsequent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completion of the Raytheon Merger on April 3, 2020. The following unaudited supplemental pro-forma data presents consolidated information as if the Raytheon Merger had been completed on January 1, 2019. The pro-forma results were calculated by combining the results of Raytheon Technologies with the stand-alone results of Raytheon Company for the pre-acquisition periods, which were adjusted to account for certain costs that would have been incurred during this pre-acquisition period. The results below reflect Raytheon Technologies on a continuing operations basis, in order to more accurately represent the structure of Raytheon Technologies after completion of the Separation Transactions, the Distributions and the Raytheon Merger.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tcPr>
          <w:p>
            <w:pPr>
              <w:jc w:val="right"/>
              <w:ind w:right="436"/>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June 30, 2020</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140" w:type="dxa"/>
            <w:vAlign w:val="bottom"/>
            <w:shd w:val="clear" w:color="auto" w:fill="CCEEFF"/>
          </w:tcPr>
          <w:p>
            <w:pPr>
              <w:jc w:val="right"/>
              <w:ind w:right="139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14,470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32,921</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Loss from continuing operations attributable to common shareowners</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(3,732)</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(3,014)</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 of common stock from continuing operations</w:t>
            </w:r>
          </w:p>
        </w:tc>
        <w:tc>
          <w:tcPr>
            <w:tcW w:w="2140" w:type="dxa"/>
            <w:vAlign w:val="bottom"/>
            <w:shd w:val="clear" w:color="auto" w:fill="CCEEFF"/>
          </w:tcPr>
          <w:p>
            <w:pPr>
              <w:jc w:val="right"/>
              <w:ind w:right="139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7"/>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(loss) per share of common stock from continuing operations</w:t>
            </w:r>
          </w:p>
        </w:tc>
        <w:tc>
          <w:tcPr>
            <w:tcW w:w="2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supplemental pro-forma data above includes the following significant adjustments made to account for certain costs which would have been incurred if the acquisition had been completed on January 1, 2019, as adjusted for the applicable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tax impact. As the merger was completed on April 3, 2020, the pro-forma adjustments in the table below only include the required adjustments through April 3,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2600" w:type="dxa"/>
            <w:vAlign w:val="bottom"/>
          </w:tcPr>
          <w:p>
            <w:pPr>
              <w:jc w:val="right"/>
              <w:ind w:right="99"/>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jc w:val="right"/>
              <w:ind w:right="433"/>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June 30, 2020</w:t>
            </w:r>
          </w:p>
        </w:tc>
        <w:tc>
          <w:tcPr>
            <w:tcW w:w="4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June 30, 2020</w:t>
            </w:r>
          </w:p>
        </w:tc>
      </w:tr>
      <w:tr>
        <w:trPr>
          <w:trHeight w:val="229"/>
        </w:trPr>
        <w:tc>
          <w:tcPr>
            <w:tcW w:w="59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Amortization of acquired Raytheon Company intangible assets, net </w:t>
            </w:r>
            <w:r>
              <w:rPr>
                <w:rFonts w:ascii="Arial" w:cs="Arial" w:eastAsia="Arial" w:hAnsi="Arial"/>
                <w:sz w:val="23"/>
                <w:szCs w:val="23"/>
                <w:color w:val="auto"/>
                <w:vertAlign w:val="superscript"/>
              </w:rPr>
              <w:t>(1)</w:t>
            </w:r>
          </w:p>
        </w:tc>
        <w:tc>
          <w:tcPr>
            <w:tcW w:w="2600" w:type="dxa"/>
            <w:vAlign w:val="bottom"/>
            <w:shd w:val="clear" w:color="auto" w:fill="CCEEFF"/>
          </w:tcPr>
          <w:p>
            <w:pPr>
              <w:jc w:val="right"/>
              <w:ind w:right="153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5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fixed asset fair value adjustment </w:t>
            </w:r>
            <w:r>
              <w:rPr>
                <w:rFonts w:ascii="Arial" w:cs="Arial" w:eastAsia="Arial" w:hAnsi="Arial"/>
                <w:sz w:val="23"/>
                <w:szCs w:val="23"/>
                <w:color w:val="auto"/>
                <w:vertAlign w:val="superscript"/>
              </w:rPr>
              <w:t>(2)</w:t>
            </w:r>
          </w:p>
        </w:tc>
        <w:tc>
          <w:tcPr>
            <w:tcW w:w="26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Utilization of contractual customer obligation </w:t>
            </w:r>
            <w:r>
              <w:rPr>
                <w:rFonts w:ascii="Arial" w:cs="Arial" w:eastAsia="Arial" w:hAnsi="Arial"/>
                <w:sz w:val="23"/>
                <w:szCs w:val="23"/>
                <w:color w:val="auto"/>
                <w:vertAlign w:val="superscript"/>
              </w:rPr>
              <w:t>(3)</w:t>
            </w:r>
          </w:p>
        </w:tc>
        <w:tc>
          <w:tcPr>
            <w:tcW w:w="2600" w:type="dxa"/>
            <w:vAlign w:val="bottom"/>
            <w:shd w:val="clear" w:color="auto" w:fill="CCEEFF"/>
          </w:tcPr>
          <w:p>
            <w:pPr>
              <w:spacing w:after="0"/>
              <w:rPr>
                <w:sz w:val="19"/>
                <w:szCs w:val="19"/>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Deferred revenue fair value adjustment </w:t>
            </w:r>
            <w:r>
              <w:rPr>
                <w:rFonts w:ascii="Arial" w:cs="Arial" w:eastAsia="Arial" w:hAnsi="Arial"/>
                <w:sz w:val="23"/>
                <w:szCs w:val="23"/>
                <w:color w:val="auto"/>
                <w:vertAlign w:val="superscript"/>
              </w:rPr>
              <w:t>(4)</w:t>
            </w:r>
          </w:p>
        </w:tc>
        <w:tc>
          <w:tcPr>
            <w:tcW w:w="26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 to non-service pension (income) expense </w:t>
            </w:r>
            <w:r>
              <w:rPr>
                <w:rFonts w:ascii="Arial" w:cs="Arial" w:eastAsia="Arial" w:hAnsi="Arial"/>
                <w:sz w:val="23"/>
                <w:szCs w:val="23"/>
                <w:color w:val="auto"/>
                <w:vertAlign w:val="superscript"/>
              </w:rPr>
              <w:t>(5)</w:t>
            </w:r>
          </w:p>
        </w:tc>
        <w:tc>
          <w:tcPr>
            <w:tcW w:w="2600" w:type="dxa"/>
            <w:vAlign w:val="bottom"/>
            <w:shd w:val="clear" w:color="auto" w:fill="CCEEFF"/>
          </w:tcPr>
          <w:p>
            <w:pPr>
              <w:spacing w:after="0"/>
              <w:rPr>
                <w:sz w:val="19"/>
                <w:szCs w:val="19"/>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5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RTC/Raytheon fees for advisory, legal, accounting services </w:t>
            </w:r>
            <w:r>
              <w:rPr>
                <w:rFonts w:ascii="Arial" w:cs="Arial" w:eastAsia="Arial" w:hAnsi="Arial"/>
                <w:sz w:val="23"/>
                <w:szCs w:val="23"/>
                <w:color w:val="auto"/>
                <w:vertAlign w:val="superscript"/>
              </w:rPr>
              <w:t>(6)</w:t>
            </w:r>
          </w:p>
        </w:tc>
        <w:tc>
          <w:tcPr>
            <w:tcW w:w="26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5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 to interest expense related to the Raytheon Merger, net </w:t>
            </w:r>
            <w:r>
              <w:rPr>
                <w:rFonts w:ascii="Arial" w:cs="Arial" w:eastAsia="Arial" w:hAnsi="Arial"/>
                <w:sz w:val="23"/>
                <w:szCs w:val="23"/>
                <w:color w:val="auto"/>
                <w:vertAlign w:val="superscript"/>
              </w:rPr>
              <w:t>(7)</w:t>
            </w:r>
          </w:p>
        </w:tc>
        <w:tc>
          <w:tcPr>
            <w:tcW w:w="2600" w:type="dxa"/>
            <w:vAlign w:val="bottom"/>
            <w:shd w:val="clear" w:color="auto" w:fill="CCEEFF"/>
          </w:tcPr>
          <w:p>
            <w:pPr>
              <w:spacing w:after="0"/>
              <w:rPr>
                <w:sz w:val="19"/>
                <w:szCs w:val="19"/>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9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Elimination of deferred commission amortization </w:t>
            </w:r>
            <w:r>
              <w:rPr>
                <w:rFonts w:ascii="Arial" w:cs="Arial" w:eastAsia="Arial" w:hAnsi="Arial"/>
                <w:sz w:val="23"/>
                <w:szCs w:val="23"/>
                <w:color w:val="auto"/>
                <w:vertAlign w:val="superscript"/>
              </w:rPr>
              <w:t>(8)</w:t>
            </w:r>
          </w:p>
        </w:tc>
        <w:tc>
          <w:tcPr>
            <w:tcW w:w="2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920" w:type="dxa"/>
            <w:vAlign w:val="bottom"/>
            <w:tcBorders>
              <w:bottom w:val="single" w:sz="8" w:color="auto"/>
            </w:tcBorders>
            <w:shd w:val="clear" w:color="auto" w:fill="CCEEFF"/>
          </w:tcPr>
          <w:p>
            <w:pPr>
              <w:spacing w:after="0"/>
              <w:rPr>
                <w:sz w:val="20"/>
                <w:szCs w:val="20"/>
                <w:color w:val="auto"/>
              </w:rPr>
            </w:pPr>
          </w:p>
        </w:tc>
        <w:tc>
          <w:tcPr>
            <w:tcW w:w="2600" w:type="dxa"/>
            <w:vAlign w:val="bottom"/>
            <w:tcBorders>
              <w:bottom w:val="single" w:sz="8" w:color="auto"/>
            </w:tcBorders>
            <w:shd w:val="clear" w:color="auto" w:fill="CCEEFF"/>
          </w:tcPr>
          <w:p>
            <w:pPr>
              <w:jc w:val="right"/>
              <w:ind w:right="153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61</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bl>
    <w:p>
      <w:pPr>
        <w:spacing w:after="0" w:line="184" w:lineRule="exact"/>
        <w:rPr>
          <w:sz w:val="20"/>
          <w:szCs w:val="20"/>
          <w:color w:val="auto"/>
        </w:rPr>
      </w:pPr>
    </w:p>
    <w:p>
      <w:pPr>
        <w:ind w:left="340" w:hanging="332"/>
        <w:spacing w:after="0" w:line="250" w:lineRule="auto"/>
        <w:tabs>
          <w:tab w:leader="none" w:pos="344"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additional amortization of the acquired Raytheon Company’s intangible assets recognized at fair value in purchase accounting and eliminates the historical Raytheon Company intangible asset amortization expense.</w:t>
      </w: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amortization of the fixed asset fair value adjustment as of the acquisition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additional amortization of liabilities recognized for certain acquired loss making contracts as of the acquisition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difference between prepayments related to extended arrangements and the fair value of the assumed performance obligations as they are satisfied.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elimination of unamortized prior service costs and actuarial losses, as a result of fair value purchase accounting.</w:t>
      </w:r>
    </w:p>
    <w:p>
      <w:pPr>
        <w:spacing w:after="0" w:line="1" w:lineRule="exact"/>
        <w:rPr>
          <w:rFonts w:ascii="Arial" w:cs="Arial" w:eastAsia="Arial" w:hAnsi="Arial"/>
          <w:sz w:val="14"/>
          <w:szCs w:val="14"/>
          <w:color w:val="auto"/>
        </w:rPr>
      </w:pPr>
    </w:p>
    <w:p>
      <w:pPr>
        <w:ind w:left="340" w:hanging="332"/>
        <w:spacing w:after="0" w:line="241" w:lineRule="auto"/>
        <w:tabs>
          <w:tab w:leader="none" w:pos="352"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elimination of transaction-related fees incurred by RTC and Raytheon Company in connection with the Raytheon Merger and assumes all of the fees were incurred during the first quarter of 2019.</w:t>
      </w: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amortization of the fair market value adjustment related to Raytheon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elimination of amortization recognized on deferred commissions that are eliminated in purchase accounting.</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supplemental pro-forma financial information does not reflect the potential realization of cost savings related to the integration of the two companies. Further, the pro-forma data should not be considered indicative of the results that would have occurred if the acquisition had been consummated on January 1, 2019, nor are they indicative of future results.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As discussed further in “Note 3: Discontinued Operations,” on April 2, 2020, Carrier and Otis entered into a Separation and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UTC (since renamed Raytheon Technologies Corporation), pursuant to which, among other things, UTC agreed to separate into three independent, publicly traded companies – UTC, Carrier and Otis and distribute all of the outstanding common stock of Carrier and Otis to UTC shareowners who held shares of UTC common stock as of the close of business on March 19, 2020. UTC distributed 866,158,910 and 433,079,455 shares of common stock of Carrier and Otis, respectively in the Distributions. As a result of the Distributions, Carrier and Otis are now independent publicly traded companies.</w:t>
      </w:r>
    </w:p>
    <w:p>
      <w:pPr>
        <w:spacing w:after="0" w:line="8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May 2020, in order to meet the requirements for regulatory approval of the Raytheon Merger, we completed the sale of our airborne tactical radios business within our RIS segment for $234 million in cash, net of transaction-related costs. As the transaction occurred subsequent to the Raytheon Merger, the gain of $210 million was not recorded in the Condensed Consolidated Statement of Operations, but rather was recorded as an adjustment to the fair value of net assets acquired in the allocation of consideration transferred to net assets acquired in the Raytheon Merger, as discussed further above. Income before taxes related to the disposed business for the period from the closing of the Raytheon Merger to disposal date was not material.</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2020, we entered into a definitive agreement to sell our Forcepoint business, which we completed on January 8, 2021, for proceeds of $1.1 billion, net of cash transferred. At December 31, 2020, the related assets of approximately $1.9 billion and liabilities of approximately $855 million were accounted for as held for sale at fair value less cost to sell; however, Forcepoint did not qualify for presentation as discontinued operations. These held for sale assets and liabilities are presented in Other assets, current and Other accrued liabilities, respectively, on our December 31, 2020 Condensed Consolidated Balance Sheet. Assets held for sale included $1.4 billion of goodwill and intangible assets. A further breakout of major classes of assets and liabilities has not been provided as the assets and liabilities held for sale are not material. We did not recognize a pre-tax gain or loss within the Condensed Consolidated Statement of Operations related to the sale of Forcepoint. The results of Forcepoint were included in Eliminations and other in our segment results.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six months ended June 30, 2021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38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Balance as of</w:t>
            </w:r>
          </w:p>
        </w:tc>
        <w:tc>
          <w:tcPr>
            <w:tcW w:w="26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4"/>
                <w:szCs w:val="14"/>
                <w:b w:val="1"/>
                <w:bCs w:val="1"/>
                <w:color w:val="auto"/>
              </w:rPr>
              <w:t>Acquisitions and</w:t>
            </w:r>
          </w:p>
        </w:tc>
        <w:tc>
          <w:tcPr>
            <w:tcW w:w="240" w:type="dxa"/>
            <w:vAlign w:val="bottom"/>
          </w:tcPr>
          <w:p>
            <w:pPr>
              <w:spacing w:after="0"/>
              <w:rPr>
                <w:sz w:val="14"/>
                <w:szCs w:val="14"/>
                <w:color w:val="auto"/>
              </w:rPr>
            </w:pPr>
          </w:p>
        </w:tc>
        <w:tc>
          <w:tcPr>
            <w:tcW w:w="1420" w:type="dxa"/>
            <w:vAlign w:val="bottom"/>
          </w:tcPr>
          <w:p>
            <w:pPr>
              <w:jc w:val="right"/>
              <w:ind w:right="172"/>
              <w:spacing w:after="0"/>
              <w:rPr>
                <w:sz w:val="20"/>
                <w:szCs w:val="20"/>
                <w:color w:val="auto"/>
              </w:rPr>
            </w:pPr>
            <w:r>
              <w:rPr>
                <w:rFonts w:ascii="Arial" w:cs="Arial" w:eastAsia="Arial" w:hAnsi="Arial"/>
                <w:sz w:val="14"/>
                <w:szCs w:val="14"/>
                <w:b w:val="1"/>
                <w:bCs w:val="1"/>
                <w:color w:val="auto"/>
                <w:w w:val="97"/>
              </w:rPr>
              <w:t>Foreign Currency</w:t>
            </w:r>
          </w:p>
        </w:tc>
        <w:tc>
          <w:tcPr>
            <w:tcW w:w="16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Balance as of June 30,</w:t>
            </w:r>
          </w:p>
        </w:tc>
        <w:tc>
          <w:tcPr>
            <w:tcW w:w="0" w:type="dxa"/>
            <w:vAlign w:val="bottom"/>
          </w:tcPr>
          <w:p>
            <w:pPr>
              <w:spacing w:after="0"/>
              <w:rPr>
                <w:sz w:val="1"/>
                <w:szCs w:val="1"/>
                <w:color w:val="auto"/>
              </w:rPr>
            </w:pPr>
          </w:p>
        </w:tc>
      </w:tr>
      <w:tr>
        <w:trPr>
          <w:trHeight w:val="188"/>
        </w:trPr>
        <w:tc>
          <w:tcPr>
            <w:tcW w:w="36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January 1, 2021</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Divestitures</w:t>
            </w:r>
          </w:p>
        </w:tc>
        <w:tc>
          <w:tcPr>
            <w:tcW w:w="16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Translation and Other</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31,571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w:t>
            </w:r>
          </w:p>
        </w:tc>
        <w:tc>
          <w:tcPr>
            <w:tcW w:w="42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31,597</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13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1,563</w:t>
            </w:r>
          </w:p>
        </w:tc>
        <w:tc>
          <w:tcPr>
            <w:tcW w:w="260" w:type="dxa"/>
            <w:vAlign w:val="bottom"/>
          </w:tcPr>
          <w:p>
            <w:pPr>
              <w:spacing w:after="0"/>
              <w:rPr>
                <w:sz w:val="19"/>
                <w:szCs w:val="19"/>
                <w:color w:val="auto"/>
              </w:rPr>
            </w:pPr>
          </w:p>
        </w:tc>
        <w:tc>
          <w:tcPr>
            <w:tcW w:w="1360" w:type="dxa"/>
            <w:vAlign w:val="bottom"/>
          </w:tcPr>
          <w:p>
            <w:pPr>
              <w:ind w:left="10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1,563</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Raytheon Intelligence &amp; Space</w:t>
            </w:r>
            <w:r>
              <w:rPr>
                <w:rFonts w:ascii="Arial" w:cs="Arial" w:eastAsia="Arial" w:hAnsi="Arial"/>
                <w:sz w:val="23"/>
                <w:szCs w:val="23"/>
                <w:color w:val="auto"/>
                <w:vertAlign w:val="superscript"/>
              </w:rPr>
              <w:t>(1)</w:t>
            </w:r>
          </w:p>
        </w:tc>
        <w:tc>
          <w:tcPr>
            <w:tcW w:w="1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9,522</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9,557</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Raytheon Missiles &amp; Defense</w:t>
            </w:r>
            <w:r>
              <w:rPr>
                <w:rFonts w:ascii="Arial" w:cs="Arial" w:eastAsia="Arial" w:hAnsi="Arial"/>
                <w:sz w:val="23"/>
                <w:szCs w:val="23"/>
                <w:color w:val="auto"/>
                <w:vertAlign w:val="superscript"/>
              </w:rPr>
              <w:t>(1)</w:t>
            </w:r>
          </w:p>
        </w:tc>
        <w:tc>
          <w:tcPr>
            <w:tcW w:w="1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11,608</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52</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11,660</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Segments</w:t>
            </w:r>
          </w:p>
        </w:tc>
        <w:tc>
          <w:tcPr>
            <w:tcW w:w="1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54,264</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82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54,377</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 and other</w:t>
            </w:r>
          </w:p>
        </w:tc>
        <w:tc>
          <w:tcPr>
            <w:tcW w:w="1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54,285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w:t>
            </w:r>
          </w:p>
        </w:tc>
        <w:tc>
          <w:tcPr>
            <w:tcW w:w="4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54,394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73" w:lineRule="auto"/>
        <w:tabs>
          <w:tab w:leader="none" w:pos="332"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connection with the previously announced January 1, 2021 reorganization of RIS and RMD, goodwill of $282 million was allocated from RMD to RIS on a relative fair value basis and is reflected in the revised balances at January 1, 2021.</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reviews goodwill for impairment annually or more frequently if events or changes in circumstances indicate the asset might be impaired. We did not have a triggering event in the six months ended June 30, 2021.</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considered the deterioration in general economic and market conditions primarily due to the COVID-19 pandemic to be a triggering event in the first and second quarters of 2020, requiring an impairment evaluation of goodwill, intangible assets and other assets in our commercial aerospace businesses, Collins Aerospace and Pratt &amp; Whitney. Beginning in the second quarter of 2020, we observed several airline customer bankruptcies, delays and cancellations of aircraft purchases by airlines, fleet retirements and repositioning of original equipment manufacturer (OEM) production schedules and we experienced significant unfavorable EAC adjustments at our Collins Aerospace and Pratt &amp; Whitney businesses due to a decline in flight hours, aircraft fleet utilization, shop visits and commercial OEM deliveries. These factors contributed to a deterioration of our expectations regarding the timing of a return to pre-COVID-19 commercial flight activity, which further reduced our future sales and cash flows expectations.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2020, we evaluated the Collins Aerospace and Pratt &amp; Whitney reporting units for goodwill impairment and determined that the carrying values of two of the six Collins Aerospace reporting units exceeded the sum of discounted future cash flows, resulting in aggregate goodwill impairments of $3.2 billion. For additional discussion, see “Note 2: Acquisitions, Dispositions, Goodwill and Intangible Assets” within Item 8 of our 2020 Annual Report on Form 10-K.</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continuously monitors and evaluates relevant events and circumstances that could negatively impact the key assumptions in determining the fair value of goodwill, including long-term revenue growth projections, profitability, discount rates, including changes to U.S. treasury rates and equity risk premiums, recent market valuations from transactions by comparable companies, volatility in the Company’s market capitalization, and general industry, market and macro-economic conditions. It is possible that future changes in such circumstances, including significant future negative developments in the COVID-19 pandemic, or future changes in the variables associated with the judgments, assumptions and estimates used in assessing the fair value of our reporting units, including the expected long-term recovery of airline travel to pre-COVID-19 levels, would require the Company to record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right"/>
              <w:ind w:right="101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4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Gross Amount</w:t>
            </w:r>
          </w:p>
        </w:tc>
        <w:tc>
          <w:tcPr>
            <w:tcW w:w="480" w:type="dxa"/>
            <w:vAlign w:val="bottom"/>
          </w:tcPr>
          <w:p>
            <w:pPr>
              <w:spacing w:after="0"/>
              <w:rPr>
                <w:sz w:val="11"/>
                <w:szCs w:val="11"/>
                <w:color w:val="auto"/>
              </w:rPr>
            </w:pPr>
          </w:p>
        </w:tc>
        <w:tc>
          <w:tcPr>
            <w:tcW w:w="1240" w:type="dxa"/>
            <w:vAlign w:val="bottom"/>
          </w:tcPr>
          <w:p>
            <w:pPr>
              <w:jc w:val="right"/>
              <w:ind w:right="334"/>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Gross Amount</w:t>
            </w:r>
          </w:p>
        </w:tc>
        <w:tc>
          <w:tcPr>
            <w:tcW w:w="340" w:type="dxa"/>
            <w:vAlign w:val="bottom"/>
          </w:tcPr>
          <w:p>
            <w:pPr>
              <w:spacing w:after="0"/>
              <w:rPr>
                <w:sz w:val="11"/>
                <w:szCs w:val="11"/>
                <w:color w:val="auto"/>
              </w:rPr>
            </w:pPr>
          </w:p>
        </w:tc>
        <w:tc>
          <w:tcPr>
            <w:tcW w:w="1380" w:type="dxa"/>
            <w:vAlign w:val="bottom"/>
          </w:tcPr>
          <w:p>
            <w:pPr>
              <w:jc w:val="right"/>
              <w:ind w:right="314"/>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4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Arial" w:cs="Arial" w:eastAsia="Arial" w:hAnsi="Arial"/>
                <w:sz w:val="18"/>
                <w:szCs w:val="18"/>
                <w:color w:val="auto"/>
              </w:rPr>
              <w:t>Patents and trademarks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48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Collaboration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5,081</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5,021</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Exclusivity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2,633</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2,541</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technology and other</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906</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30,264</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30,241</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38,970</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38,757</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Unamortized:</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Trademarks and 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8,721</w:t>
            </w: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8,714</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47,691</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(8,168)</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47,471</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Given the deterioration in general economic and market conditions primarily due to the COVID-19 pandemic, we performed an assessment of our unamortized intangible assets in the first and second quarters of 2020 and recorded charges of $17 million and $57 million in the quarter and six months ended June 30, 2020, respectively related to the impairment of a Collins Aerospace indefinite-lived tradename intangible assets. We will continue to evaluate the impact on our customers and our business in future periods which may result in a different conclusion.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intangible assets for the quarters and six months ended June 30, 2021 and 2020 were $602 million and $1,198 million and $600 million and $907 million, respectively. The following is the expected amortization of intangible assets for the years 2021 through 2026.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Remaining 2021</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2026</w:t>
            </w:r>
          </w:p>
        </w:tc>
      </w:tr>
      <w:tr>
        <w:trPr>
          <w:trHeight w:val="236"/>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6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1,955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2,080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2,130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2,037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discussed above, the Separation Transactions and Distributions were completed on April 3, 2020 resulting in, among other things, UTC (since renamed Raytheon Technologies Corporation), being separated into three independent, publicly traded companies – UTC, Carrier and Otis.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Carrier and Otis are presented as discontinued operations and, as such, have been excluded from both continuing operations and segment results for all periods presented. Income (loss) from discontinued operations attributable to common shareowners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Quarter Ended 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187</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Carrier</w:t>
            </w:r>
          </w:p>
        </w:tc>
        <w:tc>
          <w:tcPr>
            <w:tcW w:w="96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196</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Separation related transactions </w:t>
            </w:r>
            <w:r>
              <w:rPr>
                <w:rFonts w:ascii="Arial" w:cs="Arial" w:eastAsia="Arial" w:hAnsi="Arial"/>
                <w:sz w:val="23"/>
                <w:szCs w:val="23"/>
                <w:color w:val="auto"/>
                <w:vertAlign w:val="superscript"/>
              </w:rPr>
              <w:t>(1)</w:t>
            </w: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(8)</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(27)</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(895)</w:t>
            </w:r>
          </w:p>
        </w:tc>
        <w:tc>
          <w:tcPr>
            <w:tcW w:w="0" w:type="dxa"/>
            <w:vAlign w:val="bottom"/>
          </w:tcPr>
          <w:p>
            <w:pPr>
              <w:spacing w:after="0"/>
              <w:rPr>
                <w:sz w:val="1"/>
                <w:szCs w:val="1"/>
                <w:color w:val="auto"/>
              </w:rPr>
            </w:pPr>
          </w:p>
        </w:tc>
      </w:tr>
      <w:tr>
        <w:trPr>
          <w:trHeight w:val="169"/>
        </w:trPr>
        <w:tc>
          <w:tcPr>
            <w:tcW w:w="5540" w:type="dxa"/>
            <w:vAlign w:val="bottom"/>
          </w:tcPr>
          <w:p>
            <w:pPr>
              <w:ind w:left="20"/>
              <w:spacing w:after="0" w:line="169" w:lineRule="exact"/>
              <w:rPr>
                <w:sz w:val="20"/>
                <w:szCs w:val="20"/>
                <w:color w:val="auto"/>
              </w:rPr>
            </w:pPr>
            <w:r>
              <w:rPr>
                <w:rFonts w:ascii="Arial" w:cs="Arial" w:eastAsia="Arial" w:hAnsi="Arial"/>
                <w:sz w:val="18"/>
                <w:szCs w:val="18"/>
                <w:color w:val="auto"/>
              </w:rPr>
              <w:t>Income (loss) from discontinued operations attributable to common</w:t>
            </w:r>
          </w:p>
        </w:tc>
        <w:tc>
          <w:tcPr>
            <w:tcW w:w="960" w:type="dxa"/>
            <w:vAlign w:val="bottom"/>
            <w:vMerge w:val="restart"/>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4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(8)</w:t>
            </w:r>
          </w:p>
        </w:tc>
        <w:tc>
          <w:tcPr>
            <w:tcW w:w="1020" w:type="dxa"/>
            <w:vAlign w:val="bottom"/>
            <w:vMerge w:val="restart"/>
          </w:tcPr>
          <w:p>
            <w:pPr>
              <w:jc w:val="right"/>
              <w:ind w:right="756"/>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4"/>
                <w:szCs w:val="14"/>
                <w:color w:val="auto"/>
              </w:rPr>
            </w:pPr>
          </w:p>
        </w:tc>
        <w:tc>
          <w:tcPr>
            <w:tcW w:w="920" w:type="dxa"/>
            <w:vAlign w:val="bottom"/>
            <w:vMerge w:val="restart"/>
          </w:tcPr>
          <w:p>
            <w:pPr>
              <w:jc w:val="right"/>
              <w:ind w:right="739"/>
              <w:spacing w:after="0"/>
              <w:rPr>
                <w:sz w:val="20"/>
                <w:szCs w:val="20"/>
                <w:color w:val="auto"/>
              </w:rPr>
            </w:pPr>
            <w:r>
              <w:rPr>
                <w:rFonts w:ascii="Arial" w:cs="Arial" w:eastAsia="Arial" w:hAnsi="Arial"/>
                <w:sz w:val="18"/>
                <w:szCs w:val="18"/>
                <w:b w:val="1"/>
                <w:bCs w:val="1"/>
                <w:color w:val="auto"/>
                <w:w w:val="79"/>
              </w:rPr>
              <w:t>$</w:t>
            </w:r>
          </w:p>
        </w:tc>
        <w:tc>
          <w:tcPr>
            <w:tcW w:w="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(27)</w:t>
            </w:r>
          </w:p>
        </w:tc>
        <w:tc>
          <w:tcPr>
            <w:tcW w:w="920" w:type="dxa"/>
            <w:vAlign w:val="bottom"/>
            <w:vMerge w:val="restart"/>
          </w:tcPr>
          <w:p>
            <w:pPr>
              <w:jc w:val="right"/>
              <w:ind w:right="676"/>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5"/>
              </w:rPr>
              <w:t>(512)</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shareowners</w:t>
            </w:r>
          </w:p>
        </w:tc>
        <w:tc>
          <w:tcPr>
            <w:tcW w:w="9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40" w:hanging="332"/>
        <w:spacing w:after="0" w:line="252"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debt extinguishment costs in the quarter and six months ended June 30, 2020 related to the Company’s paydown of debt to not exceed the maximum applicable net indebtedness under the Raytheon Merger Agreement, and unallocable transaction costs incurred by the Company primarily related to professional services costs pertaining to the Separation Transactions and the establishment of Carrier and Otis as stand-alone public companies, facility relocation costs, costs to separate information systems, costs of retention bonuses and tax charges and benefits related to separation activities.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summarized financial information related to discontinued operations has been reclassified from Income from continuing operations attributable to common shareowners and included in Income (loss) from discontinued operations attributable to common shareowners: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ind w:left="340"/>
              <w:spacing w:after="0"/>
              <w:rPr>
                <w:sz w:val="20"/>
                <w:szCs w:val="20"/>
                <w:color w:val="auto"/>
              </w:rPr>
            </w:pPr>
            <w:r>
              <w:rPr>
                <w:rFonts w:ascii="Arial" w:cs="Arial" w:eastAsia="Arial" w:hAnsi="Arial"/>
                <w:sz w:val="14"/>
                <w:szCs w:val="14"/>
                <w:b w:val="1"/>
                <w:bCs w:val="1"/>
                <w:color w:val="auto"/>
              </w:rPr>
              <w:t>Quarter Ended June 30,</w:t>
            </w:r>
          </w:p>
        </w:tc>
        <w:tc>
          <w:tcPr>
            <w:tcW w:w="320" w:type="dxa"/>
            <w:vAlign w:val="bottom"/>
          </w:tcPr>
          <w:p>
            <w:pPr>
              <w:spacing w:after="0"/>
              <w:rPr>
                <w:sz w:val="16"/>
                <w:szCs w:val="16"/>
                <w:color w:val="auto"/>
              </w:rPr>
            </w:pPr>
          </w:p>
        </w:tc>
        <w:tc>
          <w:tcPr>
            <w:tcW w:w="2500" w:type="dxa"/>
            <w:vAlign w:val="bottom"/>
            <w:gridSpan w:val="3"/>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 sales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29"/>
        </w:trPr>
        <w:tc>
          <w:tcPr>
            <w:tcW w:w="5520" w:type="dxa"/>
            <w:vAlign w:val="bottom"/>
          </w:tcPr>
          <w:p>
            <w:pPr>
              <w:ind w:left="240"/>
              <w:spacing w:after="0"/>
              <w:rPr>
                <w:sz w:val="20"/>
                <w:szCs w:val="20"/>
                <w:color w:val="auto"/>
              </w:rPr>
            </w:pPr>
            <w:r>
              <w:rPr>
                <w:rFonts w:ascii="Arial" w:cs="Arial" w:eastAsia="Arial" w:hAnsi="Arial"/>
                <w:sz w:val="18"/>
                <w:szCs w:val="18"/>
                <w:color w:val="auto"/>
              </w:rPr>
              <w:t>Cost of products sold</w:t>
            </w: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services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Non-operating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Income from discontinued operations, before tax</w:t>
            </w: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Income tax expense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Less: Noncontrolling interest in subsidiaries earnings from discontinued</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520" w:type="dxa"/>
            <w:vAlign w:val="bottom"/>
          </w:tcPr>
          <w:p>
            <w:pPr>
              <w:ind w:left="240"/>
              <w:spacing w:after="0" w:line="169" w:lineRule="exact"/>
              <w:rPr>
                <w:sz w:val="20"/>
                <w:szCs w:val="20"/>
                <w:color w:val="auto"/>
              </w:rPr>
            </w:pPr>
            <w:r>
              <w:rPr>
                <w:rFonts w:ascii="Arial" w:cs="Arial" w:eastAsia="Arial" w:hAnsi="Arial"/>
                <w:sz w:val="18"/>
                <w:szCs w:val="18"/>
                <w:color w:val="auto"/>
              </w:rPr>
              <w:t>Income from discontinued operations attributable to common</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shareowners</w:t>
            </w:r>
          </w:p>
        </w:tc>
        <w:tc>
          <w:tcPr>
            <w:tcW w:w="3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Carrier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 sales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Cost of products sold</w:t>
            </w: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services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Non-operating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Income from discontinued operations, before tax</w:t>
            </w: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Income tax expense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Less: Noncontrolling interest in subsidiaries earnings from discontinued</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520" w:type="dxa"/>
            <w:vAlign w:val="bottom"/>
          </w:tcPr>
          <w:p>
            <w:pPr>
              <w:ind w:left="240"/>
              <w:spacing w:after="0" w:line="169" w:lineRule="exact"/>
              <w:rPr>
                <w:sz w:val="20"/>
                <w:szCs w:val="20"/>
                <w:color w:val="auto"/>
              </w:rPr>
            </w:pPr>
            <w:r>
              <w:rPr>
                <w:rFonts w:ascii="Arial" w:cs="Arial" w:eastAsia="Arial" w:hAnsi="Arial"/>
                <w:sz w:val="18"/>
                <w:szCs w:val="18"/>
                <w:color w:val="auto"/>
              </w:rPr>
              <w:t>Income from discontinued operations attributable to common</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shareowners</w:t>
            </w:r>
          </w:p>
        </w:tc>
        <w:tc>
          <w:tcPr>
            <w:tcW w:w="3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Separation related transactions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30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Non-operating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Loss from discontinued operations, before tax</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Income tax (benefit) expense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Net income (loss) from discontinued operations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169"/>
        </w:trPr>
        <w:tc>
          <w:tcPr>
            <w:tcW w:w="5520" w:type="dxa"/>
            <w:vAlign w:val="bottom"/>
            <w:shd w:val="clear" w:color="auto" w:fill="CCEEFF"/>
          </w:tcPr>
          <w:p>
            <w:pPr>
              <w:ind w:left="560"/>
              <w:spacing w:after="0" w:line="169" w:lineRule="exact"/>
              <w:rPr>
                <w:sz w:val="20"/>
                <w:szCs w:val="20"/>
                <w:color w:val="auto"/>
              </w:rPr>
            </w:pPr>
            <w:r>
              <w:rPr>
                <w:rFonts w:ascii="Arial" w:cs="Arial" w:eastAsia="Arial" w:hAnsi="Arial"/>
                <w:sz w:val="18"/>
                <w:szCs w:val="18"/>
                <w:color w:val="auto"/>
                <w:w w:val="98"/>
              </w:rPr>
              <w:t>Total income (loss) from discontinued operations attributable to</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36"/>
        </w:trPr>
        <w:tc>
          <w:tcPr>
            <w:tcW w:w="55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common shareowners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52" w:lineRule="auto"/>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debt extinguishment costs in the quarter and six months ended June 30, 2020 related to the Company’s paydown of debt to not exceed the maximum applicable net indebtedness under the Raytheon Merger Agreement, and unallocable transaction costs incurred by the Company primarily related to professional services costs pertaining to the Separation Transactions and the establishment of Carrier and Otis as stand-alone public companies, facility relocation costs, costs to separate information systems, costs of retention bonuses and tax charges and benefits related to separation activities.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related to cash flows from discontinued operations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center"/>
              <w:ind w:left="737"/>
              <w:spacing w:after="0"/>
              <w:rPr>
                <w:sz w:val="20"/>
                <w:szCs w:val="20"/>
                <w:color w:val="auto"/>
              </w:rPr>
            </w:pPr>
            <w:r>
              <w:rPr>
                <w:rFonts w:ascii="Arial" w:cs="Arial" w:eastAsia="Arial" w:hAnsi="Arial"/>
                <w:sz w:val="18"/>
                <w:szCs w:val="18"/>
                <w:b w:val="1"/>
                <w:bCs w:val="1"/>
                <w:color w:val="auto"/>
                <w:w w:val="93"/>
              </w:rPr>
              <w:t>(24)</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40" w:type="dxa"/>
            <w:vAlign w:val="bottom"/>
          </w:tcPr>
          <w:p>
            <w:pPr>
              <w:jc w:val="center"/>
              <w:ind w:left="737"/>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7"/>
        </w:trPr>
        <w:tc>
          <w:tcPr>
            <w:tcW w:w="8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b w:val="1"/>
                <w:bCs w:val="1"/>
                <w:color w:val="auto"/>
                <w:w w:val="89"/>
              </w:rPr>
              <w:t>24</w:t>
            </w: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r>
    </w:tbl>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cash used in operating activities for the six months ended June 30, 2020 includes the net operating cash flows of Carrier and Otis prior to the Separation Transactions, as well as costs incurred by the Company primarily related to professional services costs pertaining to the Separation Transactions and the establishment of Carrier and Otis as stand-alone public companies, facility relocation costs, costs to separate information systems, costs of retention bonuses and tax charges related to separation activities. Net cash used in financing activities for the six months ended June 30, 2020 primarily consists of cash distributed by the Company to Carrier and Otis upon separation and debt extinguishment costs related to the early repayment of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ind w:left="360"/>
              <w:spacing w:after="0"/>
              <w:rPr>
                <w:sz w:val="20"/>
                <w:szCs w:val="20"/>
                <w:color w:val="auto"/>
              </w:rPr>
            </w:pPr>
            <w:r>
              <w:rPr>
                <w:rFonts w:ascii="Arial" w:cs="Arial" w:eastAsia="Arial" w:hAnsi="Arial"/>
                <w:sz w:val="14"/>
                <w:szCs w:val="14"/>
                <w:b w:val="1"/>
                <w:bCs w:val="1"/>
                <w:color w:val="auto"/>
              </w:rPr>
              <w:t>Quarter Ended June 30,</w:t>
            </w:r>
          </w:p>
        </w:tc>
        <w:tc>
          <w:tcPr>
            <w:tcW w:w="320" w:type="dxa"/>
            <w:vAlign w:val="bottom"/>
          </w:tcPr>
          <w:p>
            <w:pPr>
              <w:spacing w:after="0"/>
              <w:rPr>
                <w:sz w:val="16"/>
                <w:szCs w:val="16"/>
                <w:color w:val="auto"/>
              </w:rPr>
            </w:pPr>
          </w:p>
        </w:tc>
        <w:tc>
          <w:tcPr>
            <w:tcW w:w="252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and shares in millions, except per share amounts)</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44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ind w:right="55"/>
              <w:spacing w:after="0"/>
              <w:rPr>
                <w:sz w:val="20"/>
                <w:szCs w:val="20"/>
                <w:color w:val="auto"/>
              </w:rPr>
            </w:pPr>
            <w:r>
              <w:rPr>
                <w:rFonts w:ascii="Arial" w:cs="Arial" w:eastAsia="Arial" w:hAnsi="Arial"/>
                <w:sz w:val="17"/>
                <w:szCs w:val="17"/>
                <w:b w:val="1"/>
                <w:bCs w:val="1"/>
                <w:color w:val="auto"/>
              </w:rPr>
              <w:t>1,040</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(3,844)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1,812</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(3,406)</w:t>
            </w:r>
          </w:p>
        </w:tc>
      </w:tr>
      <w:tr>
        <w:trPr>
          <w:trHeight w:val="230"/>
        </w:trPr>
        <w:tc>
          <w:tcPr>
            <w:tcW w:w="5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w:t>
            </w:r>
          </w:p>
        </w:tc>
      </w:tr>
      <w:tr>
        <w:trPr>
          <w:trHeight w:val="23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1,032</w:t>
            </w:r>
          </w:p>
        </w:tc>
        <w:tc>
          <w:tcPr>
            <w:tcW w:w="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1,785</w:t>
            </w:r>
          </w:p>
        </w:tc>
        <w:tc>
          <w:tcPr>
            <w:tcW w:w="3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1,506.4</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1,508.7</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w:t>
            </w:r>
          </w:p>
        </w:tc>
      </w:tr>
      <w:tr>
        <w:trPr>
          <w:trHeight w:val="22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 awards and equity units (share equivalent)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7.1</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1,513.5</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1,501.3</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1,513.7</w:t>
            </w: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w w:val="94"/>
              </w:rPr>
              <w:t>Earnings (Loss) Per Share attributable to common shareowners - Basic:</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0.69</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1.20</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r>
      <w:tr>
        <w:trPr>
          <w:trHeight w:val="230"/>
        </w:trPr>
        <w:tc>
          <w:tcPr>
            <w:tcW w:w="5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(0.42)</w:t>
            </w:r>
          </w:p>
        </w:tc>
      </w:tr>
      <w:tr>
        <w:trPr>
          <w:trHeight w:val="230"/>
        </w:trPr>
        <w:tc>
          <w:tcPr>
            <w:tcW w:w="5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common shareowners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0.69</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1.18</w:t>
            </w:r>
          </w:p>
        </w:tc>
        <w:tc>
          <w:tcPr>
            <w:tcW w:w="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w w:val="92"/>
              </w:rPr>
              <w:t>Earnings (Loss) Per Share attributable to common shareowners - Diluted: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0.69</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1.20</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r>
      <w:tr>
        <w:trPr>
          <w:trHeight w:val="229"/>
        </w:trPr>
        <w:tc>
          <w:tcPr>
            <w:tcW w:w="5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(0.42)</w:t>
            </w:r>
          </w:p>
        </w:tc>
      </w:tr>
      <w:tr>
        <w:trPr>
          <w:trHeight w:val="230"/>
        </w:trPr>
        <w:tc>
          <w:tcPr>
            <w:tcW w:w="5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common shareowners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0.68</w:t>
            </w:r>
          </w:p>
        </w:tc>
        <w:tc>
          <w:tcPr>
            <w:tcW w:w="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1.18</w:t>
            </w:r>
          </w:p>
        </w:tc>
        <w:tc>
          <w:tcPr>
            <w:tcW w:w="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r>
    </w:tbl>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exercise of stock awards when the awards’ assumed proceeds exceed the average market price of the common shares during the period. For the quarter and six months ended June 30, 2021, the number of stock awards excluded from the computation was 11.2 million and 19.0 million, respectively. For the quarter and six months ended June 30, 2020, all stock awards were excluded from the computation of diluted EPS because their effect was antidilutive due to the loss from continuing operations, and amounted to 36.6 million and 53.3 million stock awards,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Changes in Contract Estimates at Completion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our Estimates at Completion (EACs) on significant contracts on a periodic basis and for others, no less than annually or when a change in circumstances warrant a modification to a previous estimate.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Management’s judgment related to these considerations has become increasingly more significant given the current economic environment primarily caused by the COVID-19 pandemic. Management must make assumptions and estimates regarding contract revenue and costs, including estimates of labor productivity and availability, the complexity and scope of the work to be performed, the availability and cost of materials,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Cost estimates may also include the estimated cost of satisfying our industrial cooperation agreements, sometimes in the form of either offset obligations or in-country industrial participation (ICIP) agreements, required under certain contracts primarily within our RIS and RMD segments. These obligations may or may not be distinct depending on their nature. If cash is paid to a customer to satisfy our offset obligations it is recorded as a reduction in the transaction price.</w:t>
      </w:r>
    </w:p>
    <w:p>
      <w:pPr>
        <w:spacing w:after="0" w:line="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our performance obligations. Our EAC adjustments also include the establishment of loss provisions for our contracts accounted for on a percentage of completion basis.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Net EAC adjustments had the following impact on our operating results: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ind w:left="220"/>
              <w:spacing w:after="0"/>
              <w:rPr>
                <w:sz w:val="20"/>
                <w:szCs w:val="20"/>
                <w:color w:val="auto"/>
              </w:rPr>
            </w:pPr>
            <w:r>
              <w:rPr>
                <w:rFonts w:ascii="Arial" w:cs="Arial" w:eastAsia="Arial" w:hAnsi="Arial"/>
                <w:sz w:val="14"/>
                <w:szCs w:val="14"/>
                <w:b w:val="1"/>
                <w:bCs w:val="1"/>
                <w:color w:val="auto"/>
              </w:rPr>
              <w:t>Quarter Ended June 30,</w:t>
            </w:r>
          </w:p>
        </w:tc>
        <w:tc>
          <w:tcPr>
            <w:tcW w:w="260" w:type="dxa"/>
            <w:vAlign w:val="bottom"/>
          </w:tcPr>
          <w:p>
            <w:pPr>
              <w:spacing w:after="0"/>
              <w:rPr>
                <w:sz w:val="16"/>
                <w:szCs w:val="16"/>
                <w:color w:val="auto"/>
              </w:rPr>
            </w:pPr>
          </w:p>
        </w:tc>
        <w:tc>
          <w:tcPr>
            <w:tcW w:w="224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line="230" w:lineRule="exact"/>
              <w:rPr>
                <w:sz w:val="20"/>
                <w:szCs w:val="20"/>
                <w:color w:val="auto"/>
              </w:rPr>
            </w:pPr>
            <w:r>
              <w:rPr>
                <w:rFonts w:ascii="Arial" w:cs="Arial" w:eastAsia="Arial" w:hAnsi="Arial"/>
                <w:sz w:val="18"/>
                <w:szCs w:val="18"/>
                <w:color w:val="auto"/>
                <w:w w:val="95"/>
              </w:rPr>
              <w:t>Income (loss) from continuing operations attributable to common shareowners</w:t>
            </w:r>
            <w:r>
              <w:rPr>
                <w:rFonts w:ascii="Arial" w:cs="Arial" w:eastAsia="Arial" w:hAnsi="Arial"/>
                <w:sz w:val="23"/>
                <w:szCs w:val="23"/>
                <w:color w:val="auto"/>
                <w:w w:val="95"/>
                <w:vertAlign w:val="superscript"/>
              </w:rPr>
              <w:t>(1)</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b w:val="1"/>
                <w:bCs w:val="1"/>
                <w:color w:val="auto"/>
              </w:rPr>
              <w:t>22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76"/>
        </w:trPr>
        <w:tc>
          <w:tcPr>
            <w:tcW w:w="6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earnings (loss) per share from continuing operations attributable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0.01</w:t>
            </w:r>
          </w:p>
        </w:tc>
        <w:tc>
          <w:tcPr>
            <w:tcW w:w="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6"/>
        </w:trPr>
        <w:tc>
          <w:tcPr>
            <w:tcW w:w="616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common shareholders </w:t>
            </w:r>
            <w:r>
              <w:rPr>
                <w:rFonts w:ascii="Arial" w:cs="Arial" w:eastAsia="Arial" w:hAnsi="Arial"/>
                <w:sz w:val="23"/>
                <w:szCs w:val="23"/>
                <w:color w:val="auto"/>
                <w:vertAlign w:val="superscript"/>
              </w:rPr>
              <w:t>(1)</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reflect a U.S. statutory tax rate of 21%, which approximates our tax rate on our EAC adjustments.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quarters ended June 30, 2021 and 2020, revenue was increased by $73 million and reduced by $218 million, respectively, for performance obligations satisfied (or partially satisfied) in previous periods. In the six months ended June 30, 2021 and 2020, revenue was increased by $125 million and reduced by $201 million, respectively, for performance obligations satisfied (or partially satisfied) in previous periods. This primarily relates to EAC adjustments that impacted revenue.</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Raytheon Merger, Raytheon Company’s contracts accounted for on a percentage of completion basis were reset to zero percent complete as of the merger date, since only the unperformed portion of the contract at such date represents the obligation of the Company. For additional information related to the Raytheon Merger, see “Note 2: Acquisitions, Dispositions, Goodwill and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9,431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expected credit losses</w:t>
            </w:r>
          </w:p>
        </w:tc>
        <w:tc>
          <w:tcPr>
            <w:tcW w:w="2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2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8,912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9,254</w:t>
            </w:r>
          </w:p>
        </w:tc>
      </w:tr>
    </w:tbl>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various factoring agreements with third-party financial institutions to sell certain of its receivables. Under these arrangements, the Company factored receivables of $3.4 billion and $3.8 billion during the six months ended June 30, 2021 and 2020, respectively. The cash received from these arrangements is reflected as cash provided by operating activities in the Condensed Consolidated Statement of Cash Flows. In certain of these factoring arrangements, for ease of administration, the Company will collect customer payments related to the factored receivables, which it then remits to the financial institutions. At June 30, 2021 and December 31, 2020, the Company had $7 million and $10 million, respectively, that was collected on behalf of the financial institutions and recorded as restricted cash and accrued liabilities. The net cash flows relating to these collections are reported as financing activities in the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expected credit losses related to Accounts receivable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546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8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Current period provision for expected credit losses, net of recoveries </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charged against the allowance for expected credit losses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0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519</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bl>
    <w:p>
      <w:pPr>
        <w:spacing w:after="0" w:line="184" w:lineRule="exact"/>
        <w:rPr>
          <w:sz w:val="20"/>
          <w:szCs w:val="20"/>
          <w:color w:val="auto"/>
        </w:rPr>
      </w:pPr>
    </w:p>
    <w:p>
      <w:pPr>
        <w:ind w:left="340" w:hanging="332"/>
        <w:spacing w:after="0" w:line="250" w:lineRule="auto"/>
        <w:tabs>
          <w:tab w:leader="none" w:pos="335"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current provision for expected credit losses for the six months ended June 30, 2020 includes $194 million of reserves driven by customer bankruptcies and additional reserves for credit losses primarily due to the current economic environment primarily caused by the COVID-19 pandemic.</w:t>
      </w:r>
    </w:p>
    <w:p>
      <w:pPr>
        <w:ind w:left="340" w:hanging="332"/>
        <w:spacing w:after="0" w:line="255" w:lineRule="auto"/>
        <w:tabs>
          <w:tab w:leader="none" w:pos="398"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net for the six months ended June 30, 2020 includes a $34 million impact related to the January 1, 2020 adoption of Accounting Standards Update (ASU) 2016-13, Financial Instruments - Credit Losses (Topic 326): Measurement of Credit Losses on Financial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Contract Assets and Liabilities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reflect revenue recognized and performance obligations satisfied in advance of customer billing. Contract liabilities relate to payments received in advance of the satisfaction of performance under the contract. We receive payments from customers based on the terms established in our contracts. Total contract assets and contract liabilities as of June 30, 2021 and December 31, 2020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10,485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3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(12,591)</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(12,889)</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liabilities</w:t>
            </w:r>
          </w:p>
        </w:tc>
        <w:tc>
          <w:tcPr>
            <w:tcW w:w="3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r>
    </w:tbl>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assets increased $554 million during the six months ended June 30, 2021 primarily due to sales in excess of billings at Pratt &amp; Whitney. Contract liabilities decreased $298 million during the six months ended June 30, 2021 primarily due to $364 million of contract liability reduction related to a contract termination at Collins Aerospace and revenue recognized on certain international contracts with advances at RMD, partially offset by billings in excess of sales at Pratt &amp; Whitney. We recognized revenue of $1,021 million and $2,726 million during the quarter and six months ended June 30, 2021, respectively, related to contract liabilities as of January 1, 2021 and $625 million and $1,808 million during the quarter and six months ended June 30, 2020, respectively, related to contract liabilities as of January 1, 2020.</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our contract liabilities include approximately $440 million of advance payments received from a certain Middle East customer on contracts for which we no longer believe we will be able to execute on or obtain required regulatory approvals. These advance payments may become refundable to the customer if the contracts are ultimately terminated.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Contract assets include an allowance for credit losses of $247 million and $177 million as of June 30, 2021 and December 31, 2020,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Inventory,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46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b w:val="1"/>
                <w:bCs w:val="1"/>
                <w:color w:val="auto"/>
              </w:rPr>
              <w:t>3,307</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2,924</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3,268</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r>
      <w:tr>
        <w:trPr>
          <w:trHeight w:val="23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inventory, net</w:t>
            </w:r>
          </w:p>
        </w:tc>
        <w:tc>
          <w:tcPr>
            <w:tcW w:w="3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9,548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9,411</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Raw materials, work-in-process and finished goods are net of total valuation reserves of $1,878 million and $1,788 million as of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 and Lines of Credit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borrowings</w:t>
            </w:r>
          </w:p>
        </w:tc>
        <w:tc>
          <w:tcPr>
            <w:tcW w:w="3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36</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3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196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our maximum commercial paper borrowing limit was $5.0 billion as the commercial paper is backed by our $5.0 billion revolving credit agreement. We use our commercial paper borrowings for general corporate purposes, including the funding of potential acquisitions, pension contributions, debt refinancing, dividend payments and repurchases of our common stock. The commercial paper notes outstanding have original maturities of not more than 90 days from the date of issuance.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2021, we renewed our $2.0 billion revolving credit agreement, which now expires in May 2022. As of June 30, 2021, we had revolving credit agreements with various banks permitting aggregate borrowings of up to $7.0 billion consisting of a $5.0 billion revolving credit agreement that became available upon completion of the Raytheon Merger on April 3, 2020, and the $2.0 billion revolving credit agreement that we renewed in May 2021 and there were no borrowings outstanding under these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did not issue long-term debt during the six months ended June 30, 2021.</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June 2020, we completed an exchange offer of outstanding subsidiary notes with an aggregate principal amount of approximately $8.2 billion in exchange for approximately $8.2 billion of Raytheon Technologies notes with identical interest rates, maturity dates, and redemption provisions.</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preparation for and in anticipation of the Separation Transactions and Distributions, the Company, Carrier and Otis issued and the Company repaid long-term debt in the six months ended June 30, 2020, which are included in the tables below.</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the following issuances of long-term debt during the six months ended June 30, 2020, which is inclusive of issuances made by Carrier and Otis prior to the Distributions, the proceeds of which were primarily used by the Company to extinguish Raytheon Technologies short-term and long-term debt, and therefore, these issuances were treated as a distribution from discontinued operations within financing activities from continuing operations on our Condensed Consolidated Statement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Issuance Date</w:t>
            </w:r>
          </w:p>
        </w:tc>
        <w:tc>
          <w:tcPr>
            <w:tcW w:w="542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Description of Notes</w:t>
            </w:r>
          </w:p>
        </w:tc>
        <w:tc>
          <w:tcPr>
            <w:tcW w:w="1420" w:type="dxa"/>
            <w:vAlign w:val="bottom"/>
          </w:tcPr>
          <w:p>
            <w:pPr>
              <w:spacing w:after="0"/>
              <w:rPr>
                <w:sz w:val="14"/>
                <w:szCs w:val="14"/>
                <w:color w:val="auto"/>
              </w:rPr>
            </w:pPr>
          </w:p>
        </w:tc>
        <w:tc>
          <w:tcPr>
            <w:tcW w:w="226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Aggregate Principal Balance (in</w:t>
            </w:r>
          </w:p>
        </w:tc>
        <w:tc>
          <w:tcPr>
            <w:tcW w:w="0" w:type="dxa"/>
            <w:vAlign w:val="bottom"/>
          </w:tcPr>
          <w:p>
            <w:pPr>
              <w:spacing w:after="0"/>
              <w:rPr>
                <w:sz w:val="1"/>
                <w:szCs w:val="1"/>
                <w:color w:val="auto"/>
              </w:rPr>
            </w:pPr>
          </w:p>
        </w:tc>
      </w:tr>
      <w:tr>
        <w:trPr>
          <w:trHeight w:val="188"/>
        </w:trPr>
        <w:tc>
          <w:tcPr>
            <w:tcW w:w="2140" w:type="dxa"/>
            <w:vAlign w:val="bottom"/>
            <w:tcBorders>
              <w:bottom w:val="single" w:sz="8" w:color="auto"/>
            </w:tcBorders>
            <w:vMerge w:val="continue"/>
          </w:tcPr>
          <w:p>
            <w:pPr>
              <w:spacing w:after="0"/>
              <w:rPr>
                <w:sz w:val="16"/>
                <w:szCs w:val="16"/>
                <w:color w:val="auto"/>
              </w:rPr>
            </w:pPr>
          </w:p>
        </w:tc>
        <w:tc>
          <w:tcPr>
            <w:tcW w:w="54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18, 2020</w:t>
            </w: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2.250% notes due 2030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3.125% notes due 2050</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27, 2020</w:t>
            </w: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Term Loan due 2023 (Otis)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Term Loan due 2023 (Carrier)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27, 2020</w:t>
            </w: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1.923% notes due 2023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LIBOR plus 0.450% floating rate notes due 2023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2.056% notes due 2025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2.242% notes due 2025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2.293% notes due 2027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2.493% notes due 2027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2.565% notes due 2030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2.722% notes due 2030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3.112% notes due 2040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3.377% notes due 2040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19"/>
                <w:szCs w:val="19"/>
                <w:color w:val="auto"/>
              </w:rPr>
            </w:pP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3.362% notes due 2050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6"/>
        </w:trPr>
        <w:tc>
          <w:tcPr>
            <w:tcW w:w="214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ind w:left="420"/>
              <w:spacing w:after="0" w:line="230" w:lineRule="exact"/>
              <w:rPr>
                <w:sz w:val="20"/>
                <w:szCs w:val="20"/>
                <w:color w:val="auto"/>
              </w:rPr>
            </w:pPr>
            <w:r>
              <w:rPr>
                <w:rFonts w:ascii="Arial" w:cs="Arial" w:eastAsia="Arial" w:hAnsi="Arial"/>
                <w:sz w:val="18"/>
                <w:szCs w:val="18"/>
                <w:color w:val="auto"/>
              </w:rPr>
              <w:t xml:space="preserve">3.577% notes due 2050 </w:t>
            </w:r>
            <w:r>
              <w:rPr>
                <w:rFonts w:ascii="Arial" w:cs="Arial" w:eastAsia="Arial" w:hAnsi="Arial"/>
                <w:sz w:val="23"/>
                <w:szCs w:val="23"/>
                <w:color w:val="auto"/>
                <w:vertAlign w:val="superscript"/>
              </w:rPr>
              <w:t>(1)</w:t>
            </w:r>
          </w:p>
        </w:tc>
        <w:tc>
          <w:tcPr>
            <w:tcW w:w="1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hanging="332"/>
        <w:spacing w:after="0" w:line="273" w:lineRule="auto"/>
        <w:tabs>
          <w:tab w:leader="none" w:pos="325"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debt issuances and term loan draws reflect debt incurred by Carrier and Otis. The net proceeds of these issuances were primarily utilized to extinguish Raytheon Technologies short-term and long-term debt in order to not exceed the maximum applicable net indebtedness required by the Raytheon Merger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We made the following repayments of long-term debt during the six months ended June 30, 2021 and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Repayment Date</w:t>
            </w:r>
          </w:p>
        </w:tc>
        <w:tc>
          <w:tcPr>
            <w:tcW w:w="6540" w:type="dxa"/>
            <w:vAlign w:val="bottom"/>
            <w:vMerge w:val="restart"/>
          </w:tcPr>
          <w:p>
            <w:pPr>
              <w:ind w:left="2880"/>
              <w:spacing w:after="0"/>
              <w:rPr>
                <w:sz w:val="20"/>
                <w:szCs w:val="20"/>
                <w:color w:val="auto"/>
              </w:rPr>
            </w:pPr>
            <w:r>
              <w:rPr>
                <w:rFonts w:ascii="Arial" w:cs="Arial" w:eastAsia="Arial" w:hAnsi="Arial"/>
                <w:sz w:val="14"/>
                <w:szCs w:val="14"/>
                <w:b w:val="1"/>
                <w:bCs w:val="1"/>
                <w:color w:val="auto"/>
              </w:rPr>
              <w:t>Description of Notes</w:t>
            </w:r>
          </w:p>
        </w:tc>
        <w:tc>
          <w:tcPr>
            <w:tcW w:w="260" w:type="dxa"/>
            <w:vAlign w:val="bottom"/>
          </w:tcPr>
          <w:p>
            <w:pPr>
              <w:spacing w:after="0"/>
              <w:rPr>
                <w:sz w:val="14"/>
                <w:szCs w:val="14"/>
                <w:color w:val="auto"/>
              </w:rPr>
            </w:pPr>
          </w:p>
        </w:tc>
        <w:tc>
          <w:tcPr>
            <w:tcW w:w="226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Aggregate Principal Balance (in</w:t>
            </w:r>
          </w:p>
        </w:tc>
        <w:tc>
          <w:tcPr>
            <w:tcW w:w="0" w:type="dxa"/>
            <w:vAlign w:val="bottom"/>
          </w:tcPr>
          <w:p>
            <w:pPr>
              <w:spacing w:after="0"/>
              <w:rPr>
                <w:sz w:val="1"/>
                <w:szCs w:val="1"/>
                <w:color w:val="auto"/>
              </w:rPr>
            </w:pPr>
          </w:p>
        </w:tc>
      </w:tr>
      <w:tr>
        <w:trPr>
          <w:trHeight w:val="188"/>
        </w:trPr>
        <w:tc>
          <w:tcPr>
            <w:tcW w:w="2180" w:type="dxa"/>
            <w:vAlign w:val="bottom"/>
            <w:tcBorders>
              <w:bottom w:val="single" w:sz="8" w:color="auto"/>
            </w:tcBorders>
            <w:vMerge w:val="continue"/>
          </w:tcPr>
          <w:p>
            <w:pPr>
              <w:spacing w:after="0"/>
              <w:rPr>
                <w:sz w:val="16"/>
                <w:szCs w:val="16"/>
                <w:color w:val="auto"/>
              </w:rPr>
            </w:pPr>
          </w:p>
        </w:tc>
        <w:tc>
          <w:tcPr>
            <w:tcW w:w="65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w:t>
            </w:r>
          </w:p>
        </w:tc>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8.750% notes due 2021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May 19, 2020</w:t>
            </w: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15, 2020</w:t>
            </w: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w w:val="93"/>
              </w:rPr>
              <w:t>EURIBOR plus 0.20% floating rate notes due 2020 (€750 million principal value)</w:t>
            </w:r>
            <w:r>
              <w:rPr>
                <w:rFonts w:ascii="Arial" w:cs="Arial" w:eastAsia="Arial" w:hAnsi="Arial"/>
                <w:sz w:val="23"/>
                <w:szCs w:val="23"/>
                <w:color w:val="auto"/>
                <w:w w:val="93"/>
                <w:vertAlign w:val="superscript"/>
              </w:rPr>
              <w:t>(2)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March 29, 2020</w:t>
            </w: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1.150% notes due 2024 (€750 million principal value)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 2020</w:t>
            </w: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3.350% notes due 2021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19"/>
                <w:szCs w:val="19"/>
                <w:color w:val="auto"/>
              </w:rPr>
            </w:pP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LIBOR plus 0.650% floating rate notes due 2021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March 2, 2020</w:t>
            </w:r>
          </w:p>
        </w:tc>
        <w:tc>
          <w:tcPr>
            <w:tcW w:w="65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28, 2020</w:t>
            </w:r>
          </w:p>
        </w:tc>
        <w:tc>
          <w:tcPr>
            <w:tcW w:w="65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tcPr>
          <w:p>
            <w:pPr>
              <w:ind w:left="380"/>
              <w:spacing w:after="0" w:line="23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(1)(2)</w:t>
            </w:r>
          </w:p>
        </w:tc>
        <w:tc>
          <w:tcPr>
            <w:tcW w:w="2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40" w:hanging="332"/>
        <w:spacing w:after="0" w:line="247" w:lineRule="auto"/>
        <w:tabs>
          <w:tab w:leader="none" w:pos="342"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connection with the early repayment of outstanding principal, Raytheon Technologies recorded debt extinguishment costs of $43 million and $703 million for the quarter and six months ended June 30, 2020, which are classified as discontinued operations in our Condensed Consolidated Statement of Operations as we would not have had to redeem the debt, except for the Separation Transactions. No proceeds of the notes issued May 18, 2020 were used to fund the May 19, 2020 redemption.</w:t>
      </w: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Extinguishment of Raytheon Technologies short-term and long-term debt in order to not exceed the maximum net indebtedness required by the Raytheon Merger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June 30, 2021</w:t>
            </w: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8.750% notes due 2021</w:t>
            </w:r>
          </w:p>
        </w:tc>
        <w:tc>
          <w:tcPr>
            <w:tcW w:w="2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3.100% notes due 2021</w:t>
            </w:r>
          </w:p>
        </w:tc>
        <w:tc>
          <w:tcPr>
            <w:tcW w:w="2120" w:type="dxa"/>
            <w:vAlign w:val="bottom"/>
          </w:tcPr>
          <w:p>
            <w:pPr>
              <w:spacing w:after="0"/>
              <w:rPr>
                <w:sz w:val="19"/>
                <w:szCs w:val="19"/>
                <w:color w:val="auto"/>
              </w:rPr>
            </w:pPr>
          </w:p>
        </w:tc>
        <w:tc>
          <w:tcPr>
            <w:tcW w:w="1660" w:type="dxa"/>
            <w:vAlign w:val="bottom"/>
          </w:tcPr>
          <w:p>
            <w:pPr>
              <w:jc w:val="right"/>
              <w:ind w:right="271"/>
              <w:spacing w:after="0"/>
              <w:rPr>
                <w:sz w:val="20"/>
                <w:szCs w:val="20"/>
                <w:color w:val="auto"/>
              </w:rPr>
            </w:pPr>
            <w:r>
              <w:rPr>
                <w:rFonts w:ascii="Arial" w:cs="Arial" w:eastAsia="Arial" w:hAnsi="Arial"/>
                <w:sz w:val="18"/>
                <w:szCs w:val="18"/>
                <w:b w:val="1"/>
                <w:bCs w:val="1"/>
                <w:color w:val="auto"/>
              </w:rPr>
              <w:t>250</w:t>
            </w:r>
          </w:p>
        </w:tc>
        <w:tc>
          <w:tcPr>
            <w:tcW w:w="14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2.800% notes due 2022</w:t>
            </w: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1,100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2.500% notes due 2022 </w:t>
            </w:r>
            <w:r>
              <w:rPr>
                <w:rFonts w:ascii="Arial" w:cs="Arial" w:eastAsia="Arial" w:hAnsi="Arial"/>
                <w:sz w:val="23"/>
                <w:szCs w:val="23"/>
                <w:color w:val="auto"/>
                <w:vertAlign w:val="superscript"/>
              </w:rPr>
              <w:t>(2)</w:t>
            </w:r>
          </w:p>
        </w:tc>
        <w:tc>
          <w:tcPr>
            <w:tcW w:w="2120" w:type="dxa"/>
            <w:vAlign w:val="bottom"/>
          </w:tcPr>
          <w:p>
            <w:pPr>
              <w:spacing w:after="0"/>
              <w:rPr>
                <w:sz w:val="19"/>
                <w:szCs w:val="19"/>
                <w:color w:val="auto"/>
              </w:rPr>
            </w:pPr>
          </w:p>
        </w:tc>
        <w:tc>
          <w:tcPr>
            <w:tcW w:w="1660" w:type="dxa"/>
            <w:vAlign w:val="bottom"/>
          </w:tcPr>
          <w:p>
            <w:pPr>
              <w:jc w:val="right"/>
              <w:ind w:right="271"/>
              <w:spacing w:after="0"/>
              <w:rPr>
                <w:sz w:val="20"/>
                <w:szCs w:val="20"/>
                <w:color w:val="auto"/>
              </w:rPr>
            </w:pPr>
            <w:r>
              <w:rPr>
                <w:rFonts w:ascii="Arial" w:cs="Arial" w:eastAsia="Arial" w:hAnsi="Arial"/>
                <w:sz w:val="18"/>
                <w:szCs w:val="18"/>
                <w:b w:val="1"/>
                <w:bCs w:val="1"/>
                <w:color w:val="auto"/>
              </w:rPr>
              <w:t>1,100</w:t>
            </w:r>
          </w:p>
        </w:tc>
        <w:tc>
          <w:tcPr>
            <w:tcW w:w="14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w:t>
            </w: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171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3.700% notes due 2023</w:t>
            </w:r>
          </w:p>
        </w:tc>
        <w:tc>
          <w:tcPr>
            <w:tcW w:w="2120" w:type="dxa"/>
            <w:vAlign w:val="bottom"/>
          </w:tcPr>
          <w:p>
            <w:pPr>
              <w:spacing w:after="0"/>
              <w:rPr>
                <w:sz w:val="19"/>
                <w:szCs w:val="19"/>
                <w:color w:val="auto"/>
              </w:rPr>
            </w:pPr>
          </w:p>
        </w:tc>
        <w:tc>
          <w:tcPr>
            <w:tcW w:w="1660" w:type="dxa"/>
            <w:vAlign w:val="bottom"/>
          </w:tcPr>
          <w:p>
            <w:pPr>
              <w:jc w:val="right"/>
              <w:ind w:right="271"/>
              <w:spacing w:after="0"/>
              <w:rPr>
                <w:sz w:val="20"/>
                <w:szCs w:val="20"/>
                <w:color w:val="auto"/>
              </w:rPr>
            </w:pPr>
            <w:r>
              <w:rPr>
                <w:rFonts w:ascii="Arial" w:cs="Arial" w:eastAsia="Arial" w:hAnsi="Arial"/>
                <w:sz w:val="18"/>
                <w:szCs w:val="18"/>
                <w:b w:val="1"/>
                <w:bCs w:val="1"/>
                <w:color w:val="auto"/>
              </w:rPr>
              <w:t>400</w:t>
            </w:r>
          </w:p>
        </w:tc>
        <w:tc>
          <w:tcPr>
            <w:tcW w:w="14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3.200% notes due 2024</w:t>
            </w: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950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3.150% notes due 2024 </w:t>
            </w:r>
            <w:r>
              <w:rPr>
                <w:rFonts w:ascii="Arial" w:cs="Arial" w:eastAsia="Arial" w:hAnsi="Arial"/>
                <w:sz w:val="23"/>
                <w:szCs w:val="23"/>
                <w:color w:val="auto"/>
                <w:vertAlign w:val="superscript"/>
              </w:rPr>
              <w:t>(2)</w:t>
            </w:r>
          </w:p>
        </w:tc>
        <w:tc>
          <w:tcPr>
            <w:tcW w:w="2120" w:type="dxa"/>
            <w:vAlign w:val="bottom"/>
          </w:tcPr>
          <w:p>
            <w:pPr>
              <w:spacing w:after="0"/>
              <w:rPr>
                <w:sz w:val="19"/>
                <w:szCs w:val="19"/>
                <w:color w:val="auto"/>
              </w:rPr>
            </w:pPr>
          </w:p>
        </w:tc>
        <w:tc>
          <w:tcPr>
            <w:tcW w:w="1660" w:type="dxa"/>
            <w:vAlign w:val="bottom"/>
          </w:tcPr>
          <w:p>
            <w:pPr>
              <w:jc w:val="right"/>
              <w:ind w:right="271"/>
              <w:spacing w:after="0"/>
              <w:rPr>
                <w:sz w:val="20"/>
                <w:szCs w:val="20"/>
                <w:color w:val="auto"/>
              </w:rPr>
            </w:pPr>
            <w:r>
              <w:rPr>
                <w:rFonts w:ascii="Arial" w:cs="Arial" w:eastAsia="Arial" w:hAnsi="Arial"/>
                <w:sz w:val="18"/>
                <w:szCs w:val="18"/>
                <w:b w:val="1"/>
                <w:bCs w:val="1"/>
                <w:color w:val="auto"/>
              </w:rPr>
              <w:t>300</w:t>
            </w:r>
          </w:p>
        </w:tc>
        <w:tc>
          <w:tcPr>
            <w:tcW w:w="14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3.950% notes due 2025 </w:t>
            </w:r>
            <w:r>
              <w:rPr>
                <w:rFonts w:ascii="Arial" w:cs="Arial" w:eastAsia="Arial" w:hAnsi="Arial"/>
                <w:sz w:val="23"/>
                <w:szCs w:val="23"/>
                <w:color w:val="auto"/>
                <w:vertAlign w:val="superscript"/>
              </w:rPr>
              <w:t>(1)</w:t>
            </w: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1,500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w:t>
            </w:r>
          </w:p>
        </w:tc>
        <w:tc>
          <w:tcPr>
            <w:tcW w:w="2120" w:type="dxa"/>
            <w:vAlign w:val="bottom"/>
          </w:tcPr>
          <w:p>
            <w:pPr>
              <w:spacing w:after="0"/>
              <w:rPr>
                <w:sz w:val="19"/>
                <w:szCs w:val="19"/>
                <w:color w:val="auto"/>
              </w:rPr>
            </w:pPr>
          </w:p>
        </w:tc>
        <w:tc>
          <w:tcPr>
            <w:tcW w:w="1660" w:type="dxa"/>
            <w:vAlign w:val="bottom"/>
          </w:tcPr>
          <w:p>
            <w:pPr>
              <w:jc w:val="right"/>
              <w:ind w:right="271"/>
              <w:spacing w:after="0"/>
              <w:rPr>
                <w:sz w:val="20"/>
                <w:szCs w:val="20"/>
                <w:color w:val="auto"/>
              </w:rPr>
            </w:pPr>
            <w:r>
              <w:rPr>
                <w:rFonts w:ascii="Arial" w:cs="Arial" w:eastAsia="Arial" w:hAnsi="Arial"/>
                <w:sz w:val="18"/>
                <w:szCs w:val="18"/>
                <w:b w:val="1"/>
                <w:bCs w:val="1"/>
                <w:color w:val="auto"/>
              </w:rPr>
              <w:t>719</w:t>
            </w:r>
          </w:p>
        </w:tc>
        <w:tc>
          <w:tcPr>
            <w:tcW w:w="146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30"/>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3"/>
                <w:szCs w:val="23"/>
                <w:color w:val="auto"/>
                <w:vertAlign w:val="superscript"/>
              </w:rPr>
              <w:t>(1)</w:t>
            </w: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1,100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3.500% notes due 2027</w:t>
            </w:r>
          </w:p>
        </w:tc>
        <w:tc>
          <w:tcPr>
            <w:tcW w:w="2120" w:type="dxa"/>
            <w:vAlign w:val="bottom"/>
          </w:tcPr>
          <w:p>
            <w:pPr>
              <w:spacing w:after="0"/>
              <w:rPr>
                <w:sz w:val="19"/>
                <w:szCs w:val="19"/>
                <w:color w:val="auto"/>
              </w:rPr>
            </w:pPr>
          </w:p>
        </w:tc>
        <w:tc>
          <w:tcPr>
            <w:tcW w:w="1660" w:type="dxa"/>
            <w:vAlign w:val="bottom"/>
          </w:tcPr>
          <w:p>
            <w:pPr>
              <w:jc w:val="right"/>
              <w:ind w:right="271"/>
              <w:spacing w:after="0"/>
              <w:rPr>
                <w:sz w:val="20"/>
                <w:szCs w:val="20"/>
                <w:color w:val="auto"/>
              </w:rPr>
            </w:pPr>
            <w:r>
              <w:rPr>
                <w:rFonts w:ascii="Arial" w:cs="Arial" w:eastAsia="Arial" w:hAnsi="Arial"/>
                <w:sz w:val="18"/>
                <w:szCs w:val="18"/>
                <w:b w:val="1"/>
                <w:bCs w:val="1"/>
                <w:color w:val="auto"/>
              </w:rPr>
              <w:t>1,300</w:t>
            </w:r>
          </w:p>
        </w:tc>
        <w:tc>
          <w:tcPr>
            <w:tcW w:w="146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7.200% notes due 2027 </w:t>
            </w:r>
            <w:r>
              <w:rPr>
                <w:rFonts w:ascii="Arial" w:cs="Arial" w:eastAsia="Arial" w:hAnsi="Arial"/>
                <w:sz w:val="23"/>
                <w:szCs w:val="23"/>
                <w:color w:val="auto"/>
                <w:vertAlign w:val="superscript"/>
              </w:rPr>
              <w:t>(2)</w:t>
            </w: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382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7.100% notes due 2027</w:t>
            </w:r>
          </w:p>
        </w:tc>
        <w:tc>
          <w:tcPr>
            <w:tcW w:w="2120" w:type="dxa"/>
            <w:vAlign w:val="bottom"/>
          </w:tcPr>
          <w:p>
            <w:pPr>
              <w:spacing w:after="0"/>
              <w:rPr>
                <w:sz w:val="19"/>
                <w:szCs w:val="19"/>
                <w:color w:val="auto"/>
              </w:rPr>
            </w:pPr>
          </w:p>
        </w:tc>
        <w:tc>
          <w:tcPr>
            <w:tcW w:w="1660" w:type="dxa"/>
            <w:vAlign w:val="bottom"/>
          </w:tcPr>
          <w:p>
            <w:pPr>
              <w:jc w:val="right"/>
              <w:ind w:right="271"/>
              <w:spacing w:after="0"/>
              <w:rPr>
                <w:sz w:val="20"/>
                <w:szCs w:val="20"/>
                <w:color w:val="auto"/>
              </w:rPr>
            </w:pPr>
            <w:r>
              <w:rPr>
                <w:rFonts w:ascii="Arial" w:cs="Arial" w:eastAsia="Arial" w:hAnsi="Arial"/>
                <w:sz w:val="18"/>
                <w:szCs w:val="18"/>
                <w:b w:val="1"/>
                <w:bCs w:val="1"/>
                <w:color w:val="auto"/>
              </w:rPr>
              <w:t>141</w:t>
            </w:r>
          </w:p>
        </w:tc>
        <w:tc>
          <w:tcPr>
            <w:tcW w:w="14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6.700% notes due 2028</w:t>
            </w: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400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7.000% notes due 2028 </w:t>
            </w:r>
            <w:r>
              <w:rPr>
                <w:rFonts w:ascii="Arial" w:cs="Arial" w:eastAsia="Arial" w:hAnsi="Arial"/>
                <w:sz w:val="23"/>
                <w:szCs w:val="23"/>
                <w:color w:val="auto"/>
                <w:vertAlign w:val="superscript"/>
              </w:rPr>
              <w:t>(2)</w:t>
            </w:r>
          </w:p>
        </w:tc>
        <w:tc>
          <w:tcPr>
            <w:tcW w:w="2120" w:type="dxa"/>
            <w:vAlign w:val="bottom"/>
          </w:tcPr>
          <w:p>
            <w:pPr>
              <w:spacing w:after="0"/>
              <w:rPr>
                <w:sz w:val="19"/>
                <w:szCs w:val="19"/>
                <w:color w:val="auto"/>
              </w:rPr>
            </w:pPr>
          </w:p>
        </w:tc>
        <w:tc>
          <w:tcPr>
            <w:tcW w:w="1660" w:type="dxa"/>
            <w:vAlign w:val="bottom"/>
          </w:tcPr>
          <w:p>
            <w:pPr>
              <w:jc w:val="right"/>
              <w:ind w:right="271"/>
              <w:spacing w:after="0"/>
              <w:rPr>
                <w:sz w:val="20"/>
                <w:szCs w:val="20"/>
                <w:color w:val="auto"/>
              </w:rPr>
            </w:pPr>
            <w:r>
              <w:rPr>
                <w:rFonts w:ascii="Arial" w:cs="Arial" w:eastAsia="Arial" w:hAnsi="Arial"/>
                <w:sz w:val="18"/>
                <w:szCs w:val="18"/>
                <w:b w:val="1"/>
                <w:bCs w:val="1"/>
                <w:color w:val="auto"/>
              </w:rPr>
              <w:t>185</w:t>
            </w:r>
          </w:p>
        </w:tc>
        <w:tc>
          <w:tcPr>
            <w:tcW w:w="14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4.125% notes due 2028 </w:t>
            </w:r>
            <w:r>
              <w:rPr>
                <w:rFonts w:ascii="Arial" w:cs="Arial" w:eastAsia="Arial" w:hAnsi="Arial"/>
                <w:sz w:val="23"/>
                <w:szCs w:val="23"/>
                <w:color w:val="auto"/>
                <w:vertAlign w:val="superscript"/>
              </w:rPr>
              <w:t>(1)</w:t>
            </w: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3,000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3"/>
                <w:szCs w:val="23"/>
                <w:color w:val="auto"/>
                <w:vertAlign w:val="superscript"/>
              </w:rPr>
              <w:t>(1)</w:t>
            </w:r>
          </w:p>
        </w:tc>
        <w:tc>
          <w:tcPr>
            <w:tcW w:w="2120" w:type="dxa"/>
            <w:vAlign w:val="bottom"/>
          </w:tcPr>
          <w:p>
            <w:pPr>
              <w:spacing w:after="0"/>
              <w:rPr>
                <w:sz w:val="19"/>
                <w:szCs w:val="19"/>
                <w:color w:val="auto"/>
              </w:rPr>
            </w:pPr>
          </w:p>
        </w:tc>
        <w:tc>
          <w:tcPr>
            <w:tcW w:w="1660" w:type="dxa"/>
            <w:vAlign w:val="bottom"/>
          </w:tcPr>
          <w:p>
            <w:pPr>
              <w:jc w:val="right"/>
              <w:ind w:right="271"/>
              <w:spacing w:after="0"/>
              <w:rPr>
                <w:sz w:val="20"/>
                <w:szCs w:val="20"/>
                <w:color w:val="auto"/>
              </w:rPr>
            </w:pPr>
            <w:r>
              <w:rPr>
                <w:rFonts w:ascii="Arial" w:cs="Arial" w:eastAsia="Arial" w:hAnsi="Arial"/>
                <w:sz w:val="18"/>
                <w:szCs w:val="18"/>
                <w:b w:val="1"/>
                <w:bCs w:val="1"/>
                <w:color w:val="auto"/>
              </w:rPr>
              <w:t>550</w:t>
            </w:r>
          </w:p>
        </w:tc>
        <w:tc>
          <w:tcPr>
            <w:tcW w:w="14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2.150% notes due 2030 (€500 million principal value) </w:t>
            </w:r>
            <w:r>
              <w:rPr>
                <w:rFonts w:ascii="Arial" w:cs="Arial" w:eastAsia="Arial" w:hAnsi="Arial"/>
                <w:sz w:val="23"/>
                <w:szCs w:val="23"/>
                <w:color w:val="auto"/>
                <w:vertAlign w:val="superscript"/>
              </w:rPr>
              <w:t>(1)</w:t>
            </w:r>
          </w:p>
        </w:tc>
        <w:tc>
          <w:tcPr>
            <w:tcW w:w="2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598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020" w:type="dxa"/>
            <w:vAlign w:val="bottom"/>
          </w:tcPr>
          <w:p>
            <w:pPr>
              <w:ind w:left="20"/>
              <w:spacing w:after="0"/>
              <w:rPr>
                <w:sz w:val="20"/>
                <w:szCs w:val="20"/>
                <w:color w:val="auto"/>
              </w:rPr>
            </w:pPr>
            <w:r>
              <w:rPr>
                <w:rFonts w:ascii="Arial" w:cs="Arial" w:eastAsia="Arial" w:hAnsi="Arial"/>
                <w:sz w:val="18"/>
                <w:szCs w:val="18"/>
                <w:color w:val="auto"/>
              </w:rPr>
              <w:t xml:space="preserve">2.250% notes due 2030 </w:t>
            </w:r>
            <w:r>
              <w:rPr>
                <w:rFonts w:ascii="Arial" w:cs="Arial" w:eastAsia="Arial" w:hAnsi="Arial"/>
                <w:sz w:val="23"/>
                <w:szCs w:val="23"/>
                <w:color w:val="auto"/>
                <w:vertAlign w:val="superscript"/>
              </w:rPr>
              <w:t>(1)</w:t>
            </w:r>
          </w:p>
        </w:tc>
        <w:tc>
          <w:tcPr>
            <w:tcW w:w="14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7.000% notes due 2038</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159</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4.450% notes due 2038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4.875% notes due 2040 </w:t>
            </w:r>
            <w:r>
              <w:rPr>
                <w:rFonts w:ascii="Arial" w:cs="Arial" w:eastAsia="Arial" w:hAnsi="Arial"/>
                <w:sz w:val="23"/>
                <w:szCs w:val="23"/>
                <w:color w:val="auto"/>
                <w:vertAlign w:val="superscript"/>
              </w:rPr>
              <w:t>(2)</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4.700% notes due 2041 </w:t>
            </w:r>
            <w:r>
              <w:rPr>
                <w:rFonts w:ascii="Arial" w:cs="Arial" w:eastAsia="Arial" w:hAnsi="Arial"/>
                <w:sz w:val="23"/>
                <w:szCs w:val="23"/>
                <w:color w:val="auto"/>
                <w:vertAlign w:val="superscript"/>
              </w:rPr>
              <w:t>(2)</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3,500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4.800% notes due 2043</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4.200% notes due 2044 </w:t>
            </w:r>
            <w:r>
              <w:rPr>
                <w:rFonts w:ascii="Arial" w:cs="Arial" w:eastAsia="Arial" w:hAnsi="Arial"/>
                <w:sz w:val="23"/>
                <w:szCs w:val="23"/>
                <w:color w:val="auto"/>
                <w:vertAlign w:val="superscript"/>
              </w:rPr>
              <w:t>(2)</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4.350% notes due 2047</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4.625% notes due 2048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3.125% notes due 2050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(including finance leases)</w:t>
            </w:r>
          </w:p>
        </w:tc>
        <w:tc>
          <w:tcPr>
            <w:tcW w:w="1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principal long-term debt</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31,187</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31,470</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(fair market value adjustments, (discounts)/premiums, and debt issuance costs)</w:t>
            </w:r>
          </w:p>
        </w:tc>
        <w:tc>
          <w:tcPr>
            <w:tcW w:w="1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31,286</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31,576</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1,370</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net of current portion</w:t>
            </w: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29,916</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31,026</w:t>
            </w:r>
          </w:p>
        </w:tc>
      </w:tr>
    </w:tbl>
    <w:p>
      <w:pPr>
        <w:spacing w:after="0" w:line="22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redeem these notes at our option pursuant to their terms.</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Debt assumed in the Raytheon Merger.</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average maturity of our long-term debt at June 30, 2021 is approximately 14 years. The average interest expense rate on our total borrowings for the quarters and six months ended June 30, 2021 and 2020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8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Quarter Ended June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31"/>
        </w:trPr>
        <w:tc>
          <w:tcPr>
            <w:tcW w:w="6040" w:type="dxa"/>
            <w:vAlign w:val="bottom"/>
            <w:tcBorders>
              <w:bottom w:val="single" w:sz="8" w:color="auto"/>
            </w:tcBorders>
            <w:gridSpan w:val="2"/>
            <w:shd w:val="clear" w:color="auto" w:fill="CCEEFF"/>
          </w:tcPr>
          <w:p>
            <w:pPr>
              <w:jc w:val="right"/>
              <w:ind w:right="3828"/>
              <w:spacing w:after="0"/>
              <w:rPr>
                <w:sz w:val="20"/>
                <w:szCs w:val="20"/>
                <w:color w:val="auto"/>
              </w:rPr>
            </w:pPr>
            <w:r>
              <w:rPr>
                <w:rFonts w:ascii="Arial" w:cs="Arial" w:eastAsia="Arial" w:hAnsi="Arial"/>
                <w:sz w:val="18"/>
                <w:szCs w:val="18"/>
                <w:color w:val="auto"/>
                <w:w w:val="88"/>
              </w:rPr>
              <w:t>Average interest expense rate</w:t>
            </w:r>
          </w:p>
        </w:tc>
        <w:tc>
          <w:tcPr>
            <w:tcW w:w="15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b w:val="1"/>
                <w:bCs w:val="1"/>
                <w:color w:val="auto"/>
              </w:rPr>
              <w:t>4.2 %</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b w:val="1"/>
                <w:bCs w:val="1"/>
                <w:color w:val="auto"/>
              </w:rPr>
              <w:t>4.1 %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benefit pension and postretirement benefit (PRB)</w:t>
      </w:r>
      <w:r>
        <w:rPr>
          <w:rFonts w:ascii="Arial" w:cs="Arial" w:eastAsia="Arial" w:hAnsi="Arial"/>
          <w:sz w:val="18"/>
          <w:szCs w:val="18"/>
          <w:b w:val="1"/>
          <w:bCs w:val="1"/>
          <w:color w:val="auto"/>
        </w:rPr>
        <w:t xml:space="preserve"> </w:t>
      </w:r>
      <w:r>
        <w:rPr>
          <w:rFonts w:ascii="Arial" w:cs="Arial" w:eastAsia="Arial" w:hAnsi="Arial"/>
          <w:sz w:val="18"/>
          <w:szCs w:val="18"/>
          <w:color w:val="auto"/>
        </w:rPr>
        <w:t>plans and defined contribution plans.</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3, 2020, UTC completed the Separation Transactions, which included the transfer of certain defined benefit plans from UTC to Carrier and Otis. The plans transferred were primarily international plans with the majority of the UTC defined benefit liability remaining with Raytheon Technologies. Upon separation, the pension participants within Carrier and Otis were effectively terminated from Raytheon Technologies. The terminations triggered a mid-year remeasurement of the UTC domestic plans. The remeasurement, which was calculated using discount rates and asset values as of April 3, 2020 (using March 31, 2020 as a practical expedient), resulted in a $2.4 billion increase to our pension liability in the quarter ended June 30, 2020, primarily due to a decrease in the fair market value of the plans’ assets since December 31, 2019. All service cost previously associated with Carrier and Otis was reclassified to discontinued operations. For non-service pension (income) expense and pension liabilities, generally only the portions related to the defined benefit plans transferred to Carrier and Otis as part of the Separation Transactions were reclassified to discontinued operations.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Raytheon Company has both funded and unfunded domestic and foreign defined benefit pension and PRB plans. As of the merger date, the Raytheon Company plans were remeasured at fair value using accounting policies consistent with the UTC plans. The deferred pension and PRB plan losses included in Raytheon Company’s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(loss) as of the merger date were eliminated and are no longer subject to amortization in net periodic benefit (income) expense. Amounts prior to the merger date of April 3, 2020 do not include the Raytheon Company pension plan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our plans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Quarter Ended June 30,</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qualified defined benefit plans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48"/>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International defined benefit plans</w:t>
            </w:r>
          </w:p>
        </w:tc>
        <w:tc>
          <w:tcPr>
            <w:tcW w:w="42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b w:val="1"/>
                <w:bCs w:val="1"/>
                <w:color w:val="auto"/>
              </w:rPr>
              <w:t>14</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21</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PRB plans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Defined contribution plans</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238</w:t>
            </w:r>
          </w:p>
        </w:tc>
        <w:tc>
          <w:tcPr>
            <w:tcW w:w="9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509</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418"/>
        </w:trPr>
        <w:tc>
          <w:tcPr>
            <w:tcW w:w="6080" w:type="dxa"/>
            <w:vAlign w:val="bottom"/>
            <w:gridSpan w:val="2"/>
          </w:tcPr>
          <w:p>
            <w:pPr>
              <w:spacing w:after="0"/>
              <w:rPr>
                <w:sz w:val="20"/>
                <w:szCs w:val="20"/>
                <w:color w:val="auto"/>
              </w:rPr>
            </w:pPr>
            <w:r>
              <w:rPr>
                <w:rFonts w:ascii="Arial" w:cs="Arial" w:eastAsia="Arial" w:hAnsi="Arial"/>
                <w:sz w:val="18"/>
                <w:szCs w:val="18"/>
                <w:color w:val="auto"/>
                <w:w w:val="91"/>
              </w:rPr>
              <w:t>The amounts recognized in the Condensed Consolidated Balance Sheet consist of:</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w w:val="92"/>
              </w:rPr>
              <w:t>June 30, 2021</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pension assets (included in Other assets)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1,069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w w:val="92"/>
              </w:rPr>
              <w:t>Current pension and PRB liabilities (included in Accrued employee compensation)</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314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37"/>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Future pension and postretirement benefit obligations</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9,929</w:t>
            </w:r>
          </w:p>
        </w:tc>
        <w:tc>
          <w:tcPr>
            <w:tcW w:w="2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10,342</w:t>
            </w:r>
          </w:p>
        </w:tc>
      </w:tr>
      <w:tr>
        <w:trPr>
          <w:trHeight w:val="405"/>
        </w:trPr>
        <w:tc>
          <w:tcPr>
            <w:tcW w:w="7000" w:type="dxa"/>
            <w:vAlign w:val="bottom"/>
            <w:gridSpan w:val="3"/>
          </w:tcPr>
          <w:p>
            <w:pPr>
              <w:spacing w:after="0"/>
              <w:rPr>
                <w:sz w:val="20"/>
                <w:szCs w:val="20"/>
                <w:color w:val="auto"/>
              </w:rPr>
            </w:pPr>
            <w:r>
              <w:rPr>
                <w:rFonts w:ascii="Arial" w:cs="Arial" w:eastAsia="Arial" w:hAnsi="Arial"/>
                <w:sz w:val="18"/>
                <w:szCs w:val="18"/>
                <w:color w:val="auto"/>
                <w:w w:val="95"/>
              </w:rPr>
              <w:t>The amounts recognized in Future pension and postretirement benefit obligations consist of:</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w w:val="92"/>
              </w:rPr>
              <w:t>June 30, 2021</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pension liabilities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8,805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w:t>
            </w: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Noncurrent PRB liabilities</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1,058</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57"/>
        </w:trPr>
        <w:tc>
          <w:tcPr>
            <w:tcW w:w="5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pension and PRB related items</w:t>
            </w: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Future pension and postretirement benefit obligations</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9,929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components of net periodic benefit (income) expense for our defined pension and PRB plans: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center"/>
              <w:ind w:left="435"/>
              <w:spacing w:after="0"/>
              <w:rPr>
                <w:sz w:val="20"/>
                <w:szCs w:val="20"/>
                <w:color w:val="auto"/>
              </w:rPr>
            </w:pPr>
            <w:r>
              <w:rPr>
                <w:rFonts w:ascii="Arial" w:cs="Arial" w:eastAsia="Arial" w:hAnsi="Arial"/>
                <w:sz w:val="14"/>
                <w:szCs w:val="14"/>
                <w:b w:val="1"/>
                <w:bCs w:val="1"/>
                <w:color w:val="auto"/>
                <w:w w:val="88"/>
              </w:rPr>
              <w:t>Pension Benefits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PRB</w:t>
            </w:r>
          </w:p>
        </w:tc>
        <w:tc>
          <w:tcPr>
            <w:tcW w:w="1020" w:type="dxa"/>
            <w:vAlign w:val="bottom"/>
          </w:tcPr>
          <w:p>
            <w:pPr>
              <w:spacing w:after="0"/>
              <w:rPr>
                <w:sz w:val="14"/>
                <w:szCs w:val="14"/>
                <w:color w:val="auto"/>
              </w:rPr>
            </w:pPr>
          </w:p>
        </w:tc>
      </w:tr>
      <w:tr>
        <w:trPr>
          <w:trHeight w:val="186"/>
        </w:trPr>
        <w:tc>
          <w:tcPr>
            <w:tcW w:w="5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Quarter Ended June 30,</w:t>
            </w:r>
          </w:p>
        </w:tc>
        <w:tc>
          <w:tcPr>
            <w:tcW w:w="300" w:type="dxa"/>
            <w:vAlign w:val="bottom"/>
          </w:tcPr>
          <w:p>
            <w:pPr>
              <w:spacing w:after="0"/>
              <w:rPr>
                <w:sz w:val="16"/>
                <w:szCs w:val="16"/>
                <w:color w:val="auto"/>
              </w:rPr>
            </w:pPr>
          </w:p>
        </w:tc>
        <w:tc>
          <w:tcPr>
            <w:tcW w:w="246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Quarter Ended June 30,</w:t>
            </w:r>
          </w:p>
        </w:tc>
      </w:tr>
      <w:tr>
        <w:trPr>
          <w:trHeight w:val="184"/>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6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Service cost</w:t>
            </w: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131</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313</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Amortization of prior service cost (credit)</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actuarial net loss (gain)</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109</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8"/>
              </w:rPr>
              <w:t>Net settlement, curtailment and special termination benefit loss</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Non-service pension (income) expense</w:t>
            </w:r>
          </w:p>
        </w:tc>
        <w:tc>
          <w:tcPr>
            <w:tcW w:w="4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periodic benefit (income) expense</w:t>
            </w: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986"/>
        </w:trPr>
        <w:tc>
          <w:tcPr>
            <w:tcW w:w="5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center"/>
              <w:ind w:left="435"/>
              <w:spacing w:after="0"/>
              <w:rPr>
                <w:sz w:val="20"/>
                <w:szCs w:val="20"/>
                <w:color w:val="auto"/>
              </w:rPr>
            </w:pPr>
            <w:r>
              <w:rPr>
                <w:rFonts w:ascii="Arial" w:cs="Arial" w:eastAsia="Arial" w:hAnsi="Arial"/>
                <w:sz w:val="14"/>
                <w:szCs w:val="14"/>
                <w:b w:val="1"/>
                <w:bCs w:val="1"/>
                <w:color w:val="auto"/>
                <w:w w:val="89"/>
              </w:rPr>
              <w:t>Pension Benefits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PRB</w:t>
            </w:r>
          </w:p>
        </w:tc>
        <w:tc>
          <w:tcPr>
            <w:tcW w:w="1020" w:type="dxa"/>
            <w:vAlign w:val="bottom"/>
          </w:tcPr>
          <w:p>
            <w:pPr>
              <w:spacing w:after="0"/>
              <w:rPr>
                <w:sz w:val="14"/>
                <w:szCs w:val="14"/>
                <w:color w:val="auto"/>
              </w:rPr>
            </w:pPr>
          </w:p>
        </w:tc>
      </w:tr>
      <w:tr>
        <w:trPr>
          <w:trHeight w:val="186"/>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Six Months Ended June 30,</w:t>
            </w:r>
          </w:p>
        </w:tc>
        <w:tc>
          <w:tcPr>
            <w:tcW w:w="300" w:type="dxa"/>
            <w:vAlign w:val="bottom"/>
          </w:tcPr>
          <w:p>
            <w:pPr>
              <w:spacing w:after="0"/>
              <w:rPr>
                <w:sz w:val="16"/>
                <w:szCs w:val="16"/>
                <w:color w:val="auto"/>
              </w:rPr>
            </w:pPr>
          </w:p>
        </w:tc>
        <w:tc>
          <w:tcPr>
            <w:tcW w:w="246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262</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625</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12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(1,739)</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Amortization of prior service cost (credit)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218</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settlement, curtailment and special termination benefit loss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Non-service pension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w:t>
            </w: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periodic benefit (income)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5"/>
              </w:rPr>
              <w:t>December 31, 2020</w:t>
            </w:r>
          </w:p>
        </w:tc>
      </w:tr>
      <w:tr>
        <w:trPr>
          <w:trHeight w:val="236"/>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 held in trusts</w:t>
            </w:r>
          </w:p>
        </w:tc>
        <w:tc>
          <w:tcPr>
            <w:tcW w:w="39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6"/>
              </w:rPr>
              <w:t>908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effective tax rate was 23.9% and 1.0% in the quarters ended June 30, 2021 and 2020, respectively. Tax expense in the quarter ended June 30, 2021 includes tax charges of $73 million associated with the revaluation of deferred taxes resulting from the increase in the United Kingdom (U.K.) corporate tax rate to 25% effective in 2023. The loss from continuing operations before income taxes for the quarter ended June 30, 2020 includes the $3.2 billion goodwill impairment as described in “Note 2: Acquisitions, Dispositions, Goodwill and Intangible Assets,” most of which is non-deductible for tax purposes. Tax expense in the quarter ended June 30, 2020 includes tax charges of $60 million related to the June 2020 debt exchange, and tax charges of $46 million associated with a revaluation of certain international tax incentives.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effective tax rate was 26.5% and (22.0)% in the six months ended June 30, 2021 and 2020, respectively. Tax expense in the six months ended June 30, 2021 includes tax charges of $148 million associated with the sale of the Forcepoint business and the tax charges of $73 million associated with the enactment of the U.K. corporate tax rate change discussed above. The loss from continuing operations before income taxes for the six months ended June 30, 2020 includes the $3.2 billion goodwill impairment as described in “Note 2: Acquisitions, Dispositions, Goodwill and Intangible Assets,” most of which is non-deductible for tax purposes. Tax expense in the six months ended June 30, 2020 includes tax charges of $415 million resulting from the Separation Transactions or the Raytheon Merger, primarily related to the impairment of deferred tax assets, tax charges of $60 million related to the June 2020 debt exchange, and tax charges of $46 million associated with a revaluation of certain international tax incentives.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business globally and, as a result, Raytheon Technologies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2012.</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$35 million to $410 million of unrecognized tax benefits may occur within the next 12 months as a result of the revaluation of uncertain tax positions arising from the issuance of legislation, regulatory or other guidance or developments in examinations, in appeals, or in the courts, or the closure of tax statutes. Interest recognized during the quarters ended June 30, 2021 and 2020 was $10 million and $11 million, respectively. Interest recognized during the six months ended June 30, 2021 and 2020 was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$19 million and $22 million, respectively. Accrued interest on unrecognized tax benefits was $154 million and $141 million, at June 30, 2021 and December 31, 2020, respectively.</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has determined that the distributions of Carrier and Otis on April 3, 2020, and certain 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in each case, or certain internal business separation transactions, were to fail to qualify for tax-free treatment, the Company could be subject to significant liabilities, and there could be material adverse impacts on the Company’s business, financial condition, results of operations and cash flows in future reporting periods.</w:t>
      </w:r>
    </w:p>
    <w:p>
      <w:pPr>
        <w:spacing w:after="0" w:line="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Examination Division of the Internal Revenue Service (IRS) is currently auditing Raytheon Technologies tax years 2017 and 2018 and pre-merger Raytheon Company tax periods 2017, 2018 and 2019 as well as certain refund claims of Raytheon Company for tax years 2014, 2015 and 2016 filed prior to the Raytheon Merger.</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Examination Division of the IRS is also auditing pre-acquisition Rockwell Collins fiscal tax years 2016 and 2017, which is projected to close in the next six to nine months. As a result of the projected closure of the audit of Rockwell Collins fiscal tax years 2016 and 2017, it is reasonably possible that the Company may recognize non-cash gains in the range of $20 million to $100 million in the next six to nine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Costs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Restructuring costs are generally expensed as incurred. All U.S. government unallowable restructuring costs related to the Raytheon Merger are recorded within Corporate expenses and other unallocated items, as these costs are not included in management’s evaluation of the segments’ performance, and as a result, there are no unallowable restructuring costs at the RIS and RMD segments. During the quarter and six months ended June 30, 2021, we recorded net pre-tax restructuring costs totaling $56 million and $99 million, respectively, for new and ongoing restructuring actions.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recorded and reversed charges in the segments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60" w:type="dxa"/>
            <w:vAlign w:val="bottom"/>
            <w:gridSpan w:val="2"/>
          </w:tcPr>
          <w:p>
            <w:pPr>
              <w:ind w:left="2320"/>
              <w:spacing w:after="0"/>
              <w:rPr>
                <w:sz w:val="20"/>
                <w:szCs w:val="20"/>
                <w:color w:val="auto"/>
              </w:rPr>
            </w:pPr>
            <w:r>
              <w:rPr>
                <w:rFonts w:ascii="Arial" w:cs="Arial" w:eastAsia="Arial" w:hAnsi="Arial"/>
                <w:sz w:val="14"/>
                <w:szCs w:val="14"/>
                <w:b w:val="1"/>
                <w:bCs w:val="1"/>
                <w:color w:val="auto"/>
                <w:w w:val="96"/>
              </w:rPr>
              <w:t>Quarter Ended June 30,</w:t>
            </w:r>
          </w:p>
        </w:tc>
        <w:tc>
          <w:tcPr>
            <w:tcW w:w="2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88"/>
        </w:trPr>
        <w:tc>
          <w:tcPr>
            <w:tcW w:w="5800" w:type="dxa"/>
            <w:vAlign w:val="bottom"/>
            <w:tcBorders>
              <w:bottom w:val="single" w:sz="8" w:color="auto"/>
            </w:tcBorders>
            <w:vMerge w:val="continue"/>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2660" w:type="dxa"/>
            <w:vAlign w:val="bottom"/>
            <w:shd w:val="clear" w:color="auto" w:fill="CCEEFF"/>
          </w:tcPr>
          <w:p>
            <w:pPr>
              <w:ind w:left="23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center"/>
              <w:ind w:left="694"/>
              <w:spacing w:after="0"/>
              <w:rPr>
                <w:sz w:val="20"/>
                <w:szCs w:val="20"/>
                <w:color w:val="auto"/>
              </w:rPr>
            </w:pPr>
            <w:r>
              <w:rPr>
                <w:rFonts w:ascii="Arial" w:cs="Arial" w:eastAsia="Arial" w:hAnsi="Arial"/>
                <w:sz w:val="18"/>
                <w:szCs w:val="18"/>
                <w:b w:val="1"/>
                <w:bCs w:val="1"/>
                <w:color w:val="auto"/>
                <w:w w:val="93"/>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2660" w:type="dxa"/>
            <w:vAlign w:val="bottom"/>
          </w:tcPr>
          <w:p>
            <w:pPr>
              <w:spacing w:after="0"/>
              <w:rPr>
                <w:sz w:val="19"/>
                <w:szCs w:val="19"/>
                <w:color w:val="auto"/>
              </w:rPr>
            </w:pPr>
          </w:p>
        </w:tc>
        <w:tc>
          <w:tcPr>
            <w:tcW w:w="1200" w:type="dxa"/>
            <w:vAlign w:val="bottom"/>
          </w:tcPr>
          <w:p>
            <w:pPr>
              <w:jc w:val="center"/>
              <w:ind w:left="694"/>
              <w:spacing w:after="0"/>
              <w:rPr>
                <w:sz w:val="20"/>
                <w:szCs w:val="20"/>
                <w:color w:val="auto"/>
              </w:rPr>
            </w:pPr>
            <w:r>
              <w:rPr>
                <w:rFonts w:ascii="Arial" w:cs="Arial" w:eastAsia="Arial" w:hAnsi="Arial"/>
                <w:sz w:val="18"/>
                <w:szCs w:val="18"/>
                <w:b w:val="1"/>
                <w:bCs w:val="1"/>
                <w:color w:val="auto"/>
                <w:w w:val="89"/>
              </w:rPr>
              <w:t>12</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26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694"/>
              <w:spacing w:after="0"/>
              <w:rPr>
                <w:sz w:val="20"/>
                <w:szCs w:val="20"/>
                <w:color w:val="auto"/>
              </w:rPr>
            </w:pPr>
            <w:r>
              <w:rPr>
                <w:rFonts w:ascii="Arial" w:cs="Arial" w:eastAsia="Arial" w:hAnsi="Arial"/>
                <w:sz w:val="18"/>
                <w:szCs w:val="18"/>
                <w:b w:val="1"/>
                <w:bCs w:val="1"/>
                <w:color w:val="auto"/>
                <w:w w:val="89"/>
              </w:rPr>
              <w:t>60</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center"/>
              <w:ind w:left="694"/>
              <w:spacing w:after="0"/>
              <w:rPr>
                <w:sz w:val="20"/>
                <w:szCs w:val="20"/>
                <w:color w:val="auto"/>
              </w:rPr>
            </w:pPr>
            <w:r>
              <w:rPr>
                <w:rFonts w:ascii="Arial" w:cs="Arial" w:eastAsia="Arial" w:hAnsi="Arial"/>
                <w:sz w:val="18"/>
                <w:szCs w:val="18"/>
                <w:b w:val="1"/>
                <w:bCs w:val="1"/>
                <w:color w:val="auto"/>
                <w:w w:val="89"/>
              </w:rPr>
              <w:t>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charges incurred during the quarter and six months ended June 30, 2021 primarily relate to actions initiated during 2021 and 2020, and were recorded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340" w:type="dxa"/>
            <w:vAlign w:val="bottom"/>
            <w:gridSpan w:val="2"/>
          </w:tcPr>
          <w:p>
            <w:pPr>
              <w:ind w:left="2800"/>
              <w:spacing w:after="0"/>
              <w:rPr>
                <w:sz w:val="20"/>
                <w:szCs w:val="20"/>
                <w:color w:val="auto"/>
              </w:rPr>
            </w:pPr>
            <w:r>
              <w:rPr>
                <w:rFonts w:ascii="Arial" w:cs="Arial" w:eastAsia="Arial" w:hAnsi="Arial"/>
                <w:sz w:val="14"/>
                <w:szCs w:val="14"/>
                <w:b w:val="1"/>
                <w:bCs w:val="1"/>
                <w:color w:val="auto"/>
                <w:w w:val="96"/>
              </w:rPr>
              <w:t>Quarter Ended June 30,</w:t>
            </w:r>
          </w:p>
        </w:tc>
        <w:tc>
          <w:tcPr>
            <w:tcW w:w="200" w:type="dxa"/>
            <w:vAlign w:val="bottom"/>
          </w:tcPr>
          <w:p>
            <w:pPr>
              <w:spacing w:after="0"/>
              <w:rPr>
                <w:sz w:val="14"/>
                <w:szCs w:val="14"/>
                <w:color w:val="auto"/>
              </w:rPr>
            </w:pPr>
          </w:p>
        </w:tc>
        <w:tc>
          <w:tcPr>
            <w:tcW w:w="1380" w:type="dxa"/>
            <w:vAlign w:val="bottom"/>
          </w:tcPr>
          <w:p>
            <w:pPr>
              <w:jc w:val="right"/>
              <w:ind w:right="117"/>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88"/>
        </w:trPr>
        <w:tc>
          <w:tcPr>
            <w:tcW w:w="5320" w:type="dxa"/>
            <w:vAlign w:val="bottom"/>
            <w:tcBorders>
              <w:bottom w:val="single" w:sz="8" w:color="auto"/>
            </w:tcBorders>
            <w:vMerge w:val="continue"/>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140" w:type="dxa"/>
            <w:vAlign w:val="bottom"/>
            <w:shd w:val="clear" w:color="auto" w:fill="CCEEFF"/>
          </w:tcPr>
          <w:p>
            <w:pPr>
              <w:ind w:left="280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3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55</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auto"/>
            </w:tcBorders>
            <w:shd w:val="clear" w:color="auto" w:fill="CCEEFF"/>
          </w:tcPr>
          <w:p>
            <w:pPr>
              <w:ind w:left="280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2021 Actions. </w:t>
      </w:r>
      <w:r>
        <w:rPr>
          <w:rFonts w:ascii="Arial" w:cs="Arial" w:eastAsia="Arial" w:hAnsi="Arial"/>
          <w:sz w:val="18"/>
          <w:szCs w:val="18"/>
          <w:color w:val="auto"/>
        </w:rPr>
        <w:t>During the quarter ended June 30, 2021, we recorded net pre-tax restructuring costs of $65 million, comprised of $61 million in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and administrative expenses and $4 million in Cost of sales. During the six months ended June 30, 2021, we recorded net pre-tax restructuring costs of $101 million, comprised of $76 million in Selling, general and administrative expenses and $25 million in Cost of sales. The 2021 actions primarily relate to ongoing cost reduction efforts including workforce reductions and the consolidation of facilities.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accrual balance and utilization for the 2021 restructuring actions for the quarter and six months ended June 30,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140" w:type="dxa"/>
            <w:vAlign w:val="bottom"/>
          </w:tcPr>
          <w:p>
            <w:pPr>
              <w:spacing w:after="0"/>
              <w:rPr>
                <w:sz w:val="14"/>
                <w:szCs w:val="14"/>
                <w:color w:val="auto"/>
              </w:rPr>
            </w:pPr>
          </w:p>
        </w:tc>
        <w:tc>
          <w:tcPr>
            <w:tcW w:w="1220" w:type="dxa"/>
            <w:vAlign w:val="bottom"/>
            <w:gridSpan w:val="2"/>
            <w:vMerge w:val="restart"/>
          </w:tcPr>
          <w:p>
            <w:pPr>
              <w:jc w:val="right"/>
              <w:ind w:right="414"/>
              <w:spacing w:after="0"/>
              <w:rPr>
                <w:sz w:val="20"/>
                <w:szCs w:val="20"/>
                <w:color w:val="auto"/>
              </w:rPr>
            </w:pPr>
            <w:r>
              <w:rPr>
                <w:rFonts w:ascii="Arial" w:cs="Arial" w:eastAsia="Arial" w:hAnsi="Arial"/>
                <w:sz w:val="14"/>
                <w:szCs w:val="14"/>
                <w:b w:val="1"/>
                <w:bCs w:val="1"/>
                <w:color w:val="auto"/>
                <w:w w:val="99"/>
              </w:rPr>
              <w:t>Severance</w:t>
            </w: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Facility Exit and Other</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64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73"/>
              <w:spacing w:after="0"/>
              <w:rPr>
                <w:sz w:val="20"/>
                <w:szCs w:val="20"/>
                <w:color w:val="auto"/>
              </w:rPr>
            </w:pPr>
            <w:r>
              <w:rPr>
                <w:rFonts w:ascii="Arial" w:cs="Arial" w:eastAsia="Arial" w:hAnsi="Arial"/>
                <w:sz w:val="14"/>
                <w:szCs w:val="14"/>
                <w:b w:val="1"/>
                <w:bCs w:val="1"/>
                <w:color w:val="auto"/>
                <w:w w:val="97"/>
              </w:rPr>
              <w:t>Costs</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2021</w:t>
            </w:r>
          </w:p>
        </w:tc>
        <w:tc>
          <w:tcPr>
            <w:tcW w:w="2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Restructuring accruals at March 31, 2021</w:t>
            </w:r>
          </w:p>
        </w:tc>
        <w:tc>
          <w:tcPr>
            <w:tcW w:w="21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center"/>
              <w:ind w:left="334"/>
              <w:spacing w:after="0"/>
              <w:rPr>
                <w:sz w:val="20"/>
                <w:szCs w:val="20"/>
                <w:color w:val="auto"/>
              </w:rPr>
            </w:pPr>
            <w:r>
              <w:rPr>
                <w:rFonts w:ascii="Arial" w:cs="Arial" w:eastAsia="Arial" w:hAnsi="Arial"/>
                <w:sz w:val="18"/>
                <w:szCs w:val="18"/>
                <w:color w:val="auto"/>
                <w:w w:val="89"/>
              </w:rPr>
              <w:t>23</w:t>
            </w:r>
          </w:p>
        </w:tc>
        <w:tc>
          <w:tcPr>
            <w:tcW w:w="6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pre-tax restructuring costs</w:t>
            </w:r>
          </w:p>
        </w:tc>
        <w:tc>
          <w:tcPr>
            <w:tcW w:w="2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34"/>
              <w:spacing w:after="0"/>
              <w:rPr>
                <w:sz w:val="20"/>
                <w:szCs w:val="20"/>
                <w:color w:val="auto"/>
              </w:rPr>
            </w:pPr>
            <w:r>
              <w:rPr>
                <w:rFonts w:ascii="Arial" w:cs="Arial" w:eastAsia="Arial" w:hAnsi="Arial"/>
                <w:sz w:val="18"/>
                <w:szCs w:val="18"/>
                <w:b w:val="1"/>
                <w:bCs w:val="1"/>
                <w:color w:val="auto"/>
                <w:w w:val="89"/>
              </w:rPr>
              <w:t>63</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2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34"/>
              <w:spacing w:after="0"/>
              <w:rPr>
                <w:sz w:val="20"/>
                <w:szCs w:val="20"/>
                <w:color w:val="auto"/>
              </w:rPr>
            </w:pPr>
            <w:r>
              <w:rPr>
                <w:rFonts w:ascii="Arial" w:cs="Arial" w:eastAsia="Arial" w:hAnsi="Arial"/>
                <w:sz w:val="18"/>
                <w:szCs w:val="18"/>
                <w:b w:val="1"/>
                <w:bCs w:val="1"/>
                <w:color w:val="auto"/>
                <w:w w:val="93"/>
              </w:rPr>
              <w:t>(25)</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1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b w:val="1"/>
                <w:bCs w:val="1"/>
                <w:color w:val="auto"/>
                <w:w w:val="89"/>
              </w:rPr>
              <w:t>61</w:t>
            </w:r>
          </w:p>
        </w:tc>
        <w:tc>
          <w:tcPr>
            <w:tcW w:w="6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57"/>
        </w:trPr>
        <w:tc>
          <w:tcPr>
            <w:tcW w:w="46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2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Restructuring accruals at December 31, 2020</w:t>
            </w:r>
          </w:p>
        </w:tc>
        <w:tc>
          <w:tcPr>
            <w:tcW w:w="21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center"/>
              <w:ind w:left="33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pre-tax restructuring costs</w:t>
            </w:r>
          </w:p>
        </w:tc>
        <w:tc>
          <w:tcPr>
            <w:tcW w:w="2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34"/>
              <w:spacing w:after="0"/>
              <w:rPr>
                <w:sz w:val="20"/>
                <w:szCs w:val="20"/>
                <w:color w:val="auto"/>
              </w:rPr>
            </w:pPr>
            <w:r>
              <w:rPr>
                <w:rFonts w:ascii="Arial" w:cs="Arial" w:eastAsia="Arial" w:hAnsi="Arial"/>
                <w:sz w:val="18"/>
                <w:szCs w:val="18"/>
                <w:b w:val="1"/>
                <w:bCs w:val="1"/>
                <w:color w:val="auto"/>
                <w:w w:val="89"/>
              </w:rPr>
              <w:t>87</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2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34"/>
              <w:spacing w:after="0"/>
              <w:rPr>
                <w:sz w:val="20"/>
                <w:szCs w:val="20"/>
                <w:color w:val="auto"/>
              </w:rPr>
            </w:pPr>
            <w:r>
              <w:rPr>
                <w:rFonts w:ascii="Arial" w:cs="Arial" w:eastAsia="Arial" w:hAnsi="Arial"/>
                <w:sz w:val="18"/>
                <w:szCs w:val="18"/>
                <w:b w:val="1"/>
                <w:bCs w:val="1"/>
                <w:color w:val="auto"/>
                <w:w w:val="93"/>
              </w:rPr>
              <w:t>(26)</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1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b w:val="1"/>
                <w:bCs w:val="1"/>
                <w:color w:val="auto"/>
                <w:w w:val="89"/>
              </w:rPr>
              <w:t>61</w:t>
            </w:r>
          </w:p>
        </w:tc>
        <w:tc>
          <w:tcPr>
            <w:tcW w:w="6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418"/>
        </w:trPr>
        <w:tc>
          <w:tcPr>
            <w:tcW w:w="8600" w:type="dxa"/>
            <w:vAlign w:val="bottom"/>
            <w:gridSpan w:val="5"/>
          </w:tcPr>
          <w:p>
            <w:pPr>
              <w:spacing w:after="0"/>
              <w:rPr>
                <w:sz w:val="20"/>
                <w:szCs w:val="20"/>
                <w:color w:val="auto"/>
              </w:rPr>
            </w:pPr>
            <w:r>
              <w:rPr>
                <w:rFonts w:ascii="Arial" w:cs="Arial" w:eastAsia="Arial" w:hAnsi="Arial"/>
                <w:sz w:val="18"/>
                <w:szCs w:val="18"/>
                <w:color w:val="auto"/>
                <w:w w:val="91"/>
              </w:rPr>
              <w:t>The following table summarizes expected, incurred and remaining costs for the 2021 restructuring actions by segment: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2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380" w:type="dxa"/>
            <w:vAlign w:val="bottom"/>
          </w:tcPr>
          <w:p>
            <w:pPr>
              <w:spacing w:after="0"/>
              <w:rPr>
                <w:sz w:val="23"/>
                <w:szCs w:val="23"/>
                <w:color w:val="auto"/>
              </w:rPr>
            </w:pPr>
          </w:p>
        </w:tc>
        <w:tc>
          <w:tcPr>
            <w:tcW w:w="14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Costs Incurred</w:t>
            </w:r>
          </w:p>
        </w:tc>
        <w:tc>
          <w:tcPr>
            <w:tcW w:w="180" w:type="dxa"/>
            <w:vAlign w:val="bottom"/>
          </w:tcPr>
          <w:p>
            <w:pPr>
              <w:spacing w:after="0"/>
              <w:rPr>
                <w:sz w:val="23"/>
                <w:szCs w:val="23"/>
                <w:color w:val="auto"/>
              </w:rPr>
            </w:pPr>
          </w:p>
        </w:tc>
        <w:tc>
          <w:tcPr>
            <w:tcW w:w="11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Remaining Costs at</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1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gridSpan w:val="2"/>
          </w:tcPr>
          <w:p>
            <w:pPr>
              <w:jc w:val="right"/>
              <w:ind w:right="132"/>
              <w:spacing w:after="0" w:line="135" w:lineRule="exact"/>
              <w:rPr>
                <w:sz w:val="20"/>
                <w:szCs w:val="20"/>
                <w:color w:val="auto"/>
              </w:rPr>
            </w:pPr>
            <w:r>
              <w:rPr>
                <w:rFonts w:ascii="Arial" w:cs="Arial" w:eastAsia="Arial" w:hAnsi="Arial"/>
                <w:sz w:val="14"/>
                <w:szCs w:val="14"/>
                <w:b w:val="1"/>
                <w:bCs w:val="1"/>
                <w:color w:val="auto"/>
              </w:rPr>
              <w:t>Quarter Ended</w:t>
            </w:r>
          </w:p>
        </w:tc>
        <w:tc>
          <w:tcPr>
            <w:tcW w:w="12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6"/>
              </w:rPr>
              <w:t>Quarter Ended</w:t>
            </w: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4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Costs</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92"/>
              </w:rPr>
              <w:t>June 30, 2021</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June 30, 2021</w:t>
            </w: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214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840" w:type="dxa"/>
            <w:vAlign w:val="bottom"/>
            <w:shd w:val="clear" w:color="auto" w:fill="CCEEFF"/>
          </w:tcPr>
          <w:p>
            <w:pPr>
              <w:jc w:val="right"/>
              <w:ind w:right="554"/>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center"/>
              <w:ind w:left="92"/>
              <w:spacing w:after="0"/>
              <w:rPr>
                <w:sz w:val="20"/>
                <w:szCs w:val="20"/>
                <w:color w:val="auto"/>
              </w:rPr>
            </w:pPr>
            <w:r>
              <w:rPr>
                <w:rFonts w:ascii="Arial" w:cs="Arial" w:eastAsia="Arial" w:hAnsi="Arial"/>
                <w:sz w:val="18"/>
                <w:szCs w:val="18"/>
                <w:b w:val="1"/>
                <w:bCs w:val="1"/>
                <w:color w:val="auto"/>
                <w:w w:val="93"/>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0"/>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2140" w:type="dxa"/>
            <w:vAlign w:val="bottom"/>
          </w:tcPr>
          <w:p>
            <w:pPr>
              <w:spacing w:after="0"/>
              <w:rPr>
                <w:sz w:val="19"/>
                <w:szCs w:val="19"/>
                <w:color w:val="auto"/>
              </w:rPr>
            </w:pP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840" w:type="dxa"/>
            <w:vAlign w:val="bottom"/>
          </w:tcPr>
          <w:p>
            <w:pPr>
              <w:spacing w:after="0"/>
              <w:rPr>
                <w:sz w:val="19"/>
                <w:szCs w:val="19"/>
                <w:color w:val="auto"/>
              </w:rPr>
            </w:pPr>
          </w:p>
        </w:tc>
        <w:tc>
          <w:tcPr>
            <w:tcW w:w="600" w:type="dxa"/>
            <w:vAlign w:val="bottom"/>
          </w:tcPr>
          <w:p>
            <w:pPr>
              <w:jc w:val="center"/>
              <w:ind w:left="92"/>
              <w:spacing w:after="0"/>
              <w:rPr>
                <w:sz w:val="20"/>
                <w:szCs w:val="20"/>
                <w:color w:val="auto"/>
              </w:rPr>
            </w:pPr>
            <w:r>
              <w:rPr>
                <w:rFonts w:ascii="Arial" w:cs="Arial" w:eastAsia="Arial" w:hAnsi="Arial"/>
                <w:sz w:val="18"/>
                <w:szCs w:val="18"/>
                <w:b w:val="1"/>
                <w:bCs w:val="1"/>
                <w:color w:val="auto"/>
                <w:w w:val="93"/>
              </w:rPr>
              <w:t>(16)</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2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8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6"/>
              </w:rPr>
              <w:t>147</w:t>
            </w:r>
          </w:p>
        </w:tc>
        <w:tc>
          <w:tcPr>
            <w:tcW w:w="8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b w:val="1"/>
                <w:bCs w:val="1"/>
                <w:color w:val="auto"/>
                <w:w w:val="93"/>
              </w:rPr>
              <w:t>(36)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targeting to complete the majority of the remaining workforce and facility related cost reduction actions during 2021 and 2022.</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2020 Actions. </w:t>
      </w:r>
      <w:r>
        <w:rPr>
          <w:rFonts w:ascii="Arial" w:cs="Arial" w:eastAsia="Arial" w:hAnsi="Arial"/>
          <w:sz w:val="18"/>
          <w:szCs w:val="18"/>
          <w:color w:val="auto"/>
        </w:rPr>
        <w:t>During the quarter ended June 30, 2021, we reversed a net $24 million of pre-tax restructuring costs for restructuring actions initiated in</w:t>
      </w:r>
      <w:r>
        <w:rPr>
          <w:rFonts w:ascii="Arial" w:cs="Arial" w:eastAsia="Arial" w:hAnsi="Arial"/>
          <w:sz w:val="18"/>
          <w:szCs w:val="18"/>
          <w:b w:val="1"/>
          <w:bCs w:val="1"/>
          <w:color w:val="auto"/>
        </w:rPr>
        <w:t xml:space="preserve"> </w:t>
      </w:r>
      <w:r>
        <w:rPr>
          <w:rFonts w:ascii="Arial" w:cs="Arial" w:eastAsia="Arial" w:hAnsi="Arial"/>
          <w:sz w:val="18"/>
          <w:szCs w:val="18"/>
          <w:color w:val="auto"/>
        </w:rPr>
        <w:t>2020, including a reversal of $18 million in Selling, general and administrative expenses and a reversal of $6 million in Cost of sales. During the six months ended June 30, 2021, we reversed $20 million net pre-tax restructuring costs for restructuring actions initiated in 2020, including a reversal of $12 million in Selling, general and administrative expenses and a reversal of $8 million in Cost of sales. The 2020 actions primarily relate to severance and restructuring actions at Pratt &amp; Whitney and Collins Aerospace in response to the impact on our operating results related to the economic environment primarily caused by the COVID-19 pandemic, the Raytheon Merger, and ongoing cost reduction efforts including workforce reductions and consolidation of field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accrual balances and utilization for the 2020 restructuring actions for the quarter and six months ended June 30,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60" w:type="dxa"/>
            <w:vAlign w:val="bottom"/>
          </w:tcPr>
          <w:p>
            <w:pPr>
              <w:spacing w:after="0"/>
              <w:rPr>
                <w:sz w:val="14"/>
                <w:szCs w:val="14"/>
                <w:color w:val="auto"/>
              </w:rPr>
            </w:pPr>
          </w:p>
        </w:tc>
        <w:tc>
          <w:tcPr>
            <w:tcW w:w="12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Severance</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Facility Exit, and Other</w:t>
            </w:r>
          </w:p>
        </w:tc>
        <w:tc>
          <w:tcPr>
            <w:tcW w:w="420" w:type="dxa"/>
            <w:vAlign w:val="bottom"/>
          </w:tcPr>
          <w:p>
            <w:pPr>
              <w:spacing w:after="0"/>
              <w:rPr>
                <w:sz w:val="14"/>
                <w:szCs w:val="14"/>
                <w:color w:val="auto"/>
              </w:rPr>
            </w:pPr>
          </w:p>
        </w:tc>
        <w:tc>
          <w:tcPr>
            <w:tcW w:w="11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Costs</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2021</w:t>
            </w:r>
          </w:p>
        </w:tc>
        <w:tc>
          <w:tcPr>
            <w:tcW w:w="18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Restructuring accruals at March 31, 2021</w:t>
            </w:r>
          </w:p>
        </w:tc>
        <w:tc>
          <w:tcPr>
            <w:tcW w:w="1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205</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pre-tax restructuring costs</w:t>
            </w:r>
          </w:p>
        </w:tc>
        <w:tc>
          <w:tcPr>
            <w:tcW w:w="1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1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46</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57"/>
        </w:trPr>
        <w:tc>
          <w:tcPr>
            <w:tcW w:w="48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18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Restructuring accruals at December 31, 2020</w:t>
            </w:r>
          </w:p>
        </w:tc>
        <w:tc>
          <w:tcPr>
            <w:tcW w:w="1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334</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pre-tax restructuring costs</w:t>
            </w:r>
          </w:p>
        </w:tc>
        <w:tc>
          <w:tcPr>
            <w:tcW w:w="1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1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41</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expected, incurred, and remaining costs for the 2020 restructuring actions by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Costs (Incurred)</w:t>
            </w:r>
          </w:p>
        </w:tc>
        <w:tc>
          <w:tcPr>
            <w:tcW w:w="18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Costs (Incurred)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360" w:type="dxa"/>
            <w:vAlign w:val="bottom"/>
          </w:tcPr>
          <w:p>
            <w:pPr>
              <w:spacing w:after="0"/>
              <w:rPr>
                <w:sz w:val="11"/>
                <w:szCs w:val="11"/>
                <w:color w:val="auto"/>
              </w:rPr>
            </w:pPr>
          </w:p>
        </w:tc>
        <w:tc>
          <w:tcPr>
            <w:tcW w:w="140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rPr>
              <w:t>Costs Incurred in</w:t>
            </w:r>
          </w:p>
        </w:tc>
        <w:tc>
          <w:tcPr>
            <w:tcW w:w="14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Reversed Quarter</w:t>
            </w: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Reversed Quarter</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Remaining Costs at</w:t>
            </w:r>
          </w:p>
        </w:tc>
        <w:tc>
          <w:tcPr>
            <w:tcW w:w="0" w:type="dxa"/>
            <w:vAlign w:val="bottom"/>
          </w:tcPr>
          <w:p>
            <w:pPr>
              <w:spacing w:after="0"/>
              <w:rPr>
                <w:sz w:val="1"/>
                <w:szCs w:val="1"/>
                <w:color w:val="auto"/>
              </w:rPr>
            </w:pPr>
          </w:p>
        </w:tc>
      </w:tr>
      <w:tr>
        <w:trPr>
          <w:trHeight w:val="135"/>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4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5"/>
              </w:rPr>
              <w:t>Ended March 31,</w:t>
            </w:r>
          </w:p>
        </w:tc>
        <w:tc>
          <w:tcPr>
            <w:tcW w:w="180" w:type="dxa"/>
            <w:vAlign w:val="bottom"/>
          </w:tcPr>
          <w:p>
            <w:pPr>
              <w:spacing w:after="0"/>
              <w:rPr>
                <w:sz w:val="11"/>
                <w:szCs w:val="11"/>
                <w:color w:val="auto"/>
              </w:rPr>
            </w:pPr>
          </w:p>
        </w:tc>
        <w:tc>
          <w:tcPr>
            <w:tcW w:w="11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1"/>
              </w:rPr>
              <w:t>Ended June 30,</w:t>
            </w: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June 30, 2021</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140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188</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1400" w:type="dxa"/>
            <w:vAlign w:val="bottom"/>
          </w:tcPr>
          <w:p>
            <w:pPr>
              <w:spacing w:after="0"/>
              <w:rPr>
                <w:sz w:val="19"/>
                <w:szCs w:val="19"/>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334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14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237</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759</w:t>
            </w:r>
          </w:p>
        </w:tc>
        <w:tc>
          <w:tcPr>
            <w:tcW w:w="3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2019 and Prior Actions. </w:t>
      </w:r>
      <w:r>
        <w:rPr>
          <w:rFonts w:ascii="Arial" w:cs="Arial" w:eastAsia="Arial" w:hAnsi="Arial"/>
          <w:sz w:val="18"/>
          <w:szCs w:val="18"/>
          <w:color w:val="auto"/>
        </w:rPr>
        <w:t>During the quarter and six months ended June 30, 2021, we had net pre-tax restructuring costs of $15 million and $18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for restructuring actions initiated in 2019 and prior. As of June 30, 2021, we have approximately $31 million of accrual balances remaining related to 2019 and prior actions.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aggregate notional amount of our outstanding foreign currency hedges was $9.3 billion and $11.6 billion at June 30, 2021 and December 31, 2020, respectively.</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fair value and presentation in the Condensed Consolidated Balance Sheet for derivative instruments as of June 30, 2021 and December 31,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Balance Sheet Location</w:t>
            </w:r>
          </w:p>
        </w:tc>
        <w:tc>
          <w:tcPr>
            <w:tcW w:w="6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960" w:type="dxa"/>
            <w:vAlign w:val="bottom"/>
          </w:tcPr>
          <w:p>
            <w:pPr>
              <w:ind w:left="480"/>
              <w:spacing w:after="0"/>
              <w:rPr>
                <w:sz w:val="20"/>
                <w:szCs w:val="20"/>
                <w:color w:val="auto"/>
              </w:rPr>
            </w:pPr>
            <w:r>
              <w:rPr>
                <w:rFonts w:ascii="Arial" w:cs="Arial" w:eastAsia="Arial" w:hAnsi="Arial"/>
                <w:sz w:val="18"/>
                <w:szCs w:val="18"/>
                <w:color w:val="auto"/>
              </w:rPr>
              <w:t>Other assets, current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b w:val="1"/>
                <w:bCs w:val="1"/>
                <w:color w:val="auto"/>
              </w:rPr>
              <w:t>224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accrued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70</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w w:val="99"/>
              </w:rPr>
              <w:t>Derivatives not designated as hedging instruments:</w:t>
            </w:r>
          </w:p>
        </w:tc>
        <w:tc>
          <w:tcPr>
            <w:tcW w:w="2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 current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Other accrued liabilities</w:t>
            </w: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cash flow hedging relationships on Accumulated other comprehensive income (loss) and on the Condensed Consolidated Statement of Operations for the quarters and six months ended June 30, 2021 and 2020 are presented in the table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below. The amounts of gain or loss are attributable to foreign exchange contract activity and are generally recorded as a component of Product sales when reclassified from Accumulated other comprehensive income (loss).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ind w:left="320"/>
              <w:spacing w:after="0"/>
              <w:rPr>
                <w:sz w:val="20"/>
                <w:szCs w:val="20"/>
                <w:color w:val="auto"/>
              </w:rPr>
            </w:pPr>
            <w:r>
              <w:rPr>
                <w:rFonts w:ascii="Arial" w:cs="Arial" w:eastAsia="Arial" w:hAnsi="Arial"/>
                <w:sz w:val="14"/>
                <w:szCs w:val="14"/>
                <w:b w:val="1"/>
                <w:bCs w:val="1"/>
                <w:color w:val="auto"/>
              </w:rPr>
              <w:t>Quarter Ended June 30,</w:t>
            </w:r>
          </w:p>
        </w:tc>
        <w:tc>
          <w:tcPr>
            <w:tcW w:w="300" w:type="dxa"/>
            <w:vAlign w:val="bottom"/>
          </w:tcPr>
          <w:p>
            <w:pPr>
              <w:spacing w:after="0"/>
              <w:rPr>
                <w:sz w:val="16"/>
                <w:szCs w:val="16"/>
                <w:color w:val="auto"/>
              </w:rPr>
            </w:pPr>
          </w:p>
        </w:tc>
        <w:tc>
          <w:tcPr>
            <w:tcW w:w="24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recorded in Accumulated other comprehensive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108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76"/>
        </w:trPr>
        <w:tc>
          <w:tcPr>
            <w:tcW w:w="5680" w:type="dxa"/>
            <w:vAlign w:val="bottom"/>
          </w:tcPr>
          <w:p>
            <w:pPr>
              <w:ind w:left="20"/>
              <w:spacing w:after="0" w:line="176" w:lineRule="exact"/>
              <w:rPr>
                <w:sz w:val="20"/>
                <w:szCs w:val="20"/>
                <w:color w:val="auto"/>
              </w:rPr>
            </w:pPr>
            <w:r>
              <w:rPr>
                <w:rFonts w:ascii="Arial" w:cs="Arial" w:eastAsia="Arial" w:hAnsi="Arial"/>
                <w:sz w:val="18"/>
                <w:szCs w:val="18"/>
                <w:color w:val="auto"/>
                <w:w w:val="97"/>
              </w:rPr>
              <w:t>(Gain) loss reclassified from Accumulated other comprehensive loss into</w:t>
            </w:r>
          </w:p>
        </w:tc>
        <w:tc>
          <w:tcPr>
            <w:tcW w:w="300" w:type="dxa"/>
            <w:vAlign w:val="bottom"/>
          </w:tcPr>
          <w:p>
            <w:pPr>
              <w:spacing w:after="0"/>
              <w:rPr>
                <w:sz w:val="15"/>
                <w:szCs w:val="15"/>
                <w:color w:val="auto"/>
              </w:rPr>
            </w:pPr>
          </w:p>
        </w:tc>
        <w:tc>
          <w:tcPr>
            <w:tcW w:w="106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(20)</w:t>
            </w:r>
          </w:p>
        </w:tc>
        <w:tc>
          <w:tcPr>
            <w:tcW w:w="3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w:t>
            </w:r>
          </w:p>
        </w:tc>
        <w:tc>
          <w:tcPr>
            <w:tcW w:w="3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 sales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have €500 million of euro-denominated long-term debt outstanding, which qualifies as a net investment hedge against our investments in European businesses, which is deemed to be effective.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Assuming current market conditions continue, $53 million of pre-tax gains are expected to be reclassified from Accumulated other comprehensive loss into Product sales to reflect the fixed prices obtained from foreign exchange hedging within the next 12 months. At June 30, 2021, all derivative contracts accounted for as cash flow hedges will mature by January 2028.</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 of derivatives not designated as hedging instruments within Other income, net, on the Condensed Consolidated Statement of Operations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3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Quarter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31"/>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Gain (loss) on non-designated foreign exchange contracts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provide the valuation hierarchy classification of assets and liabilities that are carried at fair value and measured on a recurring basis in our Condensed Consolidated Balance Sheet as of June 30, 2021 and December 31, 2020:</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2021</w:t>
            </w:r>
          </w:p>
        </w:tc>
        <w:tc>
          <w:tcPr>
            <w:tcW w:w="1380" w:type="dxa"/>
            <w:vAlign w:val="bottom"/>
            <w:tcBorders>
              <w:bottom w:val="single" w:sz="8" w:color="auto"/>
            </w:tcBorders>
          </w:tcPr>
          <w:p>
            <w:pPr>
              <w:spacing w:after="0"/>
              <w:rPr>
                <w:sz w:val="16"/>
                <w:szCs w:val="16"/>
                <w:color w:val="auto"/>
              </w:rPr>
            </w:pPr>
          </w:p>
        </w:tc>
      </w:tr>
      <w:tr>
        <w:trPr>
          <w:trHeight w:val="186"/>
        </w:trPr>
        <w:tc>
          <w:tcPr>
            <w:tcW w:w="56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340" w:type="dxa"/>
            <w:vAlign w:val="bottom"/>
          </w:tcPr>
          <w:p>
            <w:pPr>
              <w:ind w:left="50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ind w:left="520"/>
              <w:spacing w:after="0"/>
              <w:rPr>
                <w:sz w:val="20"/>
                <w:szCs w:val="20"/>
                <w:color w:val="auto"/>
              </w:rPr>
            </w:pPr>
            <w:r>
              <w:rPr>
                <w:rFonts w:ascii="Arial" w:cs="Arial" w:eastAsia="Arial" w:hAnsi="Arial"/>
                <w:sz w:val="14"/>
                <w:szCs w:val="14"/>
                <w:b w:val="1"/>
                <w:bCs w:val="1"/>
                <w:color w:val="auto"/>
                <w:w w:val="96"/>
              </w:rPr>
              <w:t>Level 1</w:t>
            </w:r>
          </w:p>
        </w:tc>
        <w:tc>
          <w:tcPr>
            <w:tcW w:w="1860" w:type="dxa"/>
            <w:vAlign w:val="bottom"/>
          </w:tcPr>
          <w:p>
            <w:pPr>
              <w:ind w:left="940"/>
              <w:spacing w:after="0"/>
              <w:rPr>
                <w:sz w:val="20"/>
                <w:szCs w:val="20"/>
                <w:color w:val="auto"/>
              </w:rPr>
            </w:pPr>
            <w:r>
              <w:rPr>
                <w:rFonts w:ascii="Arial" w:cs="Arial" w:eastAsia="Arial" w:hAnsi="Arial"/>
                <w:sz w:val="14"/>
                <w:szCs w:val="14"/>
                <w:b w:val="1"/>
                <w:bCs w:val="1"/>
                <w:color w:val="auto"/>
              </w:rPr>
              <w:t>Level 2</w:t>
            </w: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Recurring fair value measurements: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ind w:left="680"/>
              <w:spacing w:after="0"/>
              <w:rPr>
                <w:sz w:val="20"/>
                <w:szCs w:val="20"/>
                <w:color w:val="auto"/>
              </w:rPr>
            </w:pPr>
            <w:r>
              <w:rPr>
                <w:rFonts w:ascii="Arial" w:cs="Arial" w:eastAsia="Arial" w:hAnsi="Arial"/>
                <w:sz w:val="18"/>
                <w:szCs w:val="18"/>
                <w:b w:val="1"/>
                <w:bCs w:val="1"/>
                <w:color w:val="auto"/>
              </w:rPr>
              <w:t>908</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b w:val="1"/>
                <w:bCs w:val="1"/>
                <w:color w:val="auto"/>
              </w:rPr>
              <w:t>837</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b w:val="1"/>
                <w:bCs w:val="1"/>
                <w:color w:val="auto"/>
              </w:rPr>
              <w:t>71</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ind w:left="780"/>
              <w:spacing w:after="0"/>
              <w:rPr>
                <w:sz w:val="20"/>
                <w:szCs w:val="20"/>
                <w:color w:val="auto"/>
              </w:rPr>
            </w:pPr>
            <w:r>
              <w:rPr>
                <w:rFonts w:ascii="Arial" w:cs="Arial" w:eastAsia="Arial" w:hAnsi="Arial"/>
                <w:sz w:val="18"/>
                <w:szCs w:val="18"/>
                <w:b w:val="1"/>
                <w:bCs w:val="1"/>
                <w:color w:val="auto"/>
              </w:rPr>
              <w:t>—</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247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247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r>
      <w:tr>
        <w:trPr>
          <w:trHeight w:val="237"/>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(95)</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r>
      <w:tr>
        <w:trPr>
          <w:trHeight w:val="398"/>
        </w:trPr>
        <w:tc>
          <w:tcPr>
            <w:tcW w:w="5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8"/>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680"/>
              <w:spacing w:after="0"/>
              <w:rPr>
                <w:sz w:val="20"/>
                <w:szCs w:val="20"/>
                <w:color w:val="auto"/>
              </w:rPr>
            </w:pPr>
            <w:r>
              <w:rPr>
                <w:rFonts w:ascii="Arial" w:cs="Arial" w:eastAsia="Arial" w:hAnsi="Arial"/>
                <w:sz w:val="18"/>
                <w:szCs w:val="18"/>
                <w:color w:val="auto"/>
              </w:rPr>
              <w:t>881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773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37"/>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r>
    </w:tbl>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Valuation Techniques. </w:t>
      </w:r>
      <w:r>
        <w:rPr>
          <w:rFonts w:ascii="Arial" w:cs="Arial" w:eastAsia="Arial" w:hAnsi="Arial"/>
          <w:sz w:val="18"/>
          <w:szCs w:val="18"/>
          <w:color w:val="auto"/>
        </w:rPr>
        <w:t>Our available-for-sale securities include equity investments that are traded in active markets, either domestically or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measured at fair value using closing stock prices from active markets. Our derivative assets and liabilities include foreign exchange contracts that are measured at fair value using internal models based on observable market inputs such as forward rates, interest rates, our own credit risk and our counterparties’ credit risks.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June 30, 2021 and December 31,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5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20" w:type="dxa"/>
            <w:vAlign w:val="bottom"/>
          </w:tcPr>
          <w:p>
            <w:pPr>
              <w:jc w:val="right"/>
              <w:ind w:right="338"/>
              <w:spacing w:after="0" w:line="135"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1"/>
                <w:szCs w:val="11"/>
                <w:color w:val="auto"/>
              </w:rPr>
            </w:pPr>
          </w:p>
        </w:tc>
        <w:tc>
          <w:tcPr>
            <w:tcW w:w="900" w:type="dxa"/>
            <w:vAlign w:val="bottom"/>
          </w:tcPr>
          <w:p>
            <w:pPr>
              <w:jc w:val="center"/>
              <w:ind w:right="356"/>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ind w:right="338"/>
              <w:spacing w:after="0" w:line="135"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1"/>
                <w:szCs w:val="11"/>
                <w:color w:val="auto"/>
              </w:rPr>
            </w:pPr>
          </w:p>
        </w:tc>
        <w:tc>
          <w:tcPr>
            <w:tcW w:w="1020" w:type="dxa"/>
            <w:vAlign w:val="bottom"/>
          </w:tcPr>
          <w:p>
            <w:pPr>
              <w:jc w:val="right"/>
              <w:ind w:right="436"/>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312</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finance leases)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(31,185)</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(38,615)</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liabilities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at June 30, 2021 and December 31, 2020:</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2021</w:t>
            </w:r>
          </w:p>
        </w:tc>
        <w:tc>
          <w:tcPr>
            <w:tcW w:w="1380" w:type="dxa"/>
            <w:vAlign w:val="bottom"/>
            <w:tcBorders>
              <w:bottom w:val="single" w:sz="8" w:color="auto"/>
            </w:tcBorders>
          </w:tcPr>
          <w:p>
            <w:pPr>
              <w:spacing w:after="0"/>
              <w:rPr>
                <w:sz w:val="16"/>
                <w:szCs w:val="16"/>
                <w:color w:val="auto"/>
              </w:rPr>
            </w:pPr>
          </w:p>
        </w:tc>
      </w:tr>
      <w:tr>
        <w:trPr>
          <w:trHeight w:val="186"/>
        </w:trPr>
        <w:tc>
          <w:tcPr>
            <w:tcW w:w="56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340" w:type="dxa"/>
            <w:vAlign w:val="bottom"/>
          </w:tcPr>
          <w:p>
            <w:pPr>
              <w:ind w:left="50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ind w:left="520"/>
              <w:spacing w:after="0"/>
              <w:rPr>
                <w:sz w:val="20"/>
                <w:szCs w:val="20"/>
                <w:color w:val="auto"/>
              </w:rPr>
            </w:pPr>
            <w:r>
              <w:rPr>
                <w:rFonts w:ascii="Arial" w:cs="Arial" w:eastAsia="Arial" w:hAnsi="Arial"/>
                <w:sz w:val="14"/>
                <w:szCs w:val="14"/>
                <w:b w:val="1"/>
                <w:bCs w:val="1"/>
                <w:color w:val="auto"/>
                <w:w w:val="96"/>
              </w:rPr>
              <w:t>Level 1</w:t>
            </w:r>
          </w:p>
        </w:tc>
        <w:tc>
          <w:tcPr>
            <w:tcW w:w="1880" w:type="dxa"/>
            <w:vAlign w:val="bottom"/>
          </w:tcPr>
          <w:p>
            <w:pPr>
              <w:ind w:left="940"/>
              <w:spacing w:after="0"/>
              <w:rPr>
                <w:sz w:val="20"/>
                <w:szCs w:val="20"/>
                <w:color w:val="auto"/>
              </w:rPr>
            </w:pPr>
            <w:r>
              <w:rPr>
                <w:rFonts w:ascii="Arial" w:cs="Arial" w:eastAsia="Arial" w:hAnsi="Arial"/>
                <w:sz w:val="14"/>
                <w:szCs w:val="14"/>
                <w:b w:val="1"/>
                <w:bCs w:val="1"/>
                <w:color w:val="auto"/>
              </w:rPr>
              <w:t>Level 2</w:t>
            </w: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Level 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302</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302</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320" w:type="dxa"/>
            <w:vAlign w:val="bottom"/>
          </w:tcPr>
          <w:p>
            <w:pPr>
              <w:spacing w:after="0"/>
              <w:rPr>
                <w:sz w:val="19"/>
                <w:szCs w:val="19"/>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340" w:type="dxa"/>
            <w:vAlign w:val="bottom"/>
          </w:tcPr>
          <w:p>
            <w:pPr>
              <w:spacing w:after="0"/>
              <w:rPr>
                <w:sz w:val="19"/>
                <w:szCs w:val="19"/>
                <w:color w:val="auto"/>
              </w:rPr>
            </w:pPr>
          </w:p>
        </w:tc>
        <w:tc>
          <w:tcPr>
            <w:tcW w:w="1040" w:type="dxa"/>
            <w:vAlign w:val="bottom"/>
          </w:tcPr>
          <w:p>
            <w:pPr>
              <w:jc w:val="center"/>
              <w:ind w:left="612"/>
              <w:spacing w:after="0"/>
              <w:rPr>
                <w:sz w:val="20"/>
                <w:szCs w:val="20"/>
                <w:color w:val="auto"/>
              </w:rPr>
            </w:pPr>
            <w:r>
              <w:rPr>
                <w:rFonts w:ascii="Arial" w:cs="Arial" w:eastAsia="Arial" w:hAnsi="Arial"/>
                <w:sz w:val="18"/>
                <w:szCs w:val="18"/>
                <w:b w:val="1"/>
                <w:bCs w:val="1"/>
                <w:color w:val="auto"/>
                <w:w w:val="93"/>
              </w:rPr>
              <w:t>(36)</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(36,794)</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(36,740)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12"/>
              <w:spacing w:after="0"/>
              <w:rPr>
                <w:sz w:val="20"/>
                <w:szCs w:val="20"/>
                <w:color w:val="auto"/>
              </w:rPr>
            </w:pPr>
            <w:r>
              <w:rPr>
                <w:rFonts w:ascii="Arial" w:cs="Arial" w:eastAsia="Arial" w:hAnsi="Arial"/>
                <w:sz w:val="18"/>
                <w:szCs w:val="18"/>
                <w:b w:val="1"/>
                <w:bCs w:val="1"/>
                <w:color w:val="auto"/>
                <w:w w:val="93"/>
              </w:rPr>
              <w:t>(54)</w:t>
            </w: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b w:val="1"/>
                <w:bCs w:val="1"/>
                <w:color w:val="auto"/>
                <w:w w:val="99"/>
              </w:rPr>
              <w:t>—</w:t>
            </w:r>
          </w:p>
        </w:tc>
      </w:tr>
      <w:tr>
        <w:trPr>
          <w:trHeight w:val="398"/>
        </w:trPr>
        <w:tc>
          <w:tcPr>
            <w:tcW w:w="5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9"/>
                <w:szCs w:val="19"/>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19"/>
                <w:szCs w:val="19"/>
                <w:color w:val="auto"/>
              </w:rPr>
            </w:pPr>
          </w:p>
        </w:tc>
        <w:tc>
          <w:tcPr>
            <w:tcW w:w="1040" w:type="dxa"/>
            <w:vAlign w:val="bottom"/>
          </w:tcPr>
          <w:p>
            <w:pPr>
              <w:jc w:val="center"/>
              <w:ind w:left="612"/>
              <w:spacing w:after="0"/>
              <w:rPr>
                <w:sz w:val="20"/>
                <w:szCs w:val="20"/>
                <w:color w:val="auto"/>
              </w:rPr>
            </w:pPr>
            <w:r>
              <w:rPr>
                <w:rFonts w:ascii="Arial" w:cs="Arial" w:eastAsia="Arial" w:hAnsi="Arial"/>
                <w:sz w:val="18"/>
                <w:szCs w:val="18"/>
                <w:color w:val="auto"/>
                <w:w w:val="93"/>
              </w:rPr>
              <w:t>(87)</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3"/>
              </w:rPr>
              <w:t>(75)</w:t>
            </w:r>
          </w:p>
        </w:tc>
      </w:tr>
      <w:tr>
        <w:trPr>
          <w:trHeight w:val="23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Variable Interest Entities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5,989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assets</w:t>
            </w:r>
          </w:p>
        </w:tc>
        <w:tc>
          <w:tcPr>
            <w:tcW w:w="3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834</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30"/>
        </w:trPr>
        <w:tc>
          <w:tcPr>
            <w:tcW w:w="4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6,823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3"/>
              <w:spacing w:after="0"/>
              <w:rPr>
                <w:sz w:val="20"/>
                <w:szCs w:val="20"/>
                <w:color w:val="auto"/>
              </w:rPr>
            </w:pPr>
            <w:r>
              <w:rPr>
                <w:rFonts w:ascii="Arial" w:cs="Arial" w:eastAsia="Arial" w:hAnsi="Arial"/>
                <w:sz w:val="18"/>
                <w:szCs w:val="18"/>
                <w:b w:val="1"/>
                <w:bCs w:val="1"/>
                <w:color w:val="auto"/>
              </w:rPr>
              <w:t>7,002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7,365</w:t>
            </w: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61</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4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liabilities</w:t>
            </w:r>
          </w:p>
        </w:tc>
        <w:tc>
          <w:tcPr>
            <w:tcW w:w="3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7,063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Guarantees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These instruments expire on various dates through 2024. Additional guarantees of project performance for which there is no stated value also remain outstanding. As of June 30, 2021 and December 31, 2020, the following guarantees were outstanding: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0"/>
              </w:rPr>
              <w:t>June 30, 2021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Maximum Potential</w:t>
            </w:r>
          </w:p>
        </w:tc>
        <w:tc>
          <w:tcPr>
            <w:tcW w:w="42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4"/>
              </w:rPr>
              <w:t>Carrying Amount 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jc w:val="right"/>
              <w:ind w:right="1"/>
              <w:spacing w:after="0" w:line="135" w:lineRule="exact"/>
              <w:rPr>
                <w:sz w:val="20"/>
                <w:szCs w:val="20"/>
                <w:color w:val="auto"/>
              </w:rPr>
            </w:pPr>
            <w:r>
              <w:rPr>
                <w:rFonts w:ascii="Arial" w:cs="Arial" w:eastAsia="Arial" w:hAnsi="Arial"/>
                <w:sz w:val="14"/>
                <w:szCs w:val="14"/>
                <w:b w:val="1"/>
                <w:bCs w:val="1"/>
                <w:color w:val="auto"/>
              </w:rPr>
              <w:t>Maximum Potential</w:t>
            </w:r>
          </w:p>
        </w:tc>
        <w:tc>
          <w:tcPr>
            <w:tcW w:w="280" w:type="dxa"/>
            <w:vAlign w:val="bottom"/>
          </w:tcPr>
          <w:p>
            <w:pPr>
              <w:spacing w:after="0"/>
              <w:rPr>
                <w:sz w:val="11"/>
                <w:szCs w:val="11"/>
                <w:color w:val="auto"/>
              </w:rPr>
            </w:pPr>
          </w:p>
        </w:tc>
        <w:tc>
          <w:tcPr>
            <w:tcW w:w="14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Carrying Amount of</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Payment</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Liability</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Payment</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aerospace financing arrangements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ind w:left="1040"/>
              <w:spacing w:after="0"/>
              <w:rPr>
                <w:sz w:val="20"/>
                <w:szCs w:val="20"/>
                <w:color w:val="auto"/>
              </w:rPr>
            </w:pPr>
            <w:r>
              <w:rPr>
                <w:rFonts w:ascii="Arial" w:cs="Arial" w:eastAsia="Arial" w:hAnsi="Arial"/>
                <w:sz w:val="18"/>
                <w:szCs w:val="18"/>
                <w:b w:val="1"/>
                <w:bCs w:val="1"/>
                <w:color w:val="auto"/>
              </w:rPr>
              <w:t>314</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Third party guarantees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386</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386</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is $144 million and $142 million at June 30, 2021 and December 31, 2020, respectively.</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$116 million and $120 million at June 30, 2021 and December 31, 2020, respectively. For additional information regarding the environmental indemnifications, see “Note 17: Commitments and Contingencies.”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 The changes in the carrying amount of service and product warranties and product performance guarantees for the six months ended June 30, 2021 and 2020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Warranties and performance guarantees issued</w:t>
            </w:r>
          </w:p>
        </w:tc>
        <w:tc>
          <w:tcPr>
            <w:tcW w:w="29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176</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1,102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financial condition, results of operations, or liquidity.</w:t>
      </w:r>
    </w:p>
    <w:p>
      <w:pPr>
        <w:spacing w:after="0" w:line="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jurisdiction over our foreign operations.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At June 30, 2021 and December 31, 2020, we had $834 million and $835 million, respectively, reserved for environmental remediation.</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Commercial Aerospace Financing and Other Commitments. </w:t>
      </w:r>
      <w:r>
        <w:rPr>
          <w:rFonts w:ascii="Arial" w:cs="Arial" w:eastAsia="Arial" w:hAnsi="Arial"/>
          <w:sz w:val="18"/>
          <w:szCs w:val="18"/>
          <w:color w:val="auto"/>
        </w:rPr>
        <w:t>We had commercial aerospace financing commitments and other contractual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approximately $13.3 billion and $13.4 billion as of June 30, 2021 and December 31, 2020, respectively, on a gross basis before reduction for our collaboration partners’ share. Aircraft financing commitments, in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Our financing commitments with customers are contingent upon maintenance of certain levels of financial condition by the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the customers. As a result, the fair value of these financing commitments is expected to equal the amounts funded.</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which are considered in other contractual commitments, are being capitalized as collaboration intangible assets.</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Financing Arrangements. </w:t>
      </w:r>
      <w:r>
        <w:rPr>
          <w:rFonts w:ascii="Arial" w:cs="Arial" w:eastAsia="Arial" w:hAnsi="Arial"/>
          <w:sz w:val="18"/>
          <w:szCs w:val="18"/>
          <w:color w:val="auto"/>
        </w:rPr>
        <w:t>We have entered into standby letters of credit and surety bonds with financial institutions to meet various bid,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$4.1 billion as of June 30, 2021.</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Offset Obligations. </w:t>
      </w:r>
      <w:r>
        <w:rPr>
          <w:rFonts w:ascii="Arial" w:cs="Arial" w:eastAsia="Arial" w:hAnsi="Arial"/>
          <w:sz w:val="16"/>
          <w:szCs w:val="16"/>
          <w:color w:val="auto"/>
        </w:rPr>
        <w:t>We have entered into industrial cooperation agreements, sometimes in the form of either offset agreements or ICIP agreements, as a</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to obtaining orders for our products and services from certain customers in foreign countries. At June 30, 2021, the aggregate amount of our offset agreements, both agreed to and anticipated to be agreed to, had an outstanding notional value of approximately $10.8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Government Oversight. </w:t>
      </w:r>
      <w:r>
        <w:rPr>
          <w:rFonts w:ascii="Arial" w:cs="Arial" w:eastAsia="Arial" w:hAnsi="Arial"/>
          <w:sz w:val="16"/>
          <w:szCs w:val="16"/>
          <w:color w:val="auto"/>
        </w:rPr>
        <w:t>In the ordinary course of business, the Company and its subsidiaries and our properties are subject to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governmental 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Our contracts with the U.S. government are also subject to audits. </w:t>
      </w:r>
      <w:r>
        <w:rPr>
          <w:rFonts w:ascii="Arial" w:cs="Arial" w:eastAsia="Arial" w:hAnsi="Arial"/>
          <w:sz w:val="16"/>
          <w:szCs w:val="16"/>
          <w:color w:val="212529"/>
        </w:rPr>
        <w:t>Agencies that oversee contract performance include: the Defense Contract</w:t>
      </w:r>
      <w:r>
        <w:rPr>
          <w:rFonts w:ascii="Arial" w:cs="Arial" w:eastAsia="Arial" w:hAnsi="Arial"/>
          <w:sz w:val="16"/>
          <w:szCs w:val="16"/>
          <w:color w:val="auto"/>
        </w:rPr>
        <w:t xml:space="preserve"> </w:t>
      </w:r>
      <w:r>
        <w:rPr>
          <w:rFonts w:ascii="Arial" w:cs="Arial" w:eastAsia="Arial" w:hAnsi="Arial"/>
          <w:sz w:val="16"/>
          <w:szCs w:val="16"/>
          <w:color w:val="212529"/>
        </w:rPr>
        <w:t xml:space="preserve">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w:t>
      </w:r>
      <w:r>
        <w:rPr>
          <w:rFonts w:ascii="Arial" w:cs="Arial" w:eastAsia="Arial" w:hAnsi="Arial"/>
          <w:sz w:val="16"/>
          <w:szCs w:val="16"/>
          <w:color w:val="000000"/>
        </w:rPr>
        <w:t>The U.S. government also reserves the right to debar a contractor from receiving new government contracts for fraudulent, criminal or other</w:t>
      </w:r>
      <w:r>
        <w:rPr>
          <w:rFonts w:ascii="Arial" w:cs="Arial" w:eastAsia="Arial" w:hAnsi="Arial"/>
          <w:sz w:val="16"/>
          <w:szCs w:val="16"/>
          <w:color w:val="212529"/>
        </w:rPr>
        <w:t xml:space="preserve"> </w:t>
      </w:r>
      <w:r>
        <w:rPr>
          <w:rFonts w:ascii="Arial" w:cs="Arial" w:eastAsia="Arial" w:hAnsi="Arial"/>
          <w:sz w:val="16"/>
          <w:szCs w:val="16"/>
          <w:color w:val="000000"/>
        </w:rPr>
        <w:t>seriously improper conduct. The U.S. government could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litigation is pending. If the litigation is resolved in the Company’s favor, any such payments will be returned to the Company with interest. </w:t>
      </w:r>
      <w:r>
        <w:rPr>
          <w:rFonts w:ascii="Arial" w:cs="Arial" w:eastAsia="Arial" w:hAnsi="Arial"/>
          <w:sz w:val="17"/>
          <w:szCs w:val="17"/>
          <w:color w:val="212529"/>
        </w:rPr>
        <w:t>Our final</w:t>
      </w:r>
      <w:r>
        <w:rPr>
          <w:rFonts w:ascii="Arial" w:cs="Arial" w:eastAsia="Arial" w:hAnsi="Arial"/>
          <w:sz w:val="17"/>
          <w:szCs w:val="17"/>
          <w:color w:val="auto"/>
        </w:rPr>
        <w:t xml:space="preserve"> </w:t>
      </w:r>
      <w:r>
        <w:rPr>
          <w:rFonts w:ascii="Arial" w:cs="Arial" w:eastAsia="Arial" w:hAnsi="Arial"/>
          <w:sz w:val="17"/>
          <w:szCs w:val="17"/>
          <w:color w:val="212529"/>
        </w:rPr>
        <w:t xml:space="preserve">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w:t>
      </w:r>
      <w:r>
        <w:rPr>
          <w:rFonts w:ascii="Arial" w:cs="Arial" w:eastAsia="Arial" w:hAnsi="Arial"/>
          <w:sz w:val="17"/>
          <w:szCs w:val="17"/>
          <w:color w:val="000000"/>
        </w:rPr>
        <w:t>In addition, we accrue for liabilities associated with those matters that are</w:t>
      </w:r>
      <w:r>
        <w:rPr>
          <w:rFonts w:ascii="Arial" w:cs="Arial" w:eastAsia="Arial" w:hAnsi="Arial"/>
          <w:sz w:val="17"/>
          <w:szCs w:val="17"/>
          <w:color w:val="212529"/>
        </w:rPr>
        <w:t xml:space="preserve"> </w:t>
      </w:r>
      <w:r>
        <w:rPr>
          <w:rFonts w:ascii="Arial" w:cs="Arial" w:eastAsia="Arial" w:hAnsi="Arial"/>
          <w:sz w:val="17"/>
          <w:szCs w:val="17"/>
          <w:color w:val="000000"/>
        </w:rPr>
        <w:t>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financial condition, results of operations or liquidity, either individually or in the aggregate.</w:t>
      </w:r>
    </w:p>
    <w:p>
      <w:pPr>
        <w:spacing w:after="0" w:line="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The Company and its subsidiaries are subject to various contract pricing disputes, government investigations and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jurisdictions, updates to certain of which are set forth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previously disclosed, in April 2019, a Divisional Administrative Contracting Officer (DACO) of the United States DCMA asserted a claim against Pratt</w:t>
      </w:r>
    </w:p>
    <w:p>
      <w:pPr>
        <w:spacing w:after="0" w:line="46" w:lineRule="exact"/>
        <w:rPr>
          <w:sz w:val="20"/>
          <w:szCs w:val="20"/>
          <w:color w:val="auto"/>
        </w:rPr>
      </w:pPr>
    </w:p>
    <w:p>
      <w:pPr>
        <w:jc w:val="both"/>
        <w:ind w:firstLine="8"/>
        <w:spacing w:after="0" w:line="253"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Whitney to recover overpayments of approximately $1.73 billion plus interest ($693 million at June 30, 2021).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disclosed, in December 2013, a DCMA DACO asserted a claim against Pratt &amp; Whitney to recover overpayments of approximately $177 million plus interest ($114 million at June 30, 2021).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The parties concluded post-hearing briefing in January 2020, and now await a decision from the ASBCA. We continue to believe that the claim is without merit. In December 2018, a DCMA DACO issued a second claim against Pratt &amp; Whitney that similarly alleges that its method of determining the cost of collaborator parts does not comply with the CAS for calendar years 2013 through 2017. This second claim demands payment of $269 million plus interest ($75 million at June 30, 2021), which we also believe is without merit and which Pratt &amp; Whitney appealed to the ASBCA in January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Thales-Raytheon Systems Matter</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previously disclosed, in 2019, Raytheon Company received a subpoena from the Securities and Exchange Commission (SEC) seeking information in connection with an investigation into whether there were improper payments made by Thales-Raytheon Systems (TRS) or anyone acting on their behalf in connection with TRS or Raytheon Company contracts in certain Middle East countries since 2014. In the first quarter of 2020, the DOJ advised Raytheon Company it had opened a parallel investigation. In the third quarter of 2020, Raytheon Company received an additional subpoena from the SEC, seeking information and documents as part of its ongoing investigation. Raytheon Company maintains a rigorous anti-corruption compliance program, is cooperating fully with the SEC’s inquiry, and is examining whether there has been any conduct that is in violation of Raytheon Company policy. At this time, the Company is unable to predict the outcome of the SEC’s or DOJ’s inquiry. Based on the information available to date, however, we do not believe the results of this inquiry will have a material adverse effect on our financial condition, results of operations or liquidity.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DOJ Investigation, Contract Pricing Disputes and Related Civil Litigation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Company’s Missiles</w:t>
      </w:r>
    </w:p>
    <w:p>
      <w:pPr>
        <w:jc w:val="both"/>
        <w:ind w:firstLine="8"/>
        <w:spacing w:after="0" w:line="252" w:lineRule="auto"/>
        <w:tabs>
          <w:tab w:leader="none" w:pos="1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Defense business (RMD) since 2009. The investigation includes potential civil defective pricing claims for three RMD contracts entered into between 2011 and 2013. As part of the same investigation, on March 24, 2021, the Company received a second criminal subpoena from the DOJ seeking documents relating to a different RMD contract entered into in 2017. We are cooperating fully with the DOJ’s ongoing investigation. Although we believe we have defenses to the potential claims, the Company has determined that there is a meaningful risk of civil liability for damages, interest and potential penalties. At this time, the Company is unable to predict either the outcome of the criminal investigation or the outcome of any potential civil claims based on facts revealed in, or related to, the investigation. Based 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available to date, however, we do not believe the results of the investigation or of any potential civil litigation will have a material adverse effect on our financial condition, results of operations or liquidity.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Four shareholder lawsuits were filed against the Company after the DOJ investigation was first disclosed. A putative securities class action lawsuit was filed in the United States District Court for the District of Arizona against the Company and certain of its executives alleging that the defendants violated federal securities laws by making material misstatements in regulatory filings regarding internal controls over financial reporting in RMD. Three shareholder derivative lawsuits were filed in the United States District Court for the District of Delaware against the former Raytheon Company Board of Directors, the Company and certain of its executives, each alleging that defendants violated federal securities laws and breached their fiduciary duties by engaging in improper accounting practices, failing to implement sufficient internal financial and compliance controls, and making a series of false and misleading statements in regulatory filings. We believe that each of these lawsuits lacks merit.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Darnis, et al.</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disclosed, on August 12, 2020, several former employees of UTC or its subsidiaries filed a putative class action complaint in the United States District Court for the District of Connecticut against the Company, Otis, Carrier, the former members of the UTC Board of Directors, and the members of the Carrier and Otis Boards of Directors (Geraud Darnis, et al. v. Raytheon Technologies Corporation, et al.). The complaint challenges the method by which UTC equity awards were converted to Company, Otis, and Carrier equity awards following the separation of UTC into three independent, publicly-traded companies on April 3, 2020. The complaint claims that the defendants are liable for breach of certain equity compensation plans and also asserts claims under certain provisions of the Employee Retirement Income Security Act of 1974 (ERISA). Plaintiffs seek money damages, attorneys’ fees and other relief. We believe that the Company has meritorious defenses to these claims. At this time, the Company is unable to predict the outcome, or the possible range of loss, if any, which could result from this action.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Where appropriate, we have recorded loss contingency accruals for the above-referenced matters, and the amount in aggregate is not material.</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As described in “Note 16: Guarantees,” we extend performance and operating cost guarantees beyond our normal warranty and service policies for</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Accumulated Other Comprehensive Loss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loss, net of tax for the quarters and six months ended June 30, 2021 and 2020 is provided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4"/>
              </w:rPr>
              <w:t>Foreign Currency</w:t>
            </w:r>
          </w:p>
        </w:tc>
        <w:tc>
          <w:tcPr>
            <w:tcW w:w="220" w:type="dxa"/>
            <w:vAlign w:val="bottom"/>
          </w:tcPr>
          <w:p>
            <w:pPr>
              <w:spacing w:after="0"/>
              <w:rPr>
                <w:sz w:val="14"/>
                <w:szCs w:val="14"/>
                <w:color w:val="auto"/>
              </w:rPr>
            </w:pPr>
          </w:p>
        </w:tc>
        <w:tc>
          <w:tcPr>
            <w:tcW w:w="140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4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Unrealized Hedging</w:t>
            </w:r>
          </w:p>
        </w:tc>
        <w:tc>
          <w:tcPr>
            <w:tcW w:w="200" w:type="dxa"/>
            <w:vAlign w:val="bottom"/>
          </w:tcPr>
          <w:p>
            <w:pPr>
              <w:spacing w:after="0"/>
              <w:rPr>
                <w:sz w:val="14"/>
                <w:szCs w:val="14"/>
                <w:color w:val="auto"/>
              </w:rPr>
            </w:pPr>
          </w:p>
        </w:tc>
        <w:tc>
          <w:tcPr>
            <w:tcW w:w="140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center"/>
              <w:ind w:right="134"/>
              <w:spacing w:after="0" w:line="135" w:lineRule="exact"/>
              <w:rPr>
                <w:sz w:val="20"/>
                <w:szCs w:val="20"/>
                <w:color w:val="auto"/>
              </w:rPr>
            </w:pPr>
            <w:r>
              <w:rPr>
                <w:rFonts w:ascii="Arial" w:cs="Arial" w:eastAsia="Arial" w:hAnsi="Arial"/>
                <w:sz w:val="14"/>
                <w:szCs w:val="14"/>
                <w:b w:val="1"/>
                <w:bCs w:val="1"/>
                <w:color w:val="auto"/>
                <w:w w:val="90"/>
              </w:rPr>
              <w:t>Pension and Post-</w:t>
            </w:r>
          </w:p>
        </w:tc>
        <w:tc>
          <w:tcPr>
            <w:tcW w:w="2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88"/>
        </w:trPr>
        <w:tc>
          <w:tcPr>
            <w:tcW w:w="39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Translation</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retirement Plans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(Losses) Gains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2021</w:t>
            </w: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529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10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258</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108</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net</w:t>
            </w:r>
          </w:p>
        </w:tc>
        <w:tc>
          <w:tcPr>
            <w:tcW w:w="10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102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b w:val="1"/>
                <w:bCs w:val="1"/>
                <w:color w:val="auto"/>
              </w:rPr>
              <w:t>64</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10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June 30,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(3,555)</w:t>
            </w:r>
          </w:p>
        </w:tc>
        <w:tc>
          <w:tcPr>
            <w:tcW w:w="0" w:type="dxa"/>
            <w:vAlign w:val="bottom"/>
          </w:tcPr>
          <w:p>
            <w:pPr>
              <w:spacing w:after="0"/>
              <w:rPr>
                <w:sz w:val="1"/>
                <w:szCs w:val="1"/>
                <w:color w:val="auto"/>
              </w:rPr>
            </w:pPr>
          </w:p>
        </w:tc>
      </w:tr>
      <w:tr>
        <w:trPr>
          <w:trHeight w:val="257"/>
        </w:trPr>
        <w:tc>
          <w:tcPr>
            <w:tcW w:w="39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1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1020" w:type="dxa"/>
            <w:vAlign w:val="bottom"/>
          </w:tcPr>
          <w:p>
            <w:pPr>
              <w:spacing w:after="0"/>
              <w:rPr>
                <w:sz w:val="15"/>
                <w:szCs w:val="15"/>
                <w:color w:val="auto"/>
              </w:rPr>
            </w:pPr>
          </w:p>
        </w:tc>
        <w:tc>
          <w:tcPr>
            <w:tcW w:w="140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82</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15"/>
                <w:szCs w:val="15"/>
                <w:color w:val="auto"/>
              </w:rPr>
            </w:pPr>
          </w:p>
        </w:tc>
        <w:tc>
          <w:tcPr>
            <w:tcW w:w="144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62</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reclassifications, net</w:t>
            </w:r>
          </w:p>
        </w:tc>
        <w:tc>
          <w:tcPr>
            <w:tcW w:w="10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pre-tax</w:t>
            </w: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(expense)</w:t>
            </w:r>
          </w:p>
        </w:tc>
        <w:tc>
          <w:tcPr>
            <w:tcW w:w="10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(3,555)</w:t>
            </w:r>
          </w:p>
        </w:tc>
        <w:tc>
          <w:tcPr>
            <w:tcW w:w="0" w:type="dxa"/>
            <w:vAlign w:val="bottom"/>
          </w:tcPr>
          <w:p>
            <w:pPr>
              <w:spacing w:after="0"/>
              <w:rPr>
                <w:sz w:val="1"/>
                <w:szCs w:val="1"/>
                <w:color w:val="auto"/>
              </w:rPr>
            </w:pPr>
          </w:p>
        </w:tc>
      </w:tr>
      <w:tr>
        <w:trPr>
          <w:trHeight w:val="365"/>
        </w:trPr>
        <w:tc>
          <w:tcPr>
            <w:tcW w:w="3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4"/>
              </w:rPr>
              <w:t>Foreign Currency</w:t>
            </w:r>
          </w:p>
        </w:tc>
        <w:tc>
          <w:tcPr>
            <w:tcW w:w="220" w:type="dxa"/>
            <w:vAlign w:val="bottom"/>
          </w:tcPr>
          <w:p>
            <w:pPr>
              <w:spacing w:after="0"/>
              <w:rPr>
                <w:sz w:val="24"/>
                <w:szCs w:val="24"/>
                <w:color w:val="auto"/>
              </w:rPr>
            </w:pPr>
          </w:p>
        </w:tc>
        <w:tc>
          <w:tcPr>
            <w:tcW w:w="140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4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Unrealized Hedging</w:t>
            </w:r>
          </w:p>
        </w:tc>
        <w:tc>
          <w:tcPr>
            <w:tcW w:w="200" w:type="dxa"/>
            <w:vAlign w:val="bottom"/>
          </w:tcPr>
          <w:p>
            <w:pPr>
              <w:spacing w:after="0"/>
              <w:rPr>
                <w:sz w:val="24"/>
                <w:szCs w:val="24"/>
                <w:color w:val="auto"/>
              </w:rPr>
            </w:pPr>
          </w:p>
        </w:tc>
        <w:tc>
          <w:tcPr>
            <w:tcW w:w="140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center"/>
              <w:ind w:right="134"/>
              <w:spacing w:after="0" w:line="135" w:lineRule="exact"/>
              <w:rPr>
                <w:sz w:val="20"/>
                <w:szCs w:val="20"/>
                <w:color w:val="auto"/>
              </w:rPr>
            </w:pPr>
            <w:r>
              <w:rPr>
                <w:rFonts w:ascii="Arial" w:cs="Arial" w:eastAsia="Arial" w:hAnsi="Arial"/>
                <w:sz w:val="14"/>
                <w:szCs w:val="14"/>
                <w:b w:val="1"/>
                <w:bCs w:val="1"/>
                <w:color w:val="auto"/>
                <w:w w:val="90"/>
              </w:rPr>
              <w:t>Pension and Post-</w:t>
            </w:r>
          </w:p>
        </w:tc>
        <w:tc>
          <w:tcPr>
            <w:tcW w:w="2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88"/>
        </w:trPr>
        <w:tc>
          <w:tcPr>
            <w:tcW w:w="39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Translation</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retirement Plans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(Losses) Gains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2020</w:t>
            </w: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(6,693)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(11,788)</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10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net</w:t>
            </w:r>
          </w:p>
        </w:tc>
        <w:tc>
          <w:tcPr>
            <w:tcW w:w="10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102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Separation of Carrier and Otis, net of tax</w:t>
            </w:r>
          </w:p>
        </w:tc>
        <w:tc>
          <w:tcPr>
            <w:tcW w:w="10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3,287</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584</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57"/>
        </w:trPr>
        <w:tc>
          <w:tcPr>
            <w:tcW w:w="39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10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2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net</w:t>
            </w:r>
          </w:p>
        </w:tc>
        <w:tc>
          <w:tcPr>
            <w:tcW w:w="10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102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1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Separation of Carrier and Otis, net of tax</w:t>
            </w:r>
          </w:p>
        </w:tc>
        <w:tc>
          <w:tcPr>
            <w:tcW w:w="10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3,287</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584</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Financial Data</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for the periods presented herein, are classified into four principal segments: Collins Aerospace, Pratt &amp; Whitney, RIS and RMD. The segments are generally based on the management structure of the businesses and the grouping of similar operating companies, where each management organization has general operating autonomy over diversified products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and services. The results of RIS and RMD reflect the period subsequent to the completion of the Raytheon Merger on April 3, 2020.</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announced, effective January 1, 2021, we reorganized certain product areas of our RIS and RMD businesses to more efficiently leverage our capabilities. The amounts and presentation of our business segments, including intersegment activity, set forth in this Form 10-Q reflect this reorganization. The reorganization does not impact our previously reported Collins Aerospace Systems and Pratt &amp; Whitney segment results, or our consolidated balance sheets, statements of operations or statements of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Revised financial results for the fiscal quarters and year ended 2020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8"/>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Q1</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Q2</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Q3</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Q4</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FY</w:t>
            </w:r>
          </w:p>
        </w:tc>
      </w:tr>
      <w:tr>
        <w:trPr>
          <w:trHeight w:val="211"/>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Revised Net Sales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7"/>
                <w:szCs w:val="17"/>
                <w:color w:val="auto"/>
              </w:rPr>
              <w:t>Collins Aerospace Systems</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4"/>
              <w:spacing w:after="0"/>
              <w:rPr>
                <w:sz w:val="20"/>
                <w:szCs w:val="20"/>
                <w:color w:val="auto"/>
              </w:rPr>
            </w:pPr>
            <w:r>
              <w:rPr>
                <w:rFonts w:ascii="Arial" w:cs="Arial" w:eastAsia="Arial" w:hAnsi="Arial"/>
                <w:sz w:val="17"/>
                <w:szCs w:val="17"/>
                <w:color w:val="auto"/>
              </w:rPr>
              <w:t>6,438</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34"/>
              <w:spacing w:after="0"/>
              <w:rPr>
                <w:sz w:val="20"/>
                <w:szCs w:val="20"/>
                <w:color w:val="auto"/>
              </w:rPr>
            </w:pPr>
            <w:r>
              <w:rPr>
                <w:rFonts w:ascii="Arial" w:cs="Arial" w:eastAsia="Arial" w:hAnsi="Arial"/>
                <w:sz w:val="17"/>
                <w:szCs w:val="17"/>
                <w:color w:val="auto"/>
              </w:rPr>
              <w:t>4,202</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4,274</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14"/>
              <w:spacing w:after="0"/>
              <w:rPr>
                <w:sz w:val="20"/>
                <w:szCs w:val="20"/>
                <w:color w:val="auto"/>
              </w:rPr>
            </w:pPr>
            <w:r>
              <w:rPr>
                <w:rFonts w:ascii="Arial" w:cs="Arial" w:eastAsia="Arial" w:hAnsi="Arial"/>
                <w:sz w:val="17"/>
                <w:szCs w:val="17"/>
                <w:color w:val="auto"/>
              </w:rPr>
              <w:t>4,374</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15"/>
              <w:spacing w:after="0"/>
              <w:rPr>
                <w:sz w:val="20"/>
                <w:szCs w:val="20"/>
                <w:color w:val="auto"/>
              </w:rPr>
            </w:pPr>
            <w:r>
              <w:rPr>
                <w:rFonts w:ascii="Arial" w:cs="Arial" w:eastAsia="Arial" w:hAnsi="Arial"/>
                <w:sz w:val="17"/>
                <w:szCs w:val="17"/>
                <w:color w:val="auto"/>
              </w:rPr>
              <w:t>19,288</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Pratt &amp; Whitney</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5,353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3,487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3,494</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4,465</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16,799</w:t>
            </w:r>
          </w:p>
        </w:tc>
      </w:tr>
      <w:tr>
        <w:trPr>
          <w:trHeight w:val="216"/>
        </w:trPr>
        <w:tc>
          <w:tcPr>
            <w:tcW w:w="4820" w:type="dxa"/>
            <w:vAlign w:val="bottom"/>
          </w:tcPr>
          <w:p>
            <w:pPr>
              <w:ind w:left="20"/>
              <w:spacing w:after="0"/>
              <w:rPr>
                <w:sz w:val="20"/>
                <w:szCs w:val="20"/>
                <w:color w:val="auto"/>
              </w:rPr>
            </w:pPr>
            <w:r>
              <w:rPr>
                <w:rFonts w:ascii="Arial" w:cs="Arial" w:eastAsia="Arial" w:hAnsi="Arial"/>
                <w:sz w:val="17"/>
                <w:szCs w:val="17"/>
                <w:color w:val="auto"/>
              </w:rPr>
              <w:t>Raytheon Intelligence &amp; Space</w:t>
            </w:r>
          </w:p>
        </w:tc>
        <w:tc>
          <w:tcPr>
            <w:tcW w:w="34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7"/>
                <w:szCs w:val="17"/>
                <w:color w:val="auto"/>
              </w:rPr>
              <w:t>3,387</w:t>
            </w:r>
          </w:p>
        </w:tc>
        <w:tc>
          <w:tcPr>
            <w:tcW w:w="3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3,749</w:t>
            </w:r>
          </w:p>
        </w:tc>
        <w:tc>
          <w:tcPr>
            <w:tcW w:w="32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Arial" w:cs="Arial" w:eastAsia="Arial" w:hAnsi="Arial"/>
                <w:sz w:val="17"/>
                <w:szCs w:val="17"/>
                <w:color w:val="auto"/>
              </w:rPr>
              <w:t>3,933</w:t>
            </w:r>
          </w:p>
        </w:tc>
        <w:tc>
          <w:tcPr>
            <w:tcW w:w="320" w:type="dxa"/>
            <w:vAlign w:val="bottom"/>
          </w:tcPr>
          <w:p>
            <w:pPr>
              <w:spacing w:after="0"/>
              <w:rPr>
                <w:sz w:val="18"/>
                <w:szCs w:val="18"/>
                <w:color w:val="auto"/>
              </w:rPr>
            </w:pPr>
          </w:p>
        </w:tc>
        <w:tc>
          <w:tcPr>
            <w:tcW w:w="960" w:type="dxa"/>
            <w:vAlign w:val="bottom"/>
          </w:tcPr>
          <w:p>
            <w:pPr>
              <w:jc w:val="right"/>
              <w:ind w:right="115"/>
              <w:spacing w:after="0"/>
              <w:rPr>
                <w:sz w:val="20"/>
                <w:szCs w:val="20"/>
                <w:color w:val="auto"/>
              </w:rPr>
            </w:pPr>
            <w:r>
              <w:rPr>
                <w:rFonts w:ascii="Arial" w:cs="Arial" w:eastAsia="Arial" w:hAnsi="Arial"/>
                <w:sz w:val="17"/>
                <w:szCs w:val="17"/>
                <w:color w:val="auto"/>
              </w:rPr>
              <w:t>11,069</w:t>
            </w:r>
          </w:p>
        </w:tc>
      </w:tr>
      <w:tr>
        <w:trPr>
          <w:trHeight w:val="216"/>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Raytheon Missiles &amp; Defense</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3,506</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3,706</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4,184</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11,396</w:t>
            </w:r>
          </w:p>
        </w:tc>
      </w:tr>
      <w:tr>
        <w:trPr>
          <w:trHeight w:val="209"/>
        </w:trPr>
        <w:tc>
          <w:tcPr>
            <w:tcW w:w="4820" w:type="dxa"/>
            <w:vAlign w:val="bottom"/>
          </w:tcPr>
          <w:p>
            <w:pPr>
              <w:ind w:left="20"/>
              <w:spacing w:after="0"/>
              <w:rPr>
                <w:sz w:val="20"/>
                <w:szCs w:val="20"/>
                <w:color w:val="auto"/>
              </w:rPr>
            </w:pPr>
            <w:r>
              <w:rPr>
                <w:rFonts w:ascii="Arial" w:cs="Arial" w:eastAsia="Arial" w:hAnsi="Arial"/>
                <w:sz w:val="17"/>
                <w:szCs w:val="17"/>
                <w:color w:val="auto"/>
              </w:rPr>
              <w:t>Total segments</w:t>
            </w:r>
          </w:p>
        </w:tc>
        <w:tc>
          <w:tcPr>
            <w:tcW w:w="34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7"/>
                <w:szCs w:val="17"/>
                <w:color w:val="auto"/>
              </w:rPr>
              <w:t>11,791</w:t>
            </w:r>
          </w:p>
        </w:tc>
        <w:tc>
          <w:tcPr>
            <w:tcW w:w="32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7"/>
                <w:szCs w:val="17"/>
                <w:color w:val="auto"/>
              </w:rPr>
              <w:t>14,582</w:t>
            </w:r>
          </w:p>
        </w:tc>
        <w:tc>
          <w:tcPr>
            <w:tcW w:w="3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15,223</w:t>
            </w:r>
          </w:p>
        </w:tc>
        <w:tc>
          <w:tcPr>
            <w:tcW w:w="32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Arial" w:cs="Arial" w:eastAsia="Arial" w:hAnsi="Arial"/>
                <w:sz w:val="17"/>
                <w:szCs w:val="17"/>
                <w:color w:val="auto"/>
              </w:rPr>
              <w:t>16,956</w:t>
            </w:r>
          </w:p>
        </w:tc>
        <w:tc>
          <w:tcPr>
            <w:tcW w:w="320" w:type="dxa"/>
            <w:vAlign w:val="bottom"/>
          </w:tcPr>
          <w:p>
            <w:pPr>
              <w:spacing w:after="0"/>
              <w:rPr>
                <w:sz w:val="18"/>
                <w:szCs w:val="18"/>
                <w:color w:val="auto"/>
              </w:rPr>
            </w:pPr>
          </w:p>
        </w:tc>
        <w:tc>
          <w:tcPr>
            <w:tcW w:w="960" w:type="dxa"/>
            <w:vAlign w:val="bottom"/>
          </w:tcPr>
          <w:p>
            <w:pPr>
              <w:jc w:val="right"/>
              <w:ind w:right="115"/>
              <w:spacing w:after="0"/>
              <w:rPr>
                <w:sz w:val="20"/>
                <w:szCs w:val="20"/>
                <w:color w:val="auto"/>
              </w:rPr>
            </w:pPr>
            <w:r>
              <w:rPr>
                <w:rFonts w:ascii="Arial" w:cs="Arial" w:eastAsia="Arial" w:hAnsi="Arial"/>
                <w:sz w:val="17"/>
                <w:szCs w:val="17"/>
                <w:color w:val="auto"/>
              </w:rPr>
              <w:t>58,552</w:t>
            </w:r>
          </w:p>
        </w:tc>
      </w:tr>
      <w:tr>
        <w:trPr>
          <w:trHeight w:val="216"/>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Eliminations and other</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(431)</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(521)</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(476)</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(537)</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(1,965)</w:t>
            </w:r>
          </w:p>
        </w:tc>
      </w:tr>
      <w:tr>
        <w:trPr>
          <w:trHeight w:val="21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Consolidated</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11,360</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14,061</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14,747</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16,419</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56,587</w:t>
            </w:r>
          </w:p>
        </w:tc>
      </w:tr>
      <w:tr>
        <w:trPr>
          <w:trHeight w:val="243"/>
        </w:trPr>
        <w:tc>
          <w:tcPr>
            <w:tcW w:w="4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Revised Operating Profit (Loss)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7"/>
                <w:szCs w:val="17"/>
                <w:color w:val="auto"/>
              </w:rPr>
              <w:t>Collins Aerospace Systems</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1,246</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(317)</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526</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15"/>
              <w:spacing w:after="0"/>
              <w:rPr>
                <w:sz w:val="20"/>
                <w:szCs w:val="20"/>
                <w:color w:val="auto"/>
              </w:rPr>
            </w:pPr>
            <w:r>
              <w:rPr>
                <w:rFonts w:ascii="Arial" w:cs="Arial" w:eastAsia="Arial" w:hAnsi="Arial"/>
                <w:sz w:val="17"/>
                <w:szCs w:val="17"/>
                <w:color w:val="auto"/>
              </w:rPr>
              <w:t>1,466</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Pratt &amp; Whitney</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(457)</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(564)</w:t>
            </w:r>
          </w:p>
        </w:tc>
      </w:tr>
      <w:tr>
        <w:trPr>
          <w:trHeight w:val="229"/>
        </w:trPr>
        <w:tc>
          <w:tcPr>
            <w:tcW w:w="4820" w:type="dxa"/>
            <w:vAlign w:val="bottom"/>
          </w:tcPr>
          <w:p>
            <w:pPr>
              <w:ind w:left="20"/>
              <w:spacing w:after="0"/>
              <w:rPr>
                <w:sz w:val="20"/>
                <w:szCs w:val="20"/>
                <w:color w:val="auto"/>
              </w:rPr>
            </w:pPr>
            <w:r>
              <w:rPr>
                <w:rFonts w:ascii="Arial" w:cs="Arial" w:eastAsia="Arial" w:hAnsi="Arial"/>
                <w:sz w:val="17"/>
                <w:szCs w:val="17"/>
                <w:color w:val="auto"/>
              </w:rPr>
              <w:t>Raytheon Intelligence &amp; Space</w:t>
            </w:r>
          </w:p>
        </w:tc>
        <w:tc>
          <w:tcPr>
            <w:tcW w:w="34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9"/>
                <w:szCs w:val="19"/>
                <w:color w:val="auto"/>
              </w:rPr>
            </w:pPr>
          </w:p>
        </w:tc>
        <w:tc>
          <w:tcPr>
            <w:tcW w:w="960" w:type="dxa"/>
            <w:vAlign w:val="bottom"/>
          </w:tcPr>
          <w:p>
            <w:pPr>
              <w:jc w:val="right"/>
              <w:ind w:right="115"/>
              <w:spacing w:after="0"/>
              <w:rPr>
                <w:sz w:val="20"/>
                <w:szCs w:val="20"/>
                <w:color w:val="auto"/>
              </w:rPr>
            </w:pPr>
            <w:r>
              <w:rPr>
                <w:rFonts w:ascii="Arial" w:cs="Arial" w:eastAsia="Arial" w:hAnsi="Arial"/>
                <w:sz w:val="17"/>
                <w:szCs w:val="17"/>
                <w:color w:val="auto"/>
              </w:rPr>
              <w:t>1,020</w:t>
            </w:r>
          </w:p>
        </w:tc>
      </w:tr>
      <w:tr>
        <w:trPr>
          <w:trHeight w:val="230"/>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Raytheon Missiles &amp; Defense</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398</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449</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880</w:t>
            </w:r>
          </w:p>
        </w:tc>
      </w:tr>
      <w:tr>
        <w:trPr>
          <w:trHeight w:val="209"/>
        </w:trPr>
        <w:tc>
          <w:tcPr>
            <w:tcW w:w="4820" w:type="dxa"/>
            <w:vAlign w:val="bottom"/>
          </w:tcPr>
          <w:p>
            <w:pPr>
              <w:ind w:left="20"/>
              <w:spacing w:after="0"/>
              <w:rPr>
                <w:sz w:val="20"/>
                <w:szCs w:val="20"/>
                <w:color w:val="auto"/>
              </w:rPr>
            </w:pPr>
            <w:r>
              <w:rPr>
                <w:rFonts w:ascii="Arial" w:cs="Arial" w:eastAsia="Arial" w:hAnsi="Arial"/>
                <w:sz w:val="17"/>
                <w:szCs w:val="17"/>
                <w:color w:val="auto"/>
              </w:rPr>
              <w:t>Total segments</w:t>
            </w:r>
          </w:p>
        </w:tc>
        <w:tc>
          <w:tcPr>
            <w:tcW w:w="34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7"/>
                <w:szCs w:val="17"/>
                <w:color w:val="auto"/>
              </w:rPr>
              <w:t>1,721</w:t>
            </w:r>
          </w:p>
        </w:tc>
        <w:tc>
          <w:tcPr>
            <w:tcW w:w="32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7"/>
                <w:szCs w:val="17"/>
                <w:color w:val="auto"/>
              </w:rPr>
              <w:t>(67)</w:t>
            </w:r>
          </w:p>
        </w:tc>
        <w:tc>
          <w:tcPr>
            <w:tcW w:w="3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710</w:t>
            </w:r>
          </w:p>
        </w:tc>
        <w:tc>
          <w:tcPr>
            <w:tcW w:w="32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Arial" w:cs="Arial" w:eastAsia="Arial" w:hAnsi="Arial"/>
                <w:sz w:val="17"/>
                <w:szCs w:val="17"/>
                <w:color w:val="auto"/>
              </w:rPr>
              <w:t>438</w:t>
            </w:r>
          </w:p>
        </w:tc>
        <w:tc>
          <w:tcPr>
            <w:tcW w:w="320" w:type="dxa"/>
            <w:vAlign w:val="bottom"/>
          </w:tcPr>
          <w:p>
            <w:pPr>
              <w:spacing w:after="0"/>
              <w:rPr>
                <w:sz w:val="18"/>
                <w:szCs w:val="18"/>
                <w:color w:val="auto"/>
              </w:rPr>
            </w:pPr>
          </w:p>
        </w:tc>
        <w:tc>
          <w:tcPr>
            <w:tcW w:w="960" w:type="dxa"/>
            <w:vAlign w:val="bottom"/>
          </w:tcPr>
          <w:p>
            <w:pPr>
              <w:jc w:val="right"/>
              <w:ind w:right="115"/>
              <w:spacing w:after="0"/>
              <w:rPr>
                <w:sz w:val="20"/>
                <w:szCs w:val="20"/>
                <w:color w:val="auto"/>
              </w:rPr>
            </w:pPr>
            <w:r>
              <w:rPr>
                <w:rFonts w:ascii="Arial" w:cs="Arial" w:eastAsia="Arial" w:hAnsi="Arial"/>
                <w:sz w:val="17"/>
                <w:szCs w:val="17"/>
                <w:color w:val="auto"/>
              </w:rPr>
              <w:t>2,802</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Eliminations and other</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(107)</w:t>
            </w:r>
          </w:p>
        </w:tc>
      </w:tr>
      <w:tr>
        <w:trPr>
          <w:trHeight w:val="230"/>
        </w:trPr>
        <w:tc>
          <w:tcPr>
            <w:tcW w:w="4820" w:type="dxa"/>
            <w:vAlign w:val="bottom"/>
          </w:tcPr>
          <w:p>
            <w:pPr>
              <w:ind w:left="20"/>
              <w:spacing w:after="0"/>
              <w:rPr>
                <w:sz w:val="20"/>
                <w:szCs w:val="20"/>
                <w:color w:val="auto"/>
              </w:rPr>
            </w:pPr>
            <w:r>
              <w:rPr>
                <w:rFonts w:ascii="Arial" w:cs="Arial" w:eastAsia="Arial" w:hAnsi="Arial"/>
                <w:sz w:val="17"/>
                <w:szCs w:val="17"/>
                <w:color w:val="auto"/>
              </w:rPr>
              <w:t>Corporate expenses and other unallocated items</w:t>
            </w:r>
          </w:p>
        </w:tc>
        <w:tc>
          <w:tcPr>
            <w:tcW w:w="34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9"/>
                <w:szCs w:val="19"/>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(590)</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FAS/CAS operating adjustment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380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1,106</w:t>
            </w:r>
          </w:p>
        </w:tc>
      </w:tr>
      <w:tr>
        <w:trPr>
          <w:trHeight w:val="23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Acquisition accounting adjustments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(271)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(3,745)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(523)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(561)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(5,100)</w:t>
            </w:r>
          </w:p>
        </w:tc>
      </w:tr>
      <w:tr>
        <w:trPr>
          <w:trHeight w:val="217"/>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1,295</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(3,760)</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434</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142</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(1,889)</w:t>
            </w:r>
          </w:p>
        </w:tc>
      </w:tr>
      <w:tr>
        <w:trPr>
          <w:trHeight w:val="243"/>
        </w:trPr>
        <w:tc>
          <w:tcPr>
            <w:tcW w:w="4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Revised Segment Operating Profit (Loss) Margin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7"/>
                <w:szCs w:val="17"/>
                <w:color w:val="auto"/>
              </w:rPr>
              <w:t>Collins Aerospace Systems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19.4 %</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12.3 %</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0.3 %</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7.6 %</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Pratt &amp; Whitney</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8.9 %</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16"/>
        </w:trPr>
        <w:tc>
          <w:tcPr>
            <w:tcW w:w="4820" w:type="dxa"/>
            <w:vAlign w:val="bottom"/>
          </w:tcPr>
          <w:p>
            <w:pPr>
              <w:ind w:left="20"/>
              <w:spacing w:after="0"/>
              <w:rPr>
                <w:sz w:val="20"/>
                <w:szCs w:val="20"/>
                <w:color w:val="auto"/>
              </w:rPr>
            </w:pPr>
            <w:r>
              <w:rPr>
                <w:rFonts w:ascii="Arial" w:cs="Arial" w:eastAsia="Arial" w:hAnsi="Arial"/>
                <w:sz w:val="17"/>
                <w:szCs w:val="17"/>
                <w:color w:val="auto"/>
              </w:rPr>
              <w:t>Raytheon Intelligence &amp; Space</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NM</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9.1 %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9.3 %</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9.2 %</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9.2 %</w:t>
            </w:r>
          </w:p>
        </w:tc>
      </w:tr>
      <w:tr>
        <w:trPr>
          <w:trHeight w:val="216"/>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Raytheon Missiles &amp; Defense</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11.4 %</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12.1 %</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0.8 %</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7.7 %</w:t>
            </w:r>
          </w:p>
        </w:tc>
      </w:tr>
      <w:tr>
        <w:trPr>
          <w:trHeight w:val="21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segment</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14.6 %</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4.7 %</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2.6 %</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4.8 %</w:t>
            </w: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Raytheon Merger, we now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RIS and RMD segments. While the ultimate liability for pension and PRB costs under FAS and CAS is similar, the pattern of cost recognition is different. We generally expect to recover the related RIS and RMD pension and PRB liabilities over time through the pricing of our products and services to the U.S. government. Because the Collins Aerospace and Pratt &amp; Whitney segments generally record pension and PRB expense on a FAS basis, historical results were not impacted by this change in segment reporting.</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sales and operating profit by segment include inter-segment sales which are generally recorded at prices approximating those that the selling entity is able to obtain on external sales for our Collins Aerospace and Pratt &amp; Whitney segments, and at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cost-plus a specified fee, which may differ from what the selling entity would be able to obtain on sales to external customers, for our RIS and RMD segments. Results for the quarters ended June 30, 2021 and 2020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Sales</w:t>
            </w: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4"/>
                <w:szCs w:val="14"/>
                <w:b w:val="1"/>
                <w:bCs w:val="1"/>
                <w:color w:val="auto"/>
              </w:rPr>
              <w:t>Operating Profit</w:t>
            </w:r>
          </w:p>
        </w:tc>
        <w:tc>
          <w:tcPr>
            <w:tcW w:w="2440" w:type="dxa"/>
            <w:vAlign w:val="bottom"/>
            <w:tcBorders>
              <w:bottom w:val="single" w:sz="8" w:color="auto"/>
            </w:tcBorders>
            <w:gridSpan w:val="2"/>
          </w:tcPr>
          <w:p>
            <w:pPr>
              <w:jc w:val="right"/>
              <w:ind w:right="433"/>
              <w:spacing w:after="0"/>
              <w:rPr>
                <w:sz w:val="20"/>
                <w:szCs w:val="20"/>
                <w:color w:val="auto"/>
              </w:rPr>
            </w:pPr>
            <w:r>
              <w:rPr>
                <w:rFonts w:ascii="Arial" w:cs="Arial" w:eastAsia="Arial" w:hAnsi="Arial"/>
                <w:sz w:val="14"/>
                <w:szCs w:val="14"/>
                <w:b w:val="1"/>
                <w:bCs w:val="1"/>
                <w:color w:val="auto"/>
              </w:rPr>
              <w:t>Operating Profit Margins</w:t>
            </w:r>
          </w:p>
        </w:tc>
      </w:tr>
      <w:tr>
        <w:trPr>
          <w:trHeight w:val="188"/>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2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4,545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4,202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506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(317)</w:t>
            </w:r>
          </w:p>
        </w:tc>
        <w:tc>
          <w:tcPr>
            <w:tcW w:w="138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11.1 %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4,280</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3,487</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112</w:t>
            </w:r>
          </w:p>
        </w:tc>
        <w:tc>
          <w:tcPr>
            <w:tcW w:w="320" w:type="dxa"/>
            <w:vAlign w:val="bottom"/>
          </w:tcPr>
          <w:p>
            <w:pPr>
              <w:spacing w:after="0"/>
              <w:rPr>
                <w:sz w:val="19"/>
                <w:szCs w:val="19"/>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(457)</w:t>
            </w:r>
          </w:p>
        </w:tc>
        <w:tc>
          <w:tcPr>
            <w:tcW w:w="1380" w:type="dxa"/>
            <w:vAlign w:val="bottom"/>
          </w:tcPr>
          <w:p>
            <w:pPr>
              <w:jc w:val="right"/>
              <w:ind w:right="215"/>
              <w:spacing w:after="0"/>
              <w:rPr>
                <w:sz w:val="20"/>
                <w:szCs w:val="20"/>
                <w:color w:val="auto"/>
              </w:rPr>
            </w:pPr>
            <w:r>
              <w:rPr>
                <w:rFonts w:ascii="Arial" w:cs="Arial" w:eastAsia="Arial" w:hAnsi="Arial"/>
                <w:sz w:val="18"/>
                <w:szCs w:val="18"/>
                <w:b w:val="1"/>
                <w:bCs w:val="1"/>
                <w:color w:val="auto"/>
              </w:rPr>
              <w:t>2.6 %</w:t>
            </w:r>
          </w:p>
        </w:tc>
        <w:tc>
          <w:tcPr>
            <w:tcW w:w="10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3,805</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3,387</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415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309</w:t>
            </w:r>
          </w:p>
        </w:tc>
        <w:tc>
          <w:tcPr>
            <w:tcW w:w="138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10.9 %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3,985</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3,506</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532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398</w:t>
            </w:r>
          </w:p>
        </w:tc>
        <w:tc>
          <w:tcPr>
            <w:tcW w:w="13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13.4 %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11.4 %</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16,615</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14,582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1,565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(67)</w:t>
            </w:r>
          </w:p>
        </w:tc>
        <w:tc>
          <w:tcPr>
            <w:tcW w:w="138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9.4 %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3920" w:type="dxa"/>
            <w:vAlign w:val="bottom"/>
          </w:tcPr>
          <w:p>
            <w:pPr>
              <w:ind w:left="20"/>
              <w:spacing w:after="0" w:line="230" w:lineRule="exact"/>
              <w:rPr>
                <w:sz w:val="20"/>
                <w:szCs w:val="20"/>
                <w:color w:val="auto"/>
              </w:rPr>
            </w:pPr>
            <w:r>
              <w:rPr>
                <w:rFonts w:ascii="Arial" w:cs="Arial" w:eastAsia="Arial" w:hAnsi="Arial"/>
                <w:sz w:val="18"/>
                <w:szCs w:val="18"/>
                <w:color w:val="auto"/>
              </w:rPr>
              <w:t>Eliminations and other</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(735)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20" w:type="dxa"/>
            <w:vAlign w:val="bottom"/>
          </w:tcPr>
          <w:p>
            <w:pPr>
              <w:spacing w:after="0"/>
              <w:rPr>
                <w:sz w:val="19"/>
                <w:szCs w:val="19"/>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(27)</w:t>
            </w: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Corporate expenses and other unallocated items </w:t>
            </w:r>
            <w:r>
              <w:rPr>
                <w:rFonts w:ascii="Arial" w:cs="Arial" w:eastAsia="Arial" w:hAnsi="Arial"/>
                <w:sz w:val="23"/>
                <w:szCs w:val="23"/>
                <w:color w:val="auto"/>
                <w:w w:val="94"/>
                <w:vertAlign w:val="superscript"/>
              </w:rPr>
              <w:t>(2)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(277)</w:t>
            </w:r>
          </w:p>
        </w:tc>
        <w:tc>
          <w:tcPr>
            <w:tcW w:w="1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425</w:t>
            </w:r>
          </w:p>
        </w:tc>
        <w:tc>
          <w:tcPr>
            <w:tcW w:w="320" w:type="dxa"/>
            <w:vAlign w:val="bottom"/>
          </w:tcPr>
          <w:p>
            <w:pPr>
              <w:spacing w:after="0"/>
              <w:rPr>
                <w:sz w:val="19"/>
                <w:szCs w:val="19"/>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356</w:t>
            </w: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(3,745)</w:t>
            </w:r>
          </w:p>
        </w:tc>
        <w:tc>
          <w:tcPr>
            <w:tcW w:w="1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30"/>
        </w:trPr>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15,880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14,061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1,282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(3,760)</w:t>
            </w:r>
          </w:p>
        </w:tc>
        <w:tc>
          <w:tcPr>
            <w:tcW w:w="13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8.1 %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bl>
    <w:p>
      <w:pPr>
        <w:spacing w:after="0" w:line="184" w:lineRule="exact"/>
        <w:rPr>
          <w:sz w:val="20"/>
          <w:szCs w:val="20"/>
          <w:color w:val="auto"/>
        </w:rPr>
      </w:pPr>
    </w:p>
    <w:p>
      <w:pPr>
        <w:ind w:left="340" w:hanging="332"/>
        <w:spacing w:after="0" w:line="250" w:lineRule="auto"/>
        <w:tabs>
          <w:tab w:leader="none" w:pos="3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the operating results of certain smaller non-reportable business segments. 2020 amounts include Forcepoint, which was acquired as part of the Raytheon Merger and subsequently disposed of on January 8, 2021.</w:t>
      </w: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Corporate expenses and other unallocated items include the net expenses related to the U.S. Army’s Lower Tier Air and Missile Defense Sensor (LTAMDS) project.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six months ended June 30, 2021 and 2020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Sales</w:t>
            </w: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4"/>
                <w:szCs w:val="14"/>
                <w:b w:val="1"/>
                <w:bCs w:val="1"/>
                <w:color w:val="auto"/>
              </w:rPr>
              <w:t>Operating Profit</w:t>
            </w:r>
          </w:p>
        </w:tc>
        <w:tc>
          <w:tcPr>
            <w:tcW w:w="2440" w:type="dxa"/>
            <w:vAlign w:val="bottom"/>
            <w:tcBorders>
              <w:bottom w:val="single" w:sz="8" w:color="auto"/>
            </w:tcBorders>
            <w:gridSpan w:val="2"/>
          </w:tcPr>
          <w:p>
            <w:pPr>
              <w:jc w:val="right"/>
              <w:ind w:right="433"/>
              <w:spacing w:after="0"/>
              <w:rPr>
                <w:sz w:val="20"/>
                <w:szCs w:val="20"/>
                <w:color w:val="auto"/>
              </w:rPr>
            </w:pPr>
            <w:r>
              <w:rPr>
                <w:rFonts w:ascii="Arial" w:cs="Arial" w:eastAsia="Arial" w:hAnsi="Arial"/>
                <w:sz w:val="14"/>
                <w:szCs w:val="14"/>
                <w:b w:val="1"/>
                <w:bCs w:val="1"/>
                <w:color w:val="auto"/>
              </w:rPr>
              <w:t>Operating Profit Margins</w:t>
            </w:r>
          </w:p>
        </w:tc>
      </w:tr>
      <w:tr>
        <w:trPr>
          <w:trHeight w:val="188"/>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2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8,915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10,640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820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929</w:t>
            </w:r>
          </w:p>
        </w:tc>
        <w:tc>
          <w:tcPr>
            <w:tcW w:w="138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9.2 %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8,310</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8,840</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132</w:t>
            </w:r>
          </w:p>
        </w:tc>
        <w:tc>
          <w:tcPr>
            <w:tcW w:w="320" w:type="dxa"/>
            <w:vAlign w:val="bottom"/>
          </w:tcPr>
          <w:p>
            <w:pPr>
              <w:spacing w:after="0"/>
              <w:rPr>
                <w:sz w:val="19"/>
                <w:szCs w:val="19"/>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18</w:t>
            </w:r>
          </w:p>
        </w:tc>
        <w:tc>
          <w:tcPr>
            <w:tcW w:w="1380" w:type="dxa"/>
            <w:vAlign w:val="bottom"/>
          </w:tcPr>
          <w:p>
            <w:pPr>
              <w:jc w:val="right"/>
              <w:ind w:right="215"/>
              <w:spacing w:after="0"/>
              <w:rPr>
                <w:sz w:val="20"/>
                <w:szCs w:val="20"/>
                <w:color w:val="auto"/>
              </w:rPr>
            </w:pPr>
            <w:r>
              <w:rPr>
                <w:rFonts w:ascii="Arial" w:cs="Arial" w:eastAsia="Arial" w:hAnsi="Arial"/>
                <w:sz w:val="18"/>
                <w:szCs w:val="18"/>
                <w:b w:val="1"/>
                <w:bCs w:val="1"/>
                <w:color w:val="auto"/>
              </w:rPr>
              <w:t>1.6 %</w:t>
            </w:r>
          </w:p>
        </w:tc>
        <w:tc>
          <w:tcPr>
            <w:tcW w:w="106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7,570</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3,387</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803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309</w:t>
            </w:r>
          </w:p>
        </w:tc>
        <w:tc>
          <w:tcPr>
            <w:tcW w:w="138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10.6 %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2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7,778</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3,506</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1,028</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398</w:t>
            </w:r>
          </w:p>
        </w:tc>
        <w:tc>
          <w:tcPr>
            <w:tcW w:w="13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13.2 %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11.4 %</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32,573</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26,373</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2,783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1,654</w:t>
            </w:r>
          </w:p>
        </w:tc>
        <w:tc>
          <w:tcPr>
            <w:tcW w:w="138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8.5 %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3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Eliminations and other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(1,442)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320" w:type="dxa"/>
            <w:vAlign w:val="bottom"/>
          </w:tcPr>
          <w:p>
            <w:pPr>
              <w:spacing w:after="0"/>
              <w:rPr>
                <w:sz w:val="19"/>
                <w:szCs w:val="19"/>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(52)</w:t>
            </w: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Corporate expenses and other unallocated items </w:t>
            </w:r>
            <w:r>
              <w:rPr>
                <w:rFonts w:ascii="Arial" w:cs="Arial" w:eastAsia="Arial" w:hAnsi="Arial"/>
                <w:sz w:val="23"/>
                <w:szCs w:val="23"/>
                <w:color w:val="auto"/>
                <w:w w:val="94"/>
                <w:vertAlign w:val="superscript"/>
              </w:rPr>
              <w:t>(2)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(407)</w:t>
            </w:r>
          </w:p>
        </w:tc>
        <w:tc>
          <w:tcPr>
            <w:tcW w:w="1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848</w:t>
            </w:r>
          </w:p>
        </w:tc>
        <w:tc>
          <w:tcPr>
            <w:tcW w:w="320" w:type="dxa"/>
            <w:vAlign w:val="bottom"/>
          </w:tcPr>
          <w:p>
            <w:pPr>
              <w:spacing w:after="0"/>
              <w:rPr>
                <w:sz w:val="19"/>
                <w:szCs w:val="19"/>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356</w:t>
            </w: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(4,016)</w:t>
            </w:r>
          </w:p>
        </w:tc>
        <w:tc>
          <w:tcPr>
            <w:tcW w:w="1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30"/>
        </w:trPr>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31,131</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25,421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2,295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(2,465)</w:t>
            </w:r>
          </w:p>
        </w:tc>
        <w:tc>
          <w:tcPr>
            <w:tcW w:w="13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7.4 %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bl>
    <w:p>
      <w:pPr>
        <w:spacing w:after="0" w:line="170" w:lineRule="exact"/>
        <w:rPr>
          <w:sz w:val="20"/>
          <w:szCs w:val="20"/>
          <w:color w:val="auto"/>
        </w:rPr>
      </w:pPr>
    </w:p>
    <w:p>
      <w:pPr>
        <w:ind w:left="340" w:hanging="332"/>
        <w:spacing w:after="0" w:line="250" w:lineRule="auto"/>
        <w:tabs>
          <w:tab w:leader="none" w:pos="347"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the operating results of certain smaller non-reportable business segments. 2020 amounts include Forcepoint, which was acquired as part of the Raytheon Merger and subsequently disposed of on January 8, 2021.</w:t>
      </w: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Corporate expenses and other unallocated items include the net expenses related to the U.S. Army’s LTAMDS project.</w:t>
      </w:r>
    </w:p>
    <w:p>
      <w:pPr>
        <w:spacing w:after="0" w:line="10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disaggregate our contracts from customers by geographic location based on customer location, by customer and by sales type. Our geographic location based on customer location uses end user customer location where known or practical to determine, or in instances where the end user customer is not known or not practical to determine, we utilize “ship to” location as the customer location. In addition, for our RIS and RMD segments, we disaggregate our contracts from customers by contract type. We believe these categories best depict how the nature, amount, timing and uncertainty of our revenue and cash flows are affected by economic factors. Historical results have been recast to reflect the presentation of this disaggregation.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geographic region for the quarters ended June 30, 2021 and 2020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9"/>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80" w:type="dxa"/>
            <w:vAlign w:val="bottom"/>
          </w:tcPr>
          <w:p>
            <w:pPr>
              <w:spacing w:after="0"/>
              <w:rPr>
                <w:sz w:val="11"/>
                <w:szCs w:val="11"/>
                <w:color w:val="auto"/>
              </w:rPr>
            </w:pPr>
          </w:p>
        </w:tc>
        <w:tc>
          <w:tcPr>
            <w:tcW w:w="800" w:type="dxa"/>
            <w:vAlign w:val="bottom"/>
          </w:tcPr>
          <w:p>
            <w:pPr>
              <w:jc w:val="center"/>
              <w:ind w:right="89"/>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40" w:type="dxa"/>
            <w:vAlign w:val="bottom"/>
          </w:tcPr>
          <w:p>
            <w:pPr>
              <w:jc w:val="center"/>
              <w:ind w:right="9"/>
              <w:spacing w:after="0" w:line="136" w:lineRule="exact"/>
              <w:rPr>
                <w:sz w:val="20"/>
                <w:szCs w:val="20"/>
                <w:color w:val="auto"/>
              </w:rPr>
            </w:pPr>
            <w:r>
              <w:rPr>
                <w:rFonts w:ascii="Arial" w:cs="Arial" w:eastAsia="Arial" w:hAnsi="Arial"/>
                <w:sz w:val="13"/>
                <w:szCs w:val="13"/>
                <w:b w:val="1"/>
                <w:bCs w:val="1"/>
                <w:color w:val="auto"/>
                <w:w w:val="91"/>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29"/>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6" w:lineRule="exact"/>
              <w:rPr>
                <w:sz w:val="20"/>
                <w:szCs w:val="20"/>
                <w:color w:val="auto"/>
              </w:rPr>
            </w:pPr>
            <w:r>
              <w:rPr>
                <w:rFonts w:ascii="Arial" w:cs="Arial" w:eastAsia="Arial" w:hAnsi="Arial"/>
                <w:sz w:val="13"/>
                <w:szCs w:val="13"/>
                <w:b w:val="1"/>
                <w:bCs w:val="1"/>
                <w:color w:val="auto"/>
                <w:w w:val="94"/>
              </w:rPr>
              <w:t>Raytheon</w:t>
            </w:r>
          </w:p>
        </w:tc>
        <w:tc>
          <w:tcPr>
            <w:tcW w:w="120" w:type="dxa"/>
            <w:vAlign w:val="bottom"/>
          </w:tcPr>
          <w:p>
            <w:pPr>
              <w:spacing w:after="0"/>
              <w:rPr>
                <w:sz w:val="11"/>
                <w:szCs w:val="11"/>
                <w:color w:val="auto"/>
              </w:rPr>
            </w:pPr>
          </w:p>
        </w:tc>
        <w:tc>
          <w:tcPr>
            <w:tcW w:w="740" w:type="dxa"/>
            <w:vAlign w:val="bottom"/>
          </w:tcPr>
          <w:p>
            <w:pPr>
              <w:jc w:val="center"/>
              <w:ind w:right="29"/>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8"/>
              </w:rPr>
              <w:t>Whitney</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0"/>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8"/>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8"/>
              </w:rPr>
              <w:t>Space</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6"/>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9,871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9,161</w:t>
            </w:r>
          </w:p>
        </w:tc>
        <w:tc>
          <w:tcPr>
            <w:tcW w:w="0" w:type="dxa"/>
            <w:vAlign w:val="bottom"/>
          </w:tcPr>
          <w:p>
            <w:pPr>
              <w:spacing w:after="0"/>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Asia Pacific</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470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971</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356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Middle East and</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Africa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Europe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1,062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807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325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2,316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1,758</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Canada and All</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278</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524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line="162" w:lineRule="exact"/>
              <w:rPr>
                <w:sz w:val="20"/>
                <w:szCs w:val="20"/>
                <w:color w:val="auto"/>
              </w:rPr>
            </w:pPr>
            <w:r>
              <w:rPr>
                <w:rFonts w:ascii="Arial" w:cs="Arial" w:eastAsia="Arial" w:hAnsi="Arial"/>
                <w:sz w:val="16"/>
                <w:szCs w:val="16"/>
                <w:color w:val="auto"/>
                <w:w w:val="94"/>
              </w:rPr>
              <w:t>Consolidated net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140"/>
              <w:spacing w:after="0"/>
              <w:rPr>
                <w:sz w:val="20"/>
                <w:szCs w:val="20"/>
                <w:color w:val="auto"/>
              </w:rPr>
            </w:pPr>
            <w:r>
              <w:rPr>
                <w:rFonts w:ascii="Arial" w:cs="Arial" w:eastAsia="Arial" w:hAnsi="Arial"/>
                <w:sz w:val="16"/>
                <w:szCs w:val="16"/>
                <w:color w:val="auto"/>
              </w:rPr>
              <w:t>sales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4,173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4,280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3,501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3,918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15,880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3,893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3,490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3,091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3,443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14,061</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Inter-segment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372</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304</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(743)</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line="162" w:lineRule="exact"/>
              <w:rPr>
                <w:sz w:val="20"/>
                <w:szCs w:val="20"/>
                <w:color w:val="auto"/>
              </w:rPr>
            </w:pPr>
            <w:r>
              <w:rPr>
                <w:rFonts w:ascii="Arial" w:cs="Arial" w:eastAsia="Arial" w:hAnsi="Arial"/>
                <w:sz w:val="16"/>
                <w:szCs w:val="16"/>
                <w:color w:val="auto"/>
              </w:rPr>
              <w:t>Business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segment sales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3,805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15,880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14,061</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geographic region for the six months ended June 30, 2021 and 2020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9"/>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80" w:type="dxa"/>
            <w:vAlign w:val="bottom"/>
          </w:tcPr>
          <w:p>
            <w:pPr>
              <w:spacing w:after="0"/>
              <w:rPr>
                <w:sz w:val="11"/>
                <w:szCs w:val="11"/>
                <w:color w:val="auto"/>
              </w:rPr>
            </w:pPr>
          </w:p>
        </w:tc>
        <w:tc>
          <w:tcPr>
            <w:tcW w:w="780" w:type="dxa"/>
            <w:vAlign w:val="bottom"/>
          </w:tcPr>
          <w:p>
            <w:pPr>
              <w:jc w:val="center"/>
              <w:ind w:right="69"/>
              <w:spacing w:after="0" w:line="136" w:lineRule="exact"/>
              <w:rPr>
                <w:sz w:val="20"/>
                <w:szCs w:val="20"/>
                <w:color w:val="auto"/>
              </w:rPr>
            </w:pPr>
            <w:r>
              <w:rPr>
                <w:rFonts w:ascii="Arial" w:cs="Arial" w:eastAsia="Arial" w:hAnsi="Arial"/>
                <w:sz w:val="13"/>
                <w:szCs w:val="13"/>
                <w:b w:val="1"/>
                <w:bCs w:val="1"/>
                <w:color w:val="auto"/>
                <w:w w:val="94"/>
              </w:rPr>
              <w:t>Raytheon</w:t>
            </w:r>
          </w:p>
        </w:tc>
        <w:tc>
          <w:tcPr>
            <w:tcW w:w="120" w:type="dxa"/>
            <w:vAlign w:val="bottom"/>
          </w:tcPr>
          <w:p>
            <w:pPr>
              <w:spacing w:after="0"/>
              <w:rPr>
                <w:sz w:val="11"/>
                <w:szCs w:val="11"/>
                <w:color w:val="auto"/>
              </w:rPr>
            </w:pPr>
          </w:p>
        </w:tc>
        <w:tc>
          <w:tcPr>
            <w:tcW w:w="720" w:type="dxa"/>
            <w:vAlign w:val="bottom"/>
          </w:tcPr>
          <w:p>
            <w:pPr>
              <w:jc w:val="center"/>
              <w:ind w:right="9"/>
              <w:spacing w:after="0" w:line="136" w:lineRule="exact"/>
              <w:rPr>
                <w:sz w:val="20"/>
                <w:szCs w:val="20"/>
                <w:color w:val="auto"/>
              </w:rPr>
            </w:pPr>
            <w:r>
              <w:rPr>
                <w:rFonts w:ascii="Arial" w:cs="Arial" w:eastAsia="Arial" w:hAnsi="Arial"/>
                <w:sz w:val="13"/>
                <w:szCs w:val="13"/>
                <w:b w:val="1"/>
                <w:bCs w:val="1"/>
                <w:color w:val="auto"/>
                <w:w w:val="94"/>
              </w:rPr>
              <w:t>Raytheon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29"/>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6" w:lineRule="exact"/>
              <w:rPr>
                <w:sz w:val="20"/>
                <w:szCs w:val="20"/>
                <w:color w:val="auto"/>
              </w:rPr>
            </w:pPr>
            <w:r>
              <w:rPr>
                <w:rFonts w:ascii="Arial" w:cs="Arial" w:eastAsia="Arial" w:hAnsi="Arial"/>
                <w:sz w:val="13"/>
                <w:szCs w:val="13"/>
                <w:b w:val="1"/>
                <w:bCs w:val="1"/>
                <w:color w:val="auto"/>
                <w:w w:val="94"/>
              </w:rPr>
              <w:t>Raytheon</w:t>
            </w:r>
          </w:p>
        </w:tc>
        <w:tc>
          <w:tcPr>
            <w:tcW w:w="120" w:type="dxa"/>
            <w:vAlign w:val="bottom"/>
          </w:tcPr>
          <w:p>
            <w:pPr>
              <w:spacing w:after="0"/>
              <w:rPr>
                <w:sz w:val="11"/>
                <w:szCs w:val="11"/>
                <w:color w:val="auto"/>
              </w:rPr>
            </w:pPr>
          </w:p>
        </w:tc>
        <w:tc>
          <w:tcPr>
            <w:tcW w:w="740" w:type="dxa"/>
            <w:vAlign w:val="bottom"/>
          </w:tcPr>
          <w:p>
            <w:pPr>
              <w:jc w:val="center"/>
              <w:ind w:right="29"/>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Intelligence &amp;</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6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8"/>
              </w:rPr>
              <w:t>Whitney</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8"/>
              </w:rPr>
              <w:t>Space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0"/>
              </w:rPr>
              <w:t>Defense</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8"/>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8"/>
              </w:rPr>
              <w:t>Space</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6"/>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4,298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5,985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4,742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19,601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14,658</w:t>
            </w:r>
          </w:p>
        </w:tc>
        <w:tc>
          <w:tcPr>
            <w:tcW w:w="0" w:type="dxa"/>
            <w:vAlign w:val="bottom"/>
          </w:tcPr>
          <w:p>
            <w:pPr>
              <w:spacing w:after="0"/>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Asia Pacific</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875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1,764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409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726</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3,774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2,208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3,759</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Middle East and</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Africa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Europe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2,141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1,433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232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652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4,463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2,532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1,529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4,520</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Canada and All</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626</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1,134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line="162" w:lineRule="exact"/>
              <w:rPr>
                <w:sz w:val="20"/>
                <w:szCs w:val="20"/>
                <w:color w:val="auto"/>
              </w:rPr>
            </w:pPr>
            <w:r>
              <w:rPr>
                <w:rFonts w:ascii="Arial" w:cs="Arial" w:eastAsia="Arial" w:hAnsi="Arial"/>
                <w:sz w:val="16"/>
                <w:szCs w:val="16"/>
                <w:color w:val="auto"/>
                <w:w w:val="94"/>
              </w:rPr>
              <w:t>Consolidated net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140"/>
              <w:spacing w:after="0"/>
              <w:rPr>
                <w:sz w:val="20"/>
                <w:szCs w:val="20"/>
                <w:color w:val="auto"/>
              </w:rPr>
            </w:pPr>
            <w:r>
              <w:rPr>
                <w:rFonts w:ascii="Arial" w:cs="Arial" w:eastAsia="Arial" w:hAnsi="Arial"/>
                <w:sz w:val="16"/>
                <w:szCs w:val="16"/>
                <w:color w:val="auto"/>
              </w:rPr>
              <w:t>sales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8,211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8,310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6,946</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7,648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b w:val="1"/>
                <w:bCs w:val="1"/>
                <w:color w:val="auto"/>
              </w:rPr>
              <w:t>31,131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9,901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8,837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3,091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3,443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25,421</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Inter-segment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704</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624</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(1,458)</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tcPr>
          <w:p>
            <w:pPr>
              <w:ind w:left="140"/>
              <w:spacing w:after="0" w:line="162" w:lineRule="exact"/>
              <w:rPr>
                <w:sz w:val="20"/>
                <w:szCs w:val="20"/>
                <w:color w:val="auto"/>
              </w:rPr>
            </w:pPr>
            <w:r>
              <w:rPr>
                <w:rFonts w:ascii="Arial" w:cs="Arial" w:eastAsia="Arial" w:hAnsi="Arial"/>
                <w:sz w:val="16"/>
                <w:szCs w:val="16"/>
                <w:color w:val="auto"/>
              </w:rPr>
              <w:t>Business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segment sales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7,570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31,131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customer for the quarters ended June 30, 2021 and 2020 are as follows: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Collins</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820" w:type="dxa"/>
            <w:vAlign w:val="bottom"/>
          </w:tcPr>
          <w:p>
            <w:pPr>
              <w:jc w:val="center"/>
              <w:ind w:right="13"/>
              <w:spacing w:after="0" w:line="136" w:lineRule="exact"/>
              <w:rPr>
                <w:sz w:val="20"/>
                <w:szCs w:val="20"/>
                <w:color w:val="auto"/>
              </w:rPr>
            </w:pPr>
            <w:r>
              <w:rPr>
                <w:rFonts w:ascii="Arial" w:cs="Arial" w:eastAsia="Arial" w:hAnsi="Arial"/>
                <w:sz w:val="13"/>
                <w:szCs w:val="13"/>
                <w:b w:val="1"/>
                <w:bCs w:val="1"/>
                <w:color w:val="auto"/>
                <w:w w:val="91"/>
              </w:rPr>
              <w:t>Raytheon</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Collins</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8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(dollars in millions)</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Aerospace</w:t>
            </w:r>
          </w:p>
        </w:tc>
        <w:tc>
          <w:tcPr>
            <w:tcW w:w="74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82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6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Other</w:t>
            </w:r>
          </w:p>
        </w:tc>
        <w:tc>
          <w:tcPr>
            <w:tcW w:w="8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Aerospace</w:t>
            </w:r>
          </w:p>
        </w:tc>
        <w:tc>
          <w:tcPr>
            <w:tcW w:w="76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7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Other</w:t>
            </w:r>
          </w:p>
        </w:tc>
        <w:tc>
          <w:tcPr>
            <w:tcW w:w="74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28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Whitney</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20" w:type="dxa"/>
            <w:vAlign w:val="bottom"/>
          </w:tcPr>
          <w:p>
            <w:pPr>
              <w:jc w:val="center"/>
              <w:ind w:right="13"/>
              <w:spacing w:after="0"/>
              <w:rPr>
                <w:sz w:val="20"/>
                <w:szCs w:val="20"/>
                <w:color w:val="auto"/>
              </w:rPr>
            </w:pPr>
            <w:r>
              <w:rPr>
                <w:rFonts w:ascii="Arial" w:cs="Arial" w:eastAsia="Arial" w:hAnsi="Arial"/>
                <w:sz w:val="13"/>
                <w:szCs w:val="13"/>
                <w:b w:val="1"/>
                <w:bCs w:val="1"/>
                <w:color w:val="auto"/>
                <w:w w:val="90"/>
              </w:rPr>
              <w:t>Defense</w:t>
            </w:r>
          </w:p>
        </w:tc>
        <w:tc>
          <w:tcPr>
            <w:tcW w:w="6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Whitney</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6"/>
              </w:rPr>
              <w:t>Defense</w:t>
            </w:r>
          </w:p>
        </w:tc>
        <w:tc>
          <w:tcPr>
            <w:tcW w:w="7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8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U.S. government</w:t>
            </w: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1,147</w:t>
            </w:r>
          </w:p>
        </w:tc>
        <w:tc>
          <w:tcPr>
            <w:tcW w:w="26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1,191</w:t>
            </w:r>
          </w:p>
        </w:tc>
        <w:tc>
          <w:tcPr>
            <w:tcW w:w="36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2,944</w:t>
            </w: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2,384</w:t>
            </w: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7,670</w:t>
            </w:r>
          </w:p>
        </w:tc>
        <w:tc>
          <w:tcPr>
            <w:tcW w:w="38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1,353</w:t>
            </w:r>
          </w:p>
        </w:tc>
        <w:tc>
          <w:tcPr>
            <w:tcW w:w="28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1,283</w:t>
            </w: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7,328</w:t>
            </w: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(1)</w:t>
            </w:r>
          </w:p>
        </w:tc>
        <w:tc>
          <w:tcPr>
            <w:tcW w:w="3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Foreign military</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Arial" w:cs="Arial" w:eastAsia="Arial" w:hAnsi="Arial"/>
                <w:sz w:val="16"/>
                <w:szCs w:val="16"/>
                <w:color w:val="auto"/>
              </w:rPr>
              <w:t>sales through the</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6"/>
                <w:szCs w:val="16"/>
                <w:color w:val="auto"/>
              </w:rPr>
              <w:t>U.S. government</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397</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866</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1,497</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281</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766</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Foreign</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government direct</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sales</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1,313</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Arial" w:cs="Arial" w:eastAsia="Arial" w:hAnsi="Arial"/>
                <w:sz w:val="16"/>
                <w:szCs w:val="16"/>
                <w:color w:val="auto"/>
              </w:rPr>
              <w:t>aerospace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commercial</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2,700</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2,565</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5,400</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2,259</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1,804</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4,287</w:t>
            </w: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3"/>
              </w:rPr>
              <w:t>Consolidated net</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4,173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4,280</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15,880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14,061</w:t>
            </w:r>
          </w:p>
        </w:tc>
        <w:tc>
          <w:tcPr>
            <w:tcW w:w="0" w:type="dxa"/>
            <w:vAlign w:val="bottom"/>
          </w:tcPr>
          <w:p>
            <w:pPr>
              <w:spacing w:after="0"/>
              <w:rPr>
                <w:sz w:val="1"/>
                <w:szCs w:val="1"/>
                <w:color w:val="auto"/>
              </w:rPr>
            </w:pP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Inter-segment</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(743)</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Business</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segment sales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4,545</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4,280</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3,805</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3,985</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(735)</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15,880</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4,202</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Excludes foreign military sales through the U.S. government.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customer for the six months ended June 30, 2021 and 2020 are as follows: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Collins</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8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Collins</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Pratt &amp;</w:t>
            </w: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8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Raytheon</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(dollars in millions)</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Aerospace</w:t>
            </w:r>
          </w:p>
        </w:tc>
        <w:tc>
          <w:tcPr>
            <w:tcW w:w="740" w:type="dxa"/>
            <w:vAlign w:val="bottom"/>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Intelligence &amp;</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7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Other</w:t>
            </w:r>
          </w:p>
        </w:tc>
        <w:tc>
          <w:tcPr>
            <w:tcW w:w="8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Aerospace</w:t>
            </w:r>
          </w:p>
        </w:tc>
        <w:tc>
          <w:tcPr>
            <w:tcW w:w="76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7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Other</w:t>
            </w:r>
          </w:p>
        </w:tc>
        <w:tc>
          <w:tcPr>
            <w:tcW w:w="74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28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Whitney</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20" w:type="dxa"/>
            <w:vAlign w:val="bottom"/>
          </w:tcPr>
          <w:p>
            <w:pPr>
              <w:jc w:val="center"/>
              <w:ind w:right="13"/>
              <w:spacing w:after="0"/>
              <w:rPr>
                <w:sz w:val="20"/>
                <w:szCs w:val="20"/>
                <w:color w:val="auto"/>
              </w:rPr>
            </w:pPr>
            <w:r>
              <w:rPr>
                <w:rFonts w:ascii="Arial" w:cs="Arial" w:eastAsia="Arial" w:hAnsi="Arial"/>
                <w:sz w:val="13"/>
                <w:szCs w:val="13"/>
                <w:b w:val="1"/>
                <w:bCs w:val="1"/>
                <w:color w:val="auto"/>
                <w:w w:val="90"/>
              </w:rPr>
              <w:t>Defense</w:t>
            </w:r>
          </w:p>
        </w:tc>
        <w:tc>
          <w:tcPr>
            <w:tcW w:w="7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Whitney</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Space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6"/>
              </w:rPr>
              <w:t>Defense</w:t>
            </w:r>
          </w:p>
        </w:tc>
        <w:tc>
          <w:tcPr>
            <w:tcW w:w="7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U.S. government</w:t>
            </w:r>
          </w:p>
        </w:tc>
        <w:tc>
          <w:tcPr>
            <w:tcW w:w="3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r>
      <w:tr>
        <w:trPr>
          <w:trHeight w:val="128"/>
        </w:trPr>
        <w:tc>
          <w:tcPr>
            <w:tcW w:w="1280" w:type="dxa"/>
            <w:vAlign w:val="bottom"/>
            <w:tcBorders>
              <w:bottom w:val="single" w:sz="8" w:color="CCEEFF"/>
            </w:tcBorders>
            <w:shd w:val="clear" w:color="auto" w:fill="CCEEFF"/>
          </w:tcPr>
          <w:p>
            <w:pPr>
              <w:ind w:left="20"/>
              <w:spacing w:after="0" w:line="95" w:lineRule="exact"/>
              <w:rPr>
                <w:sz w:val="20"/>
                <w:szCs w:val="20"/>
                <w:color w:val="auto"/>
              </w:rPr>
            </w:pPr>
            <w:r>
              <w:rPr>
                <w:rFonts w:ascii="Arial" w:cs="Arial" w:eastAsia="Arial" w:hAnsi="Arial"/>
                <w:sz w:val="9"/>
                <w:szCs w:val="9"/>
                <w:color w:val="auto"/>
              </w:rPr>
              <w:t>(1)</w:t>
            </w:r>
          </w:p>
        </w:tc>
        <w:tc>
          <w:tcPr>
            <w:tcW w:w="300" w:type="dxa"/>
            <w:vAlign w:val="bottom"/>
            <w:tcBorders>
              <w:bottom w:val="single" w:sz="8" w:color="CCEEFF"/>
            </w:tcBorders>
            <w:shd w:val="clear" w:color="auto" w:fill="CCEEFF"/>
          </w:tcPr>
          <w:p>
            <w:pPr>
              <w:jc w:val="right"/>
              <w:ind w:right="128"/>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2,369</w:t>
            </w:r>
          </w:p>
        </w:tc>
        <w:tc>
          <w:tcPr>
            <w:tcW w:w="260" w:type="dxa"/>
            <w:vAlign w:val="bottom"/>
            <w:tcBorders>
              <w:bottom w:val="single" w:sz="8" w:color="CCEEFF"/>
            </w:tcBorders>
            <w:shd w:val="clear" w:color="auto" w:fill="CCEEFF"/>
          </w:tcPr>
          <w:p>
            <w:pPr>
              <w:jc w:val="right"/>
              <w:ind w:right="68"/>
              <w:spacing w:after="0" w:line="129"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2,453</w:t>
            </w:r>
          </w:p>
        </w:tc>
        <w:tc>
          <w:tcPr>
            <w:tcW w:w="340" w:type="dxa"/>
            <w:vAlign w:val="bottom"/>
            <w:tcBorders>
              <w:bottom w:val="single" w:sz="8" w:color="CCEEFF"/>
            </w:tcBorders>
            <w:shd w:val="clear" w:color="auto" w:fill="CCEEFF"/>
          </w:tcPr>
          <w:p>
            <w:pPr>
              <w:jc w:val="right"/>
              <w:ind w:right="148"/>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5,844</w:t>
            </w:r>
          </w:p>
        </w:tc>
        <w:tc>
          <w:tcPr>
            <w:tcW w:w="300" w:type="dxa"/>
            <w:vAlign w:val="bottom"/>
            <w:tcBorders>
              <w:bottom w:val="single" w:sz="8" w:color="CCEEFF"/>
            </w:tcBorders>
            <w:shd w:val="clear" w:color="auto" w:fill="CCEEFF"/>
          </w:tcPr>
          <w:p>
            <w:pPr>
              <w:jc w:val="right"/>
              <w:ind w:right="108"/>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4,741</w:t>
            </w:r>
          </w:p>
        </w:tc>
        <w:tc>
          <w:tcPr>
            <w:tcW w:w="1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11</w:t>
            </w:r>
          </w:p>
        </w:tc>
        <w:tc>
          <w:tcPr>
            <w:tcW w:w="200" w:type="dxa"/>
            <w:vAlign w:val="bottom"/>
            <w:tcBorders>
              <w:bottom w:val="single" w:sz="8" w:color="CCEEFF"/>
            </w:tcBorders>
            <w:shd w:val="clear" w:color="auto" w:fill="CCEEFF"/>
          </w:tcPr>
          <w:p>
            <w:pPr>
              <w:jc w:val="right"/>
              <w:ind w:right="28"/>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shd w:val="clear" w:color="auto" w:fill="CCEEFF"/>
          </w:tcPr>
          <w:p>
            <w:pPr>
              <w:jc w:val="right"/>
              <w:ind w:right="28"/>
              <w:spacing w:after="0" w:line="129" w:lineRule="exact"/>
              <w:rPr>
                <w:sz w:val="20"/>
                <w:szCs w:val="20"/>
                <w:color w:val="auto"/>
              </w:rPr>
            </w:pPr>
            <w:r>
              <w:rPr>
                <w:rFonts w:ascii="Arial" w:cs="Arial" w:eastAsia="Arial" w:hAnsi="Arial"/>
                <w:sz w:val="14"/>
                <w:szCs w:val="14"/>
                <w:b w:val="1"/>
                <w:bCs w:val="1"/>
                <w:color w:val="auto"/>
              </w:rPr>
              <w:t>15,418</w:t>
            </w:r>
          </w:p>
        </w:tc>
        <w:tc>
          <w:tcPr>
            <w:tcW w:w="340" w:type="dxa"/>
            <w:vAlign w:val="bottom"/>
            <w:tcBorders>
              <w:bottom w:val="single" w:sz="8" w:color="CCEEFF"/>
            </w:tcBorders>
            <w:shd w:val="clear" w:color="auto" w:fill="CCEEFF"/>
          </w:tcPr>
          <w:p>
            <w:pPr>
              <w:jc w:val="right"/>
              <w:ind w:right="108"/>
              <w:spacing w:after="0" w:line="12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2,642</w:t>
            </w:r>
          </w:p>
        </w:tc>
        <w:tc>
          <w:tcPr>
            <w:tcW w:w="280" w:type="dxa"/>
            <w:vAlign w:val="bottom"/>
            <w:tcBorders>
              <w:bottom w:val="single" w:sz="8" w:color="CCEEFF"/>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2,522</w:t>
            </w:r>
          </w:p>
        </w:tc>
        <w:tc>
          <w:tcPr>
            <w:tcW w:w="340" w:type="dxa"/>
            <w:vAlign w:val="bottom"/>
            <w:tcBorders>
              <w:bottom w:val="single" w:sz="8" w:color="CCEEFF"/>
            </w:tcBorders>
            <w:shd w:val="clear" w:color="auto" w:fill="CCEEFF"/>
          </w:tcPr>
          <w:p>
            <w:pPr>
              <w:jc w:val="right"/>
              <w:ind w:right="168"/>
              <w:spacing w:after="0" w:line="12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2,560</w:t>
            </w:r>
          </w:p>
        </w:tc>
        <w:tc>
          <w:tcPr>
            <w:tcW w:w="300" w:type="dxa"/>
            <w:vAlign w:val="bottom"/>
            <w:tcBorders>
              <w:bottom w:val="single" w:sz="8" w:color="CCEEFF"/>
            </w:tcBorders>
            <w:shd w:val="clear" w:color="auto" w:fill="CCEEFF"/>
          </w:tcPr>
          <w:p>
            <w:pPr>
              <w:jc w:val="right"/>
              <w:ind w:right="128"/>
              <w:spacing w:after="0" w:line="12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2,078</w:t>
            </w:r>
          </w:p>
        </w:tc>
        <w:tc>
          <w:tcPr>
            <w:tcW w:w="1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54</w:t>
            </w:r>
          </w:p>
        </w:tc>
        <w:tc>
          <w:tcPr>
            <w:tcW w:w="200" w:type="dxa"/>
            <w:vAlign w:val="bottom"/>
            <w:tcBorders>
              <w:bottom w:val="single" w:sz="8" w:color="CCEEFF"/>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9,856</w:t>
            </w: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Foreign military</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280" w:type="dxa"/>
            <w:vAlign w:val="bottom"/>
          </w:tcPr>
          <w:p>
            <w:pPr>
              <w:ind w:left="20"/>
              <w:spacing w:after="0" w:line="162" w:lineRule="exact"/>
              <w:rPr>
                <w:sz w:val="20"/>
                <w:szCs w:val="20"/>
                <w:color w:val="auto"/>
              </w:rPr>
            </w:pPr>
            <w:r>
              <w:rPr>
                <w:rFonts w:ascii="Arial" w:cs="Arial" w:eastAsia="Arial" w:hAnsi="Arial"/>
                <w:sz w:val="16"/>
                <w:szCs w:val="16"/>
                <w:color w:val="auto"/>
              </w:rPr>
              <w:t>sales through the</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6"/>
                <w:szCs w:val="16"/>
                <w:color w:val="auto"/>
              </w:rPr>
              <w:t>U.S. government</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639</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417</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1,671</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2,792</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132</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552</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766</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1,668</w:t>
            </w:r>
          </w:p>
        </w:tc>
      </w:tr>
      <w:tr>
        <w:trPr>
          <w:trHeight w:val="169"/>
        </w:trPr>
        <w:tc>
          <w:tcPr>
            <w:tcW w:w="12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Foreign</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government direct</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2"/>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sales</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266</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2,493</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w:t>
            </w: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1280" w:type="dxa"/>
            <w:vAlign w:val="bottom"/>
          </w:tcPr>
          <w:p>
            <w:pPr>
              <w:ind w:left="20"/>
              <w:spacing w:after="0" w:line="162" w:lineRule="exact"/>
              <w:rPr>
                <w:sz w:val="20"/>
                <w:szCs w:val="20"/>
                <w:color w:val="auto"/>
              </w:rPr>
            </w:pPr>
            <w:r>
              <w:rPr>
                <w:rFonts w:ascii="Arial" w:cs="Arial" w:eastAsia="Arial" w:hAnsi="Arial"/>
                <w:sz w:val="16"/>
                <w:szCs w:val="16"/>
                <w:color w:val="auto"/>
              </w:rPr>
              <w:t>aerospace and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commercial</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5,231</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4,952</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10,428</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6,698</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5,503</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12,430</w:t>
            </w:r>
          </w:p>
        </w:tc>
      </w:tr>
      <w:tr>
        <w:trPr>
          <w:trHeight w:val="162"/>
        </w:trPr>
        <w:tc>
          <w:tcPr>
            <w:tcW w:w="12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3"/>
              </w:rPr>
              <w:t>Consolidated net</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2"/>
        </w:trPr>
        <w:tc>
          <w:tcPr>
            <w:tcW w:w="1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8,211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8,310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6,946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7,648</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31,131</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8,837</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25,421</w:t>
            </w:r>
          </w:p>
        </w:tc>
      </w:tr>
      <w:tr>
        <w:trPr>
          <w:trHeight w:val="166"/>
        </w:trPr>
        <w:tc>
          <w:tcPr>
            <w:tcW w:w="1280" w:type="dxa"/>
            <w:vAlign w:val="bottom"/>
          </w:tcPr>
          <w:p>
            <w:pPr>
              <w:ind w:left="20"/>
              <w:spacing w:after="0" w:line="166" w:lineRule="exact"/>
              <w:rPr>
                <w:sz w:val="20"/>
                <w:szCs w:val="20"/>
                <w:color w:val="auto"/>
              </w:rPr>
            </w:pPr>
            <w:r>
              <w:rPr>
                <w:rFonts w:ascii="Arial" w:cs="Arial" w:eastAsia="Arial" w:hAnsi="Arial"/>
                <w:sz w:val="16"/>
                <w:szCs w:val="16"/>
                <w:color w:val="auto"/>
              </w:rPr>
              <w:t>Inter-segment</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704</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624</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(1,458)</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12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Business</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9"/>
        </w:trPr>
        <w:tc>
          <w:tcPr>
            <w:tcW w:w="1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segment sales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8,915</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8,310</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7,570</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(1,442)</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31,131</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10,640</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8,840</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25,421</w:t>
            </w: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sales type for the quarters ended June 30, 2021 and 2020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0"/>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80" w:type="dxa"/>
            <w:vAlign w:val="bottom"/>
          </w:tcPr>
          <w:p>
            <w:pPr>
              <w:spacing w:after="0"/>
              <w:rPr>
                <w:sz w:val="11"/>
                <w:szCs w:val="11"/>
                <w:color w:val="auto"/>
              </w:rPr>
            </w:pPr>
          </w:p>
        </w:tc>
        <w:tc>
          <w:tcPr>
            <w:tcW w:w="800" w:type="dxa"/>
            <w:vAlign w:val="bottom"/>
          </w:tcPr>
          <w:p>
            <w:pPr>
              <w:jc w:val="center"/>
              <w:ind w:right="90"/>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40" w:type="dxa"/>
            <w:vAlign w:val="bottom"/>
          </w:tcPr>
          <w:p>
            <w:pPr>
              <w:jc w:val="center"/>
              <w:ind w:right="10"/>
              <w:spacing w:after="0" w:line="136" w:lineRule="exact"/>
              <w:rPr>
                <w:sz w:val="20"/>
                <w:szCs w:val="20"/>
                <w:color w:val="auto"/>
              </w:rPr>
            </w:pPr>
            <w:r>
              <w:rPr>
                <w:rFonts w:ascii="Arial" w:cs="Arial" w:eastAsia="Arial" w:hAnsi="Arial"/>
                <w:sz w:val="13"/>
                <w:szCs w:val="13"/>
                <w:b w:val="1"/>
                <w:bCs w:val="1"/>
                <w:color w:val="auto"/>
                <w:w w:val="91"/>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6"/>
              </w:rPr>
              <w:t>Collins</w:t>
            </w:r>
          </w:p>
        </w:tc>
        <w:tc>
          <w:tcPr>
            <w:tcW w:w="14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Pratt &amp;</w:t>
            </w:r>
          </w:p>
        </w:tc>
        <w:tc>
          <w:tcPr>
            <w:tcW w:w="140" w:type="dxa"/>
            <w:vAlign w:val="bottom"/>
          </w:tcPr>
          <w:p>
            <w:pPr>
              <w:spacing w:after="0"/>
              <w:rPr>
                <w:sz w:val="11"/>
                <w:szCs w:val="11"/>
                <w:color w:val="auto"/>
              </w:rPr>
            </w:pPr>
          </w:p>
        </w:tc>
        <w:tc>
          <w:tcPr>
            <w:tcW w:w="820" w:type="dxa"/>
            <w:vAlign w:val="bottom"/>
          </w:tcPr>
          <w:p>
            <w:pPr>
              <w:jc w:val="center"/>
              <w:ind w:right="90"/>
              <w:spacing w:after="0" w:line="136" w:lineRule="exact"/>
              <w:rPr>
                <w:sz w:val="20"/>
                <w:szCs w:val="20"/>
                <w:color w:val="auto"/>
              </w:rPr>
            </w:pPr>
            <w:r>
              <w:rPr>
                <w:rFonts w:ascii="Arial" w:cs="Arial" w:eastAsia="Arial" w:hAnsi="Arial"/>
                <w:sz w:val="13"/>
                <w:szCs w:val="13"/>
                <w:b w:val="1"/>
                <w:bCs w:val="1"/>
                <w:color w:val="auto"/>
                <w:w w:val="91"/>
              </w:rPr>
              <w:t>Raytheon</w:t>
            </w:r>
          </w:p>
        </w:tc>
        <w:tc>
          <w:tcPr>
            <w:tcW w:w="100" w:type="dxa"/>
            <w:vAlign w:val="bottom"/>
          </w:tcPr>
          <w:p>
            <w:pPr>
              <w:spacing w:after="0"/>
              <w:rPr>
                <w:sz w:val="11"/>
                <w:szCs w:val="11"/>
                <w:color w:val="auto"/>
              </w:rPr>
            </w:pPr>
          </w:p>
        </w:tc>
        <w:tc>
          <w:tcPr>
            <w:tcW w:w="74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0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6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7"/>
              </w:rPr>
              <w:t>Aerospace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0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8"/>
              </w:rPr>
              <w:t>Whitney</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0"/>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8"/>
              </w:rPr>
              <w:t>Whitney</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Defense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3,349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2,675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12,179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2,409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10,768</w:t>
            </w: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Service</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824</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1,698</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826</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3,701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682</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3,293</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4"/>
              </w:rPr>
              <w:t>Consolidated net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4,173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15,880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3,091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14,061</w:t>
            </w:r>
          </w:p>
        </w:tc>
        <w:tc>
          <w:tcPr>
            <w:tcW w:w="0" w:type="dxa"/>
            <w:vAlign w:val="bottom"/>
          </w:tcPr>
          <w:p>
            <w:pPr>
              <w:spacing w:after="0"/>
              <w:rPr>
                <w:sz w:val="1"/>
                <w:szCs w:val="1"/>
                <w:color w:val="auto"/>
              </w:rPr>
            </w:pPr>
          </w:p>
        </w:tc>
      </w:tr>
      <w:tr>
        <w:trPr>
          <w:trHeight w:val="166"/>
        </w:trPr>
        <w:tc>
          <w:tcPr>
            <w:tcW w:w="1300" w:type="dxa"/>
            <w:vAlign w:val="bottom"/>
          </w:tcPr>
          <w:p>
            <w:pPr>
              <w:ind w:left="20"/>
              <w:spacing w:after="0" w:line="166" w:lineRule="exact"/>
              <w:rPr>
                <w:sz w:val="20"/>
                <w:szCs w:val="20"/>
                <w:color w:val="auto"/>
              </w:rPr>
            </w:pPr>
            <w:r>
              <w:rPr>
                <w:rFonts w:ascii="Arial" w:cs="Arial" w:eastAsia="Arial" w:hAnsi="Arial"/>
                <w:sz w:val="16"/>
                <w:szCs w:val="16"/>
                <w:color w:val="auto"/>
              </w:rPr>
              <w:t>Inter-segment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(743)</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Business</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3,805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15,880</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3,387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14,061</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sales type for the six months ended June 30, 2021 and 2020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0"/>
              <w:spacing w:after="0" w:line="136" w:lineRule="exact"/>
              <w:rPr>
                <w:sz w:val="20"/>
                <w:szCs w:val="20"/>
                <w:color w:val="auto"/>
              </w:rPr>
            </w:pPr>
            <w:r>
              <w:rPr>
                <w:rFonts w:ascii="Arial" w:cs="Arial" w:eastAsia="Arial" w:hAnsi="Arial"/>
                <w:sz w:val="13"/>
                <w:szCs w:val="13"/>
                <w:b w:val="1"/>
                <w:bCs w:val="1"/>
                <w:color w:val="auto"/>
                <w:w w:val="96"/>
              </w:rPr>
              <w:t>Collins</w:t>
            </w:r>
          </w:p>
        </w:tc>
        <w:tc>
          <w:tcPr>
            <w:tcW w:w="140" w:type="dxa"/>
            <w:vAlign w:val="bottom"/>
          </w:tcPr>
          <w:p>
            <w:pPr>
              <w:spacing w:after="0"/>
              <w:rPr>
                <w:sz w:val="11"/>
                <w:szCs w:val="11"/>
                <w:color w:val="auto"/>
              </w:rPr>
            </w:pPr>
          </w:p>
        </w:tc>
        <w:tc>
          <w:tcPr>
            <w:tcW w:w="60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90"/>
              <w:spacing w:after="0" w:line="136" w:lineRule="exact"/>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1"/>
                <w:szCs w:val="11"/>
                <w:color w:val="auto"/>
              </w:rPr>
            </w:pPr>
          </w:p>
        </w:tc>
        <w:tc>
          <w:tcPr>
            <w:tcW w:w="74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2"/>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Pratt &amp;</w:t>
            </w:r>
          </w:p>
        </w:tc>
        <w:tc>
          <w:tcPr>
            <w:tcW w:w="180" w:type="dxa"/>
            <w:vAlign w:val="bottom"/>
          </w:tcPr>
          <w:p>
            <w:pPr>
              <w:spacing w:after="0"/>
              <w:rPr>
                <w:sz w:val="11"/>
                <w:szCs w:val="11"/>
                <w:color w:val="auto"/>
              </w:rPr>
            </w:pPr>
          </w:p>
        </w:tc>
        <w:tc>
          <w:tcPr>
            <w:tcW w:w="780" w:type="dxa"/>
            <w:vAlign w:val="bottom"/>
          </w:tcPr>
          <w:p>
            <w:pPr>
              <w:jc w:val="center"/>
              <w:ind w:right="70"/>
              <w:spacing w:after="0" w:line="136" w:lineRule="exact"/>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740" w:type="dxa"/>
            <w:vAlign w:val="bottom"/>
          </w:tcPr>
          <w:p>
            <w:pPr>
              <w:jc w:val="center"/>
              <w:ind w:right="30"/>
              <w:spacing w:after="0" w:line="136" w:lineRule="exact"/>
              <w:rPr>
                <w:sz w:val="20"/>
                <w:szCs w:val="20"/>
                <w:color w:val="auto"/>
              </w:rPr>
            </w:pPr>
            <w:r>
              <w:rPr>
                <w:rFonts w:ascii="Arial" w:cs="Arial" w:eastAsia="Arial" w:hAnsi="Arial"/>
                <w:sz w:val="13"/>
                <w:szCs w:val="13"/>
                <w:b w:val="1"/>
                <w:bCs w:val="1"/>
                <w:color w:val="auto"/>
                <w:w w:val="94"/>
              </w:rPr>
              <w:t>Raytheon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87"/>
              </w:rPr>
              <w:t>Aerospace</w:t>
            </w: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Intelligence &amp;</w:t>
            </w:r>
          </w:p>
        </w:tc>
        <w:tc>
          <w:tcPr>
            <w:tcW w:w="10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40" w:type="dxa"/>
            <w:vAlign w:val="bottom"/>
          </w:tcPr>
          <w:p>
            <w:pPr>
              <w:spacing w:after="0"/>
              <w:rPr>
                <w:sz w:val="11"/>
                <w:szCs w:val="11"/>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0"/>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Intelligence &amp;</w:t>
            </w:r>
          </w:p>
        </w:tc>
        <w:tc>
          <w:tcPr>
            <w:tcW w:w="140" w:type="dxa"/>
            <w:vAlign w:val="bottom"/>
          </w:tcPr>
          <w:p>
            <w:pPr>
              <w:spacing w:after="0"/>
              <w:rPr>
                <w:sz w:val="11"/>
                <w:szCs w:val="11"/>
                <w:color w:val="auto"/>
              </w:rPr>
            </w:pPr>
          </w:p>
        </w:tc>
        <w:tc>
          <w:tcPr>
            <w:tcW w:w="74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4"/>
              </w:rPr>
              <w:t>Missiles &amp;</w:t>
            </w:r>
          </w:p>
        </w:tc>
        <w:tc>
          <w:tcPr>
            <w:tcW w:w="16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4"/>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Defense</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8"/>
              </w:rPr>
              <w:t>Whitney</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8"/>
              </w:rPr>
              <w:t>Space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Defense</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6,531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5,351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6,940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18,932</w:t>
            </w: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Service</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1,680</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3,305</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1,595</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708</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7,288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1,807</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3,694</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6,489</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4"/>
              </w:rPr>
              <w:t>Consolidated net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8,211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6,946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7,648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25,421</w:t>
            </w:r>
          </w:p>
        </w:tc>
        <w:tc>
          <w:tcPr>
            <w:tcW w:w="0" w:type="dxa"/>
            <w:vAlign w:val="bottom"/>
          </w:tcPr>
          <w:p>
            <w:pPr>
              <w:spacing w:after="0"/>
              <w:rPr>
                <w:sz w:val="1"/>
                <w:szCs w:val="1"/>
                <w:color w:val="auto"/>
              </w:rPr>
            </w:pPr>
          </w:p>
        </w:tc>
      </w:tr>
      <w:tr>
        <w:trPr>
          <w:trHeight w:val="166"/>
        </w:trPr>
        <w:tc>
          <w:tcPr>
            <w:tcW w:w="1300" w:type="dxa"/>
            <w:vAlign w:val="bottom"/>
          </w:tcPr>
          <w:p>
            <w:pPr>
              <w:ind w:left="20"/>
              <w:spacing w:after="0" w:line="166" w:lineRule="exact"/>
              <w:rPr>
                <w:sz w:val="20"/>
                <w:szCs w:val="20"/>
                <w:color w:val="auto"/>
              </w:rPr>
            </w:pPr>
            <w:r>
              <w:rPr>
                <w:rFonts w:ascii="Arial" w:cs="Arial" w:eastAsia="Arial" w:hAnsi="Arial"/>
                <w:sz w:val="16"/>
                <w:szCs w:val="16"/>
                <w:color w:val="auto"/>
              </w:rPr>
              <w:t>Inter-segment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704</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624</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(1,458)</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Business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7,570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31,131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RIS and RMD segment sales disaggregated by contract type for the quarters ended June 30, 2021 and 2020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Raytheon Intelligence &amp;</w:t>
            </w:r>
          </w:p>
        </w:tc>
        <w:tc>
          <w:tcPr>
            <w:tcW w:w="200" w:type="dxa"/>
            <w:vAlign w:val="bottom"/>
          </w:tcPr>
          <w:p>
            <w:pPr>
              <w:spacing w:after="0"/>
              <w:rPr>
                <w:sz w:val="11"/>
                <w:szCs w:val="11"/>
                <w:color w:val="auto"/>
              </w:rPr>
            </w:pPr>
          </w:p>
        </w:tc>
        <w:tc>
          <w:tcPr>
            <w:tcW w:w="14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3"/>
              </w:rPr>
              <w:t>Raytheon Missiles &amp;</w:t>
            </w:r>
          </w:p>
        </w:tc>
        <w:tc>
          <w:tcPr>
            <w:tcW w:w="100" w:type="dxa"/>
            <w:vAlign w:val="bottom"/>
          </w:tcPr>
          <w:p>
            <w:pPr>
              <w:spacing w:after="0"/>
              <w:rPr>
                <w:sz w:val="11"/>
                <w:szCs w:val="11"/>
                <w:color w:val="auto"/>
              </w:rPr>
            </w:pPr>
          </w:p>
        </w:tc>
        <w:tc>
          <w:tcPr>
            <w:tcW w:w="16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auto"/>
                <w:w w:val="93"/>
              </w:rPr>
              <w:t>Raytheon Missiles &amp;</w:t>
            </w:r>
          </w:p>
        </w:tc>
        <w:tc>
          <w:tcPr>
            <w:tcW w:w="0" w:type="dxa"/>
            <w:vAlign w:val="bottom"/>
          </w:tcPr>
          <w:p>
            <w:pPr>
              <w:spacing w:after="0"/>
              <w:rPr>
                <w:sz w:val="1"/>
                <w:szCs w:val="1"/>
                <w:color w:val="auto"/>
              </w:rPr>
            </w:pPr>
          </w:p>
        </w:tc>
      </w:tr>
      <w:tr>
        <w:trPr>
          <w:trHeight w:val="188"/>
        </w:trPr>
        <w:tc>
          <w:tcPr>
            <w:tcW w:w="45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Space</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Defense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Defense</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1,556</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Cost-type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1,945</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1,516</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1,820</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217"/>
        </w:trPr>
        <w:tc>
          <w:tcPr>
            <w:tcW w:w="4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3,501</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3,918</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3,443</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RIS and RMD segment sales disaggregated by contract type for the six months ended June 30, 2021 and 2020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Raytheon Intelligence &amp;</w:t>
            </w:r>
          </w:p>
        </w:tc>
        <w:tc>
          <w:tcPr>
            <w:tcW w:w="200" w:type="dxa"/>
            <w:vAlign w:val="bottom"/>
          </w:tcPr>
          <w:p>
            <w:pPr>
              <w:spacing w:after="0"/>
              <w:rPr>
                <w:sz w:val="11"/>
                <w:szCs w:val="11"/>
                <w:color w:val="auto"/>
              </w:rPr>
            </w:pPr>
          </w:p>
        </w:tc>
        <w:tc>
          <w:tcPr>
            <w:tcW w:w="14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3"/>
              </w:rPr>
              <w:t>Raytheon Missiles &amp;</w:t>
            </w:r>
          </w:p>
        </w:tc>
        <w:tc>
          <w:tcPr>
            <w:tcW w:w="100" w:type="dxa"/>
            <w:vAlign w:val="bottom"/>
          </w:tcPr>
          <w:p>
            <w:pPr>
              <w:spacing w:after="0"/>
              <w:rPr>
                <w:sz w:val="11"/>
                <w:szCs w:val="11"/>
                <w:color w:val="auto"/>
              </w:rPr>
            </w:pPr>
          </w:p>
        </w:tc>
        <w:tc>
          <w:tcPr>
            <w:tcW w:w="16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auto"/>
                <w:w w:val="93"/>
              </w:rPr>
              <w:t>Raytheon Missiles &amp;</w:t>
            </w:r>
          </w:p>
        </w:tc>
        <w:tc>
          <w:tcPr>
            <w:tcW w:w="0" w:type="dxa"/>
            <w:vAlign w:val="bottom"/>
          </w:tcPr>
          <w:p>
            <w:pPr>
              <w:spacing w:after="0"/>
              <w:rPr>
                <w:sz w:val="1"/>
                <w:szCs w:val="1"/>
                <w:color w:val="auto"/>
              </w:rPr>
            </w:pPr>
          </w:p>
        </w:tc>
      </w:tr>
      <w:tr>
        <w:trPr>
          <w:trHeight w:val="188"/>
        </w:trPr>
        <w:tc>
          <w:tcPr>
            <w:tcW w:w="45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Space</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Defense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Defense</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3,027</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Cost-type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3,919</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2,995</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1,820</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217"/>
        </w:trPr>
        <w:tc>
          <w:tcPr>
            <w:tcW w:w="4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6,946</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7,648</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3,443</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Remaining Performance Obligations (RPO)</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RPO represent the aggregate amount of total contract transaction price that is unsatisfied or partially unsatisfied. Total RPO was $151.8 billion and $150.1 billion as of June 30, 2021 and December 31, 2020, respectively. Of the total RPO as of June 30, 2021, we expect approximately 30% will be recognized as sales over the next 12 months. This percentage of RPO to be recognized as sales over the next 12 months depends on future developments, which are highly uncertain and cannot be predicted, including new information which may emerge concerning the scope, severity and duration of the COVID-19 pandemic, as well as any worsening of the pandemic, the effect of mutating strains and whether additional outbreaks of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pandemic will continue to occur, actions to contain the pandemic’s spread or treat its impact, continued availability of vaccines, and their distribution, acceptance and efficacy, and governmental, business and individual personal actions taken in response to the pandemic, which may result in customer delays or order cancellations.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Accounting Pronouncements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2016, the Financial Accounting Standards Board (FASB) issued Accounting Standards Update (ASU) 2016-13, Financial Instruments - Credit Losses (Topic 326): Measurement of Credit Losses on Financial Instruments. This ASU and its related amendments (collectively, the Credit Loss Standard) modifies the impairment model to utilize an expected loss methodology in place of the incurred loss methodology for financial instruments, including trade receivables, contract assets and off-balance sheet credit exposures. The Credit Loss Standard requires consideration of a broader range of information to estimate expected credit losses, including historical information, current economic conditions and a reasonable forecast period. This ASU requires that the statement of operations reflect estimates of expected credit losses for newly recognized financial assets as well as changes in the estimate of expected credit losses that have taken place during the period, which may result in earlier recognition of certain losses. We adopted this standard effective January 1, 2020 utilizing a modified retrospective approach. A cumulative-effect non-cash adjustment to retained earnings as of January 1, 2020 was recorded in the amount of $59 million. The adoption of this standard did not have a material impact on the Company’s Condensed Consolidated Financial Statements.</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The amendments in this update remove certain exceptions of Topic 740 including the exception to the incremental approach for intraperiod tax allocation when there is a loss from continuing operations and income from other items; the exception to the requirement to recognize a deferred tax liability for equity method investments when a foreign subsidiary becomes an equity method investment; the exception to the ability to reverse a deferred tax liability for a foreign subsidiary when a foreign equity method investment becomes a subsidiary; and the exception to the general methodology for calculating income taxes in an interim period when a year-to-date loss exceeds the anticipated loss for the year. There are also additional areas of guidance related to franchise and other taxes partially based on income and the interim recognition of enactment of tax laws and rate changes. We adopted the new standard effective January 1, 2021. The adoption of this standard did not, and is not expected to, have an impact on the Company’s Condensed Consolidated Financial Statements.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new pronouncements issued but not effective until after June 30, 2021 are not expected to have a material impact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the unaudited condensed consolidated financial information of Raytheon Technologies for the quarters and six months ended June 30, 2021 and 2020, PricewaterhouseCoopers LLP (PwC) reported that it has applied limited procedures in accordance with professional standards for a review of such information. However, its report dated July 27, 2021,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0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Board of Directors of Raytheon Technologies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Review of Interim Financial Information</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reviewed the accompanying condensed consolidated balance sheet of Raytheon Technologies Corporation and its subsidiaries (the “Company”) as of June 30, 2021, and the related condensed consolidated statements of operations, of comprehensive income (loss), and of changes in equity for the three-month and six-month periods ended June 30, 2021 and 2020 and the condensed consolidated statement of cash flows for the six-month periods ended June 30, 2021 and 2020,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the Company as of December 31, 2020, and the related consolidated statements of operations, of comprehensive income (loss), of changes in equity and of cash flows for the year then ended (not presented herein), and in our report dated February 8, 2021, which included a paragraph describing a change in the manner of accounting for leases in the 2019 financial statements, we expressed an unqualified opinion on those consolidated financial statements. In our opinion, the information set forth in the accompanying condensed consolidated balance sheet as of December 31, 2020, is fairly stated, in all material respects, in relation to the consolidated balance sheet from which it has been derived.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Review Results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27,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global premier systems provider of high technology products and services to the aerospace and defense industries. On April 3, 2020, United Technologies Corporation (UTC) completed the separation of its business into three independent, publicly traded companies – UTC, Carrier Global Corporation (Carrier) and Otis Worldwide Corporation (Otis) (the Separation Transactions). UTC distributed all of the outstanding shares of Carrier common stock and all of the outstanding shares of Otis common stock to UTC shareowners who held shares of UTC common stock as of the close of business on March 19, 2020, the record date for the distributions (the Distributions) effective at 12:01 a.m., Eastern Time, on April 3, 2020. Immediately following the Separation Transactions and Distributions, on April 3, 2020, UTC and Raytheon Company completed their all-stock merger of equals transaction (the Raytheon Merger), pursuant to which Raytheon Company became a wholly-owned subsidiary of UTC and UTC was renamed Raytheon Technologies Corporation. As a result of these transactions, we now operate in four principal business segments: Collins Aerospace Systems (Collins Aerospace), Pratt &amp; Whitney, Raytheon Intelligence &amp; Space (RIS) and Raytheon Missiles &amp; Defense (RMD).</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UTC was determined to be the accounting acquirer in the Raytheon Merger, and, as a result, the financial statements of Raytheon Technologies include Raytheon Company’s financial position and results of operations for all periods subsequent to the completion of the Raytheon Merger on April 3, 2020. RIS and RMD follow a 4-4-5 fiscal calendar while Collins Aerospace and Pratt &amp; Whitney continue to use a quarter calendar end of June 30, 2021. Throughout this Quarterly Report on Form 10-Q, when we refer to the quarters ended June 30, 2021 and June 30, 2020 with respect to RIS or RMD, we are referring to their July 4, 2021 and June 28, 2020 fiscal quarter ends, respectively. The historical results of Carrier and Otis are presented as discontinued operations and, as such, have been excluded from both continuing operations and segment results for all periods presented. See “Note 3: Discontinued Operations” within Item 1 of this Form 10-Q for additional information. Throughout this Quarterly Report on Form 10-Q, unless otherwise indicated, amounts and activity are presented on a continuing operations basis.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the context otherwise requires, the terms “we,” “our,” “us,” “the Company,” “Raytheon Technologies,” and “RTC” mean United Technologies Corporation and its subsidiaries when referring to periods prior to the Raytheon Merger and to the combined company, Raytheon Technologies Corporation, when referring to periods after the Raytheon Merger. Unless the context otherwise requires, the terms “Raytheon Company,” or “Raytheon” mean Raytheon Company and its subsidiaries prior to the Raytheon Merger.</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current status of significant factors affecting our business environment in 2021 is discussed below. For additional discussion, refer to the “Business Overview” section in Management’s Discussion and Analysis of Financial Condition and Results of Operations (MD&amp;A) in our 2020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Industry Considerations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on our commercial aerospace spares contracts and certain service contracts in our defense business primarily at RIS,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Government legislation, policies and regulations, including regulations related to global warming, carbon footprint and fuel efficiency, can have a negative impact on our worldwide operations. Government and industry-driven safety and performance regulations, restrictions on aircraft engine noise and emissions, government imposed travel restrictions, and government procurement practices can impact our businesses.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Collins Aerospace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Many of our aerospace operations’ customers are covered under long-term aftermarket service agreements at both Collins Aerospace and Pratt &amp; Whitney, which are inclusive of both spare parts and services.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RIS, RMD, and the defense operations of Collins Aerospace and Pratt &amp; Whitney are affected by U.S. Department of Defense (DoD) budget and spending levels, changes in demand, changes in policy positions or priorities from a new U.S. Administration and the global political environment. Total sales to the U.S. government, excluding foreign military sales, were $7.7 billion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$7.3 billion for the quarters ended June 30, 2021 and 2020, or 48% and 52% of total net sales for those periods, respectively. Total sales to the U.S. government were $15.4 billion and $9.9 billion for the six months ended June 30, 2021 and 2020, or 50% and 39% of total sales for those periods,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Impact of the COVID-19 Pandemic</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Beginning in 2020, the coronavirus disease 2019 (COVID-19) negatively impacted both the U.S. and global economy and our business and operations and the industries in which we operate. The continued disruption to air travel and commercial activities and the significant restrictions and limitations on businesses, particularly within the aerospace and commercial airline industries, have negatively impacted global supply, demand and distribution capabilities. In particular, the unprecedented decrease in air travel resulting from the COVID-19 pandemic has adversely affected our airline and airframer customers, and their demand for the products and services of our Collins Aerospace and Pratt &amp; Whitney businesses.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In the six months ended June 30, 2020 we recorded write-downs of assets and significant unfavorable Estimate at Completion (EAC) adjustments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Collins Aerospace and Pratt &amp; Whitney businesses primarily related to:</w:t>
      </w:r>
    </w:p>
    <w:p>
      <w:pPr>
        <w:spacing w:after="0" w:line="9" w:lineRule="exact"/>
        <w:rPr>
          <w:sz w:val="20"/>
          <w:szCs w:val="20"/>
          <w:color w:val="auto"/>
        </w:rPr>
      </w:pPr>
    </w:p>
    <w:p>
      <w:pPr>
        <w:ind w:left="660" w:right="20" w:hanging="328"/>
        <w:spacing w:after="0" w:line="265" w:lineRule="auto"/>
        <w:tabs>
          <w:tab w:leader="none" w:pos="65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color w:val="auto"/>
        </w:rPr>
        <w:t>Goodwill impairment charges of $3.2 billion in the quarter ended June 30, 2020 related to two of our Collins Aerospace reporting units. Refer to “Note 2: Acquisitions, Dispositions, Goodwill and Intangible Assets” within Item 1 of this Form 10-Q for additional information,</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estimated credit losses on both our receivables and contract assets of $237 million and $309 million in the quarter and six months ended June 30, 2020, respectively,</w:t>
      </w: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asset and inventory impairments at Collins Aerospace due to the impact of lower estimated future customer activity resulting from the expected acceleration of fleet retirements of a commercial aircraft of $122 million and $133 million in the quarter and six months ended June 30, 2020, respectively,</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EAC adjustments on commercial aftermarket contracts at Pratt &amp; Whitney based on a change in estimated future customer activity of $57 million in the quarter ended June 30, 2020,</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impairment of a Collins Aerospace trade name of $17 million and $57 million, in the quarter and six months ended June 30, 2020, respectively, and</w:t>
      </w:r>
    </w:p>
    <w:p>
      <w:pPr>
        <w:ind w:left="66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unfavorable EAC adjustment at Pratt &amp; Whitney related to a shift in overhead costs to military contracts of $44 million in the quarter ended June 30, 2020.</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RIS and RMD businesses, although experiencing minor impacts, have not experienced significant business disruptions as a result of the COVID-19 pandemic.</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Given the significant reduction in business and leisure passenger air travel, the number of planes temporarily grounded, and continued travel restrictions that have resulted from the ongoing COVID-19 pandemic, and the resulting impacts on our customers and their business activities, we expect our future operating results, particularly those of our Collins Aerospace and Pratt &amp; Whitney businesses, to continue to be negatively impacted when compared to pre-COVID-19 (2019) results. Our expectations regarding the COVID-19 pandemic and its potential financial impact are based on available information and assumptions that we believe are reasonable at this time; however, the actual financial impact is highly uncertain and subject to a wide range of factors and future developments. While we believe that the long-term outlook for the aerospace industry remains positive due to the fundamental drivers of air travel demand, there continues to be uncertainty with respect to the point at which commercial air traffic capacity will return to and/or exceed pre-COVID-19 levels. We have begun to see indications that commercial air travel is recovering in certain areas of demand; however, other areas continue to lag. As a result, we continue to estimate that a full recovery may occur in 2023 or 2024. New information may emerge concerning the scope, severity and duration of the COVID-19 pandemic, as well as any worsening of the pandemic, the effect of mutating strains and whether additional outbreaks of the pandemic will continue to occur, actions to contain the pandemic’s spread or treat its impact, continued availability of vaccines, and their distribution, acceptance and efficacy, and governmental, business and individual personal actions taken in response to the pandemic (including restrictions and limitations on travel and transportation, and changes in leisure and business travel patterns and work environments) among others. Some of these actions and related impacts may be trends that continue in the future even after the pandemic no longer poses a significant public health risk. As our commercial aerospace business begins to recover, we expect certain employee-related and discretionary costs, which were subject to prior year cost reduction actions, to return in 2021 and beyond. A recovery may also impact our judgments around credit risk related to estimated credit losses.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Coronavirus Aid, Relief, and Economic Security Act (CARES Act) contains numerous provisions which may impact us. We continue to refine our understanding of the impact of the CARES Act on our business, and ongoing government guidance related to COVID-19 that may be issued. In addition, Congress passed the American Rescue Plan Act of 2021 (ARPA) in March 2021, which included pension funding relief provisions. For further discussion, refer to the “FAS/CAS operating adjustment” subsection under the “Segment Review” section below.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Matters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Global economic and political conditions, changes in raw material and commodity prices, interest rates, foreign currency exchange rates, energy costs, levels of air travel, the financial condition of commercial airlines, and the impact from natural disasters and weather conditions create uncertainties that could impact our business for the remainder of 2021 and in the future. With regard to political conditions, in July 2019, the U.S. government suspended Turkey’s participation in the F-35 Joint Strike Fighter program because Turkey accepted delivery of the Russian-built S-400 air and missile defense system. The U.S. has imposed, and may impose additional, sanctions on Turkey as a result of this or other political disputes. Turkish companies supply us with components, some of which are sole-sourced, primarily in our aerospace operations for commercial and military engines and aerospace products. Depending upon the scope and timing of U.S. sanctions on Turkey and potential reciprocal actions, if any, such sanctions or actions could impact our sources of supply and could have a material adverse effect on our results of operations, cash flows or financial condition. In addition, in October 2020, the People’s Republic of China (China) announced that it may sanction RTC in connection with a possible Foreign Military Sale to Taiwan of six MS-110 Reconnaissance Pods and related equipment manufactured by Collins Aerospace. Foreign Military Sales are government-to-government transactions that are initiated by, and carried out at the direction of, the U.S. government. To date, the Chinese government has not imposed sanctions on RTC or indicated the nature or timing of any future potential sanctions or other actions. If China were to impose sanctions or take other regulatory action against RTC, our suppliers, affiliates or partners, it could potentially disrupt our business operations. The impact of potential sanctions or other actions by China cannot be determined at this time.</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recent change in the U.S. administration could result in changes to the U.S. government’s foreign policies that may impact regulatory approval for direct commercial sales contracts for certain of our products and services to certain foreign customers. Likewise, regulatory approvals previously granted for prior sales can be paused or revoked if the products and services have not yet been delivered to the customer. If we ultimately do not receive all of the regulatory approvals, or those approvals are revoked, it could have a material effect on our financial results. In particular, as of June 30, 2021, our contract liabilities include approximately $440 million of advance payments received from a certain Middle East customer on contracts for which we no longer believe we will be able to execute on or obtain required regulatory approvals. These advance payments may become refundable to the customer if the contracts are ultimately terminated.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 “Risk Factors” in our 2020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2020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six months ended June 30,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described in our “Cautionary Note Regarding Forward-Looking Statements” in this Form 10-Q, our interim period results of operations and period-to-period comparisons of such results, particularly at a segment level, may not be indicative of our future operating results. The following discussions of comparative results among periods, including the discussion of segment results, should be viewed in this context. As discussed further above in “Business Overview,” the results of RIS and RMD reflect the period subsequent to the completion of the Raytheon Merger on April 3, 2020. As such, the results of RIS and RMD for the quarter ended June 30, 2020 exclude results prior to the merger date, the estimated impact of which is approximately $400 million of sales and approximately $45 million of operating profit. These amounts have been excluded from the organic changes disclosed throughout our Results of Operations discussion. In addition, as a result of the Separation Transactions and the Distributions, the historical results of Carrier and Otis are presented as discontinued operations and, as such, have been excluded from both continuing operations and segment results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Quarter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r>
      <w:tr>
        <w:trPr>
          <w:trHeight w:val="231"/>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15,880</w:t>
            </w:r>
          </w:p>
        </w:tc>
        <w:tc>
          <w:tcPr>
            <w:tcW w:w="11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14,061</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31,131</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factors contributing to the total change year-over-year in total net sales for the quarter and six months ended June 30, 2021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3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Quarter Ended June 30,</w:t>
            </w:r>
          </w:p>
        </w:tc>
        <w:tc>
          <w:tcPr>
            <w:tcW w:w="260" w:type="dxa"/>
            <w:vAlign w:val="bottom"/>
          </w:tcPr>
          <w:p>
            <w:pPr>
              <w:spacing w:after="0"/>
              <w:rPr>
                <w:sz w:val="14"/>
                <w:szCs w:val="14"/>
                <w:color w:val="auto"/>
              </w:rPr>
            </w:pPr>
          </w:p>
        </w:tc>
        <w:tc>
          <w:tcPr>
            <w:tcW w:w="1460" w:type="dxa"/>
            <w:vAlign w:val="bottom"/>
          </w:tcPr>
          <w:p>
            <w:pPr>
              <w:jc w:val="right"/>
              <w:ind w:right="156"/>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auto"/>
            </w:tcBorders>
            <w:vMerge w:val="continue"/>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3100" w:type="dxa"/>
            <w:vAlign w:val="bottom"/>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1,582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Acquisitions and divestitures, net</w:t>
            </w:r>
          </w:p>
        </w:tc>
        <w:tc>
          <w:tcPr>
            <w:tcW w:w="310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164</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7,203</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73</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change</w:t>
            </w:r>
          </w:p>
        </w:tc>
        <w:tc>
          <w:tcPr>
            <w:tcW w:w="31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1,819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5,710</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40" w:hanging="332"/>
        <w:spacing w:after="0" w:line="252" w:lineRule="auto"/>
        <w:tabs>
          <w:tab w:leader="none" w:pos="348"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provide the organic change in net sales for our consolidated results of operations. We believe that this measure is useful to investors because it provides transparency to the underlying performance of our business, which allows for better year-over-year comparability. The organic change excludes acquisitions and divestitures, net and the effect of foreign currency exchange rate fluctuations and other significant non-recurring and non-operational items (“Other”). A reconciliation of this measure to reported U.S Generally Accepted Accounting Principles (GAAP) amounts is provided in the table above.</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sales increased $1,582 million organically in the quarter ended June 30, 2021 compared to the quarter ended June 30, 2020 primarily due to higher organic sales of $0.7 billion at Pratt &amp; Whitney, $0.4 billion at Collins Aerospace and $0.3 billion at RMD. The increase at Pratt &amp; Whitney was primarily driven by higher commercial aftermarket sales, primarily due to an increase in shop visits and related spare part sales, and higher commercial OEM sales, primarily due to an increase in commercial engine deliveries, all principally driven by recovery from the prior year’s unfavorable economic environment principally driven by the COVID-19 pandemic. The increase at Collins Aerospace was primarily driven by higher commercial aerospace aftermarket sales and higher commercial aerospace OEM sales primarily due to an increase in flight hours, aircraft fleet utilization and commercial OEM deliveries as commercial aerospace begins to recover from the prior year’s unfavorable economic environment principally driven by the COVID-19 pandemic. The increase at RMD was primarily driven by an international Patriot program due to a contract modification in the second quarter of 2021, which included the recognition of previously deferred precontract costs, and the StormBreaker program primarily due to the recognition of previously deferred precontract costs based on a contract award in the second quarter of 2021. The $164 million increase in net sales related to Acquisitions and divestitures, net for the quarter ended June 30, 2021 compared to the quarter ended June 30, 2020, was primarily driven by the Raytheon Merger on April 3, 2020, partially offset by the sale of our Forcepoint business in the first quarter of 2021 and the sale of the Collins Aerospace military GPS and space-based precision optics businesses in the third quarter of 2020.</w:t>
      </w:r>
    </w:p>
    <w:p>
      <w:pPr>
        <w:spacing w:after="0" w:line="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sales decreased $1,598 million organically for the six months ended June 30, 2021 compared to the six months ended June 30, 2020. This decrease reflects lower organic sales of $1.5 billion at Collins Aerospace, primarily driven by lower commercial aerospace OEM sales and lower commercial aerospace aftermarket sales, primarily due to the change in the economic environment principally driven by the COVID-19 pandemic, which has resulted in lower flight hours, aircraft fleet utilization and commercial OEM deliveries. The decrease in net sales also reflects lower organic sales of $0.6 billion at Pratt &amp; Whitney primarily driven by lower commercial aftermarket sales, primarily due to a reduction in shop visits and related spare part sales, and lower commercial OEM sales, primarily due to a reduction in commercial engine deliveries, all principally driven by the change in the economic environment primarily due to the COVID-19 pandemic. The $7,203 million increase in net sales related to Acquisitions and divestitures, net for the six months ended June 30, 2021 compared to the six months ended June 30, 2020, was primarily driven by the Raytheon Merger on April 3, 2020, partially offset by the sale of the Collins Aerospace military GPS and space-based precision optics businesses in the third quarter of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500"/>
              <w:spacing w:after="0"/>
              <w:rPr>
                <w:sz w:val="20"/>
                <w:szCs w:val="20"/>
                <w:color w:val="auto"/>
              </w:rPr>
            </w:pPr>
            <w:r>
              <w:rPr>
                <w:rFonts w:ascii="Arial" w:cs="Arial" w:eastAsia="Arial" w:hAnsi="Arial"/>
                <w:sz w:val="14"/>
                <w:szCs w:val="14"/>
                <w:b w:val="1"/>
                <w:bCs w:val="1"/>
                <w:color w:val="auto"/>
              </w:rPr>
              <w:t>Quarter Ended June 30,</w:t>
            </w:r>
          </w:p>
        </w:tc>
        <w:tc>
          <w:tcPr>
            <w:tcW w:w="2520" w:type="dxa"/>
            <w:vAlign w:val="bottom"/>
          </w:tcPr>
          <w:p>
            <w:pPr>
              <w:jc w:val="right"/>
              <w:ind w:right="17"/>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r>
      <w:tr>
        <w:trPr>
          <w:trHeight w:val="188"/>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520" w:type="dxa"/>
            <w:vAlign w:val="bottom"/>
            <w:tcBorders>
              <w:top w:val="single" w:sz="8" w:color="auto"/>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7"/>
              <w:spacing w:after="0"/>
              <w:rPr>
                <w:sz w:val="20"/>
                <w:szCs w:val="20"/>
                <w:color w:val="auto"/>
              </w:rPr>
            </w:pPr>
            <w:r>
              <w:rPr>
                <w:rFonts w:ascii="Arial" w:cs="Arial" w:eastAsia="Arial" w:hAnsi="Arial"/>
                <w:sz w:val="18"/>
                <w:szCs w:val="18"/>
                <w:b w:val="1"/>
                <w:bCs w:val="1"/>
                <w:color w:val="auto"/>
              </w:rPr>
              <w:t>12,179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Arial" w:cs="Arial" w:eastAsia="Arial" w:hAnsi="Arial"/>
                <w:sz w:val="18"/>
                <w:szCs w:val="18"/>
                <w:b w:val="1"/>
                <w:bCs w:val="1"/>
                <w:color w:val="auto"/>
              </w:rPr>
              <w:t>76.7 %</w:t>
            </w:r>
          </w:p>
        </w:tc>
        <w:tc>
          <w:tcPr>
            <w:tcW w:w="1080" w:type="dxa"/>
            <w:vAlign w:val="bottom"/>
          </w:tcPr>
          <w:p>
            <w:pPr>
              <w:jc w:val="right"/>
              <w:spacing w:after="0"/>
              <w:rPr>
                <w:sz w:val="20"/>
                <w:szCs w:val="20"/>
                <w:color w:val="auto"/>
              </w:rPr>
            </w:pPr>
            <w:r>
              <w:rPr>
                <w:rFonts w:ascii="Arial" w:cs="Arial" w:eastAsia="Arial" w:hAnsi="Arial"/>
                <w:sz w:val="18"/>
                <w:szCs w:val="18"/>
                <w:color w:val="auto"/>
              </w:rPr>
              <w:t>76.6 %</w:t>
            </w: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3,701</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23.3 %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15,880</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14,061</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19: Segment Financial Data” within Item 1 of this Form 10-Q for the composition of external net sales by products and services by segment.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products sales increased $1,411 million in the quarter ended June 30, 2021 compared to the quarter ended June 30, 2020 primarily due to an increase in external product sales of $0.7 billion at Pratt &amp; Whitney and $0.4 billion at RMD.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services sales increased $408 million in the quarter ended June 30, 2021 compared to the quarter ended June 30, 2020 primarily due to an increase in external services sales of $0.1 billion at RIS and $0.1 billion at Collins Aerospace.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2520" w:type="dxa"/>
            <w:vAlign w:val="bottom"/>
          </w:tcPr>
          <w:p>
            <w:pPr>
              <w:jc w:val="right"/>
              <w:ind w:right="17"/>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r>
      <w:tr>
        <w:trPr>
          <w:trHeight w:val="188"/>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520" w:type="dxa"/>
            <w:vAlign w:val="bottom"/>
            <w:tcBorders>
              <w:top w:val="single" w:sz="8" w:color="auto"/>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7"/>
              <w:spacing w:after="0"/>
              <w:rPr>
                <w:sz w:val="20"/>
                <w:szCs w:val="20"/>
                <w:color w:val="auto"/>
              </w:rPr>
            </w:pPr>
            <w:r>
              <w:rPr>
                <w:rFonts w:ascii="Arial" w:cs="Arial" w:eastAsia="Arial" w:hAnsi="Arial"/>
                <w:sz w:val="18"/>
                <w:szCs w:val="18"/>
                <w:b w:val="1"/>
                <w:bCs w:val="1"/>
                <w:color w:val="auto"/>
              </w:rPr>
              <w:t>23,843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18,933</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Arial" w:cs="Arial" w:eastAsia="Arial" w:hAnsi="Arial"/>
                <w:sz w:val="18"/>
                <w:szCs w:val="18"/>
                <w:b w:val="1"/>
                <w:bCs w:val="1"/>
                <w:color w:val="auto"/>
              </w:rPr>
              <w:t>76.6 %</w:t>
            </w:r>
          </w:p>
        </w:tc>
        <w:tc>
          <w:tcPr>
            <w:tcW w:w="1080" w:type="dxa"/>
            <w:vAlign w:val="bottom"/>
          </w:tcPr>
          <w:p>
            <w:pPr>
              <w:jc w:val="right"/>
              <w:spacing w:after="0"/>
              <w:rPr>
                <w:sz w:val="20"/>
                <w:szCs w:val="20"/>
                <w:color w:val="auto"/>
              </w:rPr>
            </w:pPr>
            <w:r>
              <w:rPr>
                <w:rFonts w:ascii="Arial" w:cs="Arial" w:eastAsia="Arial" w:hAnsi="Arial"/>
                <w:sz w:val="18"/>
                <w:szCs w:val="18"/>
                <w:color w:val="auto"/>
              </w:rPr>
              <w:t>74.5 %</w:t>
            </w: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7,288</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23.4 %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25.5 %</w:t>
            </w: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31,131</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25,421</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products sales increased $4,910 million in the six months ended June 30, 2021 compared to the six months ended June 30, 2020 primarily due to an increase in external product sales of $3.8 billion at RMD and $2.9 billion at RIS, both primarily due to the Raytheon Merger on April 3, 2020, partially offset by a decrease in external product sales of $1.6 billion at Collins Aerospace.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services sales increased $800 million in the six months ended June 30, 2021 compared to the six months ended June 30, 2020 primarily due to an increase in external services sales of $0.9 billion at RIS and $0.4 billion at RMD, both primarily due to the Raytheon Merger on April 3, 2020, partially offset by a decrease in external services sales of $0.4 billion at Pratt &amp; Whitney.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sales to major customers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Quarter Ended June 30,</w:t>
            </w: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 of Total Net Sales</w:t>
            </w:r>
          </w:p>
        </w:tc>
        <w:tc>
          <w:tcPr>
            <w:tcW w:w="980" w:type="dxa"/>
            <w:vAlign w:val="bottom"/>
          </w:tcPr>
          <w:p>
            <w:pPr>
              <w:spacing w:after="0"/>
              <w:rPr>
                <w:sz w:val="16"/>
                <w:szCs w:val="16"/>
                <w:color w:val="auto"/>
              </w:rPr>
            </w:pPr>
          </w:p>
        </w:tc>
      </w:tr>
      <w:tr>
        <w:trPr>
          <w:trHeight w:val="188"/>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320" w:type="dxa"/>
            <w:vAlign w:val="bottom"/>
            <w:tcBorders>
              <w:top w:val="single" w:sz="8" w:color="auto"/>
              <w:bottom w:val="single" w:sz="8" w:color="auto"/>
            </w:tcBorders>
          </w:tcPr>
          <w:p>
            <w:pPr>
              <w:jc w:val="right"/>
              <w:ind w:right="1275"/>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48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7,670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635"/>
              <w:spacing w:after="0"/>
              <w:rPr>
                <w:sz w:val="20"/>
                <w:szCs w:val="20"/>
                <w:color w:val="auto"/>
              </w:rPr>
            </w:pPr>
            <w:r>
              <w:rPr>
                <w:rFonts w:ascii="Arial" w:cs="Arial" w:eastAsia="Arial" w:hAnsi="Arial"/>
                <w:sz w:val="18"/>
                <w:szCs w:val="18"/>
                <w:b w:val="1"/>
                <w:bCs w:val="1"/>
                <w:color w:val="auto"/>
              </w:rPr>
              <w:t>48.3 %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52.1 %</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Foreign military sales through the U.S. government</w:t>
            </w:r>
          </w:p>
        </w:tc>
        <w:tc>
          <w:tcPr>
            <w:tcW w:w="34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b w:val="1"/>
                <w:bCs w:val="1"/>
                <w:color w:val="auto"/>
              </w:rPr>
              <w:t>1,497</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2320" w:type="dxa"/>
            <w:vAlign w:val="bottom"/>
          </w:tcPr>
          <w:p>
            <w:pPr>
              <w:jc w:val="right"/>
              <w:ind w:right="635"/>
              <w:spacing w:after="0"/>
              <w:rPr>
                <w:sz w:val="20"/>
                <w:szCs w:val="20"/>
                <w:color w:val="auto"/>
              </w:rPr>
            </w:pPr>
            <w:r>
              <w:rPr>
                <w:rFonts w:ascii="Arial" w:cs="Arial" w:eastAsia="Arial" w:hAnsi="Arial"/>
                <w:sz w:val="18"/>
                <w:szCs w:val="18"/>
                <w:b w:val="1"/>
                <w:bCs w:val="1"/>
                <w:color w:val="auto"/>
              </w:rPr>
              <w:t>9.4 %</w:t>
            </w:r>
          </w:p>
        </w:tc>
        <w:tc>
          <w:tcPr>
            <w:tcW w:w="980" w:type="dxa"/>
            <w:vAlign w:val="bottom"/>
          </w:tcPr>
          <w:p>
            <w:pPr>
              <w:jc w:val="right"/>
              <w:spacing w:after="0"/>
              <w:rPr>
                <w:sz w:val="20"/>
                <w:szCs w:val="20"/>
                <w:color w:val="auto"/>
              </w:rPr>
            </w:pPr>
            <w:r>
              <w:rPr>
                <w:rFonts w:ascii="Arial" w:cs="Arial" w:eastAsia="Arial" w:hAnsi="Arial"/>
                <w:sz w:val="18"/>
                <w:szCs w:val="18"/>
                <w:color w:val="auto"/>
              </w:rPr>
              <w:t>9.5 %</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government direct commercial sales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1,313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635"/>
              <w:spacing w:after="0"/>
              <w:rPr>
                <w:sz w:val="20"/>
                <w:szCs w:val="20"/>
                <w:color w:val="auto"/>
              </w:rPr>
            </w:pPr>
            <w:r>
              <w:rPr>
                <w:rFonts w:ascii="Arial" w:cs="Arial" w:eastAsia="Arial" w:hAnsi="Arial"/>
                <w:sz w:val="18"/>
                <w:szCs w:val="18"/>
                <w:b w:val="1"/>
                <w:bCs w:val="1"/>
                <w:color w:val="auto"/>
              </w:rPr>
              <w:t>8.3 %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aerospace and other commercial sales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5,400</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b w:val="1"/>
                <w:bCs w:val="1"/>
                <w:color w:val="auto"/>
              </w:rPr>
              <w:t>34.0 %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30.5 %</w:t>
            </w: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15,880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100" w:type="dxa"/>
            <w:vAlign w:val="bottom"/>
            <w:tcBorders>
              <w:bottom w:val="single" w:sz="8" w:color="auto"/>
            </w:tcBorders>
            <w:shd w:val="clear" w:color="auto" w:fill="CCEEFF"/>
          </w:tcPr>
          <w:p>
            <w:pPr>
              <w:spacing w:after="0"/>
              <w:rPr>
                <w:sz w:val="20"/>
                <w:szCs w:val="20"/>
                <w:color w:val="auto"/>
              </w:rPr>
            </w:pPr>
          </w:p>
        </w:tc>
        <w:tc>
          <w:tcPr>
            <w:tcW w:w="23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353"/>
        </w:trPr>
        <w:tc>
          <w:tcPr>
            <w:tcW w:w="4840" w:type="dxa"/>
            <w:vAlign w:val="bottom"/>
          </w:tcPr>
          <w:p>
            <w:pPr>
              <w:spacing w:after="0"/>
              <w:rPr>
                <w:sz w:val="20"/>
                <w:szCs w:val="20"/>
                <w:color w:val="auto"/>
              </w:rPr>
            </w:pPr>
            <w:r>
              <w:rPr>
                <w:rFonts w:ascii="Arial" w:cs="Arial" w:eastAsia="Arial" w:hAnsi="Arial"/>
                <w:sz w:val="14"/>
                <w:szCs w:val="14"/>
                <w:color w:val="auto"/>
              </w:rPr>
              <w:t>(1)  Excludes foreign military sales through the U.S. government.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6"/>
        </w:trPr>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Six Months Ended June 30,</w:t>
            </w: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 of Total Net Sales</w:t>
            </w:r>
          </w:p>
        </w:tc>
        <w:tc>
          <w:tcPr>
            <w:tcW w:w="980" w:type="dxa"/>
            <w:vAlign w:val="bottom"/>
          </w:tcPr>
          <w:p>
            <w:pPr>
              <w:spacing w:after="0"/>
              <w:rPr>
                <w:sz w:val="24"/>
                <w:szCs w:val="24"/>
                <w:color w:val="auto"/>
              </w:rPr>
            </w:pPr>
          </w:p>
        </w:tc>
      </w:tr>
      <w:tr>
        <w:trPr>
          <w:trHeight w:val="188"/>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320" w:type="dxa"/>
            <w:vAlign w:val="bottom"/>
            <w:tcBorders>
              <w:top w:val="single" w:sz="8" w:color="auto"/>
              <w:bottom w:val="single" w:sz="8" w:color="auto"/>
            </w:tcBorders>
          </w:tcPr>
          <w:p>
            <w:pPr>
              <w:jc w:val="right"/>
              <w:ind w:right="1275"/>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48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15,418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635"/>
              <w:spacing w:after="0"/>
              <w:rPr>
                <w:sz w:val="20"/>
                <w:szCs w:val="20"/>
                <w:color w:val="auto"/>
              </w:rPr>
            </w:pPr>
            <w:r>
              <w:rPr>
                <w:rFonts w:ascii="Arial" w:cs="Arial" w:eastAsia="Arial" w:hAnsi="Arial"/>
                <w:sz w:val="18"/>
                <w:szCs w:val="18"/>
                <w:b w:val="1"/>
                <w:bCs w:val="1"/>
                <w:color w:val="auto"/>
              </w:rPr>
              <w:t>49.5 %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38.8 %</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Foreign military sales through the U.S. government</w:t>
            </w:r>
          </w:p>
        </w:tc>
        <w:tc>
          <w:tcPr>
            <w:tcW w:w="34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b w:val="1"/>
                <w:bCs w:val="1"/>
                <w:color w:val="auto"/>
              </w:rPr>
              <w:t>2,792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19"/>
                <w:szCs w:val="19"/>
                <w:color w:val="auto"/>
              </w:rPr>
            </w:pPr>
          </w:p>
        </w:tc>
        <w:tc>
          <w:tcPr>
            <w:tcW w:w="2320" w:type="dxa"/>
            <w:vAlign w:val="bottom"/>
          </w:tcPr>
          <w:p>
            <w:pPr>
              <w:jc w:val="right"/>
              <w:ind w:right="635"/>
              <w:spacing w:after="0"/>
              <w:rPr>
                <w:sz w:val="20"/>
                <w:szCs w:val="20"/>
                <w:color w:val="auto"/>
              </w:rPr>
            </w:pPr>
            <w:r>
              <w:rPr>
                <w:rFonts w:ascii="Arial" w:cs="Arial" w:eastAsia="Arial" w:hAnsi="Arial"/>
                <w:sz w:val="18"/>
                <w:szCs w:val="18"/>
                <w:b w:val="1"/>
                <w:bCs w:val="1"/>
                <w:color w:val="auto"/>
              </w:rPr>
              <w:t>9.0 %</w:t>
            </w:r>
          </w:p>
        </w:tc>
        <w:tc>
          <w:tcPr>
            <w:tcW w:w="98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government direct commercial sales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2,493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635"/>
              <w:spacing w:after="0"/>
              <w:rPr>
                <w:sz w:val="20"/>
                <w:szCs w:val="20"/>
                <w:color w:val="auto"/>
              </w:rPr>
            </w:pPr>
            <w:r>
              <w:rPr>
                <w:rFonts w:ascii="Arial" w:cs="Arial" w:eastAsia="Arial" w:hAnsi="Arial"/>
                <w:sz w:val="18"/>
                <w:szCs w:val="18"/>
                <w:b w:val="1"/>
                <w:bCs w:val="1"/>
                <w:color w:val="auto"/>
              </w:rPr>
              <w:t>8.0 %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aerospace and other commercial sales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10,428</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b w:val="1"/>
                <w:bCs w:val="1"/>
                <w:color w:val="auto"/>
              </w:rPr>
              <w:t>33.5 %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48.9 %</w:t>
            </w: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31,131</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25,421</w:t>
            </w:r>
          </w:p>
        </w:tc>
        <w:tc>
          <w:tcPr>
            <w:tcW w:w="100" w:type="dxa"/>
            <w:vAlign w:val="bottom"/>
            <w:tcBorders>
              <w:bottom w:val="single" w:sz="8" w:color="auto"/>
            </w:tcBorders>
            <w:shd w:val="clear" w:color="auto" w:fill="CCEEFF"/>
          </w:tcPr>
          <w:p>
            <w:pPr>
              <w:spacing w:after="0"/>
              <w:rPr>
                <w:sz w:val="20"/>
                <w:szCs w:val="20"/>
                <w:color w:val="auto"/>
              </w:rPr>
            </w:pPr>
          </w:p>
        </w:tc>
        <w:tc>
          <w:tcPr>
            <w:tcW w:w="23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Excludes foreign military sales through the U.S. government.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Cost of Sales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 June 30,</w:t>
            </w: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w w:val="89"/>
              </w:rPr>
              <w:t>2020</w:t>
            </w: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of sales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12,655</w:t>
            </w: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12,214</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25,192</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20,786</w:t>
            </w:r>
          </w:p>
        </w:tc>
      </w:tr>
      <w:tr>
        <w:trPr>
          <w:trHeight w:val="23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79.7 %</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86.9 %</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81.8 %</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factors contributing to the change year-over-year in total cost of sales for the quarter and six months ended June 30, 2021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3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Quarter Ended June 30,</w:t>
            </w:r>
          </w:p>
        </w:tc>
        <w:tc>
          <w:tcPr>
            <w:tcW w:w="240" w:type="dxa"/>
            <w:vAlign w:val="bottom"/>
          </w:tcPr>
          <w:p>
            <w:pPr>
              <w:spacing w:after="0"/>
              <w:rPr>
                <w:sz w:val="14"/>
                <w:szCs w:val="14"/>
                <w:color w:val="auto"/>
              </w:rPr>
            </w:pPr>
          </w:p>
        </w:tc>
        <w:tc>
          <w:tcPr>
            <w:tcW w:w="1460" w:type="dxa"/>
            <w:vAlign w:val="bottom"/>
          </w:tcPr>
          <w:p>
            <w:pPr>
              <w:jc w:val="right"/>
              <w:ind w:right="174"/>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3000" w:type="dxa"/>
            <w:vAlign w:val="bottom"/>
            <w:shd w:val="clear" w:color="auto" w:fill="CCEEFF"/>
          </w:tcPr>
          <w:p>
            <w:pPr>
              <w:jc w:val="right"/>
              <w:ind w:right="216"/>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Acquisitions and divestitures, net</w:t>
            </w:r>
          </w:p>
        </w:tc>
        <w:tc>
          <w:tcPr>
            <w:tcW w:w="30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236</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5,907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30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30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30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41</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change</w:t>
            </w:r>
          </w:p>
        </w:tc>
        <w:tc>
          <w:tcPr>
            <w:tcW w:w="30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77" w:lineRule="auto"/>
        <w:tabs>
          <w:tab w:leader="none" w:pos="402"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provide the organic change in cost of sales for our consolidated results of operations. We believe that this measure is useful to investors because it provides transparency to the underlying performance of our business, which allows for better year-over-year comparability. The organic change excludes acquisitions and divestitures, net; restructuring costs; the FAS/CAS operating adjustment; costs related to certain acquisition accounting adjustments; and the effect of foreign currency exchange rate translation fluctuations and other significant non-recurring and non-operational items (“Other”). A reconciliation of this measure to reported U.S. GAAP amounts is provided in the table above.</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increase in total cost of sales of $439 million for the quarter ended June 30, 2021 compared to the quarter ended June 30, 2020 was primarily driven by the organic sales increases at Pratt &amp; Whitney and RMD noted above. The increase in cost of sales related to Acquisitions and divestitures, net of $236 million for the quarter ended June 30, 2021 compared to the quarter ended June 30, 2020 is primarily driven by the Raytheon Merger on April 3, 2020, partially offset by the sale of the Collins Aerospace military GPS and space-based precision optics businesses in the third quarter of 2020 and the sale of our Forcepoint business in the first quarter of 2021.</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decrease in total cost of sales of $1,234 million for the six months ended June 30, 2021 compared to the six months ended June 30, 2020, was primarily driven by the organic sales decreases at Collins Aerospace and Pratt &amp; Whitney noted above. The increase in cost of sales related to Acquisitions and divestitures, net of $5,907 million for the six months ended June 30, 2021 compared to the six months ended June 30, 2020 is primarily driven by the Raytheon Merger on April 3, 2020, partially offset by the sale of the Collins Aerospace military GPS and space-based precision optics businesses in the third quarter of 2020.</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further discussion on Restructuring costs see the “Restructuring Costs” section below. For further discussion on FAS/CAS operating adjustment see the “FAS/CAS operating adjustment” subsection under the “Segment Review” section below. For further discussion on Acquisition accounting adjustments, see the “Acquisition accounting adjustments” subsection under the “Segment Review” section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500"/>
              <w:spacing w:after="0"/>
              <w:rPr>
                <w:sz w:val="20"/>
                <w:szCs w:val="20"/>
                <w:color w:val="auto"/>
              </w:rPr>
            </w:pPr>
            <w:r>
              <w:rPr>
                <w:rFonts w:ascii="Arial" w:cs="Arial" w:eastAsia="Arial" w:hAnsi="Arial"/>
                <w:sz w:val="14"/>
                <w:szCs w:val="14"/>
                <w:b w:val="1"/>
                <w:bCs w:val="1"/>
                <w:color w:val="auto"/>
              </w:rPr>
              <w:t>Quarter Ended June 30,</w:t>
            </w:r>
          </w:p>
        </w:tc>
        <w:tc>
          <w:tcPr>
            <w:tcW w:w="2520" w:type="dxa"/>
            <w:vAlign w:val="bottom"/>
          </w:tcPr>
          <w:p>
            <w:pPr>
              <w:jc w:val="right"/>
              <w:ind w:right="17"/>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r>
      <w:tr>
        <w:trPr>
          <w:trHeight w:val="188"/>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520" w:type="dxa"/>
            <w:vAlign w:val="bottom"/>
            <w:tcBorders>
              <w:top w:val="single" w:sz="8" w:color="auto"/>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7"/>
              <w:spacing w:after="0"/>
              <w:rPr>
                <w:sz w:val="20"/>
                <w:szCs w:val="20"/>
                <w:color w:val="auto"/>
              </w:rPr>
            </w:pPr>
            <w:r>
              <w:rPr>
                <w:rFonts w:ascii="Arial" w:cs="Arial" w:eastAsia="Arial" w:hAnsi="Arial"/>
                <w:sz w:val="18"/>
                <w:szCs w:val="18"/>
                <w:b w:val="1"/>
                <w:bCs w:val="1"/>
                <w:color w:val="auto"/>
              </w:rPr>
              <w:t>9,997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9,620</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Arial" w:cs="Arial" w:eastAsia="Arial" w:hAnsi="Arial"/>
                <w:sz w:val="18"/>
                <w:szCs w:val="18"/>
                <w:b w:val="1"/>
                <w:bCs w:val="1"/>
                <w:color w:val="auto"/>
              </w:rPr>
              <w:t>63.0 %</w:t>
            </w:r>
          </w:p>
        </w:tc>
        <w:tc>
          <w:tcPr>
            <w:tcW w:w="1080" w:type="dxa"/>
            <w:vAlign w:val="bottom"/>
          </w:tcPr>
          <w:p>
            <w:pPr>
              <w:jc w:val="right"/>
              <w:spacing w:after="0"/>
              <w:rPr>
                <w:sz w:val="20"/>
                <w:szCs w:val="20"/>
                <w:color w:val="auto"/>
              </w:rPr>
            </w:pPr>
            <w:r>
              <w:rPr>
                <w:rFonts w:ascii="Arial" w:cs="Arial" w:eastAsia="Arial" w:hAnsi="Arial"/>
                <w:sz w:val="18"/>
                <w:szCs w:val="18"/>
                <w:color w:val="auto"/>
              </w:rPr>
              <w:t>68.4 %</w:t>
            </w: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2,658</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16.7 %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12,655</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12,214</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79.7 %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86.9 %</w:t>
            </w:r>
          </w:p>
        </w:tc>
      </w:tr>
    </w:tbl>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products cost of sales increased $377 million in the quarter ended June 30, 2021 compared to the quarter ended June 30, 2020 primarily due to an increase in external product cost of sales at Pratt &amp; Whitney and RMD principally driven by the product sales increases noted above. These increases are partially offset by a decrease in product cost of sales at Collins Aerospace primarily due to favorable mix on commercial aftermarket programs, the impact of the sale of the military GPS and space-based precision optics businesses in the third quarter of 2020 and a decrease in restructuring costs.</w:t>
      </w:r>
    </w:p>
    <w:p>
      <w:pPr>
        <w:spacing w:after="0" w:line="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services cost of sales increased $64 million in the quarter ended June 30, 2021 compared to the quarter ended June 30, 2020 primarily due to an increase in external services cost of sales at RIS and Collins Aerospace principally driven by the services sales increases noted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2520" w:type="dxa"/>
            <w:vAlign w:val="bottom"/>
          </w:tcPr>
          <w:p>
            <w:pPr>
              <w:jc w:val="right"/>
              <w:ind w:right="17"/>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r>
      <w:tr>
        <w:trPr>
          <w:trHeight w:val="188"/>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520" w:type="dxa"/>
            <w:vAlign w:val="bottom"/>
            <w:tcBorders>
              <w:top w:val="single" w:sz="8" w:color="auto"/>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7"/>
              <w:spacing w:after="0"/>
              <w:rPr>
                <w:sz w:val="20"/>
                <w:szCs w:val="20"/>
                <w:color w:val="auto"/>
              </w:rPr>
            </w:pPr>
            <w:r>
              <w:rPr>
                <w:rFonts w:ascii="Arial" w:cs="Arial" w:eastAsia="Arial" w:hAnsi="Arial"/>
                <w:sz w:val="18"/>
                <w:szCs w:val="18"/>
                <w:b w:val="1"/>
                <w:bCs w:val="1"/>
                <w:color w:val="auto"/>
              </w:rPr>
              <w:t>19,971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16,249</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Arial" w:cs="Arial" w:eastAsia="Arial" w:hAnsi="Arial"/>
                <w:sz w:val="18"/>
                <w:szCs w:val="18"/>
                <w:b w:val="1"/>
                <w:bCs w:val="1"/>
                <w:color w:val="auto"/>
              </w:rPr>
              <w:t>64.2 %</w:t>
            </w:r>
          </w:p>
        </w:tc>
        <w:tc>
          <w:tcPr>
            <w:tcW w:w="1080" w:type="dxa"/>
            <w:vAlign w:val="bottom"/>
          </w:tcPr>
          <w:p>
            <w:pPr>
              <w:jc w:val="right"/>
              <w:spacing w:after="0"/>
              <w:rPr>
                <w:sz w:val="20"/>
                <w:szCs w:val="20"/>
                <w:color w:val="auto"/>
              </w:rPr>
            </w:pPr>
            <w:r>
              <w:rPr>
                <w:rFonts w:ascii="Arial" w:cs="Arial" w:eastAsia="Arial" w:hAnsi="Arial"/>
                <w:sz w:val="18"/>
                <w:szCs w:val="18"/>
                <w:color w:val="auto"/>
              </w:rPr>
              <w:t>63.9 %</w:t>
            </w: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5,221</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16.8 %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25,192</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80.9 %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81.8 %</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products cost of sales increased $3,722 million in the six months ended June 30, 2021 compared to the six months ended June 30, 2020 primarily due to an increase in external product cost of sales at RMD and RIS principally due to the Raytheon Merger on April 3, 2020, partially offset by decreases in external product cost of sales at Collins Aerospace, principally driven by the product sales decreases noted above.</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services cost of sales increased $684 million in the six months ended June 30, 2021 compared to the six months ended June 30, 2020 primarily due to an increase in external services cost of sales at RIS and RMD principally due to the Raytheon Merger on April 3, 2020, partially offset by a decrease in external services cost of sales at Pratt &amp; Whitney, principally driven by the services sales decreases noted above.</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4"/>
                <w:szCs w:val="14"/>
                <w:b w:val="1"/>
                <w:bCs w:val="1"/>
                <w:color w:val="auto"/>
                <w:w w:val="94"/>
              </w:rPr>
              <w:t>Quarter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Company-funded</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657</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1,246</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1,230</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10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4.1 %</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Customer-funded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1,157</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2,289</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1,825</w:t>
            </w:r>
          </w:p>
        </w:tc>
      </w:tr>
      <w:tr>
        <w:trPr>
          <w:trHeight w:val="23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10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7.3 %</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7.4 %</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7.2 %</w:t>
            </w: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Customer-funded research and development costs are included in cost of sales in our Condensed Consolidated Statement of Operations.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spending is subject to the variable nature of program development schedules and, therefore, year-over-year fluctuations in spending levels are expected.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company-funded research and development of $38 million for the quarter ended June 30, 2021 compared to the quarter ended June 30, 2020 was primarily driven by lower expenses of $37 million at Collins Aerospace across various commercial programs and includes the impact of cost reduction initiatives.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customer-funded research and development of $41 million for the quarter ended June 30, 2021 compared to the quarter ended June 30, 2020, was primarily driven by lower expenses of $30 million on commercial and military programs at Pratt &amp; Whitney.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Company-funded research and development for the six months ended June 30, 2021 was relatively consistent with the six months ended June 30, 2020. Included in the change in company-funded research and development was $0.2 billion related to the Raytheon Merger on April 3, 2020, partially offset by lower expenses of $0.1 billion across various commercial programs at Pratt &amp; Whitney and Collins Aerospace, which includes the impact of cost reduction initiatives.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customer-funded research and development of $464 million for the six months ended June 30, 2021 compared to the six months ended June 30, 2020, was primarily driven by $0.6 billion related to the Raytheon Merger on April 3, 2020.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 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1,368</w:t>
            </w: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2,588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2,788</w:t>
            </w:r>
          </w:p>
        </w:tc>
      </w:tr>
      <w:tr>
        <w:trPr>
          <w:trHeight w:val="23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8.6 %</w:t>
            </w: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2"/>
              </w:rPr>
              <w:t>12.9 %</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89"/>
              </w:rPr>
              <w:t>11.0 %</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decreased $443 million in the quarter ended June 30, 2021 compared to the quarter ended June 30, 2020 primarily driven by $237 million of prior year charges related to increased estimates of expected credit losses due to customer bankruptcies and additional allowances for credit losses at our Pratt &amp; Whitney and Collins Aerospace segments, and lower general and administrative restructuring costs of $189 million related to restructuring actions taken at our Collins Aerospace and Pratt &amp; Whitney segments in the prior year. The decrease also includes the benefit of cost reduction initiatives.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Selling, general and administrative expenses decreased $200 million in the six months ended June 30, 2021 compared to the six months ended June 30, 2020 primarily driven by $309 million of prior year charges related to increased estimates of expected credit losses due to customer bankruptcies and additional allowances for credit losses at our Pratt &amp; Whitney and Collins Aerospace segments and lower general and administrative restructuring costs of $169 million related to restructuring actions taken at our Collins Aerospace and Pratt &amp; Whitney segments in the prior year, partially offset by $0.4 billion related to the Raytheon Merger on April 3, 2020. The decrease also includes the benefit of cost reduction initiatives.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continuously evaluating our cost structure and have implemented restructuring actions in an effort to keep our cost structure competitive. As appropriate, the amounts reflected above include the beneficial impact of previous restructuring actions on Selling, general and administrative expenses. See “Note 12: Restructuring Costs” within Item 1 of this Form 10-Q and Restructuring Costs, below, for further discussion.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r>
      <w:tr>
        <w:trPr>
          <w:trHeight w:val="231"/>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w:t>
            </w:r>
          </w:p>
        </w:tc>
        <w:tc>
          <w:tcPr>
            <w:tcW w:w="12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w:t>
            </w:r>
          </w:p>
        </w:tc>
        <w:tc>
          <w:tcPr>
            <w:tcW w:w="120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net includes equity earnings in unconsolidated entities, royalty income, foreign exchange gains and losses, as well as other ongoing and nonrecurring items. Other income, net in the quarter ended June 30, 2021, was relatively consistent with the quarter ended June 30, 2020. Included in the change in Other income, net were prior year foreign government wage subsidies of $83 million due to COVID-19 primarily at Pratt &amp; Whitney, which were partially offset by favorable year-over-year impact of foreign exchange gains and losses, with the remaining increase spread across multiple items with no common or significant driver.</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Other income, net of $89 million for the six months ended June 30, 2021 compared to the six months ended June 30, 2020 was primarily due to the absence of a prior year impairment of a Collins Aerospace tradename of $57 million resulting from the projected impact of COVID-19, partially offset by a $39 million decrease in foreign government wage subsidies due to COVID-19 consisting of prior year subsidies at Collins Aerospace and Pratt &amp; Whitney, with the remaining increase spread across multiple items with no common or significant driver.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Operating Profit (Loss)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 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1,282</w:t>
            </w: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(3,760)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2,295</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(2,465)</w:t>
            </w:r>
          </w:p>
        </w:tc>
      </w:tr>
      <w:tr>
        <w:trPr>
          <w:trHeight w:val="236"/>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 (loss) margin</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8.1 %</w:t>
            </w: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7.4 %</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bl>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change in Operating profit (loss) of $5,042 million for the quarter ended June 30, 2021 compared to the quarter ended June 30, 2020 was primarily driven by the absence of the prior year goodwill impairment loss related to two Collins Aerospace reporting units of $3,183 million and the operating performance at our segments as described below in the individual segment results. Included in the increase in Operating profit was a decrease in restructuring costs of $371 million primarily related to restructuring actions taken at our Collins Aerospace and Pratt &amp; Whitney segments in the prior year.</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change in Operating profit (loss) of $4,760 million for the six months ended June 30, 2021 compared to the six months ended June 30, 2020 was primarily driven by the absence of the prior year goodwill impairment loss related to two Collins Aerospace reporting units of $3,183 million, the operating performance at our RIS and RMD segments primarily due to the Raytheon Merger, an increase in our FAS/CAS operating adjustment of $492 million primarily due to the Raytheon Merger and a decrease in restructuring costs of $336 million primarily related to restructuring actions taken at our Collins Aerospace and Pratt &amp; Whitney segments in the prior year partially offset by an increase in acquisition accounting adjustments of $259 million primarily related to the Raytheon Merger.</w:t>
      </w:r>
    </w:p>
    <w:p>
      <w:pPr>
        <w:spacing w:after="0" w:line="84"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i w:val="1"/>
          <w:iCs w:val="1"/>
          <w:u w:val="single" w:color="auto"/>
          <w:color w:val="auto"/>
        </w:rPr>
        <w:t>Non-service Pension (Income) Expense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4"/>
                <w:szCs w:val="14"/>
                <w:b w:val="1"/>
                <w:bCs w:val="1"/>
                <w:color w:val="auto"/>
              </w:rPr>
              <w:t>Quarter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b w:val="1"/>
                <w:bCs w:val="1"/>
                <w:color w:val="auto"/>
                <w:w w:val="91"/>
              </w:rPr>
              <w:t>Six Months Ended June 30,</w:t>
            </w:r>
          </w:p>
        </w:tc>
        <w:tc>
          <w:tcPr>
            <w:tcW w:w="500" w:type="dxa"/>
            <w:vAlign w:val="bottom"/>
            <w:tcBorders>
              <w:bottom w:val="single" w:sz="8" w:color="auto"/>
            </w:tcBorders>
          </w:tcPr>
          <w:p>
            <w:pPr>
              <w:spacing w:after="0"/>
              <w:rPr>
                <w:sz w:val="16"/>
                <w:szCs w:val="16"/>
                <w:color w:val="auto"/>
              </w:rPr>
            </w:pPr>
          </w:p>
        </w:tc>
      </w:tr>
      <w:tr>
        <w:trPr>
          <w:trHeight w:val="188"/>
        </w:trPr>
        <w:tc>
          <w:tcPr>
            <w:tcW w:w="35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i w:val="1"/>
                <w:iCs w:val="1"/>
                <w:color w:val="auto"/>
              </w:rPr>
              <w:t>(dollars in millions)</w:t>
            </w: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r>
      <w:tr>
        <w:trPr>
          <w:trHeight w:val="231"/>
        </w:trPr>
        <w:tc>
          <w:tcPr>
            <w:tcW w:w="35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7"/>
              </w:rPr>
              <w:t>Non-service pension (income) expense</w:t>
            </w:r>
          </w:p>
        </w:tc>
        <w:tc>
          <w:tcPr>
            <w:tcW w:w="7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8"/>
                <w:szCs w:val="18"/>
                <w:b w:val="1"/>
                <w:bCs w:val="1"/>
                <w:color w:val="auto"/>
              </w:rPr>
              <w:t>(490)</w:t>
            </w:r>
          </w:p>
        </w:tc>
        <w:tc>
          <w:tcPr>
            <w:tcW w:w="122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b w:val="1"/>
                <w:bCs w:val="1"/>
                <w:color w:val="auto"/>
              </w:rPr>
              <w:t>(981)</w:t>
            </w:r>
          </w:p>
        </w:tc>
        <w:tc>
          <w:tcPr>
            <w:tcW w:w="122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Non-service pension (income) expense of $253 million for the quarter ended June 30, 2021 compared to the quarter ended June 30, 2020 was primarily driven by a decrease in the discount rate, the Raytheon domestic defined benefit pension plan amendment, as described below and prior year pension asset returns exceeding our expected return on assets (EROA) assumption.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Non-service pension (income) expense of $576 million for the six months ended June 30, 2021 compared to the six months ended June 30, 2020 was primarily driven by the inclusion of the Raytheon Company plans as a result of the Raytheon Merger, and to a lesser extent, a decrease in the discount rate, prior year pension asset returns exceeding our expected return on assets (EROA) assumption and the Raytheon domestic defined benefit pension plan amendment, as described below.</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2020, we approved a change to the Raytheon domestic defined benefit pension plans for non-union participants to cease future benefit accruals based on an employee’s years of service and compensation effective December 31, 2022. The plan change does not impact participants’ historical benefit accruals. Benefits for service after December 31, 2022 will be based on a cash balance formula.</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 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346</w:t>
            </w: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703</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685</w:t>
            </w:r>
          </w:p>
        </w:tc>
      </w:tr>
      <w:tr>
        <w:trPr>
          <w:trHeight w:val="229"/>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(4)</w:t>
            </w: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(15)</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w:t>
            </w:r>
          </w:p>
        </w:tc>
      </w:tr>
      <w:tr>
        <w:trPr>
          <w:trHeight w:val="223"/>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342</w:t>
            </w:r>
          </w:p>
        </w:tc>
        <w:tc>
          <w:tcPr>
            <w:tcW w:w="7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688</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667</w:t>
            </w:r>
          </w:p>
        </w:tc>
      </w:tr>
      <w:tr>
        <w:trPr>
          <w:trHeight w:val="23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 interest expense rate</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4.2 %</w:t>
            </w: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4.1 %</w:t>
            </w:r>
          </w:p>
        </w:tc>
        <w:tc>
          <w:tcPr>
            <w:tcW w:w="4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3.8 %</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in the quarter ended June 30, 2021, was relatively consistent with the quarter ended June 30, 2020. Included in interest expense was a $39 million favorable change in the mark-to-market fair value of marketable securities held in trusts associated with certain of our nonqualified deferred compensation and employee benefit plans, which was offset by an increase in interest expense primarily due to the increase in the average interest rate. The average maturity of long-term debt at June 30, 2021 is approximately 14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in the six months ended June 30, 2021, was relatively consistent with the six months ended June 30, 2020.</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4"/>
              </w:rPr>
              <w:t>Quarter Ended 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87"/>
        </w:trPr>
        <w:tc>
          <w:tcPr>
            <w:tcW w:w="4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9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r>
      <w:tr>
        <w:trPr>
          <w:trHeight w:val="231"/>
        </w:trPr>
        <w:tc>
          <w:tcPr>
            <w:tcW w:w="5120" w:type="dxa"/>
            <w:vAlign w:val="bottom"/>
            <w:tcBorders>
              <w:bottom w:val="single" w:sz="8" w:color="auto"/>
            </w:tcBorders>
            <w:gridSpan w:val="2"/>
            <w:shd w:val="clear" w:color="auto" w:fill="CCEEFF"/>
          </w:tcPr>
          <w:p>
            <w:pPr>
              <w:jc w:val="right"/>
              <w:ind w:right="3208"/>
              <w:spacing w:after="0"/>
              <w:rPr>
                <w:sz w:val="20"/>
                <w:szCs w:val="20"/>
                <w:color w:val="auto"/>
              </w:rPr>
            </w:pPr>
            <w:r>
              <w:rPr>
                <w:rFonts w:ascii="Arial" w:cs="Arial" w:eastAsia="Arial" w:hAnsi="Arial"/>
                <w:sz w:val="18"/>
                <w:szCs w:val="18"/>
                <w:color w:val="auto"/>
                <w:w w:val="92"/>
              </w:rPr>
              <w:t>Effective income tax rate</w:t>
            </w:r>
          </w:p>
        </w:tc>
        <w:tc>
          <w:tcPr>
            <w:tcW w:w="1920" w:type="dxa"/>
            <w:vAlign w:val="bottom"/>
            <w:tcBorders>
              <w:bottom w:val="single" w:sz="8" w:color="auto"/>
            </w:tcBorders>
            <w:shd w:val="clear" w:color="auto" w:fill="CCEEFF"/>
          </w:tcPr>
          <w:p>
            <w:pPr>
              <w:jc w:val="right"/>
              <w:ind w:right="1162"/>
              <w:spacing w:after="0"/>
              <w:rPr>
                <w:sz w:val="20"/>
                <w:szCs w:val="20"/>
                <w:color w:val="auto"/>
              </w:rPr>
            </w:pPr>
            <w:r>
              <w:rPr>
                <w:rFonts w:ascii="Arial" w:cs="Arial" w:eastAsia="Arial" w:hAnsi="Arial"/>
                <w:sz w:val="18"/>
                <w:szCs w:val="18"/>
                <w:b w:val="1"/>
                <w:bCs w:val="1"/>
                <w:color w:val="auto"/>
              </w:rPr>
              <w:t>23.9 %</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b w:val="1"/>
                <w:bCs w:val="1"/>
                <w:color w:val="auto"/>
              </w:rPr>
              <w:t>26.5 %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(22.0)%</w:t>
            </w: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effective tax rate for the quarter ended June 30, 2021 includes tax charges of $73 million associated with the revaluation of deferred taxes resulting from the increase in the United Kingdom (U.K.) corporate tax rate to 25% effective in 2023. The loss from continuing operations before income taxes for the quarter ended June 30, 2020 includes the $3.2 billion goodwill impairment as described in “Note 2: Acquisitions, Dispositions, Goodwill and Intangible Assets” within Item 1 of this Form 10-Q, most of which is non-deductible for tax purposes. The effective tax rate for the quarter ended June 30, 2020 includes tax charges of $60 million related to the June 2020 debt exchange, and tax charges of $46 million associated with a revaluation of certain international tax incentives.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effective tax rate for the six months ended June 30, 2021 includes tax charges of $148 million associated with the sale of our Forcepoint business and $73 million associated with the U.K. tax rate change. The loss from continuing operations before income taxes for the six months ended June 30, 2020 includes the $3.2 billion goodwill impairment, most of which is non-deductible for tax purposes. The effective tax rate for the six months ended June 30, 2020 also includes tax charges of $415 million resulting from the Separation Transactions or the Raytheon Merger, primarily related to the impairment of deferred tax assets, tax charges of $60 million related to the June 2020 debt exchange, and tax charges of $46 million associated with a revaluation of certain international tax incentives.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third quarter of 2021, we expect to realize a deferred tax benefit associated with legal entity and operational reorganizations anticipated to be implemented in the third quarter. As a result, we currently expect our full year 2021 annual effective income tax rate to be approximately 16%, excluding restructuring and non-operational nonrecurring items.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 (Loss) from Continuing Operations Attributable to Common Shareowners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Arial" w:cs="Arial" w:eastAsia="Arial" w:hAnsi="Arial"/>
                <w:sz w:val="14"/>
                <w:szCs w:val="14"/>
                <w:b w:val="1"/>
                <w:bCs w:val="1"/>
                <w:color w:val="auto"/>
              </w:rPr>
              <w:t>Quarter Ended June 30,</w:t>
            </w:r>
          </w:p>
        </w:tc>
        <w:tc>
          <w:tcPr>
            <w:tcW w:w="380" w:type="dxa"/>
            <w:vAlign w:val="bottom"/>
          </w:tcPr>
          <w:p>
            <w:pPr>
              <w:spacing w:after="0"/>
              <w:rPr>
                <w:sz w:val="16"/>
                <w:szCs w:val="16"/>
                <w:color w:val="auto"/>
              </w:rPr>
            </w:pPr>
          </w:p>
        </w:tc>
        <w:tc>
          <w:tcPr>
            <w:tcW w:w="296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44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3"/>
              </w:rPr>
              <w:t>Net income (loss) from continuing operations attributable to</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1,040</w:t>
            </w:r>
          </w:p>
        </w:tc>
        <w:tc>
          <w:tcPr>
            <w:tcW w:w="4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1,812</w:t>
            </w:r>
          </w:p>
        </w:tc>
        <w:tc>
          <w:tcPr>
            <w:tcW w:w="4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shareowners</w:t>
            </w: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Diluted earnings (loss) per share from continuing operations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0.69</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1.20</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from continuing operations attributable to common shareowners for the quarter ended June 30, 2021 includes the following:</w:t>
      </w:r>
    </w:p>
    <w:p>
      <w:pPr>
        <w:spacing w:after="0" w:line="35" w:lineRule="exact"/>
        <w:rPr>
          <w:sz w:val="20"/>
          <w:szCs w:val="20"/>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 accounting adjustments primarily related to the Raytheon Merger of $403 million, net of tax, which had an unfavorable impact on diluted earnings per share (EPS) from continuing operations of $0.26;</w:t>
      </w: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restructuring charges of $49 million, net of tax, which had an unfavorable impact on diluted EPS from continuing operations of $0.03; and</w:t>
      </w:r>
    </w:p>
    <w:p>
      <w:pPr>
        <w:spacing w:after="0" w:line="20" w:lineRule="exact"/>
        <w:rPr>
          <w:rFonts w:ascii="Arial" w:cs="Arial" w:eastAsia="Arial" w:hAnsi="Arial"/>
          <w:sz w:val="17"/>
          <w:szCs w:val="17"/>
          <w:color w:val="auto"/>
        </w:rPr>
      </w:pPr>
    </w:p>
    <w:p>
      <w:pPr>
        <w:ind w:left="66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expense of $73 million associated with the revaluation of deferred taxes resulting from the increase in the United Kingdom (U.K.) corporate tax rate to 25% effective in 2023, which had an unfavorable impact on diluted EPS from continuing operations of $0.05.</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from continuing operations attributable to common shareowners for the quarter ended June 30, 2020 includes the following:</w:t>
      </w:r>
    </w:p>
    <w:p>
      <w:pPr>
        <w:spacing w:after="0" w:line="35" w:lineRule="exact"/>
        <w:rPr>
          <w:sz w:val="20"/>
          <w:szCs w:val="20"/>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$3,200 million of goodwill and intangibles impairment charges related to our Collins Aerospace segment, which had an unfavorable impact on diluted EPS from continuing operations of $2.13;</w:t>
      </w: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 accounting adjustments of $424 million, net of tax, which had an unfavorable impact on diluted EPS from continuing operations of $0.28;</w:t>
      </w: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restructuring charges of $322 million, net of tax, which had an unfavorable impact on diluted EPS from continuing operations of $0.21;</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estimates of expected credit losses driven by customer bankruptcies and additional allowances for credit losses of $189 million, net of tax, which had an unfavorable impact on diluted EPS from continuing operations of $0.13; and</w:t>
      </w:r>
    </w:p>
    <w:p>
      <w:pPr>
        <w:ind w:left="66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unfavorable contract adjustments at Collins Aerospace and Pratt &amp; Whitney of $183 million, net of tax, which had an unfavorable impact on diluted EPS from continuing operations of $0.12.</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from continuing operations attributable to common shareowners for the six months ended June 30, 2021 includes the following:</w:t>
      </w:r>
    </w:p>
    <w:p>
      <w:pPr>
        <w:spacing w:after="0" w:line="35" w:lineRule="exact"/>
        <w:rPr>
          <w:sz w:val="20"/>
          <w:szCs w:val="20"/>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 accounting adjustments primarily related to the Raytheon Merger of $802 million, net of tax, which had an unfavorable impact on diluted EPS from continuing operations of $0.53;</w:t>
      </w: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expense of $148 million related to the sale of our Forcepoint business, which had an unfavorable impact on diluted EPS from continuing operations of $0.10;</w:t>
      </w:r>
    </w:p>
    <w:p>
      <w:pPr>
        <w:ind w:left="660" w:hanging="328"/>
        <w:spacing w:after="0" w:line="265"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tax expense of $73 million associated with the revaluation of deferred taxes resulting from the increase in the United Kingdom (U.K.) corporate tax rate to 25% effective in 2023, which had an unfavorable impact on diluted EPS from continuing operations of $0.05; and</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charges of $81 million, net of tax, which had an unfavorable impact on diluted EPS from continuing operations of $0.05.</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from continuing operations attributable to common shareowners for the six months ended June 30, 2020 includes the following:</w:t>
      </w:r>
    </w:p>
    <w:p>
      <w:pPr>
        <w:spacing w:after="0" w:line="35" w:lineRule="exact"/>
        <w:rPr>
          <w:sz w:val="20"/>
          <w:szCs w:val="20"/>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$3,240 million of goodwill and intangibles impairment charges related to our Collins Aerospace segment, which had an unfavorable impact on diluted earnings per share from continuing operations of $2.63;</w:t>
      </w: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 accounting adjustments of $603 million, net of tax, which had an unfavorable impact on diluted EPS from continuing operations of $0.49;</w:t>
      </w: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$415 million of tax charges in connection with the Separation Transactions, including the impairment of deferred tax assets not expected to be utilized, which had an unfavorable impact on diluted EPS from continuing operations of $0.34;</w:t>
      </w: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restructuring charges of $328 million, net of tax, which had an unfavorable impact on diluted EPS from continuing operations of $0.27;</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estimates of expected credit losses driven by customer bankruptcies and additional general allowances for credit losses of $244 million, net of tax, which had an unfavorable impact on diluted EPS from continuing operations of $0.16; and</w:t>
      </w:r>
    </w:p>
    <w:p>
      <w:pPr>
        <w:ind w:left="66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unfavorable contract adjustments at Collins Aerospace and Pratt &amp; Whitney of $200 million, net of tax, which had an unfavorable impact on diluted EPS from continuing operations of $0.13.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580"/>
        <w:spacing w:after="0"/>
        <w:rPr>
          <w:sz w:val="20"/>
          <w:szCs w:val="20"/>
          <w:color w:val="auto"/>
        </w:rPr>
      </w:pPr>
      <w:r>
        <w:rPr>
          <w:rFonts w:ascii="Arial" w:cs="Arial" w:eastAsia="Arial" w:hAnsi="Arial"/>
          <w:sz w:val="18"/>
          <w:szCs w:val="18"/>
          <w:b w:val="1"/>
          <w:bCs w:val="1"/>
          <w:i w:val="1"/>
          <w:iCs w:val="1"/>
          <w:u w:val="single" w:color="auto"/>
          <w:color w:val="auto"/>
        </w:rPr>
        <w:t>Net Income (Loss) from Discontinued Operations Attributable to Common Shareowners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 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i w:val="1"/>
                <w:iCs w:val="1"/>
                <w:color w:val="auto"/>
                <w:w w:val="94"/>
              </w:rPr>
              <w:t>(dollars in millions, except per share amounts)</w:t>
            </w: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480"/>
              <w:spacing w:after="0" w:line="170" w:lineRule="exact"/>
              <w:rPr>
                <w:sz w:val="20"/>
                <w:szCs w:val="20"/>
                <w:color w:val="auto"/>
              </w:rPr>
            </w:pPr>
            <w:r>
              <w:rPr>
                <w:rFonts w:ascii="Arial" w:cs="Arial" w:eastAsia="Arial" w:hAnsi="Arial"/>
                <w:sz w:val="18"/>
                <w:szCs w:val="18"/>
                <w:color w:val="auto"/>
              </w:rPr>
              <w:t>Net income (loss) from discontinued</w:t>
            </w:r>
          </w:p>
        </w:tc>
        <w:tc>
          <w:tcPr>
            <w:tcW w:w="7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operations attributable to common</w:t>
            </w:r>
          </w:p>
        </w:tc>
        <w:tc>
          <w:tcPr>
            <w:tcW w:w="7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80" w:type="dxa"/>
            <w:vAlign w:val="bottom"/>
            <w:vMerge w:val="restart"/>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(8)</w:t>
            </w:r>
          </w:p>
        </w:tc>
        <w:tc>
          <w:tcPr>
            <w:tcW w:w="7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676"/>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ind w:right="216"/>
              <w:spacing w:after="0"/>
              <w:rPr>
                <w:sz w:val="20"/>
                <w:szCs w:val="20"/>
                <w:color w:val="auto"/>
              </w:rPr>
            </w:pPr>
            <w:r>
              <w:rPr>
                <w:rFonts w:ascii="Arial" w:cs="Arial" w:eastAsia="Arial" w:hAnsi="Arial"/>
                <w:sz w:val="18"/>
                <w:szCs w:val="18"/>
                <w:b w:val="1"/>
                <w:bCs w:val="1"/>
                <w:color w:val="auto"/>
              </w:rPr>
              <w:t>(27)</w:t>
            </w:r>
          </w:p>
        </w:tc>
        <w:tc>
          <w:tcPr>
            <w:tcW w:w="86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shareowners</w:t>
            </w:r>
          </w:p>
        </w:tc>
        <w:tc>
          <w:tcPr>
            <w:tcW w:w="7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480"/>
              <w:spacing w:after="0" w:line="176" w:lineRule="exact"/>
              <w:rPr>
                <w:sz w:val="20"/>
                <w:szCs w:val="20"/>
                <w:color w:val="auto"/>
              </w:rPr>
            </w:pPr>
            <w:r>
              <w:rPr>
                <w:rFonts w:ascii="Arial" w:cs="Arial" w:eastAsia="Arial" w:hAnsi="Arial"/>
                <w:sz w:val="18"/>
                <w:szCs w:val="18"/>
                <w:color w:val="auto"/>
                <w:w w:val="96"/>
              </w:rPr>
              <w:t>Diluted earnings (loss) per share from</w:t>
            </w:r>
          </w:p>
        </w:tc>
        <w:tc>
          <w:tcPr>
            <w:tcW w:w="7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380" w:type="dxa"/>
            <w:vAlign w:val="bottom"/>
            <w:vMerge w:val="restart"/>
          </w:tcPr>
          <w:p>
            <w:pPr>
              <w:jc w:val="right"/>
              <w:ind w:right="219"/>
              <w:spacing w:after="0"/>
              <w:rPr>
                <w:sz w:val="20"/>
                <w:szCs w:val="20"/>
                <w:color w:val="auto"/>
              </w:rPr>
            </w:pPr>
            <w:r>
              <w:rPr>
                <w:rFonts w:ascii="Arial" w:cs="Arial" w:eastAsia="Arial" w:hAnsi="Arial"/>
                <w:sz w:val="18"/>
                <w:szCs w:val="18"/>
                <w:b w:val="1"/>
                <w:bCs w:val="1"/>
                <w:color w:val="auto"/>
              </w:rPr>
              <w:t>(0.01)</w:t>
            </w:r>
          </w:p>
        </w:tc>
        <w:tc>
          <w:tcPr>
            <w:tcW w:w="7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5"/>
                <w:szCs w:val="15"/>
                <w:color w:val="auto"/>
              </w:rPr>
            </w:pPr>
          </w:p>
        </w:tc>
        <w:tc>
          <w:tcPr>
            <w:tcW w:w="1320" w:type="dxa"/>
            <w:vAlign w:val="bottom"/>
            <w:vMerge w:val="restart"/>
          </w:tcPr>
          <w:p>
            <w:pPr>
              <w:jc w:val="right"/>
              <w:ind w:right="676"/>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216"/>
              <w:spacing w:after="0"/>
              <w:rPr>
                <w:sz w:val="20"/>
                <w:szCs w:val="20"/>
                <w:color w:val="auto"/>
              </w:rPr>
            </w:pPr>
            <w:r>
              <w:rPr>
                <w:rFonts w:ascii="Arial" w:cs="Arial" w:eastAsia="Arial" w:hAnsi="Arial"/>
                <w:sz w:val="18"/>
                <w:szCs w:val="18"/>
                <w:b w:val="1"/>
                <w:bCs w:val="1"/>
                <w:color w:val="auto"/>
              </w:rPr>
              <w:t>(0.02)</w:t>
            </w: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7"/>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78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3, 2020, we completed the separation of our commercial businesses, Carrier and Otis. Effective as of such date, the historical results of the Carrier and Otis segments have been reclassified to discontinued operations for all periods presented. See “Note 3: Discontinued Operations” within Item 1 of this Form 10-Q for additional information.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(loss) from discontinued operations attributable to common shareowners and the related change in diluted earnings (loss) per share from discontinued operations in the quarter ended June 30, 2021 was relatively consistent with the quarter ended June 30, 2020.</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change in net income (loss) from discontinued operations attributable to common shareowners of $485 million and the related change in diluted earnings (loss) per share from discontinued operations of $0.40 in the six months ended June 30, 2021 compared to the six months ended June 30, 2020 was primarily due to higher prior year costs associated with the separation of our commercial businesses, including debt extinguishment costs of $611 million, net of tax, in connection with the early repayment of outstanding principal, partially offset by prior year Carrier and Otis operating activity, as the Separation Transactions occurred on April 3, 2020.</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 (Loss) Attributable to Common Shareowners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Arial" w:cs="Arial" w:eastAsia="Arial" w:hAnsi="Arial"/>
                <w:sz w:val="14"/>
                <w:szCs w:val="14"/>
                <w:b w:val="1"/>
                <w:bCs w:val="1"/>
                <w:color w:val="auto"/>
              </w:rPr>
              <w:t>Quarter Ended June 30,</w:t>
            </w:r>
          </w:p>
        </w:tc>
        <w:tc>
          <w:tcPr>
            <w:tcW w:w="380" w:type="dxa"/>
            <w:vAlign w:val="bottom"/>
          </w:tcPr>
          <w:p>
            <w:pPr>
              <w:spacing w:after="0"/>
              <w:rPr>
                <w:sz w:val="16"/>
                <w:szCs w:val="16"/>
                <w:color w:val="auto"/>
              </w:rPr>
            </w:pPr>
          </w:p>
        </w:tc>
        <w:tc>
          <w:tcPr>
            <w:tcW w:w="296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1,032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1,785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r>
      <w:tr>
        <w:trPr>
          <w:trHeight w:val="23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(loss) per share from operations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0.68</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1.18</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net income (loss) attributable to common shareowners and diluted earnings (loss) per share from operations for the quarter ended June 30, 2021 compared to the quarter ended June 30, 2020 was primarily driven by the increase in continuing operations, as discussed above in Net Income (Loss) from Continuing Operations Attributable to Common Shareowners.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net income (loss) attributable to common shareowners and diluted earnings (loss) per share from operations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2021 compared to the six months ended June 30, 2020 was driven by the increase in continuing operations, as discussed above in 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from Continuing Operations Attributable to Common Shareowners and the change from discontinued operations, as discussed above in Net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 from Discontinued Operations Attributable to Common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RESTRUCTURING COSTS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3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Quarter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31"/>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98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99</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Restructuring actions are an essential component of our operating margin improvement efforts and relate to both existing operations and recent mergers and acquisitions. Charges generally arise from severance related to workforce reductions and facility exit costs associated with the consolidation of field and manufacturing operations and costs to exit legacy programs. We continue to closely monitor the economic environment and may undertake further restructuring actions to keep our cost structure aligned with the demands of the prevailing market conditions.</w:t>
      </w:r>
    </w:p>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2021 Actions. </w:t>
      </w:r>
      <w:r>
        <w:rPr>
          <w:rFonts w:ascii="Arial" w:cs="Arial" w:eastAsia="Arial" w:hAnsi="Arial"/>
          <w:sz w:val="16"/>
          <w:szCs w:val="16"/>
          <w:color w:val="auto"/>
        </w:rPr>
        <w:t>During the quarter and six months ended June 30, 2021, we recorded net pre-tax restructuring charges of $65 million and $101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primarily related to ongoing cost reduction efforts including workforce reductions and the consolidation of facilities initiated in 2021. We expect to incur additional restructuring charges of $46 million to complete these actions. We are targeting to complete the majority of the remaining workforce and facility related cost reduction actions initiated in 2021 by 2022. We expect recurring pre-tax savings related to these actions to reach approximately $115 million annually within one to two years. Approximately 70% of the restructuring costs will require cash payments, which we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have funded and expect to continue to fund with cash generated from operations. During the six months ended June 30, 2021, we had cash outflows of $6 million related to the 2021 actions.</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2020 Actions. </w:t>
      </w:r>
      <w:r>
        <w:rPr>
          <w:rFonts w:ascii="Arial" w:cs="Arial" w:eastAsia="Arial" w:hAnsi="Arial"/>
          <w:sz w:val="18"/>
          <w:szCs w:val="18"/>
          <w:color w:val="auto"/>
        </w:rPr>
        <w:t>During the quarters ended June 30, 2021 and 2020, we reversed $24 million and recorded $444 million, respectively, of net pre-tax</w:t>
      </w:r>
      <w:r>
        <w:rPr>
          <w:rFonts w:ascii="Arial" w:cs="Arial" w:eastAsia="Arial" w:hAnsi="Arial"/>
          <w:sz w:val="18"/>
          <w:szCs w:val="18"/>
          <w:b w:val="1"/>
          <w:bCs w:val="1"/>
          <w:color w:val="auto"/>
        </w:rPr>
        <w:t xml:space="preserve"> </w:t>
      </w:r>
      <w:r>
        <w:rPr>
          <w:rFonts w:ascii="Arial" w:cs="Arial" w:eastAsia="Arial" w:hAnsi="Arial"/>
          <w:sz w:val="18"/>
          <w:szCs w:val="18"/>
          <w:color w:val="auto"/>
        </w:rPr>
        <w:t>restructuring charges for actions initiated in 2020. During the six months ended June 30, 2021 and 2020, we reversed $20 million and recorded $446 million, respectively, of net pre-tax restructuring charges for actions initiated in 2020. We expect to incur additional restructuring charges of $9 million to complete these actions. We are targeting to complete in 2021 the majority of the remaining workforce and facility related cost reduction actions initiated in 2020. We expect annual recurring pre-tax savings related to these actions to reach approximately $1.2 billion annually within two years of initiating these actions. Approximately 85% of the restructuring costs will require cash payments, which we have funded and expect to continue to fund with cash generated from operations. During the six months ended June 30, 2021 and 2020, we had cash outflows of $161 million and $50 million, respectively, related to the 2020 actions.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during the quarters ended June 30, 2021 and 2020, we recorded $15 million and reversed $17 million, respectively, of net pre-tax restructuring charges for restructuring actions initiated in 2019 and prior. During the six months ended June 30, 2021 and 2020, we recorded $18 million and reversed $11 million, respectively, of net pre-tax restructuring charges for restructuring actions initiated in 2019 and prior. For additional discussion of restructuring, see “Note 12: Restructuring Costs” within Item 1 of this Form 10-Q.</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REVIEW</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discussed further above in Business Overview, on April 3, 2020, we completed the Separation Transactions, Distributions and the Raytheon Merger. The results of RIS and RMD reflect the period subsequent to the completion of the Raytheon Merger on April 3, 2020. The historical results of Carrier and Otis are presented as discontinued operations and, as such, have been excluded from both continuing operations and segment results for all periods presented.</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announced, effective January 1, 2021, we reorganized certain product areas of our RIS and RMD businesses to more efficiently leverage our capabilities. The amounts and presentation of our business segments, including intersegment activity, set forth in this Form 10-Q reflect this reorganization. The reorganization does not impact our previously reported Collins Aerospace Systems and Pratt &amp; Whitney segment results, or our consolidated balance sheets, statements of operations or statements of cash flows. Refer to “Note 19: Segment Financial Data” within Item 1 of this Form 10-Q for revised financial results for the fiscal quarters and year ended 2020.</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Raytheon Merger, we now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postretirement benefit (PRB) expense under U.S. government Cost Accounting Standards (CAS) primarily related to our RIS and RMD segments. While the ultimate liability for pension and PRB costs under FAS and CAS is similar, the pattern of cost recognition is different. We generally expect to recover the related RIS and RMD pension and PRB liabilities over time through the pricing of our products and services to the U.S. government. Because the Collins Aerospace and Pratt &amp; Whitney segments generally record pension and PRB expense on a FAS basis, historical results were not impacted by this change in segment reporting.</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For our defense contracts, where the primary customer is the U.S. government subject to Federal Acquisition Regulation (FAR) part 12, our intercompany sales and profit is generally recorded at cost-plus a specified fee, which may differ from what the selling entity would be able to obtain on sales to external customers. Segment results exclude certain acquisition accounting adjustments, the FAS/CAS operating adjustment and certain corporate expenses, as further discussed below.</w:t>
      </w:r>
    </w:p>
    <w:p>
      <w:pPr>
        <w:spacing w:after="0" w:line="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Total Net Sales. </w:t>
      </w:r>
      <w:r>
        <w:rPr>
          <w:rFonts w:ascii="Arial" w:cs="Arial" w:eastAsia="Arial" w:hAnsi="Arial"/>
          <w:sz w:val="18"/>
          <w:szCs w:val="18"/>
          <w:color w:val="auto"/>
        </w:rPr>
        <w:t>Total net sales by segment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Arial" w:cs="Arial" w:eastAsia="Arial" w:hAnsi="Arial"/>
                <w:sz w:val="14"/>
                <w:szCs w:val="14"/>
                <w:b w:val="1"/>
                <w:bCs w:val="1"/>
                <w:color w:val="auto"/>
              </w:rPr>
              <w:t>Quarter Ended June 30,</w:t>
            </w:r>
          </w:p>
        </w:tc>
        <w:tc>
          <w:tcPr>
            <w:tcW w:w="380" w:type="dxa"/>
            <w:vAlign w:val="bottom"/>
          </w:tcPr>
          <w:p>
            <w:pPr>
              <w:spacing w:after="0"/>
              <w:rPr>
                <w:sz w:val="16"/>
                <w:szCs w:val="16"/>
                <w:color w:val="auto"/>
              </w:rPr>
            </w:pPr>
          </w:p>
        </w:tc>
        <w:tc>
          <w:tcPr>
            <w:tcW w:w="2960" w:type="dxa"/>
            <w:vAlign w:val="bottom"/>
            <w:gridSpan w:val="3"/>
          </w:tcPr>
          <w:p>
            <w:pPr>
              <w:jc w:val="right"/>
              <w:ind w:right="75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4,545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8,915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4,280</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8,310</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8,840</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3,805</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7,570</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r>
      <w:tr>
        <w:trPr>
          <w:trHeight w:val="22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3,985</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7,778</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16,615</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32,573</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26,373</w:t>
            </w:r>
          </w:p>
        </w:tc>
      </w:tr>
      <w:tr>
        <w:trPr>
          <w:trHeight w:val="22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 and 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30"/>
        </w:trPr>
        <w:tc>
          <w:tcPr>
            <w:tcW w:w="4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15,880</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31,131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25,421</w:t>
            </w:r>
          </w:p>
        </w:tc>
      </w:tr>
      <w:tr>
        <w:trPr>
          <w:trHeight w:val="419"/>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w w:val="99"/>
              </w:rPr>
              <w:t xml:space="preserve">Operating Profit. </w:t>
            </w:r>
            <w:r>
              <w:rPr>
                <w:rFonts w:ascii="Arial" w:cs="Arial" w:eastAsia="Arial" w:hAnsi="Arial"/>
                <w:sz w:val="18"/>
                <w:szCs w:val="18"/>
                <w:color w:val="auto"/>
                <w:w w:val="99"/>
              </w:rPr>
              <w:t>Operating profit by segment was as follows:</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9"/>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4"/>
          </w:tcPr>
          <w:p>
            <w:pPr>
              <w:ind w:left="540"/>
              <w:spacing w:after="0"/>
              <w:rPr>
                <w:sz w:val="20"/>
                <w:szCs w:val="20"/>
                <w:color w:val="auto"/>
              </w:rPr>
            </w:pPr>
            <w:r>
              <w:rPr>
                <w:rFonts w:ascii="Arial" w:cs="Arial" w:eastAsia="Arial" w:hAnsi="Arial"/>
                <w:sz w:val="14"/>
                <w:szCs w:val="14"/>
                <w:b w:val="1"/>
                <w:bCs w:val="1"/>
                <w:color w:val="auto"/>
              </w:rPr>
              <w:t>Quarter Ended June 30,</w:t>
            </w:r>
          </w:p>
        </w:tc>
        <w:tc>
          <w:tcPr>
            <w:tcW w:w="380" w:type="dxa"/>
            <w:vAlign w:val="bottom"/>
          </w:tcPr>
          <w:p>
            <w:pPr>
              <w:spacing w:after="0"/>
              <w:rPr>
                <w:sz w:val="18"/>
                <w:szCs w:val="18"/>
                <w:color w:val="auto"/>
              </w:rPr>
            </w:pPr>
          </w:p>
        </w:tc>
        <w:tc>
          <w:tcPr>
            <w:tcW w:w="2960" w:type="dxa"/>
            <w:vAlign w:val="bottom"/>
            <w:gridSpan w:val="3"/>
          </w:tcPr>
          <w:p>
            <w:pPr>
              <w:jc w:val="right"/>
              <w:ind w:right="75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506</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820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112</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132</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415</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803</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532</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1,028</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1,565</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2,783</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425</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848</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30"/>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1,282</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2,295</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segment operating profit are Estimate at Completion (EAC) adjustments, which relate to changes in operating profit and margin due to revisions to total estimated revenues and costs at completion. These changes reflect improved or deteriorated operating performance or award fee rates. For a full description of our EAC process, refer to “Note 5: Changes in Contract Estimates at Completion” within Item 1 of this Form 10-Q. Given that we have thousands of individual contracts and given the types and complexity of the assumptions and estimates we must make on an on-going basis, we have both favorable and unfavorable EAC adjustments.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aggregate EAC adjustments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Arial" w:cs="Arial" w:eastAsia="Arial" w:hAnsi="Arial"/>
                <w:sz w:val="14"/>
                <w:szCs w:val="14"/>
                <w:b w:val="1"/>
                <w:bCs w:val="1"/>
                <w:color w:val="auto"/>
              </w:rPr>
              <w:t>Quarter Ended June 30,</w:t>
            </w:r>
          </w:p>
        </w:tc>
        <w:tc>
          <w:tcPr>
            <w:tcW w:w="380" w:type="dxa"/>
            <w:vAlign w:val="bottom"/>
          </w:tcPr>
          <w:p>
            <w:pPr>
              <w:spacing w:after="0"/>
              <w:rPr>
                <w:sz w:val="16"/>
                <w:szCs w:val="16"/>
                <w:color w:val="auto"/>
              </w:rPr>
            </w:pPr>
          </w:p>
        </w:tc>
        <w:tc>
          <w:tcPr>
            <w:tcW w:w="2960" w:type="dxa"/>
            <w:vAlign w:val="bottom"/>
            <w:gridSpan w:val="3"/>
          </w:tcPr>
          <w:p>
            <w:pPr>
              <w:jc w:val="right"/>
              <w:ind w:right="75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favorable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309</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35"/>
              <w:spacing w:after="0"/>
              <w:rPr>
                <w:sz w:val="20"/>
                <w:szCs w:val="20"/>
                <w:color w:val="auto"/>
              </w:rPr>
            </w:pPr>
            <w:r>
              <w:rPr>
                <w:rFonts w:ascii="Arial" w:cs="Arial" w:eastAsia="Arial" w:hAnsi="Arial"/>
                <w:sz w:val="18"/>
                <w:szCs w:val="18"/>
                <w:color w:val="auto"/>
                <w:w w:val="93"/>
              </w:rPr>
              <w:t>151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621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735"/>
              <w:spacing w:after="0"/>
              <w:rPr>
                <w:sz w:val="20"/>
                <w:szCs w:val="20"/>
                <w:color w:val="auto"/>
              </w:rPr>
            </w:pPr>
            <w:r>
              <w:rPr>
                <w:rFonts w:ascii="Arial" w:cs="Arial" w:eastAsia="Arial" w:hAnsi="Arial"/>
                <w:sz w:val="18"/>
                <w:szCs w:val="18"/>
                <w:color w:val="auto"/>
                <w:w w:val="86"/>
              </w:rPr>
              <w:t>288</w:t>
            </w: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Gross unfavorable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695"/>
              <w:spacing w:after="0"/>
              <w:rPr>
                <w:sz w:val="20"/>
                <w:szCs w:val="20"/>
                <w:color w:val="auto"/>
              </w:rPr>
            </w:pPr>
            <w:r>
              <w:rPr>
                <w:rFonts w:ascii="Arial" w:cs="Arial" w:eastAsia="Arial" w:hAnsi="Arial"/>
                <w:sz w:val="18"/>
                <w:szCs w:val="18"/>
                <w:color w:val="auto"/>
                <w:w w:val="95"/>
              </w:rPr>
              <w:t>(302)</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15"/>
              <w:spacing w:after="0"/>
              <w:rPr>
                <w:sz w:val="20"/>
                <w:szCs w:val="20"/>
                <w:color w:val="auto"/>
              </w:rPr>
            </w:pPr>
            <w:r>
              <w:rPr>
                <w:rFonts w:ascii="Arial" w:cs="Arial" w:eastAsia="Arial" w:hAnsi="Arial"/>
                <w:sz w:val="18"/>
                <w:szCs w:val="18"/>
                <w:color w:val="auto"/>
                <w:w w:val="95"/>
              </w:rPr>
              <w:t>(418)</w:t>
            </w: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EAC adjustments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27</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color w:val="auto"/>
                <w:w w:val="95"/>
              </w:rPr>
              <w:t>(151)</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center"/>
              <w:ind w:left="715"/>
              <w:spacing w:after="0"/>
              <w:rPr>
                <w:sz w:val="20"/>
                <w:szCs w:val="20"/>
                <w:color w:val="auto"/>
              </w:rPr>
            </w:pPr>
            <w:r>
              <w:rPr>
                <w:rFonts w:ascii="Arial" w:cs="Arial" w:eastAsia="Arial" w:hAnsi="Arial"/>
                <w:sz w:val="18"/>
                <w:szCs w:val="18"/>
                <w:color w:val="auto"/>
                <w:w w:val="95"/>
              </w:rPr>
              <w:t>(130)</w:t>
            </w:r>
          </w:p>
        </w:tc>
      </w:tr>
    </w:tbl>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of the Raytheon Merger, RIS’s and RMD’s long-term contracts that are accounted for on a percentage of completion basis, were reset to zero percent complete as of the merger date because only the unperformed portion of the contract at the merger date represents an obligation of the Company. This had the impact of reducing gross favorable and unfavorable EAC adjustments for these segments in the prior year. The increase in net EAC adjustments of $178 million in the quarter ended June 30, 2021 compared to the quarter ended June 30, 2020 was primarily due to a favorable change in net EAC adjustments of $98 million at Pratt &amp; Whitney principally driven by the absence of unfavorable EAC adjustments in the quarter ended June 30, 2020 based on a portfolio review of our commercial aftermarket programs and a benefit resulting from a favorable contract modification on a commercial aftermarket program in the quarter ended June 30, 2021, both due to changes in estimated flight hours, number of shop visits and the related amount of costs. The increase was also due to a favorable change in net EAC adjustments of $53 million at RIS and $43 million at RMD, which was spread across numerous programs and primarily a result of the Raytheon Merger and the associated reset to zero percent complete for contracts accounted for on a percentage of completion basis discussed above.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net EAC adjustments of $169 million in the six months ended June 30, 2021 compared to the six months ended June 30, 2020 was primarily due to a favorable change in net EAC adjustments of $81 million at RIS and $78 million at RMD, primarily due to the Raytheon Merger, and a favorable change in net EAC adjustments of $88 million at Pratt &amp; Whitney principally driven by the absence of unfavorable EAC adjustments in the quarter ended June 30, 2020 based on a portfolio review of our commercial aftermarket programs and a benefit resulting from a favorable contract modification on a commercial aftermarket program in the quarter ended June 30, 2021, both due to changes in estimated flight hours, number of shop visits and the related amount of costs. This was partially offset by an unfavorable change in net EAC adjustments of $78 million at Collins Aerospace spread across numerous individual programs with no individual or common significant driver. Significant EAC adjustments, when they occur, are discussed in each business segment’s discussion below.</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Backlog and Defense Bookings. </w:t>
      </w:r>
      <w:r>
        <w:rPr>
          <w:rFonts w:ascii="Arial" w:cs="Arial" w:eastAsia="Arial" w:hAnsi="Arial"/>
          <w:sz w:val="17"/>
          <w:szCs w:val="17"/>
          <w:color w:val="auto"/>
        </w:rPr>
        <w:t>Total backlog was approximately $151.8 billion and $150.1 billion as of June 30, 2021 and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which includes defense backlog of $66.1 billion and $67.3 billion as of June 30, 2021 and December 31, 2020, respectively. Our defense operations consist primarily of our RIS and RMD businesses and operations in the defense businesses within our Collins Aerospace and Pratt &amp; Whitney segments. Defense bookings were approximately $11.9 billion and $10.2 billion for the quarters ended June 30, 2021 and 2020, and approximately $20.4 billion and $13.4 billion for the six months ended June 30, 2021 and 2020, respectively.</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Defense bookings are impacted by the timing and amounts of awards in a given period, which are subject to numerous factors, including: (1) the desired capability by the customer and urgency of customer needs, (2) customer budgets and other fiscal constraints, (3) political and economic and other environmental factors, (4) the timing of customer negotiations, (5) the timing of governmental approvals and notifications, and (6) the timing of option exercises or increases in scope. In addition, due to these factors, quarterly bookings tend to fluctuate from period to period, particularly on a segment basis. As a result, we believe comparing bookings on a quarterly basis or for periods less than one year is less meaningful than for longer periods and that shorter term changes in bookings may not necessarily indicate a material trend.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Collins Aerospace Systems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Quarter Ended 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Six Months Ended June 30,</w:t>
            </w:r>
          </w:p>
        </w:tc>
        <w:tc>
          <w:tcPr>
            <w:tcW w:w="900" w:type="dxa"/>
            <w:vAlign w:val="bottom"/>
            <w:tcBorders>
              <w:bottom w:val="single" w:sz="8" w:color="auto"/>
            </w:tcBorders>
          </w:tcPr>
          <w:p>
            <w:pPr>
              <w:spacing w:after="0"/>
              <w:rPr>
                <w:sz w:val="16"/>
                <w:szCs w:val="16"/>
                <w:color w:val="auto"/>
              </w:rPr>
            </w:pPr>
          </w:p>
        </w:tc>
      </w:tr>
      <w:tr>
        <w:trPr>
          <w:trHeight w:val="186"/>
        </w:trPr>
        <w:tc>
          <w:tcPr>
            <w:tcW w:w="380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780" w:type="dxa"/>
            <w:vAlign w:val="bottom"/>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1900" w:type="dxa"/>
            <w:vAlign w:val="bottom"/>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6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4,545</w:t>
            </w:r>
          </w:p>
        </w:tc>
        <w:tc>
          <w:tcPr>
            <w:tcW w:w="3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4,202</w:t>
            </w: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 xml:space="preserve">8 %  </w:t>
            </w: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8,915</w:t>
            </w:r>
          </w:p>
        </w:tc>
        <w:tc>
          <w:tcPr>
            <w:tcW w:w="5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10,640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b w:val="1"/>
                <w:bCs w:val="1"/>
                <w:color w:val="auto"/>
              </w:rPr>
              <w:t>506</w:t>
            </w:r>
          </w:p>
        </w:tc>
        <w:tc>
          <w:tcPr>
            <w:tcW w:w="3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(317)</w:t>
            </w:r>
          </w:p>
        </w:tc>
        <w:tc>
          <w:tcPr>
            <w:tcW w:w="260" w:type="dxa"/>
            <w:vAlign w:val="bottom"/>
          </w:tcPr>
          <w:p>
            <w:pPr>
              <w:spacing w:after="0"/>
              <w:rPr>
                <w:sz w:val="19"/>
                <w:szCs w:val="19"/>
                <w:color w:val="auto"/>
              </w:rPr>
            </w:pPr>
          </w:p>
        </w:tc>
        <w:tc>
          <w:tcPr>
            <w:tcW w:w="1380" w:type="dxa"/>
            <w:vAlign w:val="bottom"/>
          </w:tcPr>
          <w:p>
            <w:pPr>
              <w:ind w:left="520"/>
              <w:spacing w:after="0"/>
              <w:rPr>
                <w:sz w:val="20"/>
                <w:szCs w:val="20"/>
                <w:color w:val="auto"/>
              </w:rPr>
            </w:pPr>
            <w:r>
              <w:rPr>
                <w:rFonts w:ascii="Arial" w:cs="Arial" w:eastAsia="Arial" w:hAnsi="Arial"/>
                <w:sz w:val="18"/>
                <w:szCs w:val="18"/>
                <w:color w:val="auto"/>
              </w:rPr>
              <w:t>NM</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820</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929</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6"/>
        </w:trPr>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6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11.1 %</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8"/>
                <w:szCs w:val="18"/>
                <w:b w:val="1"/>
                <w:bCs w:val="1"/>
                <w:color w:val="auto"/>
              </w:rPr>
              <w:t>9.2 %</w:t>
            </w:r>
          </w:p>
        </w:tc>
        <w:tc>
          <w:tcPr>
            <w:tcW w:w="3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8.7 %</w:t>
            </w:r>
          </w:p>
        </w:tc>
        <w:tc>
          <w:tcPr>
            <w:tcW w:w="10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620" w:type="dxa"/>
            <w:vAlign w:val="bottom"/>
          </w:tcPr>
          <w:p>
            <w:pPr>
              <w:spacing w:after="0"/>
              <w:rPr>
                <w:sz w:val="20"/>
                <w:szCs w:val="20"/>
                <w:color w:val="auto"/>
              </w:rPr>
            </w:pPr>
            <w:r>
              <w:rPr>
                <w:rFonts w:ascii="Arial" w:cs="Arial" w:eastAsia="Arial" w:hAnsi="Arial"/>
                <w:sz w:val="14"/>
                <w:szCs w:val="14"/>
                <w:color w:val="auto"/>
              </w:rPr>
              <w:t>NM = Not Meaningful</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620" w:type="dxa"/>
            <w:vAlign w:val="bottom"/>
          </w:tcPr>
          <w:p>
            <w:pPr>
              <w:spacing w:after="0"/>
              <w:rPr>
                <w:sz w:val="24"/>
                <w:szCs w:val="24"/>
                <w:color w:val="auto"/>
              </w:rPr>
            </w:pPr>
          </w:p>
        </w:tc>
        <w:tc>
          <w:tcPr>
            <w:tcW w:w="6080" w:type="dxa"/>
            <w:vAlign w:val="bottom"/>
            <w:gridSpan w:val="8"/>
          </w:tcPr>
          <w:p>
            <w:pPr>
              <w:jc w:val="right"/>
              <w:spacing w:after="0"/>
              <w:rPr>
                <w:sz w:val="20"/>
                <w:szCs w:val="20"/>
                <w:color w:val="auto"/>
              </w:rPr>
            </w:pPr>
            <w:r>
              <w:rPr>
                <w:rFonts w:ascii="Arial" w:cs="Arial" w:eastAsia="Arial" w:hAnsi="Arial"/>
                <w:sz w:val="18"/>
                <w:szCs w:val="18"/>
                <w:b w:val="1"/>
                <w:bCs w:val="1"/>
                <w:i w:val="1"/>
                <w:iCs w:val="1"/>
                <w:color w:val="auto"/>
                <w:w w:val="94"/>
              </w:rPr>
              <w:t>Quarter Ended June 30, 2021 Compared with Quarter Ended June 30, 2020</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w w:val="95"/>
              </w:rPr>
              <w:t>Factors Contributing to Total Change</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620" w:type="dxa"/>
            <w:vAlign w:val="bottom"/>
            <w:vMerge w:val="restart"/>
          </w:tcPr>
          <w:p>
            <w:pPr>
              <w:ind w:left="460"/>
              <w:spacing w:after="0"/>
              <w:rPr>
                <w:sz w:val="20"/>
                <w:szCs w:val="20"/>
                <w:color w:val="auto"/>
              </w:rPr>
            </w:pPr>
            <w:r>
              <w:rPr>
                <w:rFonts w:ascii="Arial" w:cs="Arial" w:eastAsia="Arial" w:hAnsi="Arial"/>
                <w:sz w:val="14"/>
                <w:szCs w:val="14"/>
                <w:b w:val="1"/>
                <w:bCs w:val="1"/>
                <w:i w:val="1"/>
                <w:iCs w:val="1"/>
                <w:color w:val="auto"/>
              </w:rPr>
              <w:t>(dollars in millions)</w:t>
            </w:r>
          </w:p>
        </w:tc>
        <w:tc>
          <w:tcPr>
            <w:tcW w:w="620" w:type="dxa"/>
            <w:vAlign w:val="bottom"/>
          </w:tcPr>
          <w:p>
            <w:pPr>
              <w:spacing w:after="0"/>
              <w:rPr>
                <w:sz w:val="11"/>
                <w:szCs w:val="11"/>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2060" w:type="dxa"/>
            <w:vAlign w:val="bottom"/>
            <w:gridSpan w:val="3"/>
          </w:tcPr>
          <w:p>
            <w:pPr>
              <w:jc w:val="right"/>
              <w:ind w:right="530"/>
              <w:spacing w:after="0" w:line="135" w:lineRule="exact"/>
              <w:rPr>
                <w:sz w:val="20"/>
                <w:szCs w:val="20"/>
                <w:color w:val="auto"/>
              </w:rPr>
            </w:pPr>
            <w:r>
              <w:rPr>
                <w:rFonts w:ascii="Arial" w:cs="Arial" w:eastAsia="Arial" w:hAnsi="Arial"/>
                <w:sz w:val="14"/>
                <w:szCs w:val="14"/>
                <w:b w:val="1"/>
                <w:bCs w:val="1"/>
                <w:color w:val="auto"/>
              </w:rPr>
              <w:t>Acquisitions /</w:t>
            </w:r>
          </w:p>
        </w:tc>
        <w:tc>
          <w:tcPr>
            <w:tcW w:w="260" w:type="dxa"/>
            <w:vAlign w:val="bottom"/>
          </w:tcPr>
          <w:p>
            <w:pPr>
              <w:spacing w:after="0"/>
              <w:rPr>
                <w:sz w:val="11"/>
                <w:szCs w:val="11"/>
                <w:color w:val="auto"/>
              </w:rPr>
            </w:pPr>
          </w:p>
        </w:tc>
        <w:tc>
          <w:tcPr>
            <w:tcW w:w="1380" w:type="dxa"/>
            <w:vAlign w:val="bottom"/>
          </w:tcPr>
          <w:p>
            <w:pPr>
              <w:jc w:val="right"/>
              <w:ind w:right="356"/>
              <w:spacing w:after="0" w:line="135" w:lineRule="exact"/>
              <w:rPr>
                <w:sz w:val="20"/>
                <w:szCs w:val="20"/>
                <w:color w:val="auto"/>
              </w:rPr>
            </w:pPr>
            <w:r>
              <w:rPr>
                <w:rFonts w:ascii="Arial" w:cs="Arial" w:eastAsia="Arial" w:hAnsi="Arial"/>
                <w:sz w:val="14"/>
                <w:szCs w:val="14"/>
                <w:b w:val="1"/>
                <w:bCs w:val="1"/>
                <w:color w:val="auto"/>
              </w:rPr>
              <w:t>Restructuring</w:t>
            </w:r>
          </w:p>
        </w:tc>
        <w:tc>
          <w:tcPr>
            <w:tcW w:w="680" w:type="dxa"/>
            <w:vAlign w:val="bottom"/>
          </w:tcPr>
          <w:p>
            <w:pPr>
              <w:spacing w:after="0"/>
              <w:rPr>
                <w:sz w:val="11"/>
                <w:szCs w:val="11"/>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6"/>
              </w:rPr>
              <w:t>Total Change</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rPr>
              <w:t>Divestitures, net</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Costs</w:t>
            </w: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444</w:t>
            </w:r>
          </w:p>
        </w:tc>
        <w:tc>
          <w:tcPr>
            <w:tcW w:w="7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34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Operating Profit</w:t>
            </w: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723</w:t>
            </w: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139</w:t>
            </w:r>
          </w:p>
        </w:tc>
        <w:tc>
          <w:tcPr>
            <w:tcW w:w="6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(8)</w:t>
            </w:r>
          </w:p>
        </w:tc>
        <w:tc>
          <w:tcPr>
            <w:tcW w:w="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40" w:hanging="332"/>
        <w:spacing w:after="0" w:line="252" w:lineRule="auto"/>
        <w:tabs>
          <w:tab w:leader="none" w:pos="328"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provide the organic change in net sales and operating profit for our segments. We believe that these measures are useful to investors because they provide transparency to the underlying performance of our business, which allows for better year-over-year comparability. The organic change excludes acquisitions and divestitures, net; restructuring costs; and the effect of foreign currency exchange rate translation fluctuations and other significant non-recurring and non-operational items (“Other”). A reconciliation of these measures to reported U.S. GAAP amounts is provided in the table above.</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organic sales increase of $0.4 billion in the quarter ended June 30, 2021 compared to the quarter ended June 30, 2020 primarily relates to higher commercial aerospace aftermarket sales of $0.3 billion, including increases across all aftermarket sales channels, and higher commercial aerospace OEM sales of $0.2 billion. These increases were primarily due to an increase in flight hours, aircraft fleet utilization and commercial OEM deliveries as commercial aerospace begins to recover from the prior year’s unfavorable economic environment principally driven by the COVID-19 pandemic. Military sales were down slightly in the quarter ended June 30, 2021 compared to the quarter ended June 30, 2020.</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organic profit increase of $0.7 billion in the quarter ended June 30, 2021 compared to the quarter ended June 30, 2020 was primarily due to higher commercial aerospace operating profit of $0.5 billion principally driven by the higher commercial aerospace aftermarket sales discussed above. Included in the higher commercial aerospace operating profit was $122 million of significant unfavorable contract adjustments in the quarter ended June 30, 2020 principally driven by the expected acceleration of fleet retirements of a certain aircraft and a $33 million favorable impact from a contract related matter in the quarter ended June 30, 2021. Also contributing to the organic profit increase was lower Selling, general and administrative expenses and Research and development costs of $0.2 billion in total, primarily driven by the absence of an $89 million charge related 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increased estimates of expected credit losses due to customer bankruptcies and additional allowances for credit losses in the quarter ended June 30, 2020 and the impact of cost reduction initiatives.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net sales and operating profit due to acquisitions / divestitures, net primarily relates to the sale of our Collins Aerospace military GPS and space-based precision optics businesses in the third quarter of 2020.</w:t>
      </w:r>
    </w:p>
    <w:p>
      <w:pPr>
        <w:spacing w:after="0" w:line="62"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Six Months Ended June 30, 2021 Compared with Six Months Ended June 30,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w w:val="99"/>
              </w:rPr>
              <w:t>Factors Contributing to Total Change</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40" w:type="dxa"/>
            <w:vAlign w:val="bottom"/>
            <w:vMerge w:val="restart"/>
          </w:tcPr>
          <w:p>
            <w:pPr>
              <w:ind w:left="440"/>
              <w:spacing w:after="0"/>
              <w:rPr>
                <w:sz w:val="20"/>
                <w:szCs w:val="20"/>
                <w:color w:val="auto"/>
              </w:rPr>
            </w:pPr>
            <w:r>
              <w:rPr>
                <w:rFonts w:ascii="Arial" w:cs="Arial" w:eastAsia="Arial" w:hAnsi="Arial"/>
                <w:sz w:val="14"/>
                <w:szCs w:val="14"/>
                <w:b w:val="1"/>
                <w:bCs w:val="1"/>
                <w:i w:val="1"/>
                <w:iCs w:val="1"/>
                <w:color w:val="auto"/>
              </w:rPr>
              <w:t>(dollars in millions)</w:t>
            </w:r>
          </w:p>
        </w:tc>
        <w:tc>
          <w:tcPr>
            <w:tcW w:w="620" w:type="dxa"/>
            <w:vAlign w:val="bottom"/>
          </w:tcPr>
          <w:p>
            <w:pPr>
              <w:spacing w:after="0"/>
              <w:rPr>
                <w:sz w:val="11"/>
                <w:szCs w:val="11"/>
                <w:color w:val="auto"/>
              </w:rPr>
            </w:pPr>
          </w:p>
        </w:tc>
        <w:tc>
          <w:tcPr>
            <w:tcW w:w="12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460" w:type="dxa"/>
            <w:vAlign w:val="bottom"/>
          </w:tcPr>
          <w:p>
            <w:pPr>
              <w:spacing w:after="0"/>
              <w:rPr>
                <w:sz w:val="11"/>
                <w:szCs w:val="11"/>
                <w:color w:val="auto"/>
              </w:rPr>
            </w:pPr>
          </w:p>
        </w:tc>
        <w:tc>
          <w:tcPr>
            <w:tcW w:w="1320" w:type="dxa"/>
            <w:vAlign w:val="bottom"/>
          </w:tcPr>
          <w:p>
            <w:pPr>
              <w:jc w:val="right"/>
              <w:ind w:right="359"/>
              <w:spacing w:after="0" w:line="135" w:lineRule="exact"/>
              <w:rPr>
                <w:sz w:val="20"/>
                <w:szCs w:val="20"/>
                <w:color w:val="auto"/>
              </w:rPr>
            </w:pPr>
            <w:r>
              <w:rPr>
                <w:rFonts w:ascii="Arial" w:cs="Arial" w:eastAsia="Arial" w:hAnsi="Arial"/>
                <w:sz w:val="14"/>
                <w:szCs w:val="14"/>
                <w:b w:val="1"/>
                <w:bCs w:val="1"/>
                <w:color w:val="auto"/>
                <w:w w:val="93"/>
              </w:rPr>
              <w:t>Acquisitions /</w:t>
            </w:r>
          </w:p>
        </w:tc>
        <w:tc>
          <w:tcPr>
            <w:tcW w:w="440" w:type="dxa"/>
            <w:vAlign w:val="bottom"/>
          </w:tcPr>
          <w:p>
            <w:pPr>
              <w:spacing w:after="0"/>
              <w:rPr>
                <w:sz w:val="11"/>
                <w:szCs w:val="11"/>
                <w:color w:val="auto"/>
              </w:rPr>
            </w:pPr>
          </w:p>
        </w:tc>
        <w:tc>
          <w:tcPr>
            <w:tcW w:w="1440" w:type="dxa"/>
            <w:vAlign w:val="bottom"/>
          </w:tcPr>
          <w:p>
            <w:pPr>
              <w:jc w:val="right"/>
              <w:ind w:right="419"/>
              <w:spacing w:after="0" w:line="135" w:lineRule="exact"/>
              <w:rPr>
                <w:sz w:val="20"/>
                <w:szCs w:val="20"/>
                <w:color w:val="auto"/>
              </w:rPr>
            </w:pPr>
            <w:r>
              <w:rPr>
                <w:rFonts w:ascii="Arial" w:cs="Arial" w:eastAsia="Arial" w:hAnsi="Arial"/>
                <w:sz w:val="14"/>
                <w:szCs w:val="14"/>
                <w:b w:val="1"/>
                <w:bCs w:val="1"/>
                <w:color w:val="auto"/>
              </w:rPr>
              <w:t>Restructuring</w:t>
            </w:r>
          </w:p>
        </w:tc>
        <w:tc>
          <w:tcPr>
            <w:tcW w:w="520" w:type="dxa"/>
            <w:vAlign w:val="bottom"/>
          </w:tcPr>
          <w:p>
            <w:pPr>
              <w:spacing w:after="0"/>
              <w:rPr>
                <w:sz w:val="11"/>
                <w:szCs w:val="11"/>
                <w:color w:val="auto"/>
              </w:rPr>
            </w:pPr>
          </w:p>
        </w:tc>
        <w:tc>
          <w:tcPr>
            <w:tcW w:w="9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1"/>
                <w:szCs w:val="11"/>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6"/>
              </w:rPr>
              <w:t>Total Change</w:t>
            </w:r>
          </w:p>
        </w:tc>
        <w:tc>
          <w:tcPr>
            <w:tcW w:w="0" w:type="dxa"/>
            <w:vAlign w:val="bottom"/>
          </w:tcPr>
          <w:p>
            <w:pPr>
              <w:spacing w:after="0"/>
              <w:rPr>
                <w:sz w:val="1"/>
                <w:szCs w:val="1"/>
                <w:color w:val="auto"/>
              </w:rPr>
            </w:pPr>
          </w:p>
        </w:tc>
      </w:tr>
      <w:tr>
        <w:trPr>
          <w:trHeight w:val="189"/>
        </w:trPr>
        <w:tc>
          <w:tcPr>
            <w:tcW w:w="25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4"/>
                <w:szCs w:val="14"/>
                <w:b w:val="1"/>
                <w:bCs w:val="1"/>
                <w:color w:val="auto"/>
              </w:rPr>
              <w:t>Divestitures, net</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Costs</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(1,520)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(271)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Operating Profit</w:t>
            </w: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(136)</w:t>
            </w: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(76)</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127</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52" w:lineRule="auto"/>
        <w:tabs>
          <w:tab w:leader="none" w:pos="328"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provide the organic change in net sales and operating profit for our segments. We believe that these measures are useful to investors because they provide transparency to the underlying performance of our business, which allows for better year-over-year comparability. The organic change excludes acquisitions and divestitures, net; restructuring costs; and the effect of foreign currency exchange rate translation fluctuations and other significant non-recurring and non-operational items (“Other”). A reconciliation of these measures to reported U.S. GAAP amounts is provided in the table above.</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sales decrease of $1.5 billion in the six months ended June 30, 2021 compared to the six months ended June 30, 2020 primarily relates to lower commercial aerospace OEM sales of $0.8 billion and lower commercial aerospace aftermarket sales of $0.7 billion, including declines across all aftermarket sales channels. These decreases were primarily due to the change in the economic environment principally driven by the COVID-19 pandemic, which has resulted in lower flight hours, aircraft fleet utilization and commercial OEM deliveries. This decrease was partially offset by higher military sales of $0.1 billion.</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organic profit decrease of $0.1 billion in the six months ended June 30, 2021 compared to the six months ended June 30, 2020 is primarily due to lower commercial aerospace operating profit of $0.4 billion principally driven by the lower commercial aerospace aftermarket sales discussed above, partially offset by the absence of $144 million of significant unfavorable adjustments in the six months ended June 30, 2020 principally driven by the expected acceleration of fleet retirements of a certain aircraft and a $33 million favorable impact from a contract related matter in the quarter ended June 30, 2021. The organic profit decrease was also partially offset by lower Selling, general and administrative expenses of $0.2 billion primarily driven by the absence of a $99 million charge related to increased estimates of expected credit losses due to customer bankruptcies and additional allowances for credit losses in the six months ended June 30, 2020, and lower Research and development expenses of $0.1 billion, which includes the impact of cost reduction initiatives.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sales and operating profit due to acquisitions / divestitures, net primarily relates to the sale of our Collins Aerospace military GPS and space-based precision optics businesses in the third quarter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 Ended 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Six Months Ended June 30,</w:t>
            </w:r>
          </w:p>
        </w:tc>
        <w:tc>
          <w:tcPr>
            <w:tcW w:w="900" w:type="dxa"/>
            <w:vAlign w:val="bottom"/>
            <w:tcBorders>
              <w:bottom w:val="single" w:sz="8" w:color="auto"/>
            </w:tcBorders>
          </w:tcPr>
          <w:p>
            <w:pPr>
              <w:spacing w:after="0"/>
              <w:rPr>
                <w:sz w:val="16"/>
                <w:szCs w:val="16"/>
                <w:color w:val="auto"/>
              </w:rPr>
            </w:pPr>
          </w:p>
        </w:tc>
      </w:tr>
      <w:tr>
        <w:trPr>
          <w:trHeight w:val="186"/>
        </w:trPr>
        <w:tc>
          <w:tcPr>
            <w:tcW w:w="38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780" w:type="dxa"/>
            <w:vAlign w:val="bottom"/>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1880" w:type="dxa"/>
            <w:vAlign w:val="bottom"/>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6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4,280</w:t>
            </w:r>
          </w:p>
        </w:tc>
        <w:tc>
          <w:tcPr>
            <w:tcW w:w="6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3,487</w:t>
            </w:r>
          </w:p>
        </w:tc>
        <w:tc>
          <w:tcPr>
            <w:tcW w:w="3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 xml:space="preserve">23 %  </w:t>
            </w: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8,310</w:t>
            </w:r>
          </w:p>
        </w:tc>
        <w:tc>
          <w:tcPr>
            <w:tcW w:w="4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8,840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b w:val="1"/>
                <w:bCs w:val="1"/>
                <w:color w:val="auto"/>
              </w:rPr>
              <w:t>112</w:t>
            </w:r>
          </w:p>
        </w:tc>
        <w:tc>
          <w:tcPr>
            <w:tcW w:w="60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19"/>
                <w:szCs w:val="19"/>
                <w:color w:val="auto"/>
              </w:rPr>
            </w:pPr>
          </w:p>
        </w:tc>
        <w:tc>
          <w:tcPr>
            <w:tcW w:w="1340" w:type="dxa"/>
            <w:vAlign w:val="bottom"/>
          </w:tcPr>
          <w:p>
            <w:pPr>
              <w:jc w:val="right"/>
              <w:ind w:right="516"/>
              <w:spacing w:after="0"/>
              <w:rPr>
                <w:sz w:val="20"/>
                <w:szCs w:val="20"/>
                <w:color w:val="auto"/>
              </w:rPr>
            </w:pPr>
            <w:r>
              <w:rPr>
                <w:rFonts w:ascii="Arial" w:cs="Arial" w:eastAsia="Arial" w:hAnsi="Arial"/>
                <w:sz w:val="18"/>
                <w:szCs w:val="18"/>
                <w:color w:val="auto"/>
              </w:rPr>
              <w:t>NM</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132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040" w:type="dxa"/>
            <w:vAlign w:val="bottom"/>
          </w:tcPr>
          <w:p>
            <w:pPr>
              <w:jc w:val="right"/>
              <w:spacing w:after="0"/>
              <w:rPr>
                <w:sz w:val="20"/>
                <w:szCs w:val="20"/>
                <w:color w:val="auto"/>
              </w:rPr>
            </w:pPr>
            <w:r>
              <w:rPr>
                <w:rFonts w:ascii="Arial" w:cs="Arial" w:eastAsia="Arial" w:hAnsi="Arial"/>
                <w:sz w:val="18"/>
                <w:szCs w:val="18"/>
                <w:color w:val="auto"/>
              </w:rPr>
              <w:t>633 %</w:t>
            </w:r>
          </w:p>
        </w:tc>
        <w:tc>
          <w:tcPr>
            <w:tcW w:w="0" w:type="dxa"/>
            <w:vAlign w:val="bottom"/>
          </w:tcPr>
          <w:p>
            <w:pPr>
              <w:spacing w:after="0"/>
              <w:rPr>
                <w:sz w:val="1"/>
                <w:szCs w:val="1"/>
                <w:color w:val="auto"/>
              </w:rPr>
            </w:pPr>
          </w:p>
        </w:tc>
      </w:tr>
      <w:tr>
        <w:trPr>
          <w:trHeight w:val="236"/>
        </w:trPr>
        <w:tc>
          <w:tcPr>
            <w:tcW w:w="2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6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c>
          <w:tcPr>
            <w:tcW w:w="6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(13.1)%</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c>
          <w:tcPr>
            <w:tcW w:w="4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0.2 %</w:t>
            </w:r>
          </w:p>
        </w:tc>
        <w:tc>
          <w:tcPr>
            <w:tcW w:w="10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540" w:type="dxa"/>
            <w:vAlign w:val="bottom"/>
          </w:tcPr>
          <w:p>
            <w:pPr>
              <w:spacing w:after="0"/>
              <w:rPr>
                <w:sz w:val="20"/>
                <w:szCs w:val="20"/>
                <w:color w:val="auto"/>
              </w:rPr>
            </w:pPr>
            <w:r>
              <w:rPr>
                <w:rFonts w:ascii="Arial" w:cs="Arial" w:eastAsia="Arial" w:hAnsi="Arial"/>
                <w:sz w:val="14"/>
                <w:szCs w:val="14"/>
                <w:color w:val="auto"/>
              </w:rPr>
              <w:t>NM = Not Meaningful</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540" w:type="dxa"/>
            <w:vAlign w:val="bottom"/>
          </w:tcPr>
          <w:p>
            <w:pPr>
              <w:spacing w:after="0"/>
              <w:rPr>
                <w:sz w:val="24"/>
                <w:szCs w:val="24"/>
                <w:color w:val="auto"/>
              </w:rPr>
            </w:pPr>
          </w:p>
        </w:tc>
        <w:tc>
          <w:tcPr>
            <w:tcW w:w="6260" w:type="dxa"/>
            <w:vAlign w:val="bottom"/>
            <w:gridSpan w:val="8"/>
          </w:tcPr>
          <w:p>
            <w:pPr>
              <w:jc w:val="right"/>
              <w:ind w:right="70"/>
              <w:spacing w:after="0"/>
              <w:rPr>
                <w:sz w:val="20"/>
                <w:szCs w:val="20"/>
                <w:color w:val="auto"/>
              </w:rPr>
            </w:pPr>
            <w:r>
              <w:rPr>
                <w:rFonts w:ascii="Arial" w:cs="Arial" w:eastAsia="Arial" w:hAnsi="Arial"/>
                <w:sz w:val="18"/>
                <w:szCs w:val="18"/>
                <w:b w:val="1"/>
                <w:bCs w:val="1"/>
                <w:i w:val="1"/>
                <w:iCs w:val="1"/>
                <w:color w:val="auto"/>
                <w:w w:val="95"/>
              </w:rPr>
              <w:t>Quarter Ended June 30, 2021 Compared with Quarter Ended June 30, 2020</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w w:val="94"/>
              </w:rPr>
              <w:t>Factors Contributing to Total Change</w:t>
            </w: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540" w:type="dxa"/>
            <w:vAlign w:val="bottom"/>
            <w:vMerge w:val="restart"/>
          </w:tcPr>
          <w:p>
            <w:pPr>
              <w:ind w:left="440"/>
              <w:spacing w:after="0"/>
              <w:rPr>
                <w:sz w:val="20"/>
                <w:szCs w:val="20"/>
                <w:color w:val="auto"/>
              </w:rPr>
            </w:pPr>
            <w:r>
              <w:rPr>
                <w:rFonts w:ascii="Arial" w:cs="Arial" w:eastAsia="Arial" w:hAnsi="Arial"/>
                <w:sz w:val="14"/>
                <w:szCs w:val="14"/>
                <w:b w:val="1"/>
                <w:bCs w:val="1"/>
                <w:i w:val="1"/>
                <w:iCs w:val="1"/>
                <w:color w:val="auto"/>
              </w:rPr>
              <w:t>(dollars in millions)</w:t>
            </w:r>
          </w:p>
        </w:tc>
        <w:tc>
          <w:tcPr>
            <w:tcW w:w="600" w:type="dxa"/>
            <w:vAlign w:val="bottom"/>
          </w:tcPr>
          <w:p>
            <w:pPr>
              <w:spacing w:after="0"/>
              <w:rPr>
                <w:sz w:val="11"/>
                <w:szCs w:val="11"/>
                <w:color w:val="auto"/>
              </w:rPr>
            </w:pPr>
          </w:p>
        </w:tc>
        <w:tc>
          <w:tcPr>
            <w:tcW w:w="11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9"/>
                <w:szCs w:val="9"/>
                <w:b w:val="1"/>
                <w:bCs w:val="1"/>
                <w:color w:val="auto"/>
              </w:rPr>
              <w:t>(1)</w:t>
            </w:r>
          </w:p>
        </w:tc>
        <w:tc>
          <w:tcPr>
            <w:tcW w:w="2140" w:type="dxa"/>
            <w:vAlign w:val="bottom"/>
            <w:gridSpan w:val="3"/>
          </w:tcPr>
          <w:p>
            <w:pPr>
              <w:jc w:val="right"/>
              <w:ind w:right="590"/>
              <w:spacing w:after="0" w:line="135" w:lineRule="exact"/>
              <w:rPr>
                <w:sz w:val="20"/>
                <w:szCs w:val="20"/>
                <w:color w:val="auto"/>
              </w:rPr>
            </w:pPr>
            <w:r>
              <w:rPr>
                <w:rFonts w:ascii="Arial" w:cs="Arial" w:eastAsia="Arial" w:hAnsi="Arial"/>
                <w:sz w:val="14"/>
                <w:szCs w:val="14"/>
                <w:b w:val="1"/>
                <w:bCs w:val="1"/>
                <w:color w:val="auto"/>
              </w:rPr>
              <w:t>Acquisitions /</w:t>
            </w:r>
          </w:p>
        </w:tc>
        <w:tc>
          <w:tcPr>
            <w:tcW w:w="300" w:type="dxa"/>
            <w:vAlign w:val="bottom"/>
          </w:tcPr>
          <w:p>
            <w:pPr>
              <w:spacing w:after="0"/>
              <w:rPr>
                <w:sz w:val="11"/>
                <w:szCs w:val="11"/>
                <w:color w:val="auto"/>
              </w:rPr>
            </w:pPr>
          </w:p>
        </w:tc>
        <w:tc>
          <w:tcPr>
            <w:tcW w:w="1340" w:type="dxa"/>
            <w:vAlign w:val="bottom"/>
          </w:tcPr>
          <w:p>
            <w:pPr>
              <w:jc w:val="right"/>
              <w:ind w:right="316"/>
              <w:spacing w:after="0" w:line="135" w:lineRule="exact"/>
              <w:rPr>
                <w:sz w:val="20"/>
                <w:szCs w:val="20"/>
                <w:color w:val="auto"/>
              </w:rPr>
            </w:pPr>
            <w:r>
              <w:rPr>
                <w:rFonts w:ascii="Arial" w:cs="Arial" w:eastAsia="Arial" w:hAnsi="Arial"/>
                <w:sz w:val="14"/>
                <w:szCs w:val="14"/>
                <w:b w:val="1"/>
                <w:bCs w:val="1"/>
                <w:color w:val="auto"/>
              </w:rPr>
              <w:t>Restructuring</w:t>
            </w:r>
          </w:p>
        </w:tc>
        <w:tc>
          <w:tcPr>
            <w:tcW w:w="7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Total Change</w:t>
            </w:r>
          </w:p>
        </w:tc>
        <w:tc>
          <w:tcPr>
            <w:tcW w:w="0" w:type="dxa"/>
            <w:vAlign w:val="bottom"/>
          </w:tcPr>
          <w:p>
            <w:pPr>
              <w:spacing w:after="0"/>
              <w:rPr>
                <w:sz w:val="1"/>
                <w:szCs w:val="1"/>
                <w:color w:val="auto"/>
              </w:rPr>
            </w:pPr>
          </w:p>
        </w:tc>
      </w:tr>
      <w:tr>
        <w:trPr>
          <w:trHeight w:val="188"/>
        </w:trPr>
        <w:tc>
          <w:tcPr>
            <w:tcW w:w="25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Divestitures, net</w:t>
            </w: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Costs</w:t>
            </w: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3"/>
              </w:rPr>
              <w:t>744</w:t>
            </w:r>
          </w:p>
        </w:tc>
        <w:tc>
          <w:tcPr>
            <w:tcW w:w="7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Operating Profit</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3"/>
              </w:rPr>
              <w:t>437</w:t>
            </w:r>
          </w:p>
        </w:tc>
        <w:tc>
          <w:tcPr>
            <w:tcW w:w="7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123</w:t>
            </w: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49" w:lineRule="auto"/>
        <w:tabs>
          <w:tab w:leader="none" w:pos="328"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provide the organic change in net sales and operating profit for our segments. We believe that these measures are useful to investors because they provide transparency to the underlying performance of our business, which allows for better year-over-year comparability. The organic change excludes acquisitions and divestitures, net; restructuring costs; and the effect of foreign currency exchange rate translation fluctuations and other significant non-recurring and non-operational items (“Other”). A reconciliation of these measures to reported U.S. GAAP amounts is provided in the table above. For Pratt &amp; Whitney only, Other also includes the transactional impact of foreign exchange hedging at Pratt &amp; Whitney Canada due to its significance to Pratt &amp; Whitney’s overall operating results.</w:t>
      </w:r>
    </w:p>
    <w:p>
      <w:pPr>
        <w:spacing w:after="0" w:line="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organic sales increase of $0.7 billion in the quarter ended June 30, 2021 compared to the quarter ended June 30, 2020 primarily reflects higher commercial aftermarket sales of $0.6 billion, primarily due to an increase in shop visits and related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spare part sales, and higher commercial OEM sales of $0.2 billion, primarily due to an increase in commercial engine deliveries, all principally driven by recovery from the prior year’s unfavorable economic environment principally driven by the COVID-19 pandemic. Military sales were down slightly in the quarter ended June 30, 2021 compared to the quarter ended June 30, 2020.</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organic profit increase of $0.4 billion in the quarter ended June 30, 2021 compared to the quarter ended June 30, 2020 was primarily driven by higher commercial aerospace operating profit of $0.3 billion principally due to the aftermarket sales volume increase discussed above and favorable year-over-year EAC adjustments of $70 million, principally driven by $71 million of net unfavorable EAC adjustments in the quarter ended June 30, 2020 based on a portfolio review of our commercial aftermarket programs and a benefit resulting from a favorable contract modification on a commercial aftermarket program in the quarter ended June 30, 2021, both due to changes in estimated flight hours, number of shop visits and the related amount of costs, partially offset by an unfavorable net change in other EAC adjustments. The higher commercial aerospace operating profit was also driven by favorable mix. The organic profit increase also includes lower Selling, general and administrative expenses of $0.1 billion primarily driven by the absence of a $148 million charge related to increased estimates of expected credit losses due to customer bankruptcies and additional allowances for credit losses in the quarter ended June 30, 2020. Included in organic profit in the quarter ended June 30, 2020 was other income of $59 million related to foreign government wage subsidies due to COVID-19 and an unfavorable EAC adjustment of $44 million on a military program primarily driven by a shift in estimated overhead costs due to lower commercial engine activity.</w:t>
      </w:r>
    </w:p>
    <w:p>
      <w:pPr>
        <w:spacing w:after="0" w:line="74"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Six Months Ended June 30, 2021 Compared with Six Months Ended June 30,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Factors Contributing to Total Change</w:t>
            </w: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480" w:type="dxa"/>
            <w:vAlign w:val="bottom"/>
            <w:vMerge w:val="restart"/>
          </w:tcPr>
          <w:p>
            <w:pPr>
              <w:ind w:left="440"/>
              <w:spacing w:after="0"/>
              <w:rPr>
                <w:sz w:val="20"/>
                <w:szCs w:val="20"/>
                <w:color w:val="auto"/>
              </w:rPr>
            </w:pPr>
            <w:r>
              <w:rPr>
                <w:rFonts w:ascii="Arial" w:cs="Arial" w:eastAsia="Arial" w:hAnsi="Arial"/>
                <w:sz w:val="14"/>
                <w:szCs w:val="14"/>
                <w:b w:val="1"/>
                <w:bCs w:val="1"/>
                <w:i w:val="1"/>
                <w:iCs w:val="1"/>
                <w:color w:val="auto"/>
              </w:rPr>
              <w:t>(dollars in millions)</w:t>
            </w:r>
          </w:p>
        </w:tc>
        <w:tc>
          <w:tcPr>
            <w:tcW w:w="620" w:type="dxa"/>
            <w:vAlign w:val="bottom"/>
          </w:tcPr>
          <w:p>
            <w:pPr>
              <w:spacing w:after="0"/>
              <w:rPr>
                <w:sz w:val="11"/>
                <w:szCs w:val="11"/>
                <w:color w:val="auto"/>
              </w:rPr>
            </w:pPr>
          </w:p>
        </w:tc>
        <w:tc>
          <w:tcPr>
            <w:tcW w:w="12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520" w:type="dxa"/>
            <w:vAlign w:val="bottom"/>
          </w:tcPr>
          <w:p>
            <w:pPr>
              <w:spacing w:after="0"/>
              <w:rPr>
                <w:sz w:val="11"/>
                <w:szCs w:val="11"/>
                <w:color w:val="auto"/>
              </w:rPr>
            </w:pPr>
          </w:p>
        </w:tc>
        <w:tc>
          <w:tcPr>
            <w:tcW w:w="136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Acquisitions /</w:t>
            </w:r>
          </w:p>
        </w:tc>
        <w:tc>
          <w:tcPr>
            <w:tcW w:w="500" w:type="dxa"/>
            <w:vAlign w:val="bottom"/>
          </w:tcPr>
          <w:p>
            <w:pPr>
              <w:spacing w:after="0"/>
              <w:rPr>
                <w:sz w:val="11"/>
                <w:szCs w:val="11"/>
                <w:color w:val="auto"/>
              </w:rPr>
            </w:pPr>
          </w:p>
        </w:tc>
        <w:tc>
          <w:tcPr>
            <w:tcW w:w="1400" w:type="dxa"/>
            <w:vAlign w:val="bottom"/>
          </w:tcPr>
          <w:p>
            <w:pPr>
              <w:jc w:val="right"/>
              <w:ind w:right="379"/>
              <w:spacing w:after="0" w:line="135" w:lineRule="exact"/>
              <w:rPr>
                <w:sz w:val="20"/>
                <w:szCs w:val="20"/>
                <w:color w:val="auto"/>
              </w:rPr>
            </w:pPr>
            <w:r>
              <w:rPr>
                <w:rFonts w:ascii="Arial" w:cs="Arial" w:eastAsia="Arial" w:hAnsi="Arial"/>
                <w:sz w:val="14"/>
                <w:szCs w:val="14"/>
                <w:b w:val="1"/>
                <w:bCs w:val="1"/>
                <w:color w:val="auto"/>
              </w:rPr>
              <w:t>Restructuring</w:t>
            </w:r>
          </w:p>
        </w:tc>
        <w:tc>
          <w:tcPr>
            <w:tcW w:w="560" w:type="dxa"/>
            <w:vAlign w:val="bottom"/>
          </w:tcPr>
          <w:p>
            <w:pPr>
              <w:spacing w:after="0"/>
              <w:rPr>
                <w:sz w:val="11"/>
                <w:szCs w:val="11"/>
                <w:color w:val="auto"/>
              </w:rPr>
            </w:pPr>
          </w:p>
        </w:tc>
        <w:tc>
          <w:tcPr>
            <w:tcW w:w="9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Other</w:t>
            </w:r>
          </w:p>
        </w:tc>
        <w:tc>
          <w:tcPr>
            <w:tcW w:w="640" w:type="dxa"/>
            <w:vAlign w:val="bottom"/>
          </w:tcPr>
          <w:p>
            <w:pPr>
              <w:spacing w:after="0"/>
              <w:rPr>
                <w:sz w:val="11"/>
                <w:szCs w:val="11"/>
                <w:color w:val="auto"/>
              </w:rPr>
            </w:pPr>
          </w:p>
        </w:tc>
        <w:tc>
          <w:tcPr>
            <w:tcW w:w="1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Divestitures, net</w:t>
            </w:r>
          </w:p>
        </w:tc>
        <w:tc>
          <w:tcPr>
            <w:tcW w:w="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Costs</w:t>
            </w: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(608)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7"/>
        </w:trPr>
        <w:tc>
          <w:tcPr>
            <w:tcW w:w="24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Operating Profit</w:t>
            </w: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103</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22</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49" w:lineRule="auto"/>
        <w:tabs>
          <w:tab w:leader="none" w:pos="328"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provide the organic change in net sales and operating profit for our segments. We believe that these measures are useful to investors because they provide transparency to the underlying performance of our business, which allows for better year-over-year comparability. The organic change excludes acquisitions and divestitures, net; restructuring costs; and the effect of foreign currency exchange rate translation fluctuations and other significant non-recurring and non-operational items (“Other”). A reconciliation of these measures to reported U.S. GAAP amounts is provided in the table above. For Pratt &amp; Whitney only, Other also includes the transactional impact of foreign exchange hedging at Pratt &amp; Whitney Canada due to its significance to Pratt &amp; Whitney’s overall operating results.</w:t>
      </w:r>
    </w:p>
    <w:p>
      <w:pPr>
        <w:spacing w:after="0" w:line="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organic sales decrease of $0.6 billion in the six months ended June 30, 2021 compared to the six months ended June 30, 2020 primarily reflects lower commercial aftermarket sales of $0.3 billion, primarily due to a reduction in shop visits and related spare part sales, and lower commercial OEM sales of $0.3 billion, primarily due to a reduction in commercial engine deliveries, all principally driven by the change in the economic environment primarily due to the COVID-19 pandemic. Military sales were up slightly in the six months ended June 30, 2021 compared to the six months ended June 30, 2020.</w:t>
      </w:r>
    </w:p>
    <w:p>
      <w:pPr>
        <w:spacing w:after="0" w:line="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organic profit decrease of $11 million in the six months ended June 30, 2021 compared to the six months ended June 30, 2020 was primarily driven by lower commercial aerospace operating profit of $0.3 billion principally due to the aftermarket sales volume decrease discussed above and unfavorable mix, partially offset by favorable year-over-year EAC adjustments of $73 million principally driven by $71 million of net unfavorable EAC adjustments in the quarter ended June 30, 2020 based on a portfolio review of our commercial aftermarket programs and a benefit resulting from a favorable contract modification on a commercial aftermarket program in the quarter ended June 30, 2021, both due to changes in estimated flight hours, number of shop visits and the related amount of costs, partially offset by an unfavorable net change in other EAC adjustments. This decrease was partially offset by lower Selling, general and administrative expenses of $0.2 billion primarily driven by the absence of a $210 million charge related to increased estimates of expected credit losses due to customer bankruptcies and additional allowances for credit losses. Included in the change in organic profit was other income of $44 million in the six months ended June 30, 2021 and $59 million in the six months ended June 30, 2020 related to foreign government wage subsidies due to COVID-19 and an unfavorable EAC adjustment of $44 million in the quarter ended June 30, 2020 on a military program primarily driven by a shift in estimated overhead costs due to lower commercial engine activity.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In the six months ended June 30, 2021, Pratt &amp; Whitney had two notable defense bookings for $593 million in total for F-135 sustainment services.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Intelligence &amp; Space</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 Ended 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5"/>
              </w:rPr>
              <w:t>Six Months Ended June 30,</w:t>
            </w:r>
          </w:p>
        </w:tc>
        <w:tc>
          <w:tcPr>
            <w:tcW w:w="840" w:type="dxa"/>
            <w:vAlign w:val="bottom"/>
            <w:tcBorders>
              <w:bottom w:val="single" w:sz="8" w:color="auto"/>
            </w:tcBorders>
          </w:tcPr>
          <w:p>
            <w:pPr>
              <w:spacing w:after="0"/>
              <w:rPr>
                <w:sz w:val="16"/>
                <w:szCs w:val="16"/>
                <w:color w:val="auto"/>
              </w:rPr>
            </w:pPr>
          </w:p>
        </w:tc>
      </w:tr>
      <w:tr>
        <w:trPr>
          <w:trHeight w:val="186"/>
        </w:trPr>
        <w:tc>
          <w:tcPr>
            <w:tcW w:w="39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800" w:type="dxa"/>
            <w:vAlign w:val="bottom"/>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940" w:type="dxa"/>
            <w:vAlign w:val="bottom"/>
          </w:tcPr>
          <w:p>
            <w:pPr>
              <w:ind w:left="1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84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9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3,805</w:t>
            </w:r>
          </w:p>
        </w:tc>
        <w:tc>
          <w:tcPr>
            <w:tcW w:w="3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3,387</w:t>
            </w:r>
          </w:p>
        </w:tc>
        <w:tc>
          <w:tcPr>
            <w:tcW w:w="12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12 %</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7,570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rPr>
              <w:t>3,387</w:t>
            </w:r>
          </w:p>
        </w:tc>
        <w:tc>
          <w:tcPr>
            <w:tcW w:w="3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900" w:type="dxa"/>
            <w:vAlign w:val="bottom"/>
          </w:tcPr>
          <w:p>
            <w:pPr>
              <w:spacing w:after="0"/>
              <w:rPr>
                <w:sz w:val="19"/>
                <w:szCs w:val="19"/>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b w:val="1"/>
                <w:bCs w:val="1"/>
                <w:color w:val="auto"/>
              </w:rPr>
              <w:t>415</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ind w:right="135"/>
              <w:spacing w:after="0"/>
              <w:rPr>
                <w:sz w:val="20"/>
                <w:szCs w:val="20"/>
                <w:color w:val="auto"/>
              </w:rPr>
            </w:pPr>
            <w:r>
              <w:rPr>
                <w:rFonts w:ascii="Arial" w:cs="Arial" w:eastAsia="Arial" w:hAnsi="Arial"/>
                <w:sz w:val="18"/>
                <w:szCs w:val="18"/>
                <w:color w:val="auto"/>
                <w:w w:val="93"/>
              </w:rPr>
              <w:t>309</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34 %</w:t>
            </w:r>
          </w:p>
        </w:tc>
        <w:tc>
          <w:tcPr>
            <w:tcW w:w="1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b w:val="1"/>
                <w:bCs w:val="1"/>
                <w:color w:val="auto"/>
              </w:rPr>
              <w:t>803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ind w:right="773"/>
              <w:spacing w:after="0"/>
              <w:rPr>
                <w:sz w:val="20"/>
                <w:szCs w:val="20"/>
                <w:color w:val="auto"/>
              </w:rPr>
            </w:pPr>
            <w:r>
              <w:rPr>
                <w:rFonts w:ascii="Arial" w:cs="Arial" w:eastAsia="Arial" w:hAnsi="Arial"/>
                <w:sz w:val="18"/>
                <w:szCs w:val="18"/>
                <w:color w:val="auto"/>
              </w:rPr>
              <w:t>309</w:t>
            </w:r>
          </w:p>
        </w:tc>
        <w:tc>
          <w:tcPr>
            <w:tcW w:w="380" w:type="dxa"/>
            <w:vAlign w:val="bottom"/>
          </w:tcPr>
          <w:p>
            <w:pPr>
              <w:ind w:left="8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19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10.9 %</w:t>
            </w: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10.6 %</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9.1 %</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Bookings</w:t>
            </w:r>
          </w:p>
        </w:tc>
        <w:tc>
          <w:tcPr>
            <w:tcW w:w="1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3,952</w:t>
            </w:r>
          </w:p>
        </w:tc>
        <w:tc>
          <w:tcPr>
            <w:tcW w:w="3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8"/>
                <w:szCs w:val="18"/>
                <w:color w:val="auto"/>
              </w:rPr>
              <w:t>3,712</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7,678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rPr>
              <w:t>3,712</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366"/>
        </w:trPr>
        <w:tc>
          <w:tcPr>
            <w:tcW w:w="2420" w:type="dxa"/>
            <w:vAlign w:val="bottom"/>
          </w:tcPr>
          <w:p>
            <w:pPr>
              <w:spacing w:after="0"/>
              <w:rPr>
                <w:sz w:val="20"/>
                <w:szCs w:val="20"/>
                <w:color w:val="auto"/>
              </w:rPr>
            </w:pPr>
            <w:r>
              <w:rPr>
                <w:rFonts w:ascii="Arial" w:cs="Arial" w:eastAsia="Arial" w:hAnsi="Arial"/>
                <w:sz w:val="14"/>
                <w:szCs w:val="14"/>
                <w:color w:val="auto"/>
              </w:rPr>
              <w:t>NM = Not Meaningful</w:t>
            </w:r>
          </w:p>
        </w:tc>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420" w:type="dxa"/>
            <w:vAlign w:val="bottom"/>
          </w:tcPr>
          <w:p>
            <w:pPr>
              <w:spacing w:after="0"/>
              <w:rPr>
                <w:sz w:val="24"/>
                <w:szCs w:val="24"/>
                <w:color w:val="auto"/>
              </w:rPr>
            </w:pPr>
          </w:p>
        </w:tc>
        <w:tc>
          <w:tcPr>
            <w:tcW w:w="6560" w:type="dxa"/>
            <w:vAlign w:val="bottom"/>
            <w:gridSpan w:val="8"/>
          </w:tcPr>
          <w:p>
            <w:pPr>
              <w:jc w:val="right"/>
              <w:ind w:right="253"/>
              <w:spacing w:after="0"/>
              <w:rPr>
                <w:sz w:val="20"/>
                <w:szCs w:val="20"/>
                <w:color w:val="auto"/>
              </w:rPr>
            </w:pPr>
            <w:r>
              <w:rPr>
                <w:rFonts w:ascii="Arial" w:cs="Arial" w:eastAsia="Arial" w:hAnsi="Arial"/>
                <w:sz w:val="18"/>
                <w:szCs w:val="18"/>
                <w:b w:val="1"/>
                <w:bCs w:val="1"/>
                <w:i w:val="1"/>
                <w:iCs w:val="1"/>
                <w:color w:val="auto"/>
                <w:w w:val="97"/>
              </w:rPr>
              <w:t>Quarter Ended June 30, 2021 Compared with Quarter Ended June 30, 2020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6"/>
          </w:tcPr>
          <w:p>
            <w:pPr>
              <w:jc w:val="center"/>
              <w:ind w:right="293"/>
              <w:spacing w:after="0"/>
              <w:rPr>
                <w:sz w:val="20"/>
                <w:szCs w:val="20"/>
                <w:color w:val="auto"/>
              </w:rPr>
            </w:pPr>
            <w:r>
              <w:rPr>
                <w:rFonts w:ascii="Arial" w:cs="Arial" w:eastAsia="Arial" w:hAnsi="Arial"/>
                <w:sz w:val="14"/>
                <w:szCs w:val="14"/>
                <w:b w:val="1"/>
                <w:bCs w:val="1"/>
                <w:color w:val="auto"/>
                <w:w w:val="92"/>
              </w:rPr>
              <w:t>Factors Contributing to Total Change in Net Sales</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900" w:type="dxa"/>
            <w:vAlign w:val="bottom"/>
          </w:tcPr>
          <w:p>
            <w:pPr>
              <w:spacing w:after="0"/>
              <w:rPr>
                <w:sz w:val="11"/>
                <w:szCs w:val="11"/>
                <w:color w:val="auto"/>
              </w:rPr>
            </w:pPr>
          </w:p>
        </w:tc>
        <w:tc>
          <w:tcPr>
            <w:tcW w:w="122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jc w:val="center"/>
              <w:ind w:right="254"/>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140" w:type="dxa"/>
            <w:vAlign w:val="bottom"/>
          </w:tcPr>
          <w:p>
            <w:pPr>
              <w:spacing w:after="0"/>
              <w:rPr>
                <w:sz w:val="11"/>
                <w:szCs w:val="11"/>
                <w:color w:val="auto"/>
              </w:rPr>
            </w:pPr>
          </w:p>
        </w:tc>
        <w:tc>
          <w:tcPr>
            <w:tcW w:w="11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Change</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95"/>
              <w:spacing w:after="0"/>
              <w:rPr>
                <w:sz w:val="20"/>
                <w:szCs w:val="20"/>
                <w:color w:val="auto"/>
              </w:rPr>
            </w:pPr>
            <w:r>
              <w:rPr>
                <w:rFonts w:ascii="Arial" w:cs="Arial" w:eastAsia="Arial" w:hAnsi="Arial"/>
                <w:sz w:val="14"/>
                <w:szCs w:val="14"/>
                <w:b w:val="1"/>
                <w:bCs w:val="1"/>
                <w:color w:val="auto"/>
                <w:w w:val="91"/>
              </w:rPr>
              <w:t>Divestitures, net</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9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5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138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340" w:hanging="332"/>
        <w:spacing w:after="0" w:line="286" w:lineRule="auto"/>
        <w:tabs>
          <w:tab w:leader="none" w:pos="368"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provide the organic change in net sales for our segments. We believe that this measure is useful to investors because it provides transparency to the underlying performance of our business, which allows for better year-over-year comparability. The organic change excludes acquisitions and divestitures, net, and the effect of foreign currency exchange rate translation fluctuations and other significant non-recurring and non-operational items (“Other”). A reconciliation of this measure to the reported U.S. GAAP amount is provided in the table above.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w w:val="97"/>
              </w:rPr>
              <w:t>Factors Contributing to Change in Operating Profit</w:t>
            </w: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Volume</w:t>
            </w:r>
          </w:p>
        </w:tc>
        <w:tc>
          <w:tcPr>
            <w:tcW w:w="280" w:type="dxa"/>
            <w:vAlign w:val="bottom"/>
          </w:tcPr>
          <w:p>
            <w:pPr>
              <w:spacing w:after="0"/>
              <w:rPr>
                <w:sz w:val="11"/>
                <w:szCs w:val="11"/>
                <w:color w:val="auto"/>
              </w:rPr>
            </w:pPr>
          </w:p>
        </w:tc>
        <w:tc>
          <w:tcPr>
            <w:tcW w:w="1640" w:type="dxa"/>
            <w:vAlign w:val="bottom"/>
          </w:tcPr>
          <w:p>
            <w:pPr>
              <w:jc w:val="center"/>
              <w:ind w:right="144"/>
              <w:spacing w:after="0" w:line="135" w:lineRule="exact"/>
              <w:rPr>
                <w:sz w:val="20"/>
                <w:szCs w:val="20"/>
                <w:color w:val="auto"/>
              </w:rPr>
            </w:pPr>
            <w:r>
              <w:rPr>
                <w:rFonts w:ascii="Arial" w:cs="Arial" w:eastAsia="Arial" w:hAnsi="Arial"/>
                <w:sz w:val="14"/>
                <w:szCs w:val="14"/>
                <w:b w:val="1"/>
                <w:bCs w:val="1"/>
                <w:color w:val="auto"/>
                <w:w w:val="94"/>
              </w:rPr>
              <w:t>Net change in EAC</w:t>
            </w:r>
          </w:p>
        </w:tc>
        <w:tc>
          <w:tcPr>
            <w:tcW w:w="340" w:type="dxa"/>
            <w:vAlign w:val="bottom"/>
          </w:tcPr>
          <w:p>
            <w:pPr>
              <w:spacing w:after="0"/>
              <w:rPr>
                <w:sz w:val="11"/>
                <w:szCs w:val="11"/>
                <w:color w:val="auto"/>
              </w:rPr>
            </w:pPr>
          </w:p>
        </w:tc>
        <w:tc>
          <w:tcPr>
            <w:tcW w:w="160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20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2"/>
              </w:rPr>
              <w:t>adjustments</w:t>
            </w: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sales increase of $165 million in the quarter ended June 30, 2021 compared to the quarter ended June 30, 2020 was primarily driven by higher net sales of $64 million on certain Airborne Intelligence, Surveillance and Reconnaissance (ISR) programs within sensing and effects primarily due to increased production driven by customer demand, and higher volume of $45 million on certain classified cyber programs within cyber, training and services primarily due to increases in customer-determined activity levels.</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increase in operating profit of $106 million and the related increase in operating profit margins in the quarter ended June 30, 2021 compared to the quarter ended June 30, 2020, was primarily due to the net change in EAC adjustments of $53 million, which was spread across numerous programs and primarily a result of the Raytheon Merger and the associated reset to zero percent complete for contracts accounted for on a percentage of completion basis. Included in mix and other performance is a $18 million gain on a real estate transaction in the quarter ended June 30,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and operating profit due to acquisitions / divestitures, net primarily relates to the Raytheon Merger on April 3, 2020.</w:t>
      </w:r>
    </w:p>
    <w:p>
      <w:pPr>
        <w:spacing w:after="0" w:line="117"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Six Months Ended June 30, 2021 Compared with Six Months Ended June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4720" w:type="dxa"/>
            <w:vAlign w:val="bottom"/>
            <w:tcBorders>
              <w:bottom w:val="single" w:sz="8" w:color="auto"/>
            </w:tcBorders>
            <w:gridSpan w:val="5"/>
          </w:tcPr>
          <w:p>
            <w:pPr>
              <w:jc w:val="center"/>
              <w:ind w:left="362"/>
              <w:spacing w:after="0"/>
              <w:rPr>
                <w:sz w:val="20"/>
                <w:szCs w:val="20"/>
                <w:color w:val="auto"/>
              </w:rPr>
            </w:pPr>
            <w:r>
              <w:rPr>
                <w:rFonts w:ascii="Arial" w:cs="Arial" w:eastAsia="Arial" w:hAnsi="Arial"/>
                <w:sz w:val="14"/>
                <w:szCs w:val="14"/>
                <w:b w:val="1"/>
                <w:bCs w:val="1"/>
                <w:color w:val="auto"/>
                <w:w w:val="92"/>
              </w:rPr>
              <w:t>Factors Contributing to Total Change in Net Sales</w:t>
            </w:r>
          </w:p>
        </w:tc>
        <w:tc>
          <w:tcPr>
            <w:tcW w:w="4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jc w:val="center"/>
              <w:ind w:right="16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12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1"/>
              </w:rPr>
              <w:t>Divestitures, net</w:t>
            </w:r>
          </w:p>
        </w:tc>
        <w:tc>
          <w:tcPr>
            <w:tcW w:w="12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auto"/>
            </w:tcBorders>
            <w:shd w:val="clear" w:color="auto" w:fill="CCEEFF"/>
          </w:tcPr>
          <w:p>
            <w:pPr>
              <w:jc w:val="right"/>
              <w:ind w:right="104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3,995</w:t>
            </w:r>
          </w:p>
        </w:tc>
        <w:tc>
          <w:tcPr>
            <w:tcW w:w="128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40" w:hanging="332"/>
        <w:spacing w:after="0" w:line="286" w:lineRule="auto"/>
        <w:tabs>
          <w:tab w:leader="none" w:pos="368"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 provide the organic change in net sales for our segments. We believe that this measure is useful to investors because it provides transparency to the underlying performance of our business, which allows for better year-over-year comparability. The organic change excludes acquisitions and divestitures, net, and the effect of foreign currency exchange rate translation fluctuations and other significant non-recurring and non-operational items (“Other”). A reconciliation of this measure to the reported U.S. GAAP amount is provided in the table above.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Factors Contributing to Change in Operating Profit</w:t>
            </w: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Volume</w:t>
            </w:r>
          </w:p>
        </w:tc>
        <w:tc>
          <w:tcPr>
            <w:tcW w:w="1600" w:type="dxa"/>
            <w:vAlign w:val="bottom"/>
          </w:tcPr>
          <w:p>
            <w:pPr>
              <w:jc w:val="center"/>
              <w:ind w:left="304"/>
              <w:spacing w:after="0" w:line="135" w:lineRule="exact"/>
              <w:rPr>
                <w:sz w:val="20"/>
                <w:szCs w:val="20"/>
                <w:color w:val="auto"/>
              </w:rPr>
            </w:pPr>
            <w:r>
              <w:rPr>
                <w:rFonts w:ascii="Arial" w:cs="Arial" w:eastAsia="Arial" w:hAnsi="Arial"/>
                <w:sz w:val="14"/>
                <w:szCs w:val="14"/>
                <w:b w:val="1"/>
                <w:bCs w:val="1"/>
                <w:color w:val="auto"/>
                <w:w w:val="94"/>
              </w:rPr>
              <w:t>Net change in EAC</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20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92"/>
              </w:rPr>
              <w:t>adjustments</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w:t>
            </w:r>
          </w:p>
        </w:tc>
        <w:tc>
          <w:tcPr>
            <w:tcW w:w="1600" w:type="dxa"/>
            <w:vAlign w:val="bottom"/>
            <w:tcBorders>
              <w:bottom w:val="single" w:sz="8" w:color="auto"/>
            </w:tcBorders>
            <w:shd w:val="clear" w:color="auto" w:fill="CCEEFF"/>
          </w:tcPr>
          <w:p>
            <w:pPr>
              <w:jc w:val="right"/>
              <w:ind w:right="134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408</w:t>
            </w:r>
          </w:p>
        </w:tc>
        <w:tc>
          <w:tcPr>
            <w:tcW w:w="9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organic sales increase of $165 million in the six months ended June 30, 2021 compared to the six months ended June 30, 2020 was primarily driven by higher net sales of $64 million on certain Airborne Intelligence, Surveillance and Reconnaissance (ISR) programs within sensing and effects primarily due to increased production driven by customer demand, and higher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volume of $45 million on certain classified cyber programs within cyber, training and services primarily due to increases in customer-determined activity levels.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operating profit of $494 million and the related increase in operating profit margins in the six months ended June 30, 2021 compared to the six months ended June 30, 2020, was primarily the change in acquisitions / divestitures, net of $408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and operating profit due to acquisitions / divestitures, net primarily relates to the Raytheon Merger on April 3, 2020.</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Backlog and Bookings</w:t>
      </w:r>
      <w:r>
        <w:rPr>
          <w:rFonts w:ascii="Arial" w:cs="Arial" w:eastAsia="Arial" w:hAnsi="Arial"/>
          <w:sz w:val="17"/>
          <w:szCs w:val="17"/>
          <w:color w:val="auto"/>
        </w:rPr>
        <w:t>– Backlog was $19,442 million at June 30, 2021 and $19,166 million at December 31, 2020. In the quarter ended June 30, 2021, RIS</w:t>
      </w:r>
      <w:r>
        <w:rPr>
          <w:rFonts w:ascii="Arial" w:cs="Arial" w:eastAsia="Arial" w:hAnsi="Arial"/>
          <w:sz w:val="17"/>
          <w:szCs w:val="17"/>
          <w:i w:val="1"/>
          <w:iCs w:val="1"/>
          <w:color w:val="auto"/>
        </w:rPr>
        <w:t xml:space="preserve"> </w:t>
      </w:r>
      <w:r>
        <w:rPr>
          <w:rFonts w:ascii="Arial" w:cs="Arial" w:eastAsia="Arial" w:hAnsi="Arial"/>
          <w:sz w:val="17"/>
          <w:szCs w:val="17"/>
          <w:color w:val="auto"/>
        </w:rPr>
        <w:t>booked $1,112 million on a number of classified contracts, $365 million on the Standard Terminal Automation Replacement System (STARS) program for the Federal Aviation Administration (FAA), $211 million to provide additional upgrades to the Global Positioning System Next Generation Operational Control System (GPS OCX) program for the U.S. Air Force and $172 million on the Next Generation Jammer (NGJ) Mid-Band Low Rate Initial Production (LRIP) contract with the U.S. Navy. In addition to the bookings noted above, in the six months ended June 30, 2021, RIS booked $1,427 million on a number of classified contracts, $227 million on a missile warning and defense contract, $199 million on an international tactical airborne radar sustainment contract and $185 million on an international training contract with the U.K. Royal Navy.</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six months ended June 30, 2020, RIS booked $1,418 million on a number of classified contracts and $166 million on the Global Aircrew Strategic Network Terminal (Global ASNT) program for the U.S. Air Force.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Missiles &amp; Defense</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 Ended 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5"/>
              </w:rPr>
              <w:t>Six Months Ended June 30,</w:t>
            </w:r>
          </w:p>
        </w:tc>
        <w:tc>
          <w:tcPr>
            <w:tcW w:w="840" w:type="dxa"/>
            <w:vAlign w:val="bottom"/>
            <w:tcBorders>
              <w:bottom w:val="single" w:sz="8" w:color="auto"/>
            </w:tcBorders>
          </w:tcPr>
          <w:p>
            <w:pPr>
              <w:spacing w:after="0"/>
              <w:rPr>
                <w:sz w:val="16"/>
                <w:szCs w:val="16"/>
                <w:color w:val="auto"/>
              </w:rPr>
            </w:pPr>
          </w:p>
        </w:tc>
      </w:tr>
      <w:tr>
        <w:trPr>
          <w:trHeight w:val="186"/>
        </w:trPr>
        <w:tc>
          <w:tcPr>
            <w:tcW w:w="39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800" w:type="dxa"/>
            <w:vAlign w:val="bottom"/>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940" w:type="dxa"/>
            <w:vAlign w:val="bottom"/>
          </w:tcPr>
          <w:p>
            <w:pPr>
              <w:ind w:left="1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84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9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3,985</w:t>
            </w:r>
          </w:p>
        </w:tc>
        <w:tc>
          <w:tcPr>
            <w:tcW w:w="3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3,506</w:t>
            </w:r>
          </w:p>
        </w:tc>
        <w:tc>
          <w:tcPr>
            <w:tcW w:w="12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14 %</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7,778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rPr>
              <w:t>3,506</w:t>
            </w:r>
          </w:p>
        </w:tc>
        <w:tc>
          <w:tcPr>
            <w:tcW w:w="3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900" w:type="dxa"/>
            <w:vAlign w:val="bottom"/>
          </w:tcPr>
          <w:p>
            <w:pPr>
              <w:spacing w:after="0"/>
              <w:rPr>
                <w:sz w:val="19"/>
                <w:szCs w:val="19"/>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b w:val="1"/>
                <w:bCs w:val="1"/>
                <w:color w:val="auto"/>
              </w:rPr>
              <w:t>532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ind w:right="135"/>
              <w:spacing w:after="0"/>
              <w:rPr>
                <w:sz w:val="20"/>
                <w:szCs w:val="20"/>
                <w:color w:val="auto"/>
              </w:rPr>
            </w:pPr>
            <w:r>
              <w:rPr>
                <w:rFonts w:ascii="Arial" w:cs="Arial" w:eastAsia="Arial" w:hAnsi="Arial"/>
                <w:sz w:val="18"/>
                <w:szCs w:val="18"/>
                <w:color w:val="auto"/>
                <w:w w:val="99"/>
              </w:rPr>
              <w:t>398</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34 %</w:t>
            </w:r>
          </w:p>
        </w:tc>
        <w:tc>
          <w:tcPr>
            <w:tcW w:w="1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b w:val="1"/>
                <w:bCs w:val="1"/>
                <w:color w:val="auto"/>
              </w:rPr>
              <w:t>1,028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ind w:right="773"/>
              <w:spacing w:after="0"/>
              <w:rPr>
                <w:sz w:val="20"/>
                <w:szCs w:val="20"/>
                <w:color w:val="auto"/>
              </w:rPr>
            </w:pPr>
            <w:r>
              <w:rPr>
                <w:rFonts w:ascii="Arial" w:cs="Arial" w:eastAsia="Arial" w:hAnsi="Arial"/>
                <w:sz w:val="18"/>
                <w:szCs w:val="18"/>
                <w:color w:val="auto"/>
              </w:rPr>
              <w:t>398</w:t>
            </w:r>
          </w:p>
        </w:tc>
        <w:tc>
          <w:tcPr>
            <w:tcW w:w="380" w:type="dxa"/>
            <w:vAlign w:val="bottom"/>
          </w:tcPr>
          <w:p>
            <w:pPr>
              <w:ind w:left="8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19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13.4 %</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11.4 %</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13.2 %</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11.4 %</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Bookings</w:t>
            </w:r>
          </w:p>
        </w:tc>
        <w:tc>
          <w:tcPr>
            <w:tcW w:w="1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6,054</w:t>
            </w:r>
          </w:p>
        </w:tc>
        <w:tc>
          <w:tcPr>
            <w:tcW w:w="3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8"/>
                <w:szCs w:val="18"/>
                <w:color w:val="auto"/>
              </w:rPr>
              <w:t>4,109</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8,586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rPr>
              <w:t>4,109</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366"/>
        </w:trPr>
        <w:tc>
          <w:tcPr>
            <w:tcW w:w="2420" w:type="dxa"/>
            <w:vAlign w:val="bottom"/>
          </w:tcPr>
          <w:p>
            <w:pPr>
              <w:spacing w:after="0"/>
              <w:rPr>
                <w:sz w:val="20"/>
                <w:szCs w:val="20"/>
                <w:color w:val="auto"/>
              </w:rPr>
            </w:pPr>
            <w:r>
              <w:rPr>
                <w:rFonts w:ascii="Arial" w:cs="Arial" w:eastAsia="Arial" w:hAnsi="Arial"/>
                <w:sz w:val="14"/>
                <w:szCs w:val="14"/>
                <w:color w:val="auto"/>
              </w:rPr>
              <w:t>NM = Not Meaningful</w:t>
            </w:r>
          </w:p>
        </w:tc>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420" w:type="dxa"/>
            <w:vAlign w:val="bottom"/>
          </w:tcPr>
          <w:p>
            <w:pPr>
              <w:spacing w:after="0"/>
              <w:rPr>
                <w:sz w:val="24"/>
                <w:szCs w:val="24"/>
                <w:color w:val="auto"/>
              </w:rPr>
            </w:pPr>
          </w:p>
        </w:tc>
        <w:tc>
          <w:tcPr>
            <w:tcW w:w="6560" w:type="dxa"/>
            <w:vAlign w:val="bottom"/>
            <w:gridSpan w:val="8"/>
          </w:tcPr>
          <w:p>
            <w:pPr>
              <w:jc w:val="right"/>
              <w:ind w:right="253"/>
              <w:spacing w:after="0"/>
              <w:rPr>
                <w:sz w:val="20"/>
                <w:szCs w:val="20"/>
                <w:color w:val="auto"/>
              </w:rPr>
            </w:pPr>
            <w:r>
              <w:rPr>
                <w:rFonts w:ascii="Arial" w:cs="Arial" w:eastAsia="Arial" w:hAnsi="Arial"/>
                <w:sz w:val="18"/>
                <w:szCs w:val="18"/>
                <w:b w:val="1"/>
                <w:bCs w:val="1"/>
                <w:i w:val="1"/>
                <w:iCs w:val="1"/>
                <w:color w:val="auto"/>
                <w:w w:val="97"/>
              </w:rPr>
              <w:t>Quarter Ended June 30, 2021 Compared with Quarter Ended June 30, 2020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6"/>
          </w:tcPr>
          <w:p>
            <w:pPr>
              <w:jc w:val="center"/>
              <w:ind w:right="293"/>
              <w:spacing w:after="0"/>
              <w:rPr>
                <w:sz w:val="20"/>
                <w:szCs w:val="20"/>
                <w:color w:val="auto"/>
              </w:rPr>
            </w:pPr>
            <w:r>
              <w:rPr>
                <w:rFonts w:ascii="Arial" w:cs="Arial" w:eastAsia="Arial" w:hAnsi="Arial"/>
                <w:sz w:val="14"/>
                <w:szCs w:val="14"/>
                <w:b w:val="1"/>
                <w:bCs w:val="1"/>
                <w:color w:val="auto"/>
                <w:w w:val="92"/>
              </w:rPr>
              <w:t>Factors Contributing to Total Change in Net Sales</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900" w:type="dxa"/>
            <w:vAlign w:val="bottom"/>
          </w:tcPr>
          <w:p>
            <w:pPr>
              <w:spacing w:after="0"/>
              <w:rPr>
                <w:sz w:val="11"/>
                <w:szCs w:val="11"/>
                <w:color w:val="auto"/>
              </w:rPr>
            </w:pPr>
          </w:p>
        </w:tc>
        <w:tc>
          <w:tcPr>
            <w:tcW w:w="122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jc w:val="center"/>
              <w:ind w:right="254"/>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140" w:type="dxa"/>
            <w:vAlign w:val="bottom"/>
          </w:tcPr>
          <w:p>
            <w:pPr>
              <w:spacing w:after="0"/>
              <w:rPr>
                <w:sz w:val="11"/>
                <w:szCs w:val="11"/>
                <w:color w:val="auto"/>
              </w:rPr>
            </w:pPr>
          </w:p>
        </w:tc>
        <w:tc>
          <w:tcPr>
            <w:tcW w:w="11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Change</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left="115"/>
              <w:spacing w:after="0"/>
              <w:rPr>
                <w:sz w:val="20"/>
                <w:szCs w:val="20"/>
                <w:color w:val="auto"/>
              </w:rPr>
            </w:pPr>
            <w:r>
              <w:rPr>
                <w:rFonts w:ascii="Arial" w:cs="Arial" w:eastAsia="Arial" w:hAnsi="Arial"/>
                <w:sz w:val="14"/>
                <w:szCs w:val="14"/>
                <w:b w:val="1"/>
                <w:bCs w:val="1"/>
                <w:color w:val="auto"/>
                <w:w w:val="91"/>
              </w:rPr>
              <w:t>Divestitures, net</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9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5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138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340" w:hanging="332"/>
        <w:spacing w:after="0" w:line="286" w:lineRule="auto"/>
        <w:tabs>
          <w:tab w:leader="none" w:pos="368"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provide the organic change in net sales for our segments. We believe that this measure is useful to investors because it provides transparency to the underlying performance of our business, which allows for better year-over-year comparability. The organic change excludes acquisitions and divestitures, net, and the effect of foreign currency exchange rate translation fluctuations and other significant non-recurring and non-operational items (“Other”). A reconciliation of this measure to the reported U.S. GAAP amount is provided in the table above.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w w:val="97"/>
              </w:rPr>
              <w:t>Factors Contributing to Change in Operating Profit</w:t>
            </w: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Volume</w:t>
            </w:r>
          </w:p>
        </w:tc>
        <w:tc>
          <w:tcPr>
            <w:tcW w:w="280" w:type="dxa"/>
            <w:vAlign w:val="bottom"/>
          </w:tcPr>
          <w:p>
            <w:pPr>
              <w:spacing w:after="0"/>
              <w:rPr>
                <w:sz w:val="11"/>
                <w:szCs w:val="11"/>
                <w:color w:val="auto"/>
              </w:rPr>
            </w:pPr>
          </w:p>
        </w:tc>
        <w:tc>
          <w:tcPr>
            <w:tcW w:w="1640" w:type="dxa"/>
            <w:vAlign w:val="bottom"/>
          </w:tcPr>
          <w:p>
            <w:pPr>
              <w:jc w:val="center"/>
              <w:ind w:right="144"/>
              <w:spacing w:after="0" w:line="135" w:lineRule="exact"/>
              <w:rPr>
                <w:sz w:val="20"/>
                <w:szCs w:val="20"/>
                <w:color w:val="auto"/>
              </w:rPr>
            </w:pPr>
            <w:r>
              <w:rPr>
                <w:rFonts w:ascii="Arial" w:cs="Arial" w:eastAsia="Arial" w:hAnsi="Arial"/>
                <w:sz w:val="14"/>
                <w:szCs w:val="14"/>
                <w:b w:val="1"/>
                <w:bCs w:val="1"/>
                <w:color w:val="auto"/>
                <w:w w:val="94"/>
              </w:rPr>
              <w:t>Net change in EAC</w:t>
            </w:r>
          </w:p>
        </w:tc>
        <w:tc>
          <w:tcPr>
            <w:tcW w:w="340" w:type="dxa"/>
            <w:vAlign w:val="bottom"/>
          </w:tcPr>
          <w:p>
            <w:pPr>
              <w:spacing w:after="0"/>
              <w:rPr>
                <w:sz w:val="11"/>
                <w:szCs w:val="11"/>
                <w:color w:val="auto"/>
              </w:rPr>
            </w:pPr>
          </w:p>
        </w:tc>
        <w:tc>
          <w:tcPr>
            <w:tcW w:w="160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20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2"/>
              </w:rPr>
              <w:t>adjustments</w:t>
            </w: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25</w:t>
            </w:r>
          </w:p>
        </w:tc>
        <w:tc>
          <w:tcPr>
            <w:tcW w:w="9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organic sales increase of $259 million in the quarter ended June 30, 2021 compared to the quarter ended June 30, 2020 was primarily due to higher net sales of $92 million on an international Patriot program driven by a contract modification in the second quarter of 2021, which included the recognition of previously deferred precontract costs, and $66 million on the StormBreaker program primarily due to the recognition of previously deferred precontract costs based on a contract award in the second quarter of 2021. The change in organic sales also includes a decrease of $54 million related to sales on our direct commercial sales contracts for precision guided munitions with a certain Middle East customer that had been recognized in the quarter ended June 30, 2020, but subsequently reversed in the fourth quarter of 2020. We have not yet obtained regulatory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approval on these contracts, and we subsequently reversed these sales because we determined, due to then-current events, that it was no longer probable that we will be able to obtain regulatory approvals for these contracts.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increase in operating profit of $134 million and the related increase in operating profit margins in the quarter ended June 30, 2021 compared to the quarter ended June 30, 2020, was primarily due to a change in mix and other performance of $45 million, a net change in EAC adjustments of $43 million and a change in acquisitions / divestitures, net of $25 million. The change in mix and other performance was principally driven by activity on an international Patriot program as described above in organic sales. The net change in EAC adjustments was spread across numerous programs and primarily a result of the Raytheon Merger and the associated reset to zero percent complete for contracts accounted for on a percentage of completion basis.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and operating profit due to acquisitions / divestitures, net relates to the Raytheon Merger on April 3, 2020.</w:t>
      </w:r>
    </w:p>
    <w:p>
      <w:pPr>
        <w:spacing w:after="0" w:line="117"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Six Months Ended June 30, 2021 Compared with Six Months Ended June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4720" w:type="dxa"/>
            <w:vAlign w:val="bottom"/>
            <w:tcBorders>
              <w:bottom w:val="single" w:sz="8" w:color="auto"/>
            </w:tcBorders>
            <w:gridSpan w:val="5"/>
          </w:tcPr>
          <w:p>
            <w:pPr>
              <w:jc w:val="center"/>
              <w:ind w:left="362"/>
              <w:spacing w:after="0"/>
              <w:rPr>
                <w:sz w:val="20"/>
                <w:szCs w:val="20"/>
                <w:color w:val="auto"/>
              </w:rPr>
            </w:pPr>
            <w:r>
              <w:rPr>
                <w:rFonts w:ascii="Arial" w:cs="Arial" w:eastAsia="Arial" w:hAnsi="Arial"/>
                <w:sz w:val="14"/>
                <w:szCs w:val="14"/>
                <w:b w:val="1"/>
                <w:bCs w:val="1"/>
                <w:color w:val="auto"/>
                <w:w w:val="92"/>
              </w:rPr>
              <w:t>Factors Contributing to Total Change in Net Sales</w:t>
            </w:r>
          </w:p>
        </w:tc>
        <w:tc>
          <w:tcPr>
            <w:tcW w:w="4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jc w:val="center"/>
              <w:ind w:right="16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12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1"/>
              </w:rPr>
              <w:t>Divestitures, net</w:t>
            </w:r>
          </w:p>
        </w:tc>
        <w:tc>
          <w:tcPr>
            <w:tcW w:w="12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auto"/>
            </w:tcBorders>
            <w:shd w:val="clear" w:color="auto" w:fill="CCEEFF"/>
          </w:tcPr>
          <w:p>
            <w:pPr>
              <w:jc w:val="right"/>
              <w:ind w:right="104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3,999</w:t>
            </w:r>
          </w:p>
        </w:tc>
        <w:tc>
          <w:tcPr>
            <w:tcW w:w="128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340" w:hanging="332"/>
        <w:spacing w:after="0" w:line="286" w:lineRule="auto"/>
        <w:tabs>
          <w:tab w:leader="none" w:pos="368"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 provide the organic change in net sales for our segments. We believe that this measure is useful to investors because it provides transparency to the underlying performance of our business, which allows for better year-over-year comparability. The organic change excludes acquisitions and divestitures, net, and the effect of foreign currency exchange rate translation fluctuations and other significant non-recurring and non-operational items (“Other”). A reconciliation of this measure to the reported U.S. GAAP amount is provided in the table above.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Factors Contributing to Change in Operating Profit</w:t>
            </w: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Volume</w:t>
            </w:r>
          </w:p>
        </w:tc>
        <w:tc>
          <w:tcPr>
            <w:tcW w:w="1600" w:type="dxa"/>
            <w:vAlign w:val="bottom"/>
          </w:tcPr>
          <w:p>
            <w:pPr>
              <w:jc w:val="center"/>
              <w:ind w:left="304"/>
              <w:spacing w:after="0" w:line="135" w:lineRule="exact"/>
              <w:rPr>
                <w:sz w:val="20"/>
                <w:szCs w:val="20"/>
                <w:color w:val="auto"/>
              </w:rPr>
            </w:pPr>
            <w:r>
              <w:rPr>
                <w:rFonts w:ascii="Arial" w:cs="Arial" w:eastAsia="Arial" w:hAnsi="Arial"/>
                <w:sz w:val="14"/>
                <w:szCs w:val="14"/>
                <w:b w:val="1"/>
                <w:bCs w:val="1"/>
                <w:color w:val="auto"/>
                <w:w w:val="94"/>
              </w:rPr>
              <w:t>Net change in EAC</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1"/>
              </w:rPr>
              <w:t>Acquisitions /</w:t>
            </w:r>
          </w:p>
        </w:tc>
        <w:tc>
          <w:tcPr>
            <w:tcW w:w="20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92"/>
              </w:rPr>
              <w:t>adjustments</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w:t>
            </w:r>
          </w:p>
        </w:tc>
        <w:tc>
          <w:tcPr>
            <w:tcW w:w="1600" w:type="dxa"/>
            <w:vAlign w:val="bottom"/>
            <w:tcBorders>
              <w:bottom w:val="single" w:sz="8" w:color="auto"/>
            </w:tcBorders>
            <w:shd w:val="clear" w:color="auto" w:fill="CCEEFF"/>
          </w:tcPr>
          <w:p>
            <w:pPr>
              <w:jc w:val="right"/>
              <w:ind w:right="134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521</w:t>
            </w:r>
          </w:p>
        </w:tc>
        <w:tc>
          <w:tcPr>
            <w:tcW w:w="9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organic sales increase of $259 million in the six months ended June 30, 2021 compared to the six months ended June 30, 2020 was primarily due to higher net sales of $92 million on an international Patriot program driven by a contract modification in the second quarter of 2021, which included the recognition of previously deferred precontract costs, and $66 million on the StormBreaker program primarily due to the recognition of previously deferred precontract costs based on a contract award in the second quarter of 2021. The change in organic sales also includes a decrease of $54 million related to sales on our direct commercial sales contracts for precision guided munitions with a certain Middle East customer as discussed above.</w:t>
      </w:r>
    </w:p>
    <w:p>
      <w:pPr>
        <w:spacing w:after="0" w:line="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operating profit of $630 million and the related increase in operating profit margins in the six months ended June 30, 2021 compared to the six months ended June 30, 2020 was primarily due to a change in acquisitions / divestitures, net of $521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and operating profit due to acquisitions / divestitures, net relates to the Raytheon Merger on April 3, 2020.</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Backlog and Bookings</w:t>
      </w:r>
      <w:r>
        <w:rPr>
          <w:rFonts w:ascii="Arial" w:cs="Arial" w:eastAsia="Arial" w:hAnsi="Arial"/>
          <w:sz w:val="18"/>
          <w:szCs w:val="18"/>
          <w:color w:val="auto"/>
        </w:rPr>
        <w:t>– Backlog was $29,656 million at June 30, 2021 and $29,103 million at December 31, 2020. In the quarter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RMD booked approximately $2 billion for the Long Range Standoff (LRSO) Weapon System Engineering and Manufacturing Development (EMD) contract for the U.S. Air Force, $1,315 million for the Next Generation Interceptor (NGI) for the Missile Defense Agency (MDA), $327 million for AIM-9X Sidewinder short-range air-to-air missiles for the U.S. Navy and Air Force and international customers, $242 million on the Army Navy/Transportable Radar Surveillance-Model 2 (AN/TPY-2) radar program for the MDA, and $213 million for StormBreaker for the U.S. Air Force and Navy. In addition to the bookings noted above, in the six months ended June 30, 2021, RMD booked $518 million for Advanced Medium-Range Air-to-Air Missile (AMRAAM) for the U.S. Air Force and Navy and international customers and $247 million to provide Patriot engineering services support for the U.S. Army and international customers.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six months ended June 30, 2020, RMD booked $2,253 million on the AN/TPY-2 radar program for the Kingdom of Saudi Arabia (KSA) and $299 million for Standard Missile-3 (SM-3) for the MDA and an international customer.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non-reportable business segments, including Forcepoint, which was acquired as part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Raytheon Merger and subsequently disposed of on January 8, 2021, as further discussed in “Note 2: Acquisitions, Dispositions, Goodwill and Intangible Assets” within Item 1 of this Form 10-Q.</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4"/>
                <w:szCs w:val="14"/>
                <w:b w:val="1"/>
                <w:bCs w:val="1"/>
                <w:color w:val="auto"/>
                <w:w w:val="91"/>
              </w:rPr>
              <w:t>Net Sales</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Operating Profit</w:t>
            </w:r>
          </w:p>
        </w:tc>
        <w:tc>
          <w:tcPr>
            <w:tcW w:w="920" w:type="dxa"/>
            <w:vAlign w:val="bottom"/>
            <w:tcBorders>
              <w:bottom w:val="single" w:sz="8" w:color="auto"/>
            </w:tcBorders>
          </w:tcPr>
          <w:p>
            <w:pPr>
              <w:spacing w:after="0"/>
              <w:rPr>
                <w:sz w:val="16"/>
                <w:szCs w:val="16"/>
                <w:color w:val="auto"/>
              </w:rPr>
            </w:pPr>
          </w:p>
        </w:tc>
      </w:tr>
      <w:tr>
        <w:trPr>
          <w:trHeight w:val="186"/>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center"/>
              <w:ind w:right="255"/>
              <w:spacing w:after="0"/>
              <w:rPr>
                <w:sz w:val="20"/>
                <w:szCs w:val="20"/>
                <w:color w:val="auto"/>
              </w:rPr>
            </w:pPr>
            <w:r>
              <w:rPr>
                <w:rFonts w:ascii="Arial" w:cs="Arial" w:eastAsia="Arial" w:hAnsi="Arial"/>
                <w:sz w:val="14"/>
                <w:szCs w:val="14"/>
                <w:b w:val="1"/>
                <w:bCs w:val="1"/>
                <w:color w:val="auto"/>
                <w:w w:val="95"/>
              </w:rPr>
              <w:t>Quarter Ended June 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Quarter Ended June 30,</w:t>
            </w:r>
          </w:p>
        </w:tc>
      </w:tr>
      <w:tr>
        <w:trPr>
          <w:trHeight w:val="184"/>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 segment eliminations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5"/>
              </w:rPr>
              <w:t>(665)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non-reportable segments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8</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35"/>
              <w:spacing w:after="0"/>
              <w:rPr>
                <w:sz w:val="20"/>
                <w:szCs w:val="20"/>
                <w:color w:val="auto"/>
              </w:rPr>
            </w:pPr>
            <w:r>
              <w:rPr>
                <w:rFonts w:ascii="Arial" w:cs="Arial" w:eastAsia="Arial" w:hAnsi="Arial"/>
                <w:sz w:val="18"/>
                <w:szCs w:val="18"/>
                <w:color w:val="auto"/>
                <w:w w:val="93"/>
              </w:rPr>
              <w:t>144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95"/>
              </w:rPr>
              <w:t>(521)</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other non-reportable segment sales for the quarter ended June 30, 2021 compared to the quarter ended June 30, 2020, was primarily related to the sale of our Forcepoint business in the first quarter of 2021.</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Other non-reportable segment operating profit for the quarter ended June 30, 2021 was relatively consistent with the quarter ended June 30,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Net Sales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Operating Profit</w:t>
            </w:r>
          </w:p>
        </w:tc>
        <w:tc>
          <w:tcPr>
            <w:tcW w:w="920" w:type="dxa"/>
            <w:vAlign w:val="bottom"/>
            <w:tcBorders>
              <w:bottom w:val="single" w:sz="8" w:color="auto"/>
            </w:tcBorders>
          </w:tcPr>
          <w:p>
            <w:pPr>
              <w:spacing w:after="0"/>
              <w:rPr>
                <w:sz w:val="16"/>
                <w:szCs w:val="16"/>
                <w:color w:val="auto"/>
              </w:rPr>
            </w:pPr>
          </w:p>
        </w:tc>
      </w:tr>
      <w:tr>
        <w:trPr>
          <w:trHeight w:val="186"/>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 segment eliminations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(1,458)</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non-reportable segments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16</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(1,442)</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other non-reportable segment sales for the six months ended June 30, 2021 compared to the six months ended June 30, 2020, was primarily related to the sale of our Forcepoint business in the first quarter of 2021.</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Other non-reportable segments operating profit for the six months ended June 30, 2021 was relatively consistent with the six months ended June 30,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expenses and other unallocated items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Corporate expenses and other unallocated items consists of costs and certain other unallowable corporate costs not considered part of management’s evaluation of reportable segment operating performance including restructuring and merger costs related to the Raytheon Merger, net costs associated with corporate research and development, including the Lower Tier Air and Missile Defense Sensor (LTAMDS) program which was acquired as part of the Raytheon Merger, and certain reserves. See Restructuring Costs, above, for a more detailed discussion of our restructuring costs.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Quarter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231"/>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14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14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Corporate expenses and other unallocated items of $128 million for the quarter ended June 30, 2021 compared to the quarter ended June 30, 2020 was primarily driven by lower restructuring costs of $109 million and a decrease in merger-related costs related to the Raytheon Merger of $70 million, partially offset by other unallocated items with no individual or common significant driver.</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Corporate expenses and other unallocated items of $177 million for the six months ended June 30, 2021 compared to the six months ended June 30, 2020 was primarily driven by lower restructuring costs of $106 million and a decrease in merger-related costs related to the Raytheon Merger of $82 million, partially offset by an increase in net expenses related to the LTAMDS project.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results of RIS and RMD include pension and PRB expense as determined under U.S. government CAS, which we generally recover through the pricing of our products and services to the U.S. government. The difference between our CAS expense and the FAS service cost attributable to these segments under U.S. GAAP is the FAS/CAS operating adjustment. The FAS/CAS operating adjustment results in consolidated pension expense in operating profit equal to the service cost component of FAS expense under U.S. GAAP. The segment results of Collins Aerospace and Pratt &amp; Whitney generally include FAS service cost.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FAS/CAS operating adjustment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Quarter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 service cost (expense)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(101)</w:t>
            </w:r>
          </w:p>
        </w:tc>
        <w:tc>
          <w:tcPr>
            <w:tcW w:w="114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(109)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715"/>
              <w:spacing w:after="0"/>
              <w:rPr>
                <w:sz w:val="20"/>
                <w:szCs w:val="20"/>
                <w:color w:val="auto"/>
              </w:rPr>
            </w:pPr>
            <w:r>
              <w:rPr>
                <w:rFonts w:ascii="Arial" w:cs="Arial" w:eastAsia="Arial" w:hAnsi="Arial"/>
                <w:sz w:val="18"/>
                <w:szCs w:val="18"/>
                <w:color w:val="auto"/>
                <w:w w:val="95"/>
              </w:rPr>
              <w:t>(109)</w:t>
            </w:r>
          </w:p>
        </w:tc>
      </w:tr>
      <w:tr>
        <w:trPr>
          <w:trHeight w:val="22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 expense</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526</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3"/>
              </w:rPr>
              <w:t>465</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1,050</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86"/>
              </w:rPr>
              <w:t>465</w:t>
            </w: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425</w:t>
            </w:r>
          </w:p>
        </w:tc>
        <w:tc>
          <w:tcPr>
            <w:tcW w:w="114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356</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848</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center"/>
              <w:ind w:left="735"/>
              <w:spacing w:after="0"/>
              <w:rPr>
                <w:sz w:val="20"/>
                <w:szCs w:val="20"/>
                <w:color w:val="auto"/>
              </w:rPr>
            </w:pPr>
            <w:r>
              <w:rPr>
                <w:rFonts w:ascii="Arial" w:cs="Arial" w:eastAsia="Arial" w:hAnsi="Arial"/>
                <w:sz w:val="18"/>
                <w:szCs w:val="18"/>
                <w:color w:val="auto"/>
                <w:w w:val="86"/>
              </w:rPr>
              <w:t>356</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our FAS/CAS operating adjustment of $69 million in the quarter ended June 30, 2021 compared to the quarter ended June 30, 2020 was driven by a $61 million increase in CAS expense, as well as a $8 million decrease in FAS service cost. The increase in CAS expense was primarily due to the Raytheon Merger on April 3, 2020, and to a lesser extent, changes in actuarial assumptions.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our FAS/CAS operating adjustment of $492 million in the six months ended June 30, 2021 compared to the six months ended June 30, 2020 was driven by a $585 million increase in CAS expense, partially offset by a $93 million increase in FAS service cost both primarily due to the inclusion of the Raytheon Company plans as a result of the Raytheon Merger.</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economic environment resulting from the COVID-19 pandemic, Congress passed the American Rescue Plan Act of 2021 (ARPA) in March 2021, which included pension funding relief provisions. These provisions extend and expand upon existing pension funding relief, most notably by increasing the liability interest rates used to determine the required cash contributions for our U.S. qualified pension plans. As a result, we expect required cash contributions to our U.S. qualified pension plans to be reduced beginning in 2022.</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ARPA pension funding relief provisions are expected to result in decreases to CAS expense, and the related recovery under our contracts, for our U.S. qualified pension plans beginning in 2022 as the interest rates used to determine pension funding requirements for these plans are also used in determining CAS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accounting adjustments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 These adjustments are not considered part of management’s evaluation of segment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 accounting adjustments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ind w:left="320"/>
              <w:spacing w:after="0"/>
              <w:rPr>
                <w:sz w:val="20"/>
                <w:szCs w:val="20"/>
                <w:color w:val="auto"/>
              </w:rPr>
            </w:pPr>
            <w:r>
              <w:rPr>
                <w:rFonts w:ascii="Arial" w:cs="Arial" w:eastAsia="Arial" w:hAnsi="Arial"/>
                <w:sz w:val="14"/>
                <w:szCs w:val="14"/>
                <w:b w:val="1"/>
                <w:bCs w:val="1"/>
                <w:color w:val="auto"/>
              </w:rPr>
              <w:t>Quarter Ended June 30,</w:t>
            </w:r>
          </w:p>
        </w:tc>
        <w:tc>
          <w:tcPr>
            <w:tcW w:w="320" w:type="dxa"/>
            <w:vAlign w:val="bottom"/>
          </w:tcPr>
          <w:p>
            <w:pPr>
              <w:spacing w:after="0"/>
              <w:rPr>
                <w:sz w:val="16"/>
                <w:szCs w:val="16"/>
                <w:color w:val="auto"/>
              </w:rPr>
            </w:pPr>
          </w:p>
        </w:tc>
        <w:tc>
          <w:tcPr>
            <w:tcW w:w="24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Amortization of acquired intangibles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(1,179)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property, plant and equipment fair value adjustment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6"/>
        </w:trPr>
        <w:tc>
          <w:tcPr>
            <w:tcW w:w="5640" w:type="dxa"/>
            <w:vAlign w:val="bottom"/>
          </w:tcPr>
          <w:p>
            <w:pPr>
              <w:ind w:left="20"/>
              <w:spacing w:after="0" w:line="176" w:lineRule="exact"/>
              <w:rPr>
                <w:sz w:val="20"/>
                <w:szCs w:val="20"/>
                <w:color w:val="auto"/>
              </w:rPr>
            </w:pPr>
            <w:r>
              <w:rPr>
                <w:rFonts w:ascii="Arial" w:cs="Arial" w:eastAsia="Arial" w:hAnsi="Arial"/>
                <w:sz w:val="18"/>
                <w:szCs w:val="18"/>
                <w:color w:val="auto"/>
                <w:w w:val="96"/>
              </w:rPr>
              <w:t>Amortization of customer contractual obligations related to acquired loss-</w:t>
            </w:r>
          </w:p>
        </w:tc>
        <w:tc>
          <w:tcPr>
            <w:tcW w:w="300" w:type="dxa"/>
            <w:vAlign w:val="bottom"/>
          </w:tcPr>
          <w:p>
            <w:pPr>
              <w:spacing w:after="0"/>
              <w:rPr>
                <w:sz w:val="15"/>
                <w:szCs w:val="15"/>
                <w:color w:val="auto"/>
              </w:rPr>
            </w:pPr>
          </w:p>
        </w:tc>
        <w:tc>
          <w:tcPr>
            <w:tcW w:w="10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117</w:t>
            </w:r>
          </w:p>
        </w:tc>
        <w:tc>
          <w:tcPr>
            <w:tcW w:w="3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207</w:t>
            </w:r>
          </w:p>
        </w:tc>
        <w:tc>
          <w:tcPr>
            <w:tcW w:w="3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making and below-market contracts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405"/>
        </w:trPr>
        <w:tc>
          <w:tcPr>
            <w:tcW w:w="7000" w:type="dxa"/>
            <w:vAlign w:val="bottom"/>
            <w:gridSpan w:val="3"/>
          </w:tcPr>
          <w:p>
            <w:pPr>
              <w:spacing w:after="0"/>
              <w:rPr>
                <w:sz w:val="20"/>
                <w:szCs w:val="20"/>
                <w:color w:val="auto"/>
              </w:rPr>
            </w:pPr>
            <w:r>
              <w:rPr>
                <w:rFonts w:ascii="Arial" w:cs="Arial" w:eastAsia="Arial" w:hAnsi="Arial"/>
                <w:sz w:val="18"/>
                <w:szCs w:val="18"/>
                <w:color w:val="auto"/>
                <w:w w:val="95"/>
              </w:rPr>
              <w:t>Acquisition accounting adjustments related to acquisitions in each segment were as follows: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ind w:left="320"/>
              <w:spacing w:after="0"/>
              <w:rPr>
                <w:sz w:val="20"/>
                <w:szCs w:val="20"/>
                <w:color w:val="auto"/>
              </w:rPr>
            </w:pPr>
            <w:r>
              <w:rPr>
                <w:rFonts w:ascii="Arial" w:cs="Arial" w:eastAsia="Arial" w:hAnsi="Arial"/>
                <w:sz w:val="14"/>
                <w:szCs w:val="14"/>
                <w:b w:val="1"/>
                <w:bCs w:val="1"/>
                <w:color w:val="auto"/>
              </w:rPr>
              <w:t>Quarter Ended June 30,</w:t>
            </w:r>
          </w:p>
        </w:tc>
        <w:tc>
          <w:tcPr>
            <w:tcW w:w="320" w:type="dxa"/>
            <w:vAlign w:val="bottom"/>
          </w:tcPr>
          <w:p>
            <w:pPr>
              <w:spacing w:after="0"/>
              <w:rPr>
                <w:sz w:val="18"/>
                <w:szCs w:val="18"/>
                <w:color w:val="auto"/>
              </w:rPr>
            </w:pPr>
          </w:p>
        </w:tc>
        <w:tc>
          <w:tcPr>
            <w:tcW w:w="24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 and 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Acquisition accounting adjustments of $3,226 million for the quarter ended June 30, 2021 compared to the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quarter ended June 30, 2020, was primarily driven by the $3.2 billion goodwill impairment loss in the second quarter of 2020 related to two Collins Aerospace reporting units. Included in Acquisitions accounting adjustments in the quarter ended June 30, 2021 was $69 million of amortization of customer contractual obligations due to the accelerated liquidation of a below-market contract reserve at Collins Aerospace driven by the termination of a customer contract and $19 million of amortization of the property, plant and equipment fair value adjustment related to the sale of real estate at RIS. Refer to “Note 2: Acquisitions, Dispositions, Goodwill and Intangible Assets” within Item 1 of this Form 10-Q for additional information on the goodwill impairment loss.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change in the Acquisition accounting adjustments of $2,981 million for the six months ended June 30, 2021 compared to the six months ended June 30, 2020, is primarily driven by the $3.2 billion goodwill impairment loss in the second quarter of 2020 related to two Collins Aerospace reporting units, partially offset by an increase of $361 million for acquisition accounting adjustments related to the Raytheon Merger, primarily due to the timing of the merger in the prior year. Included in Acquisition accounting adjustments in the six months ended June 30, 2021 was $116 million of amortization of customer contractual obligations due to the accelerated liquidation of below-market contract reserves at Collins Aerospace driven by the termination of two customer contracts.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8,051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8,802</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380" w:type="dxa"/>
            <w:vAlign w:val="bottom"/>
          </w:tcPr>
          <w:p>
            <w:pPr>
              <w:spacing w:after="0"/>
              <w:rPr>
                <w:sz w:val="19"/>
                <w:szCs w:val="19"/>
                <w:color w:val="auto"/>
              </w:rPr>
            </w:pPr>
          </w:p>
        </w:tc>
        <w:tc>
          <w:tcPr>
            <w:tcW w:w="1520" w:type="dxa"/>
            <w:vAlign w:val="bottom"/>
          </w:tcPr>
          <w:p>
            <w:pPr>
              <w:jc w:val="right"/>
              <w:ind w:right="213"/>
              <w:spacing w:after="0"/>
              <w:rPr>
                <w:sz w:val="20"/>
                <w:szCs w:val="20"/>
                <w:color w:val="auto"/>
              </w:rPr>
            </w:pPr>
            <w:r>
              <w:rPr>
                <w:rFonts w:ascii="Arial" w:cs="Arial" w:eastAsia="Arial" w:hAnsi="Arial"/>
                <w:sz w:val="18"/>
                <w:szCs w:val="18"/>
                <w:b w:val="1"/>
                <w:bCs w:val="1"/>
                <w:color w:val="auto"/>
              </w:rPr>
              <w:t>31,482</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31,823</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72,721</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73,852</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Total capitalization (total debt plus total equity)</w:t>
            </w:r>
          </w:p>
        </w:tc>
        <w:tc>
          <w:tcPr>
            <w:tcW w:w="2380" w:type="dxa"/>
            <w:vAlign w:val="bottom"/>
          </w:tcPr>
          <w:p>
            <w:pPr>
              <w:spacing w:after="0"/>
              <w:rPr>
                <w:sz w:val="19"/>
                <w:szCs w:val="19"/>
                <w:color w:val="auto"/>
              </w:rPr>
            </w:pPr>
          </w:p>
        </w:tc>
        <w:tc>
          <w:tcPr>
            <w:tcW w:w="1520" w:type="dxa"/>
            <w:vAlign w:val="bottom"/>
          </w:tcPr>
          <w:p>
            <w:pPr>
              <w:jc w:val="right"/>
              <w:ind w:right="213"/>
              <w:spacing w:after="0"/>
              <w:rPr>
                <w:sz w:val="20"/>
                <w:szCs w:val="20"/>
                <w:color w:val="auto"/>
              </w:rPr>
            </w:pPr>
            <w:r>
              <w:rPr>
                <w:rFonts w:ascii="Arial" w:cs="Arial" w:eastAsia="Arial" w:hAnsi="Arial"/>
                <w:sz w:val="18"/>
                <w:szCs w:val="18"/>
                <w:b w:val="1"/>
                <w:bCs w:val="1"/>
                <w:color w:val="auto"/>
              </w:rPr>
              <w:t>104,203</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105,675</w:t>
            </w:r>
          </w:p>
        </w:tc>
      </w:tr>
      <w:tr>
        <w:trPr>
          <w:trHeight w:val="236"/>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 to total capitalization</w:t>
            </w:r>
          </w:p>
        </w:tc>
        <w:tc>
          <w:tcPr>
            <w:tcW w:w="23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30 %</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 We had $6.84 billion available under our various credit facilities at June 30, 2021.</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our business has been and will continue to be impacted by COVID-19, as discussed above in Business Overview, we currently believe we have sufficient liquidity to withstand the potential impacts.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2021, we had cash and cash equivalents of $8.1 billion, of which approximately 54% was held by RTC’s foreign subsidiaries. We manage our worldwide cash requirements by reviewing available funds among the many subsidiaries through which we conduct our business and the cost effectiveness with which those funds can be accessed. The Company does not intend to reinvest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RTC will continue to permanently reinvest these earnings. We did not repatriate cash in the six months ended June 30,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Historically, our strong credit ratings and financial position have enabled us to issue long-term debt at favorable interest rates.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June 30, 2021, our maximum commercial paper borrowing limit was $5.0 billion as the commercial paper is backed by our $5.0 billion revolving credit agreement. We had $160 million of commercial paper borrowings as of June 30, 2021. The maximum amount of short-term commercial paper borrowings outstanding at any point in time during the six months ended June 30, 2021 was $660 million. We use our commercial paper borrowings for general corporate purposes, including the funding of potential acquisitions, pension contributions, debt refinancing, dividend payments and repurchases of our common stock. The commercial paper notes outstanding have original maturities of not more than 90 days from the date of issuance.</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2021, we renewed our $2.0 billion revolving credit agreement, which now expires in May 2022. As of June 30, 2021, we had revolving credit agreements with various banks permitting aggregate borrowings of up to $7.0 billion consisting of a $5.0 billion revolving credit agreement that became available upon completion of the Raytheon Merger on April 3, 2020, and the $2.0 billion revolving credit agreement that we renewed in May 2021 and there were no borrowings outstanding under these agreements.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 existing universal shelf registration statement, which we filed with the Securities and Exchange Commission (SEC) on September 27, 2019, for an indeterminate amount of debt and equity securities for future issuance, subject to our internal limitations on the amount of debt to be issued under this shelf registration statement.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offered a voluntary supply chain finance (SCF) program with a global financial institution which enables our suppliers, at their sole discretion, to sell their receivables from the Company to the financial institution at a rate that leverages our credit rating, which might be beneficial to them. Our suppliers’ participation in the SCF program does not impact or change our terms and conditions with those suppliers, and therefore, we have no economic interest in a supplier’s decision to participate in the program. In addition, we provide no guarantees or otherwise pay for any of the costs of the program incurred by those suppliers that choose to participate, and have no direct financial relationship with the financial institution, as it relates to the program. As such, amounts due to suppliers that have elected to participate in the SCF program are included in Accounts payable on our Condensed Consolidated Balance Sheet and all payment activity related to amounts due to suppliers that elected to participate in the SCF program are reflected in cash flows from operating activities in our Condensed Consolidated Statement of Cash Flows. As of June 30, 2021, and December 31, 2020, the amount due to suppliers participating in the SCF program and included in Accounts payable was approximately $406 million and $394 million, respectively. The SCF program does not impact our overall liquidity.</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our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Six Months Ended June 30,</w:t>
            </w: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 from continuing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2,049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3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operating activities from discontinued operations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r>
    </w:tbl>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Operating Activities - Continuing Operations. </w:t>
      </w:r>
      <w:r>
        <w:rPr>
          <w:rFonts w:ascii="Arial" w:cs="Arial" w:eastAsia="Arial" w:hAnsi="Arial"/>
          <w:sz w:val="17"/>
          <w:szCs w:val="17"/>
          <w:color w:val="auto"/>
        </w:rPr>
        <w:t>Cash generated by operating activities from continuing operations in the six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was $707 million higher than the same period in 2020. This increase was primarily due to higher net income after adjustments for depreciation and amortization, deferred income tax provision, stock compensation costs, net periodic pension and other postretirement benefit and the goodwill impairment charge, totaling $2.1 billion, partially offset by an unfavorable change in working capital at the RIS and RMD segments in the first quarter of 2021, with no comparable activity in the first quarter of 2020 as a result of the Raytheon Merger. This unfavorable change in working capital at RIS and RMD includes a cash outflow for accounts payable and accrued liabilities due to the timing of incentive compensation payments. Included in the increase in cash flows provided by operating activities was a reduction of accounts receivables and accounts payable in the prior year at Collins Aerospace and Pratt &amp; Whitney due to a decline in volume principally driven by the current economic environment primarily driven by COVID-19, and an increase in current year contract assets principally driven by the timing of billings at Pratt &amp; Whitney.</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enters into various factoring agreements with third-party financial institutions to sell certain of its receivables. Factoring activity resulted in an increase in cash flows provided by operating activities of $0.8 billion during the six months ended June 30, 2021, as compared to a decrease in cash flows provided by operating activities of $1.2 billion during the six months ended June 30, 2020. The year over year increase in factoring activity was primarily due to the higher sales volume in 2021 as compared to 2020, and includes amounts factored on certain aerospace receivables performed at the customer request for which we are compensated by the customer for the extended collection cycle.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made the following contributions to our U.S. qualified and international defined benefit plans and PRB plans: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qualified defined benefit plans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International defined benefit plans</w:t>
            </w:r>
          </w:p>
        </w:tc>
        <w:tc>
          <w:tcPr>
            <w:tcW w:w="3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b w:val="1"/>
                <w:bCs w:val="1"/>
                <w:color w:val="auto"/>
              </w:rPr>
              <w:t>21</w:t>
            </w:r>
          </w:p>
        </w:tc>
        <w:tc>
          <w:tcPr>
            <w:tcW w:w="42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42</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PRB plans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25</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42</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make total contributions of approximately $50 million to our international defined benefit plans in 2021, which are expected to meet or exceed the current funding requirements.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economic environment resulting from the COVID-19 pandemic, Congress passed ARPA in March 2021, which included pension funding relief provisions. These provisions extend and expand upon existing pension funding relief, most notably by increasing the liability interest rates used to determine the required cash contributions for our U.S. qualified pension plans. As a result, we expect required cash contributions to our U.S. qualified pension plans to be reduced beginning in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made net tax payments of $618 million and $37 million in the six months ended June 30, 2021 and 2020, respectively.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Activities - Discontinued Operations. </w:t>
      </w:r>
      <w:r>
        <w:rPr>
          <w:rFonts w:ascii="Arial" w:cs="Arial" w:eastAsia="Arial" w:hAnsi="Arial"/>
          <w:sz w:val="18"/>
          <w:szCs w:val="18"/>
          <w:color w:val="auto"/>
        </w:rPr>
        <w:t>The $637 million change in cash used in operating activities from discontinued operations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compared to June 30, 2020 was primarily driven by the absence of separation costs in 2021 as the Separation Transactions occurred on April 3,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investing activities from continuing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239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r>
      <w:tr>
        <w:trPr>
          <w:trHeight w:val="23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investing activities from discontinued operations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investing activities primarily include capital expenditures, cash investments in customer financing assets, investments/dispositions of businesses, payments related to our collaboration intangible assets and contractual rights to provide product on new aircraft platforms, and settlements of derivative contracts not designated as hedging instruments.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 Continuing Operations. </w:t>
      </w:r>
      <w:r>
        <w:rPr>
          <w:rFonts w:ascii="Arial" w:cs="Arial" w:eastAsia="Arial" w:hAnsi="Arial"/>
          <w:sz w:val="18"/>
          <w:szCs w:val="18"/>
          <w:color w:val="auto"/>
        </w:rPr>
        <w:t>The $1,817 million change in cash flows provided by investing activities from continuing operations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compared to June 30, 2020 primarily relates to the prior year Raytheon Merger in which cash of $3.2 billion was acquired on April 3, 2020, partially offset by the sale of our Forcepoint business and the timing of our derivative contract settlements, both of which are described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Additions to property, plant and equipment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r>
      <w:tr>
        <w:trPr>
          <w:trHeight w:val="18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r>
      <w:tr>
        <w:trPr>
          <w:trHeight w:val="231"/>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(747)</w:t>
            </w:r>
          </w:p>
        </w:tc>
        <w:tc>
          <w:tcPr>
            <w:tcW w:w="100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bl>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Capital expenditures for the six months ended June 30, 2021 decreased by $36 million from the six months ended June 30, 2020. The reductions in capital expenditures at Collins Aerospace and Pratt &amp; Whitney were partially offset by an increase in capital expenditures driven by the Raytheon Merger.</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Dispositions of businesses in the six months ended June 30, 2021 was $1.1 billion, net of cash transferred and related to the sale of our Forcepoint business. Dispositions of businesses in the six months ended June 30, 2020 were $234 million and related to the sale of our airborne tactical radios business. For additional detail, see “Note 2: Acquisitions, Dispositions, Goodwill and Intangible Assets” within Item 1 of this Form 10-Q.</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to customer financing assets was a use of cash of $133 million and $188 million in six months ended June 30, 2021 and 2020, respectively. This decline is due to fewer engines added in the six months ended 2021 compared to 2020. These increases were partially offset by decreases in customer financing assets, which provided a source of cash of $31 million in the six months ended June 30, 2021 compared to $59 million in the six months ended June 30, 2020, driven by fewer sales of customer financing assets.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we increased our collaboration intangible assets by $60 million, which primarily relates to payments made under our 2012 agreement to acquire Rolls-Royce’s collaboration interests in International Aero Engines AG (IAE).</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discussed in “Note 13: Financial Instruments” within Item 1 of this Form 10-Q, 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six months ended June 30, 2021 and 2020, we had net cash receipts of $50 million and net cash payments of $286 million, respectively, from the settlement of these derivative instruments not designated as hedging instruments.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Investing Activities - Discontinued Operations. </w:t>
      </w:r>
      <w:r>
        <w:rPr>
          <w:rFonts w:ascii="Arial" w:cs="Arial" w:eastAsia="Arial" w:hAnsi="Arial"/>
          <w:sz w:val="17"/>
          <w:szCs w:val="17"/>
          <w:color w:val="auto"/>
        </w:rPr>
        <w:t>The $241 million decrease in cash used in investing activities from discontinued operations in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compared to the six months ended June 30, 2020 is primarily driven by outflows from short-term investment activity of $160 million and capital expenditures of $87 million in 2020 which did not recur in 2021, as the Separation Transactions occurred on April 3,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in financing activities from 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37"/>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(used in) financing activities from discontinued operations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24</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Our financing activities primarily include the issuance and repayment of short-term and long-term debt, payment of dividends and stock repurchases.</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Financing Activities - Continuing Operations. </w:t>
      </w:r>
      <w:r>
        <w:rPr>
          <w:rFonts w:ascii="Arial" w:cs="Arial" w:eastAsia="Arial" w:hAnsi="Arial"/>
          <w:sz w:val="17"/>
          <w:szCs w:val="17"/>
          <w:color w:val="auto"/>
        </w:rPr>
        <w:t>Financing activities were a cash outflow of $3.1 billion in the six months ended June 30, 2021 compared to a</w:t>
      </w:r>
      <w:r>
        <w:rPr>
          <w:rFonts w:ascii="Arial" w:cs="Arial" w:eastAsia="Arial" w:hAnsi="Arial"/>
          <w:sz w:val="17"/>
          <w:szCs w:val="17"/>
          <w:i w:val="1"/>
          <w:iCs w:val="1"/>
          <w:color w:val="auto"/>
        </w:rPr>
        <w:t xml:space="preserve"> </w:t>
      </w:r>
      <w:r>
        <w:rPr>
          <w:rFonts w:ascii="Arial" w:cs="Arial" w:eastAsia="Arial" w:hAnsi="Arial"/>
          <w:sz w:val="17"/>
          <w:szCs w:val="17"/>
          <w:color w:val="auto"/>
        </w:rPr>
        <w:t>cash outflow of $1.3 billion in the six months ended June 30, 2020. This change is driven by the absence of distributions from discontinued operations, net of repayments of long-term debt related to the Spin Transactions of $2.2 billion in the six months ended June 30, 2020, the absence of the issuance of long-term debt of $2.0 billion in the six months ended June 30, 2020 and an increase in share repurchases of $960 million, a decrease in short-term borrowing repayments of $2.0 billion and a $1.9 billion change in net cash transfers to discontinued operations.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Refer to “Note 9: Borrowings and Lines of Credit” within Item 1 of this Form 10-Q for additional information on debt issuances and repayments.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2021, management had remaining authority to repurchase approximately $4.0 billion of our common stock under the December 7, 2020 share repurchase program. Under this program, shares may be purchased on the open market, in privately negotiated transactions, under accelerated share repurchase programs, and under plans complying with Rules 10b5-1 and 10b-18 under the Exchange Act. We may also reacquire shares outside of the program from time to time in connection with the surrender of shares to cover taxes on vesting of restricted stock and as required under our employee savings plan. Our ability to repurchase shares is subject to applicable law.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share repurchases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8"/>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shares in thousands)</w:t>
            </w:r>
          </w:p>
        </w:tc>
        <w:tc>
          <w:tcPr>
            <w:tcW w:w="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r>
      <w:tr>
        <w:trPr>
          <w:trHeight w:val="183"/>
        </w:trPr>
        <w:tc>
          <w:tcPr>
            <w:tcW w:w="59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Shares</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Shares</w:t>
            </w:r>
          </w:p>
        </w:tc>
      </w:tr>
      <w:tr>
        <w:trPr>
          <w:trHeight w:val="231"/>
        </w:trPr>
        <w:tc>
          <w:tcPr>
            <w:tcW w:w="5920" w:type="dxa"/>
            <w:vAlign w:val="bottom"/>
            <w:tcBorders>
              <w:bottom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Shares of Common Stock repurchased </w:t>
            </w:r>
            <w:r>
              <w:rPr>
                <w:rFonts w:ascii="Arial" w:cs="Arial" w:eastAsia="Arial" w:hAnsi="Arial"/>
                <w:sz w:val="23"/>
                <w:szCs w:val="23"/>
                <w:color w:val="auto"/>
                <w:vertAlign w:val="superscript"/>
              </w:rPr>
              <w:t>(1)</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b w:val="1"/>
                <w:bCs w:val="1"/>
                <w:color w:val="auto"/>
                <w:w w:val="97"/>
              </w:rPr>
              <w:t>1,020</w:t>
            </w:r>
          </w:p>
        </w:tc>
        <w:tc>
          <w:tcPr>
            <w:tcW w:w="11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b w:val="1"/>
                <w:bCs w:val="1"/>
                <w:color w:val="auto"/>
              </w:rPr>
              <w:t>12,642</w:t>
            </w:r>
          </w:p>
        </w:tc>
        <w:tc>
          <w:tcPr>
            <w:tcW w:w="10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47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Share repurchases of $1,020 million in the six months ended June 30, 2021 includes $13 million of repurchases that settled in the third quarter of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authorized the following cash dividends: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88"/>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per share of Common Stock</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0.985</w:t>
            </w:r>
          </w:p>
        </w:tc>
        <w:tc>
          <w:tcPr>
            <w:tcW w:w="10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1.210</w:t>
            </w:r>
          </w:p>
        </w:tc>
      </w:tr>
      <w:tr>
        <w:trPr>
          <w:trHeight w:val="237"/>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dividends paid</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1,461</w:t>
            </w:r>
          </w:p>
        </w:tc>
        <w:tc>
          <w:tcPr>
            <w:tcW w:w="10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1,338</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21, 2021 the Board of Directors declared a dividend of $0.51 per share payable September 9, 2021 to shareowners of record at the close of business on August 20, 2021.</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 Discontinued Operations. </w:t>
      </w:r>
      <w:r>
        <w:rPr>
          <w:rFonts w:ascii="Arial" w:cs="Arial" w:eastAsia="Arial" w:hAnsi="Arial"/>
          <w:sz w:val="18"/>
          <w:szCs w:val="18"/>
          <w:color w:val="auto"/>
        </w:rPr>
        <w:t>The $1,505 million increase in cash provided by (used in) financing activities from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six months ended June 30, 2021 compared to June 30, 2020 is driven by a $1.9 billion change in net transfer activity, partially offset by $703 million of debt extinguishment costs related to the early repayment of debt in the six months ended June 30, 2020 which did not recur in the six months ended June 30, 2021.</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six months ended June 30, 2021. For discussion of our exposure to market risk, refer to Part II, Item 7A, “Quantitative and Qualitative Disclosures About Market Risk,” contained in our 2020 Form 10-K.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President and Chief Executive Officer (CEO), the Executive Vice President and Chief Financial Officer (CFO) and the Vice President and Assistant Controller (Acting Controller), of the effectiveness of the design and operation of our disclosure controls and procedures as of June 30, 2021.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Acting Controller concluded that, as of June 30, 2021,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applicable rules and forms, and that it is accumulated and communicated to our management, including our CEO, CFO and Acting Controller, as appropriate, to allow timely decisions regarding required disclosure.</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payments and rates, research and development spending, other measures of financial performance, potential future plans, strategies or transactions, credit ratings and net indebtedness, the Raytheon Merger or the Separation Transactions, including estimated synergies and customer cost savings resulting from the Raytheon Merger and the anticipated benefits and costs of the Separation Transactions and other statements that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6" w:lineRule="exact"/>
        <w:rPr>
          <w:sz w:val="20"/>
          <w:szCs w:val="20"/>
          <w:color w:val="auto"/>
        </w:rPr>
      </w:pPr>
    </w:p>
    <w:p>
      <w:pPr>
        <w:jc w:val="both"/>
        <w:ind w:left="660" w:hanging="328"/>
        <w:spacing w:after="0" w:line="265"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effect of economic conditions in the industries and countries in which Raytheon Technologies Corporation (RTC) operates in the U.S. and globally and any changes therein, including financial market conditions, fluctuations in commodity prices, interest rates and foreign currency exchange rates, levels of end-customer demand in both the commercial and defense segments of the aerospace industry, levels of air travel, financial condition of commercial airlines, the impact of pandemic health issues (including the impact of the coronavirus disease 2019 (COVID-19) pandemic on global air travel and commercial and business activities which have not yet fully recovered to pre-pandemic levels, and that the timing and extent of such recovery may be impacted by factors including the distributions, acceptance and efficacy of vaccines, emerging coronavirus variants and additional outbreaks), aviation safety concerns, weather conditions and natural disasters, the financial condition of our customers and suppliers, and the risks associated with U.S. government sales (including changes or shifts in defense spending due to budgetary constraints, spending cuts resulting from sequestration or the allocation of funds to governmental responses to COVID-19, a government shutdown, or otherwise, and uncertain funding of programs);</w:t>
      </w:r>
    </w:p>
    <w:p>
      <w:pPr>
        <w:spacing w:after="0" w:line="1" w:lineRule="exact"/>
        <w:rPr>
          <w:rFonts w:ascii="Arial" w:cs="Arial" w:eastAsia="Arial" w:hAnsi="Arial"/>
          <w:sz w:val="17"/>
          <w:szCs w:val="17"/>
          <w:color w:val="auto"/>
        </w:rPr>
      </w:pPr>
    </w:p>
    <w:p>
      <w:pPr>
        <w:ind w:left="660" w:right="20" w:hanging="328"/>
        <w:spacing w:after="0" w:line="265"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challenges in the development, production, delivery, support, performance, safety, regulatory compliance and realization of the anticipated benefits (including our expected returns under customer contracts) of advanced technologies and new products and services;</w:t>
      </w:r>
    </w:p>
    <w:p>
      <w:pPr>
        <w:jc w:val="both"/>
        <w:ind w:left="660" w:hanging="328"/>
        <w:spacing w:after="0" w:line="265"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scope, nature, impact or timing of acquisition and divestiture activity, including among other things the integration of United Technologies Corporation (UTC) and Raytheon Company’s businesses and the integration of RTC with other businesses acquired before and after the Raytheon Merger, and realization of synergies and opportunities for growth and innovation and incurrence of related costs and expenses, including the possibility that the anticipated benefits from the combination of UTC and Raytheon Company’s businesses or other acquired businesses cannot be realized in full or may take longer to realize than expected, or the possibility that costs or difficulties related to the integration of UTC’s businesses with Raytheon Company’s or other acquired businesses will be greater than expected or may not result in the achievement of estimated synergies within the contemplated time frame or at all;</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RTC’s levels of indebtedness, capital spending and research and development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scope of future repurchases by RTC of its common stock, which are subject to a number of uncertainties and may be discontinued, accelerated, suspended or delayed at any time due to various factors, including market conditions and the level of other investing activities and uses of cash;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 (including the potential termination of U.S. government contracts and performance under undefinitized contract actions and the potential inability to recover termination costs);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realize the intended benefits of organizational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RTC and its businesses operate,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line="258" w:lineRule="auto"/>
        <w:rPr>
          <w:sz w:val="20"/>
          <w:szCs w:val="20"/>
          <w:color w:val="auto"/>
        </w:rPr>
      </w:pPr>
      <w:r>
        <w:rPr>
          <w:rFonts w:ascii="Arial" w:cs="Arial" w:eastAsia="Arial" w:hAnsi="Arial"/>
          <w:sz w:val="18"/>
          <w:szCs w:val="18"/>
          <w:color w:val="auto"/>
        </w:rPr>
        <w:t>including the effect of changes in U.S. trade policies, on general market conditions, global trade policies and currency exchange rates in the near term and beyond;</w:t>
      </w:r>
    </w:p>
    <w:p>
      <w:pPr>
        <w:spacing w:after="0" w:line="1" w:lineRule="exact"/>
        <w:rPr>
          <w:sz w:val="20"/>
          <w:szCs w:val="20"/>
          <w:color w:val="auto"/>
        </w:rPr>
      </w:pPr>
    </w:p>
    <w:p>
      <w:pPr>
        <w:ind w:left="66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changes in policy positions or priorities that emerge from a new U.S. Administration, including changes in the U.S. Department of Defense (DoD) policies or priorities;</w:t>
      </w:r>
    </w:p>
    <w:p>
      <w:pPr>
        <w:jc w:val="both"/>
        <w:ind w:left="66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and other laws and regulations (including, among other things, export and import requirements such as the International Traffic in Arms Regulations and the Export Administration Regulations, anti-bribery and anti-corruption requirements, including the Foreign Corrupt Practices Act, industrial cooperation agreement obligations, and procurement and other regulations) in the U.S. and other countries in which RTC and its businesses operate;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RTC to retain and hire key personnel and the ability of our personnel to continue to operate our facilities and businesses around the world in light of, among other factors, the COVID-19 pandemic; and</w:t>
      </w:r>
    </w:p>
    <w:p>
      <w:pPr>
        <w:ind w:left="660" w:hanging="328"/>
        <w:spacing w:after="0" w:line="26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intended qualification of (1) the Raytheon Merger as a tax-free reorganization and (2) the Separation Transactions and other internal restructurings as tax-free to UTC and former UTC shareowners, in each case, for U.S. federal income tax purposes.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addition, this Form 10-Q includes important information as to risks, uncertainties and other factors that may cause actual results to differ materially from those expressed or implied in the forward-looking statements. See “Note 17: Commitments and Contingencies” within Item 1 of this Form 10-Q and “Management’s Discussion and Analysis of Financial Condition and Results of Operations” under the headings “Results of Operations,” “Restructuring Costs”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“Critical Accounting Estimates,” “Environmental Matters” and “Governmental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w:t>
      </w:r>
      <w:r>
        <w:rPr>
          <w:rFonts w:ascii="Arial" w:cs="Arial" w:eastAsia="Arial" w:hAnsi="Arial"/>
          <w:sz w:val="16"/>
          <w:szCs w:val="16"/>
          <w:color w:val="212529"/>
        </w:rPr>
        <w:t>Securities and Exchange Commission (SEC)</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17: Commitments and Contingencies” within Item 1 of this Form 10-Q for a discussion regarding material legal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2020 Annual Report on Form 10-K.</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carefully review and consider the information regarding certain factors which could materially affect our business, financial condition or future results set forth under Item 1A. in our 2020 Annual Report on Form 10-K (2020 Form 10-K). There have been no material changes from the factors disclosed in our 2020 Form 10-K, although we may disclose changes to such factors or disclose additional factors from time to time in our future filings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our purchases of equity securities that are registered by us pursuant to Section 12 of the Exchange Act during the quarter ended June 30,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92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720" w:type="dxa"/>
            <w:vAlign w:val="bottom"/>
            <w:vMerge w:val="restart"/>
          </w:tcPr>
          <w:p>
            <w:pPr>
              <w:jc w:val="center"/>
              <w:ind w:left="698"/>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1920" w:type="dxa"/>
            <w:vAlign w:val="bottom"/>
            <w:gridSpan w:val="2"/>
          </w:tcPr>
          <w:p>
            <w:pPr>
              <w:jc w:val="center"/>
              <w:ind w:left="37"/>
              <w:spacing w:after="0" w:line="135"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3"/>
              </w:rPr>
              <w:t>Average Price Paid per</w:t>
            </w: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as Part of a Publicly</w:t>
            </w:r>
          </w:p>
        </w:tc>
        <w:tc>
          <w:tcPr>
            <w:tcW w:w="320" w:type="dxa"/>
            <w:vAlign w:val="bottom"/>
          </w:tcPr>
          <w:p>
            <w:pPr>
              <w:spacing w:after="0"/>
              <w:rPr>
                <w:sz w:val="11"/>
                <w:szCs w:val="11"/>
                <w:color w:val="auto"/>
              </w:rPr>
            </w:pPr>
          </w:p>
        </w:tc>
        <w:tc>
          <w:tcPr>
            <w:tcW w:w="16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35"/>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2021</w:t>
            </w:r>
          </w:p>
        </w:tc>
        <w:tc>
          <w:tcPr>
            <w:tcW w:w="2720" w:type="dxa"/>
            <w:vAlign w:val="bottom"/>
          </w:tcPr>
          <w:p>
            <w:pPr>
              <w:jc w:val="center"/>
              <w:ind w:left="678"/>
              <w:spacing w:after="0" w:line="135" w:lineRule="exact"/>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Announced Program</w:t>
            </w:r>
          </w:p>
        </w:tc>
        <w:tc>
          <w:tcPr>
            <w:tcW w:w="320" w:type="dxa"/>
            <w:vAlign w:val="bottom"/>
          </w:tcPr>
          <w:p>
            <w:pPr>
              <w:spacing w:after="0"/>
              <w:rPr>
                <w:sz w:val="11"/>
                <w:szCs w:val="11"/>
                <w:color w:val="auto"/>
              </w:rPr>
            </w:pPr>
          </w:p>
        </w:tc>
        <w:tc>
          <w:tcPr>
            <w:tcW w:w="160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88"/>
        </w:trPr>
        <w:tc>
          <w:tcPr>
            <w:tcW w:w="2320" w:type="dxa"/>
            <w:vAlign w:val="bottom"/>
            <w:tcBorders>
              <w:bottom w:val="single" w:sz="8" w:color="auto"/>
            </w:tcBorders>
            <w:vMerge w:val="continue"/>
          </w:tcPr>
          <w:p>
            <w:pPr>
              <w:spacing w:after="0"/>
              <w:rPr>
                <w:sz w:val="16"/>
                <w:szCs w:val="16"/>
                <w:color w:val="auto"/>
              </w:rPr>
            </w:pPr>
          </w:p>
        </w:tc>
        <w:tc>
          <w:tcPr>
            <w:tcW w:w="2720" w:type="dxa"/>
            <w:vAlign w:val="bottom"/>
            <w:tcBorders>
              <w:bottom w:val="single" w:sz="8" w:color="auto"/>
            </w:tcBorders>
          </w:tcPr>
          <w:p>
            <w:pPr>
              <w:jc w:val="center"/>
              <w:ind w:left="678"/>
              <w:spacing w:after="0"/>
              <w:rPr>
                <w:sz w:val="20"/>
                <w:szCs w:val="20"/>
                <w:color w:val="auto"/>
              </w:rPr>
            </w:pPr>
            <w:r>
              <w:rPr>
                <w:rFonts w:ascii="Arial" w:cs="Arial" w:eastAsia="Arial" w:hAnsi="Arial"/>
                <w:sz w:val="14"/>
                <w:szCs w:val="14"/>
                <w:b w:val="1"/>
                <w:bCs w:val="1"/>
                <w:color w:val="auto"/>
                <w:w w:val="90"/>
              </w:rPr>
              <w:t>(000’s)</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Share</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(000’s)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 April 30</w:t>
            </w:r>
          </w:p>
        </w:tc>
        <w:tc>
          <w:tcPr>
            <w:tcW w:w="272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723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82.96</w:t>
            </w:r>
          </w:p>
        </w:tc>
        <w:tc>
          <w:tcPr>
            <w:tcW w:w="22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723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May 1 - May 31</w:t>
            </w:r>
          </w:p>
        </w:tc>
        <w:tc>
          <w:tcPr>
            <w:tcW w:w="2720" w:type="dxa"/>
            <w:vAlign w:val="bottom"/>
          </w:tcPr>
          <w:p>
            <w:pPr>
              <w:jc w:val="right"/>
              <w:ind w:right="98"/>
              <w:spacing w:after="0"/>
              <w:rPr>
                <w:sz w:val="20"/>
                <w:szCs w:val="20"/>
                <w:color w:val="auto"/>
              </w:rPr>
            </w:pPr>
            <w:r>
              <w:rPr>
                <w:rFonts w:ascii="Arial" w:cs="Arial" w:eastAsia="Arial" w:hAnsi="Arial"/>
                <w:sz w:val="18"/>
                <w:szCs w:val="18"/>
                <w:color w:val="auto"/>
              </w:rPr>
              <w:t>3,564</w:t>
            </w:r>
          </w:p>
        </w:tc>
        <w:tc>
          <w:tcPr>
            <w:tcW w:w="280" w:type="dxa"/>
            <w:vAlign w:val="bottom"/>
          </w:tcPr>
          <w:p>
            <w:pPr>
              <w:spacing w:after="0"/>
              <w:rPr>
                <w:sz w:val="19"/>
                <w:szCs w:val="19"/>
                <w:color w:val="auto"/>
              </w:rPr>
            </w:pP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85.58</w:t>
            </w:r>
          </w:p>
        </w:tc>
        <w:tc>
          <w:tcPr>
            <w:tcW w:w="2260" w:type="dxa"/>
            <w:vAlign w:val="bottom"/>
          </w:tcPr>
          <w:p>
            <w:pPr>
              <w:jc w:val="right"/>
              <w:ind w:right="99"/>
              <w:spacing w:after="0"/>
              <w:rPr>
                <w:sz w:val="20"/>
                <w:szCs w:val="20"/>
                <w:color w:val="auto"/>
              </w:rPr>
            </w:pPr>
            <w:r>
              <w:rPr>
                <w:rFonts w:ascii="Arial" w:cs="Arial" w:eastAsia="Arial" w:hAnsi="Arial"/>
                <w:sz w:val="18"/>
                <w:szCs w:val="18"/>
                <w:color w:val="auto"/>
              </w:rPr>
              <w:t>3,564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 June 30</w:t>
            </w:r>
          </w:p>
        </w:tc>
        <w:tc>
          <w:tcPr>
            <w:tcW w:w="27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3,158</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88.60</w:t>
            </w:r>
          </w:p>
        </w:tc>
        <w:tc>
          <w:tcPr>
            <w:tcW w:w="2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3,158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72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7,445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86.61</w:t>
            </w:r>
          </w:p>
        </w:tc>
        <w:tc>
          <w:tcPr>
            <w:tcW w:w="22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7,445</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7, 2020, our Board of Directors authorized a share repurchase program for up to $5 billion of our common stock, replacing the previous program announced on October 14, 2015. Under this program, shares may be purchased on the open market, in privately negotiated transactions, under accelerated share repurchase programs, and under plans complying with Rules 10b5-1 and 10b-18 under the Exchange Act. We may also reacquire shares outside of the program from time to time in connection with the surrender of shares to cover taxes on vesting of restricted stock and as required under our employee savings plan. Our ability to repurchase shares is subject to applicable law. No shares were reacquired in transactions outside the program during the quarter ended June 30, 2021.</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40" w:type="dxa"/>
            <w:vAlign w:val="bottom"/>
            <w:gridSpan w:val="4"/>
          </w:tcPr>
          <w:p>
            <w:pPr>
              <w:ind w:left="1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1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940" w:type="dxa"/>
            <w:vAlign w:val="bottom"/>
            <w:gridSpan w:val="4"/>
          </w:tcPr>
          <w:p>
            <w:pPr>
              <w:ind w:left="1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1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0000FF"/>
            </w:tcBorders>
            <w:gridSpan w:val="2"/>
          </w:tcPr>
          <w:p>
            <w:pPr>
              <w:spacing w:after="0"/>
              <w:rPr>
                <w:rFonts w:ascii="Arial" w:cs="Arial" w:eastAsia="Arial" w:hAnsi="Arial"/>
                <w:sz w:val="18"/>
                <w:szCs w:val="18"/>
                <w:color w:val="0000FF"/>
                <w:w w:val="85"/>
              </w:rPr>
            </w:pPr>
            <w:hyperlink w:anchor="page7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860" w:type="dxa"/>
            <w:vAlign w:val="bottom"/>
            <w:tcBorders>
              <w:top w:val="single" w:sz="8" w:color="auto"/>
              <w:bottom w:val="single" w:sz="8" w:color="0000FF"/>
            </w:tcBorders>
            <w:gridSpan w:val="4"/>
          </w:tcPr>
          <w:p>
            <w:pPr>
              <w:spacing w:after="0"/>
              <w:rPr>
                <w:rFonts w:ascii="Arial" w:cs="Arial" w:eastAsia="Arial" w:hAnsi="Arial"/>
                <w:sz w:val="18"/>
                <w:szCs w:val="18"/>
                <w:color w:val="0000FF"/>
                <w:w w:val="90"/>
              </w:rPr>
            </w:pPr>
            <w:hyperlink w:anchor="page74">
              <w:r>
                <w:rPr>
                  <w:rFonts w:ascii="Arial" w:cs="Arial" w:eastAsia="Arial" w:hAnsi="Arial"/>
                  <w:sz w:val="18"/>
                  <w:szCs w:val="18"/>
                  <w:color w:val="0000FF"/>
                  <w:w w:val="90"/>
                </w:rPr>
                <w:t>Separation Agreement, dated as of May 24, 2021, between Thomas A. Kennedy and Raytheon Technologies Corporation.*</w:t>
              </w:r>
            </w:hyperlink>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180" w:type="dxa"/>
            <w:vAlign w:val="bottom"/>
            <w:tcBorders>
              <w:bottom w:val="single" w:sz="8" w:color="0000FF"/>
            </w:tcBorders>
          </w:tcPr>
          <w:p>
            <w:pPr>
              <w:spacing w:after="0"/>
              <w:rPr>
                <w:rFonts w:ascii="Arial" w:cs="Arial" w:eastAsia="Arial" w:hAnsi="Arial"/>
                <w:sz w:val="18"/>
                <w:szCs w:val="18"/>
                <w:color w:val="0000FF"/>
                <w:w w:val="79"/>
              </w:rPr>
            </w:pPr>
            <w:hyperlink w:anchor="page79">
              <w:r>
                <w:rPr>
                  <w:rFonts w:ascii="Arial" w:cs="Arial" w:eastAsia="Arial" w:hAnsi="Arial"/>
                  <w:sz w:val="18"/>
                  <w:szCs w:val="18"/>
                  <w:color w:val="0000FF"/>
                  <w:w w:val="79"/>
                </w:rPr>
                <w:t>15</w:t>
              </w:r>
            </w:hyperlink>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79">
              <w:r>
                <w:rPr>
                  <w:rFonts w:ascii="Arial" w:cs="Arial" w:eastAsia="Arial" w:hAnsi="Arial"/>
                  <w:sz w:val="18"/>
                  <w:szCs w:val="18"/>
                  <w:color w:val="0000FF"/>
                  <w:w w:val="93"/>
                </w:rPr>
                <w:t>Letter re: unaudited interim financial information.*</w:t>
              </w:r>
            </w:hyperlink>
          </w:p>
        </w:tc>
        <w:tc>
          <w:tcPr>
            <w:tcW w:w="6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8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80">
              <w:r>
                <w:rPr>
                  <w:rFonts w:ascii="Arial" w:cs="Arial" w:eastAsia="Arial" w:hAnsi="Arial"/>
                  <w:sz w:val="18"/>
                  <w:szCs w:val="18"/>
                  <w:color w:val="0000FF"/>
                  <w:w w:val="92"/>
                </w:rPr>
                <w:t>Rule 13a-14(a)/15d-14(a) Certification.*</w:t>
              </w:r>
            </w:hyperlink>
          </w:p>
        </w:tc>
        <w:tc>
          <w:tcPr>
            <w:tcW w:w="72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8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81">
              <w:r>
                <w:rPr>
                  <w:rFonts w:ascii="Arial" w:cs="Arial" w:eastAsia="Arial" w:hAnsi="Arial"/>
                  <w:sz w:val="18"/>
                  <w:szCs w:val="18"/>
                  <w:color w:val="0000FF"/>
                  <w:w w:val="92"/>
                </w:rPr>
                <w:t>Rule 13a-14(a)/15d-14(a) Certification.*</w:t>
              </w:r>
            </w:hyperlink>
          </w:p>
        </w:tc>
        <w:tc>
          <w:tcPr>
            <w:tcW w:w="72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8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3</w:t>
              </w:r>
            </w:hyperlink>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82">
              <w:r>
                <w:rPr>
                  <w:rFonts w:ascii="Arial" w:cs="Arial" w:eastAsia="Arial" w:hAnsi="Arial"/>
                  <w:sz w:val="18"/>
                  <w:szCs w:val="18"/>
                  <w:color w:val="0000FF"/>
                  <w:w w:val="92"/>
                </w:rPr>
                <w:t>Rule 13a-14(a)/15d-14(a) Certification.*</w:t>
              </w:r>
            </w:hyperlink>
          </w:p>
        </w:tc>
        <w:tc>
          <w:tcPr>
            <w:tcW w:w="72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180" w:type="dxa"/>
            <w:vAlign w:val="bottom"/>
          </w:tcPr>
          <w:p>
            <w:pPr>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32</w:t>
              </w:r>
            </w:hyperlink>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5"/>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Section 1350 Certifications.*</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080" w:type="dxa"/>
            <w:vAlign w:val="bottom"/>
            <w:gridSpan w:val="5"/>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320" w:type="dxa"/>
            <w:vAlign w:val="bottom"/>
            <w:gridSpan w:val="2"/>
          </w:tcPr>
          <w:p>
            <w:pPr>
              <w:ind w:left="20"/>
              <w:spacing w:after="0"/>
              <w:rPr>
                <w:sz w:val="20"/>
                <w:szCs w:val="20"/>
                <w:color w:val="auto"/>
              </w:rPr>
            </w:pPr>
            <w:r>
              <w:rPr>
                <w:rFonts w:ascii="Arial" w:cs="Arial" w:eastAsia="Arial" w:hAnsi="Arial"/>
                <w:sz w:val="18"/>
                <w:szCs w:val="18"/>
                <w:color w:val="auto"/>
                <w:w w:val="93"/>
              </w:rPr>
              <w:t>104</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herewith.</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Attached as Exhibit 101 to this report are the following formatted in Inline XBRL (Extensible Business Reporting Language): (i) Condensed Consolidated Statement of Operations for the quarters and six months ended June 30, 2021 and 2020, (ii) Condensed Consolidated Statement of Comprehensive Income for the quarters and six months ended June 30, 2021 and 2020, (iii) Condensed Consolidated Balance Sheet as of June 30, 2021 and December 31, 2020,</w:t>
      </w:r>
    </w:p>
    <w:p>
      <w:pPr>
        <w:spacing w:after="0" w:line="2" w:lineRule="exact"/>
        <w:rPr>
          <w:sz w:val="20"/>
          <w:szCs w:val="20"/>
          <w:color w:val="auto"/>
        </w:rPr>
      </w:pPr>
    </w:p>
    <w:p>
      <w:pPr>
        <w:ind w:firstLine="8"/>
        <w:spacing w:after="0" w:line="260" w:lineRule="auto"/>
        <w:tabs>
          <w:tab w:leader="none" w:pos="333"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Condensed Consolidated Statement of Cash Flows for the six months ended June 30, 2021 and 2020, (v) Condensed Consolidated Statement of Changes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in Equity for the quarters and six months ended June 30, 2021 and 2020 and (vi)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RAYTHEON TECHNOLOGIES CORPORATION</w:t>
      </w:r>
    </w:p>
    <w:p>
      <w:pPr>
        <w:ind w:left="4780"/>
        <w:spacing w:after="0"/>
        <w:rPr>
          <w:sz w:val="20"/>
          <w:szCs w:val="20"/>
          <w:color w:val="auto"/>
        </w:rPr>
      </w:pPr>
      <w:r>
        <w:rPr>
          <w:rFonts w:ascii="Arial" w:cs="Arial" w:eastAsia="Arial" w:hAnsi="Arial"/>
          <w:sz w:val="18"/>
          <w:szCs w:val="18"/>
          <w:b w:val="1"/>
          <w:bCs w:val="1"/>
          <w:color w:val="auto"/>
        </w:rPr>
        <w:t>(Registrant)</w:t>
      </w:r>
    </w:p>
    <w:p>
      <w:pPr>
        <w:spacing w:after="0" w:line="61" w:lineRule="exact"/>
        <w:rPr>
          <w:sz w:val="20"/>
          <w:szCs w:val="20"/>
          <w:color w:val="auto"/>
        </w:rPr>
      </w:pPr>
    </w:p>
    <w:p>
      <w:pPr>
        <w:ind w:left="20"/>
        <w:spacing w:after="0"/>
        <w:tabs>
          <w:tab w:leader="none" w:pos="740" w:val="left"/>
          <w:tab w:leader="none" w:pos="4760" w:val="left"/>
          <w:tab w:leader="none" w:pos="7180" w:val="left"/>
        </w:tabs>
        <w:rPr>
          <w:sz w:val="20"/>
          <w:szCs w:val="20"/>
          <w:color w:val="auto"/>
        </w:rPr>
      </w:pPr>
      <w:r>
        <w:rPr>
          <w:rFonts w:ascii="Arial" w:cs="Arial" w:eastAsia="Arial" w:hAnsi="Arial"/>
          <w:sz w:val="18"/>
          <w:szCs w:val="18"/>
          <w:color w:val="auto"/>
        </w:rPr>
        <w:t>Dated:</w:t>
        <w:tab/>
        <w:t>July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14605</wp:posOffset>
            </wp:positionV>
            <wp:extent cx="38061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Neil G. Mitchill Jr.</w:t>
      </w:r>
    </w:p>
    <w:p>
      <w:pPr>
        <w:spacing w:after="0" w:line="28"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90"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02" w:lineRule="exact"/>
        <w:rPr>
          <w:sz w:val="20"/>
          <w:szCs w:val="20"/>
          <w:color w:val="auto"/>
        </w:rPr>
      </w:pPr>
    </w:p>
    <w:p>
      <w:pPr>
        <w:ind w:left="20"/>
        <w:spacing w:after="0"/>
        <w:tabs>
          <w:tab w:leader="none" w:pos="740" w:val="left"/>
          <w:tab w:leader="none" w:pos="4760" w:val="left"/>
          <w:tab w:leader="none" w:pos="7220" w:val="left"/>
        </w:tabs>
        <w:rPr>
          <w:sz w:val="20"/>
          <w:szCs w:val="20"/>
          <w:color w:val="auto"/>
        </w:rPr>
      </w:pPr>
      <w:r>
        <w:rPr>
          <w:rFonts w:ascii="Arial" w:cs="Arial" w:eastAsia="Arial" w:hAnsi="Arial"/>
          <w:sz w:val="18"/>
          <w:szCs w:val="18"/>
          <w:color w:val="auto"/>
        </w:rPr>
        <w:t>Dated:</w:t>
        <w:tab/>
        <w:t>July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A. FORREST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14605</wp:posOffset>
            </wp:positionV>
            <wp:extent cx="38061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Steven A. Forrest</w:t>
      </w:r>
    </w:p>
    <w:p>
      <w:pPr>
        <w:spacing w:after="0" w:line="28"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Vice President and Acting Controller</w:t>
      </w:r>
    </w:p>
    <w:p>
      <w:pPr>
        <w:spacing w:after="0" w:line="9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May 24, 2021</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Thomas A. Kennedy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Raytheon Technologies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870 Winter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Waltham, Massachusetts 02451</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Dear Tom:</w:t>
      </w:r>
    </w:p>
    <w:p>
      <w:pPr>
        <w:spacing w:after="0" w:line="206" w:lineRule="exact"/>
        <w:rPr>
          <w:sz w:val="20"/>
          <w:szCs w:val="20"/>
          <w:color w:val="auto"/>
        </w:rPr>
      </w:pPr>
    </w:p>
    <w:p>
      <w:pPr>
        <w:ind w:right="500" w:firstLine="212"/>
        <w:spacing w:after="0" w:line="287" w:lineRule="auto"/>
        <w:rPr>
          <w:sz w:val="20"/>
          <w:szCs w:val="20"/>
          <w:color w:val="auto"/>
        </w:rPr>
      </w:pPr>
      <w:r>
        <w:rPr>
          <w:rFonts w:ascii="Arial" w:cs="Arial" w:eastAsia="Arial" w:hAnsi="Arial"/>
          <w:sz w:val="21"/>
          <w:szCs w:val="21"/>
          <w:color w:val="auto"/>
        </w:rPr>
        <w:t>This letter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memorializes our recent discussions concerning your upcoming retirement from Raytheon Technologies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on June 1, 2021 (the “</w:t>
      </w:r>
      <w:r>
        <w:rPr>
          <w:rFonts w:ascii="Arial" w:cs="Arial" w:eastAsia="Arial" w:hAnsi="Arial"/>
          <w:sz w:val="21"/>
          <w:szCs w:val="21"/>
          <w:u w:val="single" w:color="auto"/>
          <w:color w:val="auto"/>
        </w:rPr>
        <w:t>Separation Date</w:t>
      </w:r>
      <w:r>
        <w:rPr>
          <w:rFonts w:ascii="Arial" w:cs="Arial" w:eastAsia="Arial" w:hAnsi="Arial"/>
          <w:sz w:val="21"/>
          <w:szCs w:val="21"/>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Resignation from Positions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connection with your retirement, you hereby resign, effective as of the Separation Date, from your positions as a member of the Board of Directors of the Company and as Executive Chairman of the Company and from each other director or officer position that you hold with the Company or any of its subsidiaries or affiliates.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Payments and Benefits</w:t>
      </w:r>
    </w:p>
    <w:p>
      <w:pPr>
        <w:spacing w:after="0" w:line="112"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All of your outstanding Company equity awards as of the date of this Agreement (the “</w:t>
      </w:r>
      <w:r>
        <w:rPr>
          <w:rFonts w:ascii="Arial" w:cs="Arial" w:eastAsia="Arial" w:hAnsi="Arial"/>
          <w:sz w:val="19"/>
          <w:szCs w:val="19"/>
          <w:u w:val="single" w:color="auto"/>
          <w:color w:val="auto"/>
        </w:rPr>
        <w:t>Equity Awards</w:t>
      </w:r>
      <w:r>
        <w:rPr>
          <w:rFonts w:ascii="Arial" w:cs="Arial" w:eastAsia="Arial" w:hAnsi="Arial"/>
          <w:sz w:val="19"/>
          <w:szCs w:val="19"/>
          <w:color w:val="auto"/>
        </w:rPr>
        <w:t xml:space="preserve">”) are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to this Agreement. Your separation from employment on the Separation Date constitutes a retirement for purposes of the Equity Awards and will result in full or continued vesting of each Equity Award in accordance with the terms thereof and this Agreement. In consideration of your obligations under this Agreement, the Company agrees that the minimum holding period applicable to your Equity Awards granted in February 2021 shall be deemed satisfied as of the Separation Date (provided that the stock appreciation right award granted in February 2021 shall not become exercisable until the originally scheduled vesting date) and the proration contemplated by your Equity Awards that were originally granted in the form of Raytheon Company performance-based restricted stock unit awards shall not be applied in connection with your separation on the Separation Date.</w:t>
      </w:r>
    </w:p>
    <w:p>
      <w:pPr>
        <w:spacing w:after="0" w:line="48"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In addition, in recognition of your service to the Company during the portion of calendar year 2021 elapsed prior to the Separation Date, the Company will pay you a 2021 annual bonus in the amount of $1,283,350, representing a pro rata portion of your 2021 target annual bonus. This bonus will be paid in a lump sum in cash, less applicable tax withholding, no later than 30 days following the Separation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COMPANY PRIVATE – Not for further distribution</w:t>
      </w:r>
    </w:p>
    <w:p>
      <w:pPr>
        <w:sectPr>
          <w:pgSz w:w="11900" w:h="16838" w:orient="portrait"/>
          <w:cols w:equalWidth="0" w:num="1">
            <w:col w:w="11240"/>
          </w:cols>
          <w:pgMar w:left="320" w:top="121" w:right="33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Release of Claims</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exchange for the payments and benefits provided under this Agreement, you agree to release the Company and the other Released Parties (as defined below) from any claims, demands, causes of action or obligations of whatever nature, whether known or unknown, contingent or absolute, including but not limited to all claims relating to your employment by, or termination of employment from, the Company. The term “</w:t>
      </w:r>
      <w:r>
        <w:rPr>
          <w:rFonts w:ascii="Arial" w:cs="Arial" w:eastAsia="Arial" w:hAnsi="Arial"/>
          <w:sz w:val="21"/>
          <w:szCs w:val="21"/>
          <w:u w:val="single" w:color="auto"/>
          <w:color w:val="auto"/>
        </w:rPr>
        <w:t>Released Parties</w:t>
      </w:r>
      <w:r>
        <w:rPr>
          <w:rFonts w:ascii="Arial" w:cs="Arial" w:eastAsia="Arial" w:hAnsi="Arial"/>
          <w:sz w:val="21"/>
          <w:szCs w:val="21"/>
          <w:color w:val="auto"/>
        </w:rPr>
        <w:t>,” as used in this Release, means the Company, its subsidiaries, related corporations, affiliates, partnerships and joint ventures and their respective predecessors, successors and assigns (“</w:t>
      </w:r>
      <w:r>
        <w:rPr>
          <w:rFonts w:ascii="Arial" w:cs="Arial" w:eastAsia="Arial" w:hAnsi="Arial"/>
          <w:sz w:val="21"/>
          <w:szCs w:val="21"/>
          <w:u w:val="single" w:color="auto"/>
          <w:color w:val="auto"/>
        </w:rPr>
        <w:t>Companies</w:t>
      </w:r>
      <w:r>
        <w:rPr>
          <w:rFonts w:ascii="Arial" w:cs="Arial" w:eastAsia="Arial" w:hAnsi="Arial"/>
          <w:sz w:val="21"/>
          <w:szCs w:val="21"/>
          <w:color w:val="auto"/>
        </w:rPr>
        <w:t>”), and the current and former directors, officers, fiduciaries, employees, agents and representatives of the Companies. Your release includes, subject only to the limitations described in the following paragraph, any claim for wrongful discharge, breach of contract or any claims arising under the Age Discrimination in Employment Act of 1967, as amended (“</w:t>
      </w:r>
      <w:r>
        <w:rPr>
          <w:rFonts w:ascii="Arial" w:cs="Arial" w:eastAsia="Arial" w:hAnsi="Arial"/>
          <w:sz w:val="21"/>
          <w:szCs w:val="21"/>
          <w:u w:val="single" w:color="auto"/>
          <w:color w:val="auto"/>
        </w:rPr>
        <w:t>ADEA</w:t>
      </w:r>
      <w:r>
        <w:rPr>
          <w:rFonts w:ascii="Arial" w:cs="Arial" w:eastAsia="Arial" w:hAnsi="Arial"/>
          <w:sz w:val="21"/>
          <w:szCs w:val="21"/>
          <w:color w:val="auto"/>
        </w:rPr>
        <w:t>”), Title VII of the Civil Rights Act of 1964, the Employee Retirement Income Security Act of 1974, the Americans with Disabilities Act of 1990, claims under any other federal, state or local statute, regulation or other law, and any claim under an applicable collective bargaining agreement.</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Your release does not include (x) claims or rights that cannot be released by private agreement under federal or applicable state or local law, (y) claims for indemnification, contribution or advancement of expenses as a current or former director or officer of the Company or any of its subsidiaries under applicable law or the Company’s articles of incorporation, bylaws, policies or agreements or (z) coverage under the Company’s directors’ and officers’ liability insurance policies, in each case, on the same basis as the Company’s active directors and officers and while potential liability may exist. Likewise, your release does not include any (i) claims for benefits you may have under the Company’s employee benefit plans (including, without limitation, the Raytheon Company Excess Pension Plan, as amended and restated effective as of January 1, 2009, as further amended effective January 1, 2009, and the Raytheon Company Deferred Compensation Plan, as amended and restated effective as of January 1, 2009, as further amended effective January 1, 2009, January 1, 2010, May 6, 2010, and November 1, 2013), (ii) your rights to the payment of any Accrued Obligations (as defined in Section 5(a) of your employment agreement with the Company, dated as of June 9, 2019 (your “Employment Agreement”)), or (iii) your rights to the payments and benefits described in this Agreement (provided that you and the Company agree that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is a complete and accurate list of your Equity Awards). Nothing in this release shall be construed to prohibit you from filing a charge with the Equal Employment Opportunity Commission, the United States Department of Labor, the National Labor Relations Board or any comparable state or local agencies. In addition, this release does not limit your right to testify, assist, or participate in an investigation, hearing or proceeding conducted by the EEOC under the ADEA, Title VII of the Civil Rights Act as amended, the Americans with Disabilities Act is the Equal Pay Act. Notwithstanding the foregoing, you agree to waive your right to recover monetary damages in any charge, complaint, or lawsuit filed by you or by anyone else including the EEOC, on your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COMPANY PRIVATE – Not for further distribution</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Restrictive Covenants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You acknowledge and agree that your obligations to the Company remain in full force and effect, including, without limitation, your obligations under Sections 7, 8, and 9 of your Employment Agreement. The Company acknowledges and agrees that its obligations to you under Sections 7 and 9 of your Employment Agreement remain in full force and effect.</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You agree that you will comply in full with the terms of any agreement regarding proprietary information or intellectual property that you have signed in connection with your employment with the Company, any subsidiary thereof and any company acquired by or merged with the Company. Further, concurrently with the signing of this Agreement, you agree to sign and deliver the Statement of Raytheon Technologies Employee Regarding Proprietary Information and Intellectual Property.</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Miscellaneous</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provisions of this Agreement shall be construed and enforced in accordance with the laws of the State of Delaware, without regard to its principles of conflicts of law. This Agreement, together with your Employment Agreement, the indemnification letter agreement between you and the Company dated April 25, 2021, Equity Awards and applicable employee benefit, stock and compensation plans, constitutes the entire agreement between the parties regarding the subject matter of this Agreement (including your compensation entitlements upon and following separation from employment) and supersedes all previous agreements and communications, whether written or unwritten, between the parties with respect to the subject matter of this Agreement. No amendment to this Agreement shall be binding upon either party unless in writing and signed by or on behalf of such party.</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Company will reimburse you for reasonable and documented legal fees incurred and paid by you in connection with the negotiation and drafting of this Agreement in an amount not to exceed $50,000.00, with such reimbursement to be made within thirty days following the date on which this Agreement becomes effective and irrevocable.</w:t>
      </w:r>
    </w:p>
    <w:p>
      <w:pPr>
        <w:spacing w:after="0" w:line="167"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You acknowledge that you have had twenty-one days to consider this Agreement and may revoke this Agreement during the seven-day period following the date that you sign this Agreement, and this Agreement shall not become effective or enforceable until the revocation period has expired. If you elect to revoke this Agreement you must do so in writing, addressed to Dantaya M. Williams, Executive Vice President &amp; Chief Human Resources Officer, 870 Winter Street, Waltham, MA 02451, within the seven-day revocation period. If you do not timely exercise your right of revocation, this Agreement shall become effective and enforceable on the eighth day following your delivery of a copy of this executed Agreement to the Company.</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COMPANY PRIVATE – Not for further distribution</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Dantaya Williams</w:t>
      </w:r>
      <w:r>
        <w:rPr>
          <w:rFonts w:ascii="Arial" w:cs="Arial" w:eastAsia="Arial" w:hAnsi="Arial"/>
          <w:sz w:val="22"/>
          <w:szCs w:val="22"/>
          <w:color w:val="auto"/>
        </w:rPr>
        <w:t>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Dantaya M. Williams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&amp;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Thomas A. Kennedy</w:t>
      </w:r>
      <w:r>
        <w:rPr>
          <w:rFonts w:ascii="Arial" w:cs="Arial" w:eastAsia="Arial" w:hAnsi="Arial"/>
          <w:sz w:val="22"/>
          <w:szCs w:val="22"/>
          <w:color w:val="auto"/>
        </w:rPr>
        <w:t>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Thomas A. Kennedy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30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Letter Agreement</w:t>
      </w:r>
      <w:r>
        <w:rPr>
          <w:rFonts w:ascii="Arial" w:cs="Arial" w:eastAsia="Arial" w:hAnsi="Arial"/>
          <w:sz w:val="20"/>
          <w:szCs w:val="20"/>
          <w:color w:val="auto"/>
        </w:rPr>
        <w:t>]</w:t>
      </w:r>
    </w:p>
    <w:p>
      <w:pPr>
        <w:sectPr>
          <w:pgSz w:w="11900" w:h="16838" w:orient="portrait"/>
          <w:cols w:equalWidth="0" w:num="1">
            <w:col w:w="10139"/>
          </w:cols>
          <w:pgMar w:left="320" w:top="1440" w:right="1440"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Outstanding Equity Awards</w:t>
      </w:r>
    </w:p>
    <w:p>
      <w:pPr>
        <w:spacing w:after="0" w:line="200" w:lineRule="exact"/>
        <w:rPr>
          <w:sz w:val="20"/>
          <w:szCs w:val="20"/>
          <w:color w:val="auto"/>
        </w:rPr>
      </w:pPr>
    </w:p>
    <w:p>
      <w:pPr>
        <w:spacing w:after="0" w:line="364"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600" w:type="dxa"/>
            <w:vAlign w:val="bottom"/>
            <w:tcBorders>
              <w:top w:val="single" w:sz="8" w:color="auto"/>
              <w:left w:val="single" w:sz="8" w:color="auto"/>
              <w:right w:val="single" w:sz="8" w:color="auto"/>
            </w:tcBorders>
            <w:vMerge w:val="restart"/>
            <w:shd w:val="clear" w:color="auto" w:fill="D9D9D9"/>
          </w:tcPr>
          <w:p>
            <w:pPr>
              <w:ind w:left="780"/>
              <w:spacing w:after="0"/>
              <w:rPr>
                <w:sz w:val="20"/>
                <w:szCs w:val="20"/>
                <w:color w:val="auto"/>
              </w:rPr>
            </w:pPr>
            <w:r>
              <w:rPr>
                <w:rFonts w:ascii="Arial" w:cs="Arial" w:eastAsia="Arial" w:hAnsi="Arial"/>
                <w:sz w:val="22"/>
                <w:szCs w:val="22"/>
                <w:b w:val="1"/>
                <w:bCs w:val="1"/>
                <w:color w:val="auto"/>
              </w:rPr>
              <w:t>Grant Date</w:t>
            </w:r>
          </w:p>
        </w:tc>
        <w:tc>
          <w:tcPr>
            <w:tcW w:w="3180" w:type="dxa"/>
            <w:vAlign w:val="bottom"/>
            <w:tcBorders>
              <w:top w:val="single" w:sz="8" w:color="auto"/>
              <w:right w:val="single" w:sz="8" w:color="auto"/>
            </w:tcBorders>
            <w:vMerge w:val="restart"/>
            <w:shd w:val="clear" w:color="auto" w:fill="D9D9D9"/>
          </w:tcPr>
          <w:p>
            <w:pPr>
              <w:ind w:left="1020"/>
              <w:spacing w:after="0"/>
              <w:rPr>
                <w:sz w:val="20"/>
                <w:szCs w:val="20"/>
                <w:color w:val="auto"/>
              </w:rPr>
            </w:pPr>
            <w:r>
              <w:rPr>
                <w:rFonts w:ascii="Arial" w:cs="Arial" w:eastAsia="Arial" w:hAnsi="Arial"/>
                <w:sz w:val="22"/>
                <w:szCs w:val="22"/>
                <w:b w:val="1"/>
                <w:bCs w:val="1"/>
                <w:color w:val="auto"/>
              </w:rPr>
              <w:t>Award Type</w:t>
            </w:r>
          </w:p>
        </w:tc>
        <w:tc>
          <w:tcPr>
            <w:tcW w:w="2980" w:type="dxa"/>
            <w:vAlign w:val="bottom"/>
            <w:tcBorders>
              <w:top w:val="single" w:sz="8" w:color="auto"/>
              <w:right w:val="single" w:sz="8" w:color="auto"/>
            </w:tcBorders>
            <w:vMerge w:val="restart"/>
            <w:shd w:val="clear" w:color="auto" w:fill="D9D9D9"/>
          </w:tcPr>
          <w:p>
            <w:pPr>
              <w:ind w:left="100"/>
              <w:spacing w:after="0"/>
              <w:rPr>
                <w:sz w:val="20"/>
                <w:szCs w:val="20"/>
                <w:color w:val="auto"/>
              </w:rPr>
            </w:pPr>
            <w:r>
              <w:rPr>
                <w:rFonts w:ascii="Arial" w:cs="Arial" w:eastAsia="Arial" w:hAnsi="Arial"/>
                <w:sz w:val="22"/>
                <w:szCs w:val="22"/>
                <w:b w:val="1"/>
                <w:bCs w:val="1"/>
                <w:color w:val="auto"/>
                <w:w w:val="91"/>
              </w:rPr>
              <w:t>Number of Underlying Shares</w:t>
            </w:r>
          </w:p>
        </w:tc>
        <w:tc>
          <w:tcPr>
            <w:tcW w:w="25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8"/>
              </w:rPr>
              <w:t>Accumulated Cash</w:t>
            </w:r>
          </w:p>
        </w:tc>
        <w:tc>
          <w:tcPr>
            <w:tcW w:w="0" w:type="dxa"/>
            <w:vAlign w:val="bottom"/>
          </w:tcPr>
          <w:p>
            <w:pPr>
              <w:spacing w:after="0"/>
              <w:rPr>
                <w:sz w:val="1"/>
                <w:szCs w:val="1"/>
                <w:color w:val="auto"/>
              </w:rPr>
            </w:pPr>
          </w:p>
        </w:tc>
      </w:tr>
      <w:tr>
        <w:trPr>
          <w:trHeight w:val="145"/>
        </w:trPr>
        <w:tc>
          <w:tcPr>
            <w:tcW w:w="2600" w:type="dxa"/>
            <w:vAlign w:val="bottom"/>
            <w:tcBorders>
              <w:left w:val="single" w:sz="8" w:color="auto"/>
              <w:right w:val="single" w:sz="8" w:color="auto"/>
            </w:tcBorders>
            <w:vMerge w:val="continue"/>
            <w:shd w:val="clear" w:color="auto" w:fill="D9D9D9"/>
          </w:tcPr>
          <w:p>
            <w:pPr>
              <w:spacing w:after="0"/>
              <w:rPr>
                <w:sz w:val="12"/>
                <w:szCs w:val="12"/>
                <w:color w:val="auto"/>
              </w:rPr>
            </w:pPr>
          </w:p>
        </w:tc>
        <w:tc>
          <w:tcPr>
            <w:tcW w:w="3180" w:type="dxa"/>
            <w:vAlign w:val="bottom"/>
            <w:tcBorders>
              <w:right w:val="single" w:sz="8" w:color="auto"/>
            </w:tcBorders>
            <w:vMerge w:val="continue"/>
            <w:shd w:val="clear" w:color="auto" w:fill="D9D9D9"/>
          </w:tcPr>
          <w:p>
            <w:pPr>
              <w:spacing w:after="0"/>
              <w:rPr>
                <w:sz w:val="12"/>
                <w:szCs w:val="12"/>
                <w:color w:val="auto"/>
              </w:rPr>
            </w:pPr>
          </w:p>
        </w:tc>
        <w:tc>
          <w:tcPr>
            <w:tcW w:w="2980" w:type="dxa"/>
            <w:vAlign w:val="bottom"/>
            <w:tcBorders>
              <w:right w:val="single" w:sz="8" w:color="auto"/>
            </w:tcBorders>
            <w:vMerge w:val="continue"/>
            <w:shd w:val="clear" w:color="auto" w:fill="D9D9D9"/>
          </w:tcPr>
          <w:p>
            <w:pPr>
              <w:spacing w:after="0"/>
              <w:rPr>
                <w:sz w:val="12"/>
                <w:szCs w:val="12"/>
                <w:color w:val="auto"/>
              </w:rPr>
            </w:pPr>
          </w:p>
        </w:tc>
        <w:tc>
          <w:tcPr>
            <w:tcW w:w="25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Dividend Equivalents*</w:t>
            </w:r>
          </w:p>
        </w:tc>
        <w:tc>
          <w:tcPr>
            <w:tcW w:w="0" w:type="dxa"/>
            <w:vAlign w:val="bottom"/>
          </w:tcPr>
          <w:p>
            <w:pPr>
              <w:spacing w:after="0"/>
              <w:rPr>
                <w:sz w:val="1"/>
                <w:szCs w:val="1"/>
                <w:color w:val="auto"/>
              </w:rPr>
            </w:pPr>
          </w:p>
        </w:tc>
      </w:tr>
      <w:tr>
        <w:trPr>
          <w:trHeight w:val="166"/>
        </w:trPr>
        <w:tc>
          <w:tcPr>
            <w:tcW w:w="2600" w:type="dxa"/>
            <w:vAlign w:val="bottom"/>
            <w:tcBorders>
              <w:left w:val="single" w:sz="8" w:color="auto"/>
              <w:bottom w:val="single" w:sz="8" w:color="D9D9D9"/>
              <w:right w:val="single" w:sz="8" w:color="auto"/>
            </w:tcBorders>
            <w:shd w:val="clear" w:color="auto" w:fill="D9D9D9"/>
          </w:tcPr>
          <w:p>
            <w:pPr>
              <w:spacing w:after="0"/>
              <w:rPr>
                <w:sz w:val="14"/>
                <w:szCs w:val="14"/>
                <w:color w:val="auto"/>
              </w:rPr>
            </w:pPr>
          </w:p>
        </w:tc>
        <w:tc>
          <w:tcPr>
            <w:tcW w:w="3180" w:type="dxa"/>
            <w:vAlign w:val="bottom"/>
            <w:tcBorders>
              <w:bottom w:val="single" w:sz="8" w:color="D9D9D9"/>
              <w:right w:val="single" w:sz="8" w:color="auto"/>
            </w:tcBorders>
            <w:shd w:val="clear" w:color="auto" w:fill="D9D9D9"/>
          </w:tcPr>
          <w:p>
            <w:pPr>
              <w:spacing w:after="0"/>
              <w:rPr>
                <w:sz w:val="14"/>
                <w:szCs w:val="14"/>
                <w:color w:val="auto"/>
              </w:rPr>
            </w:pPr>
          </w:p>
        </w:tc>
        <w:tc>
          <w:tcPr>
            <w:tcW w:w="2980" w:type="dxa"/>
            <w:vAlign w:val="bottom"/>
            <w:tcBorders>
              <w:bottom w:val="single" w:sz="8" w:color="D9D9D9"/>
              <w:right w:val="single" w:sz="8" w:color="auto"/>
            </w:tcBorders>
            <w:shd w:val="clear" w:color="auto" w:fill="D9D9D9"/>
          </w:tcPr>
          <w:p>
            <w:pPr>
              <w:spacing w:after="0"/>
              <w:rPr>
                <w:sz w:val="14"/>
                <w:szCs w:val="14"/>
                <w:color w:val="auto"/>
              </w:rPr>
            </w:pPr>
          </w:p>
        </w:tc>
        <w:tc>
          <w:tcPr>
            <w:tcW w:w="2500" w:type="dxa"/>
            <w:vAlign w:val="bottom"/>
            <w:tcBorders>
              <w:bottom w:val="single" w:sz="8" w:color="D9D9D9"/>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60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January 30, 2019</w:t>
            </w:r>
          </w:p>
        </w:tc>
        <w:tc>
          <w:tcPr>
            <w:tcW w:w="31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w w:val="97"/>
              </w:rPr>
              <w:t>Restricted Stock Units (originally</w:t>
            </w:r>
          </w:p>
        </w:tc>
        <w:tc>
          <w:tcPr>
            <w:tcW w:w="2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94,292</w:t>
            </w:r>
          </w:p>
        </w:tc>
        <w:tc>
          <w:tcPr>
            <w:tcW w:w="2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$227,243.72</w:t>
            </w:r>
          </w:p>
        </w:tc>
        <w:tc>
          <w:tcPr>
            <w:tcW w:w="0" w:type="dxa"/>
            <w:vAlign w:val="bottom"/>
          </w:tcPr>
          <w:p>
            <w:pPr>
              <w:spacing w:after="0"/>
              <w:rPr>
                <w:sz w:val="1"/>
                <w:szCs w:val="1"/>
                <w:color w:val="auto"/>
              </w:rPr>
            </w:pPr>
          </w:p>
        </w:tc>
      </w:tr>
      <w:tr>
        <w:trPr>
          <w:trHeight w:val="139"/>
        </w:trPr>
        <w:tc>
          <w:tcPr>
            <w:tcW w:w="2600" w:type="dxa"/>
            <w:vAlign w:val="bottom"/>
            <w:tcBorders>
              <w:left w:val="single" w:sz="8" w:color="auto"/>
              <w:right w:val="single" w:sz="8" w:color="auto"/>
            </w:tcBorders>
            <w:vMerge w:val="continue"/>
          </w:tcPr>
          <w:p>
            <w:pPr>
              <w:spacing w:after="0"/>
              <w:rPr>
                <w:sz w:val="12"/>
                <w:szCs w:val="12"/>
                <w:color w:val="auto"/>
              </w:rPr>
            </w:pPr>
          </w:p>
        </w:tc>
        <w:tc>
          <w:tcPr>
            <w:tcW w:w="318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performance-based)</w:t>
            </w:r>
          </w:p>
        </w:tc>
        <w:tc>
          <w:tcPr>
            <w:tcW w:w="298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tcBorders>
              <w:left w:val="single" w:sz="8" w:color="auto"/>
              <w:right w:val="single" w:sz="8" w:color="auto"/>
            </w:tcBorders>
          </w:tcPr>
          <w:p>
            <w:pPr>
              <w:spacing w:after="0"/>
              <w:rPr>
                <w:sz w:val="11"/>
                <w:szCs w:val="11"/>
                <w:color w:val="auto"/>
              </w:rPr>
            </w:pPr>
          </w:p>
        </w:tc>
        <w:tc>
          <w:tcPr>
            <w:tcW w:w="3180" w:type="dxa"/>
            <w:vAlign w:val="bottom"/>
            <w:tcBorders>
              <w:right w:val="single" w:sz="8" w:color="auto"/>
            </w:tcBorders>
            <w:vMerge w:val="continue"/>
          </w:tcPr>
          <w:p>
            <w:pPr>
              <w:spacing w:after="0"/>
              <w:rPr>
                <w:sz w:val="11"/>
                <w:szCs w:val="11"/>
                <w:color w:val="auto"/>
              </w:rPr>
            </w:pPr>
          </w:p>
        </w:tc>
        <w:tc>
          <w:tcPr>
            <w:tcW w:w="298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6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January 29, 2020</w:t>
            </w:r>
          </w:p>
        </w:tc>
        <w:tc>
          <w:tcPr>
            <w:tcW w:w="31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7"/>
              </w:rPr>
              <w:t>Restricted Stock Units (originally</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62,085</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$149,624.85</w:t>
            </w:r>
          </w:p>
        </w:tc>
        <w:tc>
          <w:tcPr>
            <w:tcW w:w="0" w:type="dxa"/>
            <w:vAlign w:val="bottom"/>
          </w:tcPr>
          <w:p>
            <w:pPr>
              <w:spacing w:after="0"/>
              <w:rPr>
                <w:sz w:val="1"/>
                <w:szCs w:val="1"/>
                <w:color w:val="auto"/>
              </w:rPr>
            </w:pPr>
          </w:p>
        </w:tc>
      </w:tr>
      <w:tr>
        <w:trPr>
          <w:trHeight w:val="139"/>
        </w:trPr>
        <w:tc>
          <w:tcPr>
            <w:tcW w:w="2600" w:type="dxa"/>
            <w:vAlign w:val="bottom"/>
            <w:tcBorders>
              <w:left w:val="single" w:sz="8" w:color="auto"/>
              <w:right w:val="single" w:sz="8" w:color="auto"/>
            </w:tcBorders>
            <w:vMerge w:val="continue"/>
          </w:tcPr>
          <w:p>
            <w:pPr>
              <w:spacing w:after="0"/>
              <w:rPr>
                <w:sz w:val="12"/>
                <w:szCs w:val="12"/>
                <w:color w:val="auto"/>
              </w:rPr>
            </w:pPr>
          </w:p>
        </w:tc>
        <w:tc>
          <w:tcPr>
            <w:tcW w:w="318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performance-based)</w:t>
            </w:r>
          </w:p>
        </w:tc>
        <w:tc>
          <w:tcPr>
            <w:tcW w:w="298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tcBorders>
              <w:left w:val="single" w:sz="8" w:color="auto"/>
              <w:right w:val="single" w:sz="8" w:color="auto"/>
            </w:tcBorders>
          </w:tcPr>
          <w:p>
            <w:pPr>
              <w:spacing w:after="0"/>
              <w:rPr>
                <w:sz w:val="11"/>
                <w:szCs w:val="11"/>
                <w:color w:val="auto"/>
              </w:rPr>
            </w:pPr>
          </w:p>
        </w:tc>
        <w:tc>
          <w:tcPr>
            <w:tcW w:w="3180" w:type="dxa"/>
            <w:vAlign w:val="bottom"/>
            <w:tcBorders>
              <w:right w:val="single" w:sz="8" w:color="auto"/>
            </w:tcBorders>
            <w:vMerge w:val="continue"/>
          </w:tcPr>
          <w:p>
            <w:pPr>
              <w:spacing w:after="0"/>
              <w:rPr>
                <w:sz w:val="11"/>
                <w:szCs w:val="11"/>
                <w:color w:val="auto"/>
              </w:rPr>
            </w:pPr>
          </w:p>
        </w:tc>
        <w:tc>
          <w:tcPr>
            <w:tcW w:w="298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March 21, 2018</w:t>
            </w:r>
          </w:p>
        </w:tc>
        <w:tc>
          <w:tcPr>
            <w:tcW w:w="31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Restricted Stock Units</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16,092</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$8,206.92</w:t>
            </w:r>
          </w:p>
        </w:tc>
        <w:tc>
          <w:tcPr>
            <w:tcW w:w="0" w:type="dxa"/>
            <w:vAlign w:val="bottom"/>
          </w:tcPr>
          <w:p>
            <w:pPr>
              <w:spacing w:after="0"/>
              <w:rPr>
                <w:sz w:val="1"/>
                <w:szCs w:val="1"/>
                <w:color w:val="auto"/>
              </w:rPr>
            </w:pPr>
          </w:p>
        </w:tc>
      </w:tr>
      <w:tr>
        <w:trPr>
          <w:trHeight w:val="31"/>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March 20, 2019</w:t>
            </w:r>
          </w:p>
        </w:tc>
        <w:tc>
          <w:tcPr>
            <w:tcW w:w="31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Restricted Stock Units</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34,842</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$17,769.42</w:t>
            </w:r>
          </w:p>
        </w:tc>
        <w:tc>
          <w:tcPr>
            <w:tcW w:w="0" w:type="dxa"/>
            <w:vAlign w:val="bottom"/>
          </w:tcPr>
          <w:p>
            <w:pPr>
              <w:spacing w:after="0"/>
              <w:rPr>
                <w:sz w:val="1"/>
                <w:szCs w:val="1"/>
                <w:color w:val="auto"/>
              </w:rPr>
            </w:pPr>
          </w:p>
        </w:tc>
      </w:tr>
      <w:tr>
        <w:trPr>
          <w:trHeight w:val="31"/>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March 25, 2020</w:t>
            </w:r>
          </w:p>
        </w:tc>
        <w:tc>
          <w:tcPr>
            <w:tcW w:w="31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Restricted Stock Units</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64,988</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$33,143.88</w:t>
            </w:r>
          </w:p>
        </w:tc>
        <w:tc>
          <w:tcPr>
            <w:tcW w:w="0" w:type="dxa"/>
            <w:vAlign w:val="bottom"/>
          </w:tcPr>
          <w:p>
            <w:pPr>
              <w:spacing w:after="0"/>
              <w:rPr>
                <w:sz w:val="1"/>
                <w:szCs w:val="1"/>
                <w:color w:val="auto"/>
              </w:rPr>
            </w:pPr>
          </w:p>
        </w:tc>
      </w:tr>
      <w:tr>
        <w:trPr>
          <w:trHeight w:val="31"/>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February 8, 2021</w:t>
            </w:r>
          </w:p>
        </w:tc>
        <w:tc>
          <w:tcPr>
            <w:tcW w:w="31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Performance Share Units</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86,910</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N/A</w:t>
            </w:r>
          </w:p>
        </w:tc>
        <w:tc>
          <w:tcPr>
            <w:tcW w:w="0" w:type="dxa"/>
            <w:vAlign w:val="bottom"/>
          </w:tcPr>
          <w:p>
            <w:pPr>
              <w:spacing w:after="0"/>
              <w:rPr>
                <w:sz w:val="1"/>
                <w:szCs w:val="1"/>
                <w:color w:val="auto"/>
              </w:rPr>
            </w:pPr>
          </w:p>
        </w:tc>
      </w:tr>
      <w:tr>
        <w:trPr>
          <w:trHeight w:val="31"/>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February 8, 2021</w:t>
            </w:r>
          </w:p>
        </w:tc>
        <w:tc>
          <w:tcPr>
            <w:tcW w:w="31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Restricted Stock Units</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29,147</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N/A</w:t>
            </w:r>
          </w:p>
        </w:tc>
        <w:tc>
          <w:tcPr>
            <w:tcW w:w="0" w:type="dxa"/>
            <w:vAlign w:val="bottom"/>
          </w:tcPr>
          <w:p>
            <w:pPr>
              <w:spacing w:after="0"/>
              <w:rPr>
                <w:sz w:val="1"/>
                <w:szCs w:val="1"/>
                <w:color w:val="auto"/>
              </w:rPr>
            </w:pPr>
          </w:p>
        </w:tc>
      </w:tr>
      <w:tr>
        <w:trPr>
          <w:trHeight w:val="30"/>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February 8, 2021</w:t>
            </w:r>
          </w:p>
        </w:tc>
        <w:tc>
          <w:tcPr>
            <w:tcW w:w="31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Stock Appreciation Rights</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131,700</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N/A</w:t>
            </w:r>
          </w:p>
        </w:tc>
        <w:tc>
          <w:tcPr>
            <w:tcW w:w="0" w:type="dxa"/>
            <w:vAlign w:val="bottom"/>
          </w:tcPr>
          <w:p>
            <w:pPr>
              <w:spacing w:after="0"/>
              <w:rPr>
                <w:sz w:val="1"/>
                <w:szCs w:val="1"/>
                <w:color w:val="auto"/>
              </w:rPr>
            </w:pPr>
          </w:p>
        </w:tc>
      </w:tr>
      <w:tr>
        <w:trPr>
          <w:trHeight w:val="30"/>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*As of May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i w:val="1"/>
          <w:iCs w:val="1"/>
          <w:color w:val="auto"/>
        </w:rPr>
        <w:t>COMPANY PRIVATE – Not for further distribution</w:t>
      </w:r>
    </w:p>
    <w:p>
      <w:pPr>
        <w:sectPr>
          <w:pgSz w:w="11900" w:h="16838" w:orient="portrait"/>
          <w:cols w:equalWidth="0" w:num="1">
            <w:col w:w="11260"/>
          </w:cols>
          <w:pgMar w:left="320" w:top="1422" w:right="31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July 27,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52" w:lineRule="exact"/>
        <w:rPr>
          <w:sz w:val="20"/>
          <w:szCs w:val="20"/>
          <w:color w:val="auto"/>
        </w:rPr>
      </w:pPr>
    </w:p>
    <w:p>
      <w:pPr>
        <w:ind w:right="860"/>
        <w:spacing w:after="0" w:line="241" w:lineRule="auto"/>
        <w:rPr>
          <w:sz w:val="20"/>
          <w:szCs w:val="20"/>
          <w:color w:val="auto"/>
        </w:rPr>
      </w:pPr>
      <w:r>
        <w:rPr>
          <w:rFonts w:ascii="Arial" w:cs="Arial" w:eastAsia="Arial" w:hAnsi="Arial"/>
          <w:sz w:val="18"/>
          <w:szCs w:val="18"/>
          <w:color w:val="auto"/>
        </w:rPr>
        <w:t>We are aware that our report dated July 27, 2021 on our review of interim financial information of Raytheon Technologies Corporation, which appears in this Quarterly Report on Form 10-Q, is incorporated by reference in the Registration Statements on Form S-3 (No. 333-234027) and Form S-8 (Nos. 333-237576, 333-234086, 333-234085, 333-234084, 333-228649, 333-225839, 333-207193, 333-197704, 333-183123, 333-177517, 333-175781, 333-150643, 333-125293, 333-110020, 333-100724, 333-100723, 333-100718 and 033-51385) of Raytheon Technologies Corporation.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Raytheon Technologies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20" w:hanging="656"/>
        <w:spacing w:after="0" w:line="273"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   July 27,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J. HAYES</w:t>
            </w:r>
          </w:p>
        </w:tc>
      </w:tr>
      <w:tr>
        <w:trPr>
          <w:trHeight w:val="222"/>
        </w:trPr>
        <w:tc>
          <w:tcPr>
            <w:tcW w:w="62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Gregory J. Hayes</w:t>
            </w:r>
          </w:p>
        </w:tc>
      </w:tr>
      <w:tr>
        <w:trPr>
          <w:trHeight w:val="230"/>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Raytheon Technologies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20" w:hanging="656"/>
        <w:spacing w:after="0" w:line="273"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   July 27,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NEIL G. MITCHILL JR.</w:t>
            </w:r>
          </w:p>
        </w:tc>
      </w:tr>
      <w:tr>
        <w:trPr>
          <w:trHeight w:val="222"/>
        </w:trPr>
        <w:tc>
          <w:tcPr>
            <w:tcW w:w="62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Neil G. Mitchill Jr.</w:t>
            </w:r>
          </w:p>
        </w:tc>
      </w:tr>
      <w:tr>
        <w:trPr>
          <w:trHeight w:val="230"/>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Steven A. Forrest, certify that:</w:t>
      </w:r>
    </w:p>
    <w:p>
      <w:pPr>
        <w:spacing w:after="0" w:line="171"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Raytheon Technologies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20" w:hanging="656"/>
        <w:spacing w:after="0" w:line="273"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   July 27, 2021</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A. FORREST</w:t>
            </w:r>
          </w:p>
        </w:tc>
      </w:tr>
      <w:tr>
        <w:trPr>
          <w:trHeight w:val="222"/>
        </w:trPr>
        <w:tc>
          <w:tcPr>
            <w:tcW w:w="62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Steven A. Forrest</w:t>
            </w:r>
          </w:p>
        </w:tc>
      </w:tr>
      <w:tr>
        <w:trPr>
          <w:trHeight w:val="230"/>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Vice President and Acting Controller</w:t>
            </w:r>
          </w:p>
        </w:tc>
      </w:tr>
    </w:tbl>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45"/>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Raytheon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16"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The Quarterly Report on Form 10-Q for the quarter ended June 30, 2021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100"/>
              <w:spacing w:after="0"/>
              <w:rPr>
                <w:sz w:val="20"/>
                <w:szCs w:val="20"/>
                <w:color w:val="auto"/>
              </w:rPr>
            </w:pPr>
            <w:r>
              <w:rPr>
                <w:rFonts w:ascii="Arial" w:cs="Arial" w:eastAsia="Arial" w:hAnsi="Arial"/>
                <w:sz w:val="18"/>
                <w:szCs w:val="18"/>
                <w:color w:val="auto"/>
              </w:rPr>
              <w:t>July 27, 2021</w:t>
            </w: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J. HAYES</w:t>
            </w:r>
          </w:p>
        </w:tc>
      </w:tr>
      <w:tr>
        <w:trPr>
          <w:trHeight w:val="222"/>
        </w:trPr>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Gregory J. Hayes</w:t>
            </w:r>
          </w:p>
        </w:tc>
      </w:tr>
      <w:tr>
        <w:trPr>
          <w:trHeight w:val="230"/>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100"/>
              <w:spacing w:after="0"/>
              <w:rPr>
                <w:sz w:val="20"/>
                <w:szCs w:val="20"/>
                <w:color w:val="auto"/>
              </w:rPr>
            </w:pPr>
            <w:r>
              <w:rPr>
                <w:rFonts w:ascii="Arial" w:cs="Arial" w:eastAsia="Arial" w:hAnsi="Arial"/>
                <w:sz w:val="18"/>
                <w:szCs w:val="18"/>
                <w:color w:val="auto"/>
              </w:rPr>
              <w:t>July 27, 2021</w:t>
            </w: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NEIL G. MITCHILL JR.</w:t>
            </w:r>
          </w:p>
        </w:tc>
      </w:tr>
      <w:tr>
        <w:trPr>
          <w:trHeight w:val="222"/>
        </w:trPr>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Neil G. Mitchill Jr.</w:t>
            </w:r>
          </w:p>
        </w:tc>
      </w:tr>
      <w:tr>
        <w:trPr>
          <w:trHeight w:val="230"/>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100"/>
              <w:spacing w:after="0"/>
              <w:rPr>
                <w:sz w:val="20"/>
                <w:szCs w:val="20"/>
                <w:color w:val="auto"/>
              </w:rPr>
            </w:pPr>
            <w:r>
              <w:rPr>
                <w:rFonts w:ascii="Arial" w:cs="Arial" w:eastAsia="Arial" w:hAnsi="Arial"/>
                <w:sz w:val="18"/>
                <w:szCs w:val="18"/>
                <w:color w:val="auto"/>
              </w:rPr>
              <w:t>July 27, 2021</w:t>
            </w: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A. FORREST</w:t>
            </w:r>
          </w:p>
        </w:tc>
      </w:tr>
      <w:tr>
        <w:trPr>
          <w:trHeight w:val="222"/>
        </w:trPr>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Steven A. Forrest</w:t>
            </w:r>
          </w:p>
        </w:tc>
      </w:tr>
      <w:tr>
        <w:trPr>
          <w:trHeight w:val="230"/>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Vice President and Acting Controller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amp;"/>
      <w:numFmt w:val="bullet"/>
      <w:start w:val="1"/>
    </w:lvl>
  </w:abstractNum>
  <w:abstractNum w:abstractNumId="15">
    <w:nsid w:val="71F32454"/>
    <w:multiLevelType w:val="hybridMultilevel"/>
    <w:lvl w:ilvl="0">
      <w:lvlJc w:val="left"/>
      <w:lvlText w:val="&amp;"/>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lowerRoman"/>
      <w:start w:val="4"/>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2021-07-27T16:20:02Z</dcterms:created>
  <dcterms:modified xsi:type="dcterms:W3CDTF">2021-07-27T16:20:02Z</dcterms:modified>
</cp:coreProperties>
</file>