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347"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0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One Financial Plaza, Hartford, Connecticut 06103</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34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440" w:space="720"/>
            <w:col w:w="2000" w:space="720"/>
            <w:col w:w="300"/>
          </w:cols>
          <w:pgMar w:left="240" w:top="229"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60" w:space="640"/>
            <w:col w:w="180" w:space="40"/>
            <w:col w:w="5220" w:space="720"/>
            <w:col w:w="2000" w:space="720"/>
            <w:col w:w="300"/>
          </w:cols>
          <w:pgMar w:left="240" w:top="229" w:right="279" w:bottom="1440" w:gutter="0" w:footer="0" w:header="0"/>
          <w:type w:val="continuous"/>
        </w:sectPr>
      </w:pPr>
    </w:p>
    <w:p>
      <w:pPr>
        <w:spacing w:after="0" w:line="43"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September 30, 2013 there were 917,581,965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2013</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1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372"/>
        </w:trPr>
        <w:tc>
          <w:tcPr>
            <w:tcW w:w="140" w:type="dxa"/>
            <w:vAlign w:val="bottom"/>
            <w:tcBorders>
              <w:top w:val="single" w:sz="8" w:color="0000FF"/>
            </w:tcBorders>
          </w:tcPr>
          <w:p>
            <w:pPr>
              <w:spacing w:after="0"/>
              <w:rPr>
                <w:sz w:val="24"/>
                <w:szCs w:val="24"/>
                <w:color w:val="auto"/>
              </w:rPr>
            </w:pPr>
          </w:p>
        </w:tc>
        <w:tc>
          <w:tcPr>
            <w:tcW w:w="21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760" w:type="dxa"/>
            <w:vAlign w:val="bottom"/>
            <w:tcBorders>
              <w:top w:val="single" w:sz="8" w:color="0000FF"/>
            </w:tcBorders>
            <w:gridSpan w:val="3"/>
          </w:tcPr>
          <w:p>
            <w:pPr>
              <w:spacing w:after="0"/>
              <w:rPr>
                <w:sz w:val="24"/>
                <w:szCs w:val="24"/>
                <w:color w:val="auto"/>
              </w:rPr>
            </w:pPr>
          </w:p>
        </w:tc>
        <w:tc>
          <w:tcPr>
            <w:tcW w:w="7700" w:type="dxa"/>
            <w:vAlign w:val="bottom"/>
            <w:gridSpan w:val="9"/>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4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 of Comprehensive Income for the quarters ended September 30, 2013 and 2012</w:t>
              </w:r>
            </w:hyperlink>
          </w:p>
        </w:tc>
        <w:tc>
          <w:tcPr>
            <w:tcW w:w="20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 of Comprehensive Income for the nine months ended September 30, 2013 and 2012</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 at September 30, 2013 and December 31, 2012</w:t>
              </w:r>
            </w:hyperlink>
          </w:p>
        </w:tc>
        <w:tc>
          <w:tcPr>
            <w:tcW w:w="2340" w:type="dxa"/>
            <w:vAlign w:val="bottom"/>
            <w:tcBorders>
              <w:top w:val="single" w:sz="8" w:color="0000FF"/>
            </w:tcBorders>
            <w:gridSpan w:val="4"/>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 of Cash Flows for the nine months ended September 30, 2013 and 2012</w:t>
              </w:r>
            </w:hyperlink>
          </w:p>
        </w:tc>
        <w:tc>
          <w:tcPr>
            <w:tcW w:w="258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7"/>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18"/>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4"/>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Item 3. Quantitative and Qualitative Disclosures About Market Risk</w:t>
              </w:r>
            </w:hyperlink>
          </w:p>
        </w:tc>
        <w:tc>
          <w:tcPr>
            <w:tcW w:w="3580" w:type="dxa"/>
            <w:vAlign w:val="bottom"/>
            <w:gridSpan w:val="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55</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320" w:type="dxa"/>
            <w:vAlign w:val="bottom"/>
            <w:gridSpan w:val="7"/>
          </w:tcPr>
          <w:p>
            <w:pPr>
              <w:spacing w:after="0"/>
              <w:rPr>
                <w:rFonts w:ascii="Arial" w:cs="Arial" w:eastAsia="Arial" w:hAnsi="Arial"/>
                <w:sz w:val="18"/>
                <w:szCs w:val="18"/>
                <w:color w:val="0000FF"/>
                <w:w w:val="88"/>
              </w:rPr>
            </w:pPr>
            <w:hyperlink w:anchor="page55">
              <w:r>
                <w:rPr>
                  <w:rFonts w:ascii="Arial" w:cs="Arial" w:eastAsia="Arial" w:hAnsi="Arial"/>
                  <w:sz w:val="18"/>
                  <w:szCs w:val="18"/>
                  <w:color w:val="0000FF"/>
                  <w:w w:val="88"/>
                </w:rPr>
                <w:t>Item 4. Controls and Procedures</w:t>
              </w:r>
            </w:hyperlink>
          </w:p>
        </w:tc>
        <w:tc>
          <w:tcPr>
            <w:tcW w:w="2580" w:type="dxa"/>
            <w:vAlign w:val="bottom"/>
            <w:gridSpan w:val="5"/>
          </w:tcPr>
          <w:p>
            <w:pPr>
              <w:spacing w:after="0"/>
              <w:rPr>
                <w:sz w:val="24"/>
                <w:szCs w:val="24"/>
                <w:color w:val="auto"/>
              </w:rPr>
            </w:pPr>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9"/>
          </w:tcPr>
          <w:p>
            <w:pPr>
              <w:spacing w:after="0"/>
              <w:rPr>
                <w:rFonts w:ascii="Arial" w:cs="Arial" w:eastAsia="Arial" w:hAnsi="Arial"/>
                <w:sz w:val="18"/>
                <w:szCs w:val="18"/>
                <w:color w:val="0000FF"/>
                <w:w w:val="95"/>
              </w:rPr>
            </w:pPr>
            <w:hyperlink w:anchor="page57">
              <w:r>
                <w:rPr>
                  <w:rFonts w:ascii="Arial" w:cs="Arial" w:eastAsia="Arial" w:hAnsi="Arial"/>
                  <w:sz w:val="18"/>
                  <w:szCs w:val="18"/>
                  <w:color w:val="0000FF"/>
                  <w:w w:val="95"/>
                </w:rPr>
                <w:t>PART II – OTHER INFORMATION</w:t>
              </w:r>
            </w:hyperlink>
          </w:p>
        </w:tc>
        <w:tc>
          <w:tcPr>
            <w:tcW w:w="8040" w:type="dxa"/>
            <w:vAlign w:val="bottom"/>
            <w:gridSpan w:val="10"/>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80" w:type="dxa"/>
            <w:vAlign w:val="bottom"/>
            <w:gridSpan w:val="5"/>
          </w:tcPr>
          <w:p>
            <w:pPr>
              <w:spacing w:after="0"/>
              <w:rPr>
                <w:rFonts w:ascii="Arial" w:cs="Arial" w:eastAsia="Arial" w:hAnsi="Arial"/>
                <w:sz w:val="18"/>
                <w:szCs w:val="18"/>
                <w:color w:val="0000FF"/>
                <w:w w:val="88"/>
              </w:rPr>
            </w:pPr>
            <w:hyperlink w:anchor="page57">
              <w:r>
                <w:rPr>
                  <w:rFonts w:ascii="Arial" w:cs="Arial" w:eastAsia="Arial" w:hAnsi="Arial"/>
                  <w:sz w:val="18"/>
                  <w:szCs w:val="18"/>
                  <w:color w:val="0000FF"/>
                  <w:w w:val="88"/>
                </w:rPr>
                <w:t>Item 1. Legal Proceedings</w:t>
              </w:r>
            </w:hyperlink>
          </w:p>
        </w:tc>
        <w:tc>
          <w:tcPr>
            <w:tcW w:w="640" w:type="dxa"/>
            <w:vAlign w:val="bottom"/>
            <w:gridSpan w:val="3"/>
          </w:tcPr>
          <w:p>
            <w:pPr>
              <w:spacing w:after="0"/>
              <w:rPr>
                <w:sz w:val="24"/>
                <w:szCs w:val="24"/>
                <w:color w:val="auto"/>
              </w:rPr>
            </w:pPr>
          </w:p>
        </w:tc>
        <w:tc>
          <w:tcPr>
            <w:tcW w:w="8040" w:type="dxa"/>
            <w:vAlign w:val="bottom"/>
            <w:gridSpan w:val="10"/>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4"/>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68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Item 2. Unregistered Sales of Equity Securities and Use of Proceeds</w:t>
              </w:r>
            </w:hyperlink>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Item 3. Defaults Upon Senior Securities</w:t>
              </w:r>
            </w:hyperlink>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860" w:type="dxa"/>
            <w:vAlign w:val="bottom"/>
            <w:gridSpan w:val="9"/>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Item 6. Exhibits</w:t>
              </w:r>
            </w:hyperlink>
          </w:p>
        </w:tc>
        <w:tc>
          <w:tcPr>
            <w:tcW w:w="770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3"/>
          </w:tcPr>
          <w:p>
            <w:pPr>
              <w:spacing w:after="0"/>
              <w:rPr>
                <w:rFonts w:ascii="Arial" w:cs="Arial" w:eastAsia="Arial" w:hAnsi="Arial"/>
                <w:sz w:val="18"/>
                <w:szCs w:val="18"/>
                <w:color w:val="0000FF"/>
                <w:w w:val="92"/>
              </w:rPr>
            </w:pPr>
            <w:hyperlink w:anchor="page66">
              <w:r>
                <w:rPr>
                  <w:rFonts w:ascii="Arial" w:cs="Arial" w:eastAsia="Arial" w:hAnsi="Arial"/>
                  <w:sz w:val="18"/>
                  <w:szCs w:val="18"/>
                  <w:color w:val="0000FF"/>
                  <w:w w:val="92"/>
                </w:rPr>
                <w:t>SIGNATURES</w:t>
              </w:r>
            </w:hyperlink>
          </w:p>
        </w:tc>
        <w:tc>
          <w:tcPr>
            <w:tcW w:w="9600" w:type="dxa"/>
            <w:vAlign w:val="bottom"/>
            <w:gridSpan w:val="1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r>
      <w:tr>
        <w:trPr>
          <w:trHeight w:val="20"/>
        </w:trPr>
        <w:tc>
          <w:tcPr>
            <w:tcW w:w="11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2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gridSpan w:val="4"/>
          </w:tcPr>
          <w:p>
            <w:pPr>
              <w:spacing w:after="0"/>
              <w:rPr>
                <w:rFonts w:ascii="Arial" w:cs="Arial" w:eastAsia="Arial" w:hAnsi="Arial"/>
                <w:sz w:val="18"/>
                <w:szCs w:val="18"/>
                <w:color w:val="0000FF"/>
                <w:w w:val="95"/>
              </w:rPr>
            </w:pPr>
            <w:hyperlink w:anchor="page67">
              <w:r>
                <w:rPr>
                  <w:rFonts w:ascii="Arial" w:cs="Arial" w:eastAsia="Arial" w:hAnsi="Arial"/>
                  <w:sz w:val="18"/>
                  <w:szCs w:val="18"/>
                  <w:color w:val="0000FF"/>
                  <w:w w:val="95"/>
                </w:rPr>
                <w:t>EXHIBIT INDEX</w:t>
              </w:r>
            </w:hyperlink>
          </w:p>
        </w:tc>
        <w:tc>
          <w:tcPr>
            <w:tcW w:w="9420" w:type="dxa"/>
            <w:vAlign w:val="bottom"/>
            <w:gridSpan w:val="1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68</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Quarter Ended September 30,</w:t>
            </w:r>
          </w:p>
        </w:tc>
        <w:tc>
          <w:tcPr>
            <w:tcW w:w="0" w:type="dxa"/>
            <w:vAlign w:val="bottom"/>
          </w:tcPr>
          <w:p>
            <w:pPr>
              <w:spacing w:after="0"/>
              <w:rPr>
                <w:sz w:val="1"/>
                <w:szCs w:val="1"/>
                <w:color w:val="auto"/>
              </w:rPr>
            </w:pPr>
          </w:p>
        </w:tc>
      </w:tr>
      <w:tr>
        <w:trPr>
          <w:trHeight w:val="264"/>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11,243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10,839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15,042</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8,316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13,212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(loss) on disposal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Less: Noncontrolling interest in subsidiaries' earnings from discontinued operations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1,432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1,415</w:t>
            </w:r>
          </w:p>
        </w:tc>
        <w:tc>
          <w:tcPr>
            <w:tcW w:w="0" w:type="dxa"/>
            <w:vAlign w:val="bottom"/>
          </w:tcPr>
          <w:p>
            <w:pPr>
              <w:spacing w:after="0"/>
              <w:rPr>
                <w:sz w:val="1"/>
                <w:szCs w:val="1"/>
                <w:color w:val="auto"/>
              </w:rPr>
            </w:pPr>
          </w:p>
        </w:tc>
      </w:tr>
      <w:tr>
        <w:trPr>
          <w:trHeight w:val="23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2,546</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common shareowners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2,427</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8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Product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33,159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28,843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Service sales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12,422</w:t>
            </w: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41,265</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24,876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services sold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39,905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36,183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5,933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(loss) on disposal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Less: Noncontrolling interest in subsidiaries' earnings from discontinued operations</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attributable to common shareowners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4,258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3,073</w:t>
            </w:r>
          </w:p>
        </w:tc>
        <w:tc>
          <w:tcPr>
            <w:tcW w:w="0" w:type="dxa"/>
            <w:vAlign w:val="bottom"/>
          </w:tcPr>
          <w:p>
            <w:pPr>
              <w:spacing w:after="0"/>
              <w:rPr>
                <w:sz w:val="1"/>
                <w:szCs w:val="1"/>
                <w:color w:val="auto"/>
              </w:rPr>
            </w:pPr>
          </w:p>
        </w:tc>
      </w:tr>
      <w:tr>
        <w:trPr>
          <w:trHeight w:val="23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4,658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4,171</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common shareowners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3,900</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8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40" w:type="dxa"/>
            <w:vAlign w:val="bottom"/>
            <w:gridSpan w:val="4"/>
            <w:shd w:val="clear" w:color="auto" w:fill="CCEEFF"/>
          </w:tcPr>
          <w:p>
            <w:pPr>
              <w:jc w:val="center"/>
              <w:ind w:right="3980"/>
              <w:spacing w:after="0" w:line="189" w:lineRule="exact"/>
              <w:rPr>
                <w:sz w:val="20"/>
                <w:szCs w:val="20"/>
                <w:color w:val="auto"/>
              </w:rPr>
            </w:pPr>
            <w:r>
              <w:rPr>
                <w:rFonts w:ascii="Arial" w:cs="Arial" w:eastAsia="Arial" w:hAnsi="Arial"/>
                <w:sz w:val="17"/>
                <w:szCs w:val="17"/>
                <w:b w:val="1"/>
                <w:bCs w:val="1"/>
                <w:color w:val="auto"/>
                <w:w w:val="82"/>
              </w:rPr>
              <w:t>Assets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3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4,621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4,819</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11,099</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10,765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9,537</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Future income tax benefits, current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1,611</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Assets held for sale</w:t>
            </w: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1,071</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Other assets, current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21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Total Current Assets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29,351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29,610</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Customer financing 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Future income tax benefits</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1,583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1,599</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Fixed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18,065</w:t>
            </w:r>
          </w:p>
        </w:tc>
        <w:tc>
          <w:tcPr>
            <w:tcW w:w="0" w:type="dxa"/>
            <w:vAlign w:val="bottom"/>
          </w:tcPr>
          <w:p>
            <w:pPr>
              <w:spacing w:after="0"/>
              <w:rPr>
                <w:sz w:val="1"/>
                <w:szCs w:val="1"/>
                <w:color w:val="auto"/>
              </w:rPr>
            </w:pPr>
          </w:p>
        </w:tc>
      </w:tr>
      <w:tr>
        <w:trPr>
          <w:trHeight w:val="23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Less: Accumulated depreciation</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(9,839)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(9,547)</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Fixed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8,549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8,518</w:t>
            </w:r>
          </w:p>
        </w:tc>
        <w:tc>
          <w:tcPr>
            <w:tcW w:w="0" w:type="dxa"/>
            <w:vAlign w:val="bottom"/>
          </w:tcPr>
          <w:p>
            <w:pPr>
              <w:spacing w:after="0"/>
              <w:rPr>
                <w:sz w:val="1"/>
                <w:szCs w:val="1"/>
                <w:color w:val="auto"/>
              </w:rPr>
            </w:pPr>
          </w:p>
        </w:tc>
      </w:tr>
      <w:tr>
        <w:trPr>
          <w:trHeight w:val="21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Goodwill</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28,100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27,801</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15,189</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6,019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5,542</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90,326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89,409</w:t>
            </w:r>
          </w:p>
        </w:tc>
        <w:tc>
          <w:tcPr>
            <w:tcW w:w="0" w:type="dxa"/>
            <w:vAlign w:val="bottom"/>
          </w:tcPr>
          <w:p>
            <w:pPr>
              <w:spacing w:after="0"/>
              <w:rPr>
                <w:sz w:val="1"/>
                <w:szCs w:val="1"/>
                <w:color w:val="auto"/>
              </w:rPr>
            </w:pPr>
          </w:p>
        </w:tc>
      </w:tr>
      <w:tr>
        <w:trPr>
          <w:trHeight w:val="20"/>
        </w:trPr>
        <w:tc>
          <w:tcPr>
            <w:tcW w:w="8320" w:type="dxa"/>
            <w:vAlign w:val="bottom"/>
            <w:gridSpan w:val="6"/>
            <w:vMerge w:val="restart"/>
          </w:tcPr>
          <w:p>
            <w:pPr>
              <w:jc w:val="center"/>
              <w:ind w:right="100"/>
              <w:spacing w:after="0"/>
              <w:rPr>
                <w:sz w:val="20"/>
                <w:szCs w:val="20"/>
                <w:color w:val="auto"/>
              </w:rPr>
            </w:pPr>
            <w:r>
              <w:rPr>
                <w:rFonts w:ascii="Arial" w:cs="Arial" w:eastAsia="Arial" w:hAnsi="Arial"/>
                <w:sz w:val="17"/>
                <w:szCs w:val="17"/>
                <w:b w:val="1"/>
                <w:bCs w:val="1"/>
                <w:color w:val="auto"/>
                <w:w w:val="92"/>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20" w:type="dxa"/>
            <w:vAlign w:val="bottom"/>
            <w:gridSpan w:val="6"/>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3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Short-term borrowings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6,628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6,431</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15,310</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Liabilities held for sale</w:t>
            </w: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Long-term debt currently due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1,121</w:t>
            </w:r>
          </w:p>
        </w:tc>
        <w:tc>
          <w:tcPr>
            <w:tcW w:w="0" w:type="dxa"/>
            <w:vAlign w:val="bottom"/>
          </w:tcPr>
          <w:p>
            <w:pPr>
              <w:spacing w:after="0"/>
              <w:rPr>
                <w:sz w:val="1"/>
                <w:szCs w:val="1"/>
                <w:color w:val="auto"/>
              </w:rPr>
            </w:pPr>
          </w:p>
        </w:tc>
      </w:tr>
      <w:tr>
        <w:trPr>
          <w:trHeight w:val="21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23,519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23,786</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19,785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21,597</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7,175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7,520</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9,804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9,199</w:t>
            </w:r>
          </w:p>
        </w:tc>
        <w:tc>
          <w:tcPr>
            <w:tcW w:w="0" w:type="dxa"/>
            <w:vAlign w:val="bottom"/>
          </w:tcPr>
          <w:p>
            <w:pPr>
              <w:spacing w:after="0"/>
              <w:rPr>
                <w:sz w:val="1"/>
                <w:szCs w:val="1"/>
                <w:color w:val="auto"/>
              </w:rPr>
            </w:pPr>
          </w:p>
        </w:tc>
      </w:tr>
      <w:tr>
        <w:trPr>
          <w:trHeight w:val="21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Total Liabilities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60,283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62,102</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Commitments and contingent liabilities (Note 13)</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Redeemable noncontrolling interest</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Shareowners’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Common Stock</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14,665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13,976</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Treasury Stock</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(19,251)</w:t>
            </w:r>
          </w:p>
        </w:tc>
        <w:tc>
          <w:tcPr>
            <w:tcW w:w="0" w:type="dxa"/>
            <w:vAlign w:val="bottom"/>
          </w:tcPr>
          <w:p>
            <w:pPr>
              <w:spacing w:after="0"/>
              <w:rPr>
                <w:sz w:val="1"/>
                <w:szCs w:val="1"/>
                <w:color w:val="auto"/>
              </w:rPr>
            </w:pPr>
          </w:p>
        </w:tc>
      </w:tr>
      <w:tr>
        <w:trPr>
          <w:trHeight w:val="23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39,599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36,776</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Unearned ESOP shares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3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(5,325)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(5,448)</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gridSpan w:val="6"/>
            <w:shd w:val="clear" w:color="auto" w:fill="CCEEFF"/>
          </w:tcPr>
          <w:p>
            <w:pPr>
              <w:ind w:left="1140"/>
              <w:spacing w:after="0"/>
              <w:rPr>
                <w:sz w:val="20"/>
                <w:szCs w:val="20"/>
                <w:color w:val="auto"/>
              </w:rPr>
            </w:pPr>
            <w:r>
              <w:rPr>
                <w:rFonts w:ascii="Arial" w:cs="Arial" w:eastAsia="Arial" w:hAnsi="Arial"/>
                <w:sz w:val="17"/>
                <w:szCs w:val="17"/>
                <w:color w:val="auto"/>
              </w:rPr>
              <w:t>Total Shareowners’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28,577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25,914</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Noncontrolling interest</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1,342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1,155</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Total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29,919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27,069</w:t>
            </w:r>
          </w:p>
        </w:tc>
        <w:tc>
          <w:tcPr>
            <w:tcW w:w="0" w:type="dxa"/>
            <w:vAlign w:val="bottom"/>
          </w:tcPr>
          <w:p>
            <w:pPr>
              <w:spacing w:after="0"/>
              <w:rPr>
                <w:sz w:val="1"/>
                <w:szCs w:val="1"/>
                <w:color w:val="auto"/>
              </w:rPr>
            </w:pPr>
          </w:p>
        </w:tc>
      </w:tr>
      <w:tr>
        <w:trPr>
          <w:trHeight w:val="244"/>
        </w:trPr>
        <w:tc>
          <w:tcPr>
            <w:tcW w:w="8320" w:type="dxa"/>
            <w:vAlign w:val="bottom"/>
            <w:gridSpan w:val="6"/>
          </w:tcPr>
          <w:p>
            <w:pPr>
              <w:ind w:left="380"/>
              <w:spacing w:after="0"/>
              <w:rPr>
                <w:sz w:val="20"/>
                <w:szCs w:val="20"/>
                <w:color w:val="auto"/>
              </w:rPr>
            </w:pPr>
            <w:r>
              <w:rPr>
                <w:rFonts w:ascii="Arial" w:cs="Arial" w:eastAsia="Arial" w:hAnsi="Arial"/>
                <w:sz w:val="17"/>
                <w:szCs w:val="17"/>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90,326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89,409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122"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2" w:right="25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2012</w:t>
            </w: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Activities of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4,163</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Adjustments to reconcile income from continuing operations to net cash flows provided by operating</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activities of continuing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gridSpan w:val="2"/>
          </w:tcPr>
          <w:p>
            <w:pPr>
              <w:ind w:left="9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1,047</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Deferred income tax provision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8320" w:type="dxa"/>
            <w:vAlign w:val="bottom"/>
            <w:gridSpan w:val="2"/>
          </w:tcPr>
          <w:p>
            <w:pPr>
              <w:ind w:left="920"/>
              <w:spacing w:after="0"/>
              <w:rPr>
                <w:sz w:val="20"/>
                <w:szCs w:val="20"/>
                <w:color w:val="auto"/>
              </w:rPr>
            </w:pPr>
            <w:r>
              <w:rPr>
                <w:rFonts w:ascii="Arial" w:cs="Arial" w:eastAsia="Arial" w:hAnsi="Arial"/>
                <w:sz w:val="18"/>
                <w:szCs w:val="18"/>
                <w:color w:val="auto"/>
              </w:rPr>
              <w:t>Stock compensation cost</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150</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Change in: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9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406</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Inventories and contracts in progress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r>
      <w:tr>
        <w:trPr>
          <w:trHeight w:val="243"/>
        </w:trPr>
        <w:tc>
          <w:tcPr>
            <w:tcW w:w="8320" w:type="dxa"/>
            <w:vAlign w:val="bottom"/>
            <w:gridSpan w:val="2"/>
          </w:tcPr>
          <w:p>
            <w:pPr>
              <w:ind w:left="9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Global pension contributions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operating activities,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37"/>
        </w:trPr>
        <w:tc>
          <w:tcPr>
            <w:tcW w:w="8320" w:type="dxa"/>
            <w:vAlign w:val="bottom"/>
            <w:gridSpan w:val="2"/>
          </w:tcPr>
          <w:p>
            <w:pPr>
              <w:ind w:left="72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4,651</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 of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Investments in businesses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(16,008)</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Dispositions of businesses</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362</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 in customer financing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Decrease (increase) in restricted cash, net</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in collaboration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Other investing activities,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(17,995)</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Financing Activities of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(Repayment) issuance of long-term debt,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10,798</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(Decrease) increase in short-term borrowings,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4,509</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Common Stock issued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Dividends paid on Common Stock</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flows (used in) provided by financing activities of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13,986</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flows used in discontinued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5,960</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6,297</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Less: Cash and cash equivalents of businesses held for sale</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55</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of continuing operations,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6,242</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1" w:right="25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Condensed Consolidated Financial Statements at September 30, 2013 and for the quarters and nine months ended September 30, 2013 and 2012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Certain reclassifications have been made to the prior year amounts to conform to the current year presentation. The financial information included herein should be read in conjunction with the financial statements and notes in our Annual Report to Shareowners (2012 Annual Report) incorporated by reference to our Annual Report on Form 10-K for calendar year 2012 (2012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first nine months of 2013, our cash investment in business acquisitions was $120 million, and consisted</w:t>
      </w:r>
      <w:r>
        <w:rPr>
          <w:rFonts w:ascii="Arial" w:cs="Arial" w:eastAsia="Arial" w:hAnsi="Arial"/>
          <w:sz w:val="18"/>
          <w:szCs w:val="18"/>
          <w:b w:val="1"/>
          <w:bCs w:val="1"/>
          <w:color w:val="auto"/>
        </w:rPr>
        <w:t xml:space="preserve"> </w:t>
      </w:r>
      <w:r>
        <w:rPr>
          <w:rFonts w:ascii="Arial" w:cs="Arial" w:eastAsia="Arial" w:hAnsi="Arial"/>
          <w:sz w:val="18"/>
          <w:szCs w:val="18"/>
          <w:color w:val="auto"/>
        </w:rPr>
        <w:t>of a number of small acquisitions, primarily in our commercial businesses.</w:t>
      </w:r>
    </w:p>
    <w:p>
      <w:pPr>
        <w:spacing w:after="0" w:line="166" w:lineRule="exact"/>
        <w:rPr>
          <w:sz w:val="20"/>
          <w:szCs w:val="20"/>
          <w:color w:val="auto"/>
        </w:rPr>
      </w:pPr>
    </w:p>
    <w:p>
      <w:pPr>
        <w:ind w:right="360" w:firstLine="432"/>
        <w:spacing w:after="0" w:line="302" w:lineRule="auto"/>
        <w:rPr>
          <w:sz w:val="20"/>
          <w:szCs w:val="20"/>
          <w:color w:val="auto"/>
        </w:rPr>
      </w:pPr>
      <w:r>
        <w:rPr>
          <w:rFonts w:ascii="Arial" w:cs="Arial" w:eastAsia="Arial" w:hAnsi="Arial"/>
          <w:sz w:val="16"/>
          <w:szCs w:val="16"/>
          <w:color w:val="auto"/>
        </w:rPr>
        <w:t>On May 17, 2013, we completed the sale of the Pratt &amp; Whitney Power Systems business to Mitsubishi Heavy Industries (MHI) and entered into a long-term engineering and manufacturing agreement with MHI. The sale generated a pre-tax gain of approximately $193 million ($132 million after tax). Cash received in connection with the sale was $432 million, excluding contingent consideration valued at approximately $200 million. Pratt &amp; Whitney Power Systems has not been reclassified to Discontinued Operations due to our level of continuing involvement in the business post-sale.</w:t>
      </w:r>
    </w:p>
    <w:p>
      <w:pPr>
        <w:spacing w:after="0" w:line="154"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On February 7, 2013, we completed the acquisition of Grupo Ascensores Enor, S.A. (Enor), a privately held company headquartered in Spain with operations in Spain and Portugal, which designs, manufactures, installs and services elevators. Enor's 2012 sales were approximately $50 million. Under the terms of the transaction, Zardoya Otis, S.A. (ZOSA), a non-wholly owned subsidiary of the Company, exchanged publicly traded shares of ZOSA with a fair value of approximately $240 million as of the transaction completion date for all of the shares of Enor.</w:t>
      </w:r>
    </w:p>
    <w:p>
      <w:pPr>
        <w:spacing w:after="0" w:line="17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On July 26, 2012, UTC acquired Goodrich Corporation (Goodrich), a global supplier of systems and services to the aerospace and defense industry with 2011 sales of $8.1 billion. Goodrich products include aircraft nacelles and interior, actuation, landing and electronic systems. Under the terms of the agreement, Goodrich shareholders received $127.50 in cash for each share of Goodrich common stock they owned on July 26, 2012. This equated to a total enterprise value of $18.3 billion, including $1.9 billion in net debt assumed. The acquired Goodrich businesses were combined with the legacy Hamilton Sundstrand businesses to form the new UTC Aerospace Systems segment. The Goodrich acquisition and the formation of UTC Aerospace Systems provides increased scale, financial strength and complementary product offerings, allowing us to significantly strengthen our position in the aerospace and defense industry, create aftermarket efficiencies for our customers, accelerate our ability to drive innovation within the aerospace industry, and enhance our ability to support our customers with more integrated systems. This acquisition, coupled with our acquisition of an additional interest in IAE International Aero Engines AG (IAE), as discussed below, further advances UTC's strategy of focusing on our core businesses.</w:t>
      </w:r>
    </w:p>
    <w:p>
      <w:pPr>
        <w:spacing w:after="0" w:line="167" w:lineRule="exact"/>
        <w:rPr>
          <w:sz w:val="20"/>
          <w:szCs w:val="20"/>
          <w:color w:val="auto"/>
        </w:rPr>
      </w:pPr>
    </w:p>
    <w:p>
      <w:pPr>
        <w:ind w:right="320" w:firstLine="432"/>
        <w:spacing w:after="0" w:line="276" w:lineRule="auto"/>
        <w:rPr>
          <w:sz w:val="20"/>
          <w:szCs w:val="20"/>
          <w:color w:val="auto"/>
        </w:rPr>
      </w:pPr>
      <w:r>
        <w:rPr>
          <w:rFonts w:ascii="Arial" w:cs="Arial" w:eastAsia="Arial" w:hAnsi="Arial"/>
          <w:sz w:val="17"/>
          <w:szCs w:val="17"/>
          <w:color w:val="auto"/>
        </w:rPr>
        <w:t>To finance the cash consideration for the Goodrich acquisition and pay related fees, expenses and other amounts due and payable, we utilized the previously disclosed net proceeds of approximately $9.6 billion from the $9.8 billion of long-term notes issued on June 1, 2012, the net proceeds of approximately $1.1 billion from the equity units issued on June 18, 2012, $3.2 billion from the issuance of commercial paper during July 2012, and $2.0 billion of proceeds borrowed under our April 24, 2012 term loan credit agreement. For the remainder of the cash consideration, we utilized approximately $0.5 billion of cash and cash equivalents generated from operating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Consideration Transferred to Net Assets Acquired:</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following amounts represent the final determination as of July 26, 2012 of the fair value of identifiable assets acquired and liabilities assumed from the Goodrich acquisition, through completion of the one year measurement period from the date of acquisition as required by the Financial Accounting Standards Board (FASB) Accounting Standards Codification (ASC) Topic 805, “Business Combinations” (ASC Topic 805). Measurement period adjustments were not significant and were not retroactively reclassified to prior periods.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006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831"/>
        </w:trPr>
        <w:tc>
          <w:tcPr>
            <w:tcW w:w="1006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Accounts receivable, net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1,205</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Inventories and contracts in progress, net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Future income tax benefits, current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 current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2,209</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0020" w:type="dxa"/>
            <w:vAlign w:val="bottom"/>
            <w:gridSpan w:val="3"/>
          </w:tcPr>
          <w:p>
            <w:pPr>
              <w:ind w:left="240"/>
              <w:spacing w:after="0"/>
              <w:rPr>
                <w:sz w:val="20"/>
                <w:szCs w:val="20"/>
                <w:color w:val="auto"/>
              </w:rPr>
            </w:pPr>
            <w:r>
              <w:rPr>
                <w:rFonts w:ascii="Arial" w:cs="Arial" w:eastAsia="Arial" w:hAnsi="Arial"/>
                <w:sz w:val="18"/>
                <w:szCs w:val="18"/>
                <w:color w:val="auto"/>
              </w:rPr>
              <w:t>Customer relationships and related program assets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8,550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Trademarks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1,501</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(2,961)</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Future pension and postretirement benefit obligations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Other long-term liabilities: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Customer contractual obligations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43"/>
        </w:trPr>
        <w:tc>
          <w:tcPr>
            <w:tcW w:w="40" w:type="dxa"/>
            <w:vAlign w:val="bottom"/>
          </w:tcPr>
          <w:p>
            <w:pPr>
              <w:spacing w:after="0"/>
              <w:rPr>
                <w:sz w:val="21"/>
                <w:szCs w:val="21"/>
                <w:color w:val="auto"/>
              </w:rPr>
            </w:pPr>
          </w:p>
        </w:tc>
        <w:tc>
          <w:tcPr>
            <w:tcW w:w="10020" w:type="dxa"/>
            <w:vAlign w:val="bottom"/>
            <w:gridSpan w:val="3"/>
          </w:tcPr>
          <w:p>
            <w:pPr>
              <w:ind w:left="240"/>
              <w:spacing w:after="0"/>
              <w:rPr>
                <w:sz w:val="20"/>
                <w:szCs w:val="20"/>
                <w:color w:val="auto"/>
              </w:rPr>
            </w:pPr>
            <w:r>
              <w:rPr>
                <w:rFonts w:ascii="Arial" w:cs="Arial" w:eastAsia="Arial" w:hAnsi="Arial"/>
                <w:sz w:val="18"/>
                <w:szCs w:val="18"/>
                <w:color w:val="auto"/>
              </w:rPr>
              <w:t>Other long-term liabilities</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(4,013)</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40" w:type="dxa"/>
            <w:vAlign w:val="bottom"/>
          </w:tcPr>
          <w:p>
            <w:pPr>
              <w:spacing w:after="0"/>
              <w:rPr>
                <w:sz w:val="20"/>
                <w:szCs w:val="20"/>
                <w:color w:val="auto"/>
              </w:rPr>
            </w:pPr>
          </w:p>
        </w:tc>
        <w:tc>
          <w:tcPr>
            <w:tcW w:w="10020" w:type="dxa"/>
            <w:vAlign w:val="bottom"/>
            <w:gridSpan w:val="3"/>
          </w:tcPr>
          <w:p>
            <w:pPr>
              <w:ind w:left="240"/>
              <w:spacing w:after="0"/>
              <w:rPr>
                <w:sz w:val="20"/>
                <w:szCs w:val="20"/>
                <w:color w:val="auto"/>
              </w:rPr>
            </w:pPr>
            <w:r>
              <w:rPr>
                <w:rFonts w:ascii="Arial" w:cs="Arial" w:eastAsia="Arial" w:hAnsi="Arial"/>
                <w:sz w:val="18"/>
                <w:szCs w:val="18"/>
                <w:color w:val="auto"/>
              </w:rPr>
              <w:t>Total identifiable net assets</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11,580</w:t>
            </w:r>
          </w:p>
        </w:tc>
      </w:tr>
      <w:tr>
        <w:trPr>
          <w:trHeight w:val="257"/>
        </w:trPr>
        <w:tc>
          <w:tcPr>
            <w:tcW w:w="40" w:type="dxa"/>
            <w:vAlign w:val="bottom"/>
          </w:tcPr>
          <w:p>
            <w:pPr>
              <w:spacing w:after="0"/>
              <w:rPr>
                <w:sz w:val="22"/>
                <w:szCs w:val="22"/>
                <w:color w:val="auto"/>
              </w:rPr>
            </w:pPr>
          </w:p>
        </w:tc>
        <w:tc>
          <w:tcPr>
            <w:tcW w:w="10020" w:type="dxa"/>
            <w:vAlign w:val="bottom"/>
            <w:gridSpan w:val="3"/>
          </w:tcPr>
          <w:p>
            <w:pPr>
              <w:ind w:left="240"/>
              <w:spacing w:after="0"/>
              <w:rPr>
                <w:sz w:val="20"/>
                <w:szCs w:val="20"/>
                <w:color w:val="auto"/>
              </w:rPr>
            </w:pPr>
            <w:r>
              <w:rPr>
                <w:rFonts w:ascii="Arial" w:cs="Arial" w:eastAsia="Arial" w:hAnsi="Arial"/>
                <w:sz w:val="18"/>
                <w:szCs w:val="18"/>
                <w:color w:val="auto"/>
              </w:rPr>
              <w:t>Total consideration transferred</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16,420</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In order to allocate the consideration transferred for Goodrich, the fair values of all identifiable assets and liabilities needed to be established. For accounting and financial reporting purposes, fair value is defined under FASB ASC Topic 820, “Fair Value Measurements and Disclosures” (ASC Topic 820) as the price that would be received upon sale of an asset or the amount paid to transfer a liability in an orderly transaction between market participants at the measurement date. Market participants are assumed to be buyers and sellers in the principal (most advantageous) market for the asset or liability.</w:t>
      </w:r>
    </w:p>
    <w:p>
      <w:pPr>
        <w:spacing w:after="0" w:line="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Additionally, fair value measurements for an asset assume the highest and best use of that asset by market participants. Use of different estimates and judgments could yield different results.</w:t>
      </w:r>
    </w:p>
    <w:p>
      <w:pPr>
        <w:spacing w:after="0" w:line="18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In determining the fair value of identifiable assets acquired and liabilities assumed, a review was conducted for any significant contingent assets or liabilities existing as of the acquisition date. As of September 30, 2013, no significant contingencies related to existing legal or government action have been identified which existed as of the opening balance sheet date. Based upon our existing practices and phase II environmental assessments done on a number of Goodrich sites, we have determined that environmental liability obligations of $325 million were assumed in connection with the Goodrich acquisition.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fair values of the customer relationships and related program intangible assets, which include the related aerospace program original equipment manufacturing (OEM) and aftermarket cash flows, were determined by using an “income approach” which is the most common valuation approach utilized.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Our estimates of market participant net cash flows considered historical and projected pricing, remaining developmental effort, operational performance including company specific synergies, aftermarket retention, product life cycles, material and labor pricing, and other relevant customer, contractual and market factors. Where appropriate, the net cash flows are probability-adjusted to reflect the uncertainties associated with the underlying assumptions, as well as the risk profile of the net cash flows utilized in the valuation. The probability-adjusted future cash flows are then discounted to present value using an appropriate discount rate. The customer relationship and related program intangible assets are being amortized on a straight-line basis (which approximates the economic pattern of benefits) over the estimated economic life of the underlying programs of 10 to 25 years.</w:t>
      </w:r>
    </w:p>
    <w:p>
      <w:pPr>
        <w:spacing w:after="0" w:line="183"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also identified customer contractual obligations on certain OEM development programs where the expected costs exceed the expected revenue under contract. We measured these liabilities under the measurement provisions of ASC Topic 820, which is based on the price to transfer the obligation to a market participant at the measurement date, assuming that the liability will remain outstanding in the marketplace. Based on the estimated net cash outflows of the OEM developmental programs plus a reasonable contracting profit margin required to transfer the contracts to market participants, we recorded assumed liabilities of approximately $2.2 billion. These liabilities will be liquidated in accordance with the underlying economic pattern of obligations, as reflected by the net cash outflows incurred on the OEM developmental programs. Total consumption of the contractual obligation for the quarter and nine months ended September 30, 2013 was approximately $60 million and $210 million, respectively. Total consumption of the contractual obligation is expected to be as follows: $70 million remaining in 2013, $274 million in 2014, $213 million in 2015, $242 million in 2016, $233 million in 2017 and $894 million thereafter.</w:t>
      </w:r>
    </w:p>
    <w:p>
      <w:pPr>
        <w:spacing w:after="0" w:line="19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Goodrich had not recorded an income tax liability on the unremitted earnings of its non-U.S. subsidiaries, which were approximately $853 million as of December 31, 2011. In connection with the Goodrich acquisition, UTC made a determination to repatriate certain of these unremitted earnings, making such amounts subject to both U.S. and non-U.S. income taxes. Accordingly, an income tax liability of $215 million was recorded in purchase accounting for the unremitted earnings no longer considered permanently reinvested.</w:t>
      </w:r>
    </w:p>
    <w:p>
      <w:pPr>
        <w:spacing w:after="0" w:line="187"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In 2010, Pratt &amp; Whitney entered into a preferred supplier contract with Goodrich for the development and subsequent production of nacelles for the PW1500G (Bombardier C Series) and PW1200G (Mitsubishi Regional Jet). That preferred supplier contract replaced previous contracts and preliminary Memorandum of Understandings entered into in 2006 and 2008. Under the 2010 agreement, Pratt &amp; Whitney agreed to fund Goodrich's non-recurring development effort and established a recurring price for the production nacelles. Prior to the date of the Goodrich acquisition, Pratt &amp; Whitney and Goodrich had asserted claims against each other in a contractual dispute and would have ultimately arbitrated the matter were it not for the acquisition. In accordance with ASC Topic 805, pre-existing relationships must be effectively settled at acquisition as the relationships become intercompany relationships upon acquisition and are eliminated in the post-combination financial statements. Any resulting settlement gains or losses should be measured at fair value and recorded on the acquisition date. Accordingly, a $46 million gain was recorded in other income by Pratt &amp; Whitney in the quarter ended September 30, 2012 based upon a third party determination of the probability-weighted outcome had the matter gone to arbitration. No additional gain or loss was recorded in connection with the settlement of these pre-existing relationships as we determined that the terms of these two contracts were consistent with other similar market transactions at the time of our acquisition of Goodrich.</w:t>
      </w:r>
    </w:p>
    <w:p>
      <w:pPr>
        <w:spacing w:after="0" w:line="18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Under Goodrich's pre-existing management continuity arrangements (MCAs), we assumed change-in-control obligations related to certain executives at Goodrich. We evaluated the change-in-control provisions governed by the MCAs and for certain of the executives, we determined that we had assumed liabilities of approximately $74 million as the benefit payments were effectively single trigger arrangements in substance. We measured the assumed liability based on fair value concepts of ASC Topic 820, using weighted average techniques of possible outcomes of the employees electing to receive such benefits. We expensed approximately $12 million in the quarter ended September 30, 2012 for MCAs where we amended the term of the MCAs beyond the original expiration date for certain executives. We incurred expense of approximately $9 million in connection with MCA payments made during the quarter ended June 30, 2013.</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Pro-Forma Data:</w:t>
      </w:r>
    </w:p>
    <w:p>
      <w:pPr>
        <w:spacing w:after="0" w:line="121" w:lineRule="exact"/>
        <w:rPr>
          <w:sz w:val="20"/>
          <w:szCs w:val="20"/>
          <w:color w:val="auto"/>
        </w:rPr>
      </w:pPr>
    </w:p>
    <w:p>
      <w:pPr>
        <w:ind w:right="200" w:firstLine="540"/>
        <w:spacing w:after="0" w:line="297" w:lineRule="auto"/>
        <w:rPr>
          <w:sz w:val="20"/>
          <w:szCs w:val="20"/>
          <w:color w:val="auto"/>
        </w:rPr>
      </w:pPr>
      <w:r>
        <w:rPr>
          <w:rFonts w:ascii="Arial" w:cs="Arial" w:eastAsia="Arial" w:hAnsi="Arial"/>
          <w:sz w:val="16"/>
          <w:szCs w:val="16"/>
          <w:color w:val="auto"/>
        </w:rPr>
        <w:t>Goodrich's results of operations have been included in UTC's financial statements for the periods subsequent to the completion of the acquisition on July 26, 2012. The following unaudited supplemental pro-forma data for the quarter and nine months ended September 30, 2012 presents consolidated information as if the acquisition had been completed on January 1, 2011. There were no significant pro-forma adjustments required for the quarter and nine months ended September 30, 2013. The pro-forma results were calculated by combining the results of UTC with the stand-alone results of Goodrich for the pre-acquisition periods, which were adjusted to account for certain costs which would have been incurred during this pre-acquisition period: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6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Quarter Ended</w:t>
            </w:r>
          </w:p>
        </w:tc>
        <w:tc>
          <w:tcPr>
            <w:tcW w:w="200" w:type="dxa"/>
            <w:vAlign w:val="bottom"/>
          </w:tcPr>
          <w:p>
            <w:pPr>
              <w:spacing w:after="0"/>
              <w:rPr>
                <w:sz w:val="14"/>
                <w:szCs w:val="14"/>
                <w:color w:val="auto"/>
              </w:rPr>
            </w:pPr>
          </w:p>
        </w:tc>
        <w:tc>
          <w:tcPr>
            <w:tcW w:w="162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58"/>
        </w:trPr>
        <w:tc>
          <w:tcPr>
            <w:tcW w:w="77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September 30, 2012</w:t>
            </w:r>
          </w:p>
        </w:tc>
        <w:tc>
          <w:tcPr>
            <w:tcW w:w="200" w:type="dxa"/>
            <w:vAlign w:val="bottom"/>
          </w:tcPr>
          <w:p>
            <w:pPr>
              <w:spacing w:after="0"/>
              <w:rPr>
                <w:sz w:val="13"/>
                <w:szCs w:val="13"/>
                <w:color w:val="auto"/>
              </w:rPr>
            </w:pPr>
          </w:p>
        </w:tc>
        <w:tc>
          <w:tcPr>
            <w:tcW w:w="1620" w:type="dxa"/>
            <w:vAlign w:val="bottom"/>
          </w:tcPr>
          <w:p>
            <w:pPr>
              <w:jc w:val="right"/>
              <w:ind w:right="236"/>
              <w:spacing w:after="0" w:line="158" w:lineRule="exact"/>
              <w:rPr>
                <w:sz w:val="20"/>
                <w:szCs w:val="20"/>
                <w:color w:val="auto"/>
              </w:rPr>
            </w:pPr>
            <w:r>
              <w:rPr>
                <w:rFonts w:ascii="Arial" w:cs="Arial" w:eastAsia="Arial" w:hAnsi="Arial"/>
                <w:sz w:val="14"/>
                <w:szCs w:val="14"/>
                <w:b w:val="1"/>
                <w:bCs w:val="1"/>
                <w:color w:val="auto"/>
                <w:w w:val="97"/>
              </w:rPr>
              <w:t>September 30, 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45,730</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common shareowners from continuing operations</w:t>
            </w:r>
          </w:p>
        </w:tc>
        <w:tc>
          <w:tcPr>
            <w:tcW w:w="1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1,315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earnings per share of common stock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of common stock from continuing operations</w:t>
            </w:r>
          </w:p>
        </w:tc>
        <w:tc>
          <w:tcPr>
            <w:tcW w:w="1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80" w:firstLine="540"/>
        <w:spacing w:after="0" w:line="277" w:lineRule="auto"/>
        <w:rPr>
          <w:sz w:val="20"/>
          <w:szCs w:val="20"/>
          <w:color w:val="auto"/>
        </w:rPr>
      </w:pPr>
      <w:r>
        <w:rPr>
          <w:rFonts w:ascii="Arial" w:cs="Arial" w:eastAsia="Arial" w:hAnsi="Arial"/>
          <w:sz w:val="18"/>
          <w:szCs w:val="18"/>
          <w:color w:val="auto"/>
        </w:rPr>
        <w:t>The unaudited supplemental pro-forma data above includes the following significant adjustments made to account for certain costs which would have been incurred if the acquisition had been completed on January 1, 2011, as adjusted for the applicable tax impact: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Quarter Ended September</w:t>
            </w:r>
          </w:p>
        </w:tc>
        <w:tc>
          <w:tcPr>
            <w:tcW w:w="180" w:type="dxa"/>
            <w:vAlign w:val="bottom"/>
          </w:tcPr>
          <w:p>
            <w:pPr>
              <w:spacing w:after="0"/>
              <w:rPr>
                <w:sz w:val="14"/>
                <w:szCs w:val="14"/>
                <w:color w:val="auto"/>
              </w:rPr>
            </w:pPr>
          </w:p>
        </w:tc>
        <w:tc>
          <w:tcPr>
            <w:tcW w:w="152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58"/>
        </w:trPr>
        <w:tc>
          <w:tcPr>
            <w:tcW w:w="778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ind w:right="534"/>
              <w:spacing w:after="0" w:line="158" w:lineRule="exact"/>
              <w:rPr>
                <w:sz w:val="20"/>
                <w:szCs w:val="20"/>
                <w:color w:val="auto"/>
              </w:rPr>
            </w:pPr>
            <w:r>
              <w:rPr>
                <w:rFonts w:ascii="Arial" w:cs="Arial" w:eastAsia="Arial" w:hAnsi="Arial"/>
                <w:sz w:val="14"/>
                <w:szCs w:val="14"/>
                <w:b w:val="1"/>
                <w:bCs w:val="1"/>
                <w:color w:val="auto"/>
              </w:rPr>
              <w:t>30, 2012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156"/>
              <w:spacing w:after="0" w:line="158" w:lineRule="exact"/>
              <w:rPr>
                <w:sz w:val="20"/>
                <w:szCs w:val="20"/>
                <w:color w:val="auto"/>
              </w:rPr>
            </w:pPr>
            <w:r>
              <w:rPr>
                <w:rFonts w:ascii="Arial" w:cs="Arial" w:eastAsia="Arial" w:hAnsi="Arial"/>
                <w:sz w:val="14"/>
                <w:szCs w:val="14"/>
                <w:b w:val="1"/>
                <w:bCs w:val="1"/>
                <w:color w:val="auto"/>
                <w:w w:val="96"/>
              </w:rPr>
              <w:t>September 30, 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78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Amortization of inventory fair value adjustment</w:t>
            </w:r>
            <w:r>
              <w:rPr>
                <w:rFonts w:ascii="Arial" w:cs="Arial" w:eastAsia="Arial" w:hAnsi="Arial"/>
                <w:sz w:val="25"/>
                <w:szCs w:val="25"/>
                <w:color w:val="auto"/>
                <w:vertAlign w:val="superscript"/>
              </w:rPr>
              <w:t>1</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77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Amortization of acquired Goodrich intangible assets, net</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0"/>
        </w:trPr>
        <w:tc>
          <w:tcPr>
            <w:tcW w:w="77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Utilization of contractual customer obligation</w:t>
            </w:r>
            <w:r>
              <w:rPr>
                <w:rFonts w:ascii="Arial" w:cs="Arial" w:eastAsia="Arial" w:hAnsi="Arial"/>
                <w:sz w:val="25"/>
                <w:szCs w:val="25"/>
                <w:color w:val="auto"/>
                <w:vertAlign w:val="superscript"/>
              </w:rPr>
              <w:t>3</w:t>
            </w: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41"/>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Interest expense incurred on acquisition financing, net</w:t>
            </w:r>
            <w:r>
              <w:rPr>
                <w:rFonts w:ascii="Arial" w:cs="Arial" w:eastAsia="Arial" w:hAnsi="Arial"/>
                <w:sz w:val="25"/>
                <w:szCs w:val="25"/>
                <w:color w:val="auto"/>
                <w:vertAlign w:val="superscript"/>
              </w:rPr>
              <w:t>4</w:t>
            </w:r>
          </w:p>
        </w:tc>
        <w:tc>
          <w:tcPr>
            <w:tcW w:w="3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00" w:right="1020" w:hanging="161"/>
        <w:spacing w:after="0" w:line="277" w:lineRule="auto"/>
        <w:rPr>
          <w:sz w:val="20"/>
          <w:szCs w:val="20"/>
          <w:color w:val="auto"/>
        </w:rPr>
      </w:pPr>
      <w:r>
        <w:rPr>
          <w:rFonts w:ascii="Arial" w:cs="Arial" w:eastAsia="Arial" w:hAnsi="Arial"/>
          <w:sz w:val="18"/>
          <w:szCs w:val="18"/>
          <w:color w:val="auto"/>
        </w:rPr>
        <w:t>1 Removed the expense for the amortization of inventory fair value adjustments recognized in the quarter ended September 30, 2012, as the corresponding inventory would have been completely sold during the first two quarters of 2011.</w:t>
      </w:r>
    </w:p>
    <w:p>
      <w:pPr>
        <w:spacing w:after="0" w:line="62" w:lineRule="exact"/>
        <w:rPr>
          <w:sz w:val="20"/>
          <w:szCs w:val="20"/>
          <w:color w:val="auto"/>
        </w:rPr>
      </w:pPr>
    </w:p>
    <w:p>
      <w:pPr>
        <w:ind w:left="500" w:right="600" w:hanging="161"/>
        <w:spacing w:after="0" w:line="277" w:lineRule="auto"/>
        <w:rPr>
          <w:sz w:val="20"/>
          <w:szCs w:val="20"/>
          <w:color w:val="auto"/>
        </w:rPr>
      </w:pPr>
      <w:r>
        <w:rPr>
          <w:rFonts w:ascii="Arial" w:cs="Arial" w:eastAsia="Arial" w:hAnsi="Arial"/>
          <w:sz w:val="18"/>
          <w:szCs w:val="18"/>
          <w:color w:val="auto"/>
        </w:rPr>
        <w:t>2 Added the additional amortization of the acquired Goodrich intangible assets recognized at fair value in purchase accounting and eliminated the historical Goodrich intangible asset amortization expense.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Added the additional utilization of the Goodrich contractual customer obligation recognized in purchase accounting.</w:t>
      </w:r>
    </w:p>
    <w:p>
      <w:pPr>
        <w:spacing w:after="0" w:line="63" w:lineRule="exact"/>
        <w:rPr>
          <w:sz w:val="20"/>
          <w:szCs w:val="20"/>
          <w:color w:val="auto"/>
        </w:rPr>
      </w:pPr>
    </w:p>
    <w:p>
      <w:pPr>
        <w:ind w:left="500" w:right="80" w:hanging="161"/>
        <w:spacing w:after="0" w:line="277" w:lineRule="auto"/>
        <w:rPr>
          <w:sz w:val="20"/>
          <w:szCs w:val="20"/>
          <w:color w:val="auto"/>
        </w:rPr>
      </w:pPr>
      <w:r>
        <w:rPr>
          <w:rFonts w:ascii="Arial" w:cs="Arial" w:eastAsia="Arial" w:hAnsi="Arial"/>
          <w:sz w:val="18"/>
          <w:szCs w:val="18"/>
          <w:color w:val="auto"/>
        </w:rPr>
        <w:t>4 Added the additional interest expense for the indebtedness we incurred to finance the acquisition of Goodrich and reduced interest expense for the debt fair value adjustment which would have been amortized.</w:t>
      </w:r>
    </w:p>
    <w:p>
      <w:pPr>
        <w:spacing w:after="0" w:line="130" w:lineRule="exact"/>
        <w:rPr>
          <w:sz w:val="20"/>
          <w:szCs w:val="20"/>
          <w:color w:val="auto"/>
        </w:rPr>
      </w:pPr>
    </w:p>
    <w:p>
      <w:pPr>
        <w:ind w:right="20" w:firstLine="540"/>
        <w:spacing w:after="0" w:line="264" w:lineRule="auto"/>
        <w:rPr>
          <w:sz w:val="20"/>
          <w:szCs w:val="20"/>
          <w:color w:val="auto"/>
        </w:rPr>
      </w:pPr>
      <w:r>
        <w:rPr>
          <w:rFonts w:ascii="Arial" w:cs="Arial" w:eastAsia="Arial" w:hAnsi="Arial"/>
          <w:sz w:val="18"/>
          <w:szCs w:val="18"/>
          <w:color w:val="auto"/>
        </w:rPr>
        <w:t>The unaudited supplemental pro-forma financial information does not reflect the potential realization of cost savings relating to the integration of the two companies. Further, the pro-forma data should not be considered indicative of the results that would have occurred if the acquisition and related financing had been consummated on January 1, 2011, nor are they indicative of future results.</w:t>
      </w:r>
    </w:p>
    <w:p>
      <w:pPr>
        <w:spacing w:after="0" w:line="141" w:lineRule="exact"/>
        <w:rPr>
          <w:sz w:val="20"/>
          <w:szCs w:val="20"/>
          <w:color w:val="auto"/>
        </w:rPr>
      </w:pPr>
    </w:p>
    <w:p>
      <w:pPr>
        <w:ind w:right="120" w:firstLine="540"/>
        <w:spacing w:after="0" w:line="276" w:lineRule="auto"/>
        <w:rPr>
          <w:sz w:val="20"/>
          <w:szCs w:val="20"/>
          <w:color w:val="auto"/>
        </w:rPr>
      </w:pPr>
      <w:r>
        <w:rPr>
          <w:rFonts w:ascii="Arial" w:cs="Arial" w:eastAsia="Arial" w:hAnsi="Arial"/>
          <w:sz w:val="17"/>
          <w:szCs w:val="17"/>
          <w:color w:val="auto"/>
        </w:rPr>
        <w:t>In connection with regulatory approval of UTC's acquisition of Goodrich, regulatory authorities required UTC to dispose of the Goodrich electric power systems and the Goodrich pumps and engine controls businesses. Pursuant to regulatory obligations, these businesses had been held separately from UTC's and Goodrich's ongoing businesses since the acquisition of Goodrich by UTC. On March 18, 2013, we completed the sale of the Goodrich pumps and engine controls business to Triumph Group, Inc., and on March 26, 2013, we completed the sale of the Goodrich electric power systems business to Safran S.A. Combined proceeds from the sales of the two businesses were approximately $600 million.</w:t>
      </w:r>
    </w:p>
    <w:p>
      <w:pPr>
        <w:spacing w:after="0" w:line="132" w:lineRule="exact"/>
        <w:rPr>
          <w:sz w:val="20"/>
          <w:szCs w:val="20"/>
          <w:color w:val="auto"/>
        </w:rPr>
      </w:pPr>
    </w:p>
    <w:p>
      <w:pPr>
        <w:ind w:right="260" w:firstLine="540"/>
        <w:spacing w:after="0" w:line="277" w:lineRule="auto"/>
        <w:rPr>
          <w:sz w:val="20"/>
          <w:szCs w:val="20"/>
          <w:color w:val="auto"/>
        </w:rPr>
      </w:pPr>
      <w:r>
        <w:rPr>
          <w:rFonts w:ascii="Arial" w:cs="Arial" w:eastAsia="Arial" w:hAnsi="Arial"/>
          <w:sz w:val="18"/>
          <w:szCs w:val="18"/>
          <w:color w:val="auto"/>
        </w:rPr>
        <w:t>In 2012, the UTC Board of Directors approved plans for the divestiture of a number of non-core businesses. Cash generated from these divestitures was used to repay debt incurred to finance the acquisition of Goodrich. See Note 2 for further discussion.</w:t>
      </w:r>
    </w:p>
    <w:p>
      <w:pPr>
        <w:spacing w:after="0" w:line="130" w:lineRule="exact"/>
        <w:rPr>
          <w:sz w:val="20"/>
          <w:szCs w:val="20"/>
          <w:color w:val="auto"/>
        </w:rPr>
      </w:pPr>
    </w:p>
    <w:p>
      <w:pPr>
        <w:ind w:right="20" w:firstLine="540"/>
        <w:spacing w:after="0" w:line="276" w:lineRule="auto"/>
        <w:rPr>
          <w:sz w:val="20"/>
          <w:szCs w:val="20"/>
          <w:color w:val="auto"/>
        </w:rPr>
      </w:pPr>
      <w:r>
        <w:rPr>
          <w:rFonts w:ascii="Arial" w:cs="Arial" w:eastAsia="Arial" w:hAnsi="Arial"/>
          <w:sz w:val="17"/>
          <w:szCs w:val="17"/>
          <w:color w:val="auto"/>
        </w:rPr>
        <w:t>On June 29, 2012, Pratt &amp; Whitney, Rolls Royce plc (Rolls-Royce), MTU Aero Engines AG (MTU), and Japanese Aero Engines Corporation (JAEC), participants in the IAE collaboration, completed a restructuring of their interests in IAE. Under the terms of the agreement, Rolls-Royce sold its ownership and collaboration interests in IAE to Pratt &amp; Whitney, while also entering into an agreement to license its V2500 intellectual property to Pratt &amp; Whitney. In exchange for the increased ownership and collaboration interests and intellectual property license, Pratt &amp; Whitney paid Rolls-Royce $1.5 billion at closing with additional payments due to Rolls-Royce during the fifteen year period following closing of the purchase,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conditional upon each hour flown by V2500-powered aircraft in service at the closing. Payments made to Rolls-Royce under this agreement are capitalized as collaboration intangible assets, as further discussed below. In October 2011, Pratt &amp; Whitney and Rolls-Royce announced their intention to form a new partnership to develop an engine to power future mid-sized aircraft. In September 2013, following further discussion and because of the current regulatory environment, the parties agreed not to proceed with this partnership. As a result of this decision, an additional collaboration intangible asset payment was made to Rolls-Royce in accordance with the underlying agreement.</w:t>
      </w:r>
    </w:p>
    <w:p>
      <w:pPr>
        <w:spacing w:after="0" w:line="148" w:lineRule="exact"/>
        <w:rPr>
          <w:sz w:val="20"/>
          <w:szCs w:val="20"/>
          <w:color w:val="auto"/>
        </w:rPr>
      </w:pPr>
    </w:p>
    <w:p>
      <w:pPr>
        <w:ind w:right="40" w:firstLine="540"/>
        <w:spacing w:after="0" w:line="291" w:lineRule="auto"/>
        <w:rPr>
          <w:sz w:val="20"/>
          <w:szCs w:val="20"/>
          <w:color w:val="auto"/>
        </w:rPr>
      </w:pPr>
      <w:r>
        <w:rPr>
          <w:rFonts w:ascii="Arial" w:cs="Arial" w:eastAsia="Arial" w:hAnsi="Arial"/>
          <w:sz w:val="16"/>
          <w:szCs w:val="16"/>
          <w:color w:val="auto"/>
        </w:rPr>
        <w:t>The collaboration interest and intellectual property licenses are reflected as intangible assets and will be amortized in relation to the economic benefits received over the remaining estimated 30 year life of the V2500 program. As a result of these transactions, Pratt &amp; Whitney holds a 61% net interest in the collaboration and a 49.5% ownership interest in IAE. IAE’s business purpose is to coordinate the design, development, manufacturing and product support of the V2500 program through involvement with the collaborators. IAE retains limited equity with the primary economics of the V2500 program passed to the participants in the separate collaboration arrangement. As such, we have determined that IAE is a variable interest entity, and Pratt &amp; Whitney its primary beneficiary under the criteria established in the FASB ASC Topic 810 “Consolidations” and has, therefore, been consolidated. The carrying amounts and classification of assets and liabilities for IAE in our Consolidated Balance Sheet as of September 30, 2013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Noncurrent assets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8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8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1,821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r>
      <w:tr>
        <w:trPr>
          <w:trHeight w:val="237"/>
        </w:trPr>
        <w:tc>
          <w:tcPr>
            <w:tcW w:w="40" w:type="dxa"/>
            <w:vAlign w:val="bottom"/>
          </w:tcPr>
          <w:p>
            <w:pPr>
              <w:spacing w:after="0"/>
              <w:rPr>
                <w:sz w:val="20"/>
                <w:szCs w:val="20"/>
                <w:color w:val="auto"/>
              </w:rPr>
            </w:pPr>
          </w:p>
        </w:tc>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nine months ended September 30, 2013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Goodwill</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resulting from</w:t>
            </w:r>
          </w:p>
        </w:tc>
        <w:tc>
          <w:tcPr>
            <w:tcW w:w="14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2"/>
                <w:szCs w:val="12"/>
                <w:color w:val="auto"/>
              </w:rPr>
            </w:pPr>
          </w:p>
        </w:tc>
        <w:tc>
          <w:tcPr>
            <w:tcW w:w="11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Balance as of</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business</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January 1, 2013</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combinations</w:t>
            </w:r>
          </w:p>
        </w:tc>
        <w:tc>
          <w:tcPr>
            <w:tcW w:w="148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translation and other</w:t>
            </w:r>
          </w:p>
        </w:tc>
        <w:tc>
          <w:tcPr>
            <w:tcW w:w="13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6"/>
              </w:rPr>
              <w:t>September 30,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9,868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14,754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15,035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27,796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27,801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79"/>
              </w:rPr>
              <w:t>11</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IAE collaboration</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16,735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15,966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customer relationships intangible assets include payments made to our customers to secure certain contractual rights and are being amortized on a straight-line basis, as it approximates the underlying economic pattern of benefits. In accordance with the FASB ASC Topic 605, “Customer Payments and Incentives,” we classify amortization of such payments as a reduction of sales. The IAE collaboration intangible asset is being amortized based upon the economic pattern of benefits as represented by the underlying cash flows. As these cash flows have been negative to date, no amortization has yet been recorded. Amortization of intangible assets for the quarter and nine months ended September 30, 2013 was $180 million and $531 million respectively, compared with $166 million and $360 million for the same periods of 2012. The following is the expected amortization of intangible assets for the years 2013 through 2018:</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Remaining 2013</w:t>
            </w: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9"/>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648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02"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2012, the UTC Board of Directors approved plans for the divestiture of a number of non-core businesses, which were completed with the sale of Pratt &amp; Whitney Rocketdyne (Rocketdyne) on June 14, 2013, as discussed below. Cash generated from these divestitures was used to repay debt incurred to finance the Goodrich acquisition.</w:t>
      </w:r>
    </w:p>
    <w:p>
      <w:pPr>
        <w:spacing w:after="0" w:line="7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sale of substantially all operations of Rocketdyne to GenCorp Inc. generated a pre-tax loss of approximately $7 million ($3 million after tax) through September 30, 2013, which has been included in discontinued operations in the Condensed Consolidated Statement of Comprehensive Income. During the nine months ended September 30, 2012, we recorded pre-tax goodwill impairment charges of approximately $360 million ($220 million after tax) related to Rocketdyne.</w:t>
      </w:r>
    </w:p>
    <w:p>
      <w:pPr>
        <w:spacing w:after="0" w:line="241"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On February 12, 2013, we completed the disposition of UTC Power to ClearEdge Power. The disposition resulted in payments by UTC totaling $48 million, which included capitalization of the business prior to the sale and interim funding of operations as the buyer took control of a loss generating business. We have no continuing involvement with the UTC Power business post disposition.</w:t>
      </w:r>
    </w:p>
    <w:p>
      <w:pPr>
        <w:spacing w:after="0" w:line="127"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The legacy Hamilton Sundstrand Industrial businesses, as well as Clipper Windpower (Clipper), Rocketdyne and UTC Power all met the "held-for-sale" criteria in 2012. The results of operations, including the net realized gains and losses on disposition, and the related cash flows which resulted from these non-core businesses, have been reclassified to Discontinued Operations in our Condensed Consolidated Statements of Comprehensive Income and Cash Flows. The dispositions of Clipper and the legacy Hamilton Sundstrand Industrial businesses were completed in 2012.</w:t>
      </w:r>
    </w:p>
    <w:p>
      <w:pPr>
        <w:spacing w:after="0" w:line="117"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following summarized financial information for our discontinued operations businesses has been segregated from continuing operations and reported as Discontinued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49"/>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24"/>
                <w:szCs w:val="24"/>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1,607</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Income (loss) from operations, net of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Gain (loss) on disposal</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r>
      <w:tr>
        <w:trPr>
          <w:trHeight w:val="257"/>
        </w:trPr>
        <w:tc>
          <w:tcPr>
            <w:tcW w:w="40" w:type="dxa"/>
            <w:vAlign w:val="bottom"/>
          </w:tcPr>
          <w:p>
            <w:pPr>
              <w:spacing w:after="0"/>
              <w:rPr>
                <w:sz w:val="22"/>
                <w:szCs w:val="22"/>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Net income (loss) on discontinued operations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Income (loss) from operations of discontinued operations for the nine months ended September 30, 2012 includes pre-tax impairment charges of approximately $1,135 million. There were no impairment charges for the quarter ended September 30, 2012. These amounts were previously included in loss on disposal of discontinued operations and have been reclassified for consistency of presentation.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62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(loss) from discontinued operations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900.8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900.9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awards and equity units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915.5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907.2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914.1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905.3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(Loss) Per Share of Common Stock - Basic:</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(loss)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(Loss) Per Share of Common Stock - Diluted: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(loss)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For the quarter and nine months ended September 30, 2013 there were no anti-dilutive stock awards excluded from the computation. For the quarter and nine months ended September 30, 2012, the number of stock awards excluded from the computation was 6.1 million and 4.8 million, respectively. The dilutive impact of our equity units issued in 2012 was not significant for the quarter and nine months ended September 30, 2013. There was no impact on diluted earnings per share due to equity units for the quarter and nine months ended September 30, 2012.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85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4,864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8,038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7,354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of September 30, 2013 and December 31, 2012, inventories include capitalized contract development costs of $866 million and $823 million, respectively, related to certain aerospace programs. These capitalized costs are liquidated as production units are delivered to the customer. The capitalized contract development costs within inventories principally relate to costs capitalized on Sikorsky’s CH-148 contract with the Canadian Government. The CH-148 is a derivative of the H-92, a military variant of the S-92 helicopter.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85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At September 30, 2013, we had revolving credit agreements with various banks permitting aggregate borrowings of up to $4 billion pursuant to a $2 billion revolving credit agreement and a $2 billion multicurrency revolving credit agreement, both of which expire in November 2016. As of September 30, 2013, there were no borrowings under either of these revolving credit agreements. The undrawn portions of these revolving credit agreements are also available to serve as backup facilities for the issuance of commercial paper. As of September 30, 2013, our maximum commercial paper borrowing authority as set by our Board of Directors was $4 billion. We use our commercial paper borrowings for general corporate purposes, including the funding of potential acquisitions, debt refinancing, and repurchases of our common stock.</w:t>
      </w:r>
    </w:p>
    <w:p>
      <w:pPr>
        <w:spacing w:after="0" w:line="178"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On May 7, 2013, we commenced cash tender offers for two series of outstanding notes issued by Goodrich and the UTC 1.200% Senior Notes. A total of $874 million principal amount of all notes subject to the tender offers, and $36 million of the fair value adjustment related to the notes assumed in the Goodrich acquisition, were repaid, including approximately $103 million principal amount of the 2016 Goodrich 6.290% notes, approximately $98 million principal amount of the 2019 Goodrich 6.125% notes, and approximately $674 million principal amount of the 2015 UTC 1.200% Senior Notes. An extinguishment loss of approximately $18 million was recognized within Interest expense, net in the accompanying Condensed Consolidated Statements of Comprehensive Income.</w:t>
      </w:r>
    </w:p>
    <w:p>
      <w:pPr>
        <w:spacing w:after="0" w:line="19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On June 24, 2013, we redeemed all remaining outstanding 2015 UTC 1.200% Senior Notes, representing $327 million in aggregate principal, under our redemption notice issued on May 24, 2013. An extinguishment loss of approximately $6 million was recognized within Interest expense, net in the accompanying Condensed Consolidated Statements of Comprehensive Income.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On August 23, 2013, we redeemed all remaining outstanding 2019 Goodrich 6.125% notes, representing $202 million in aggregate principal, under our redemption notice issued on July 24, 2013. On September 27, 2013, we redeemed all remaining outstanding 2021 Goodrich 3.600% notes, representing $294 million in aggregate principal, under our redemption notice issued on August 28, 2013. A combined extinguishment gain of approximately $1 million was recognized within Interest expense, net in the accompanying Condensed Consolidated Statements of Comprehensive Income.</w:t>
      </w:r>
    </w:p>
    <w:p>
      <w:pPr>
        <w:spacing w:after="0" w:line="15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As previously disclosed, on December 6, 2012, we announced that we had commenced cash tender offers for six series of outstanding notes issued by Goodrich. These offers expired on January 7, 2013. Approximately $637 million in aggregate principal amount of notes subject to the tender offers and $126 million of the fair value adjustment were repaid, with $635 million in aggregate principal amount being eligible for the early tender premium and approximately $2 million in aggregate principal amount being paid on January 8, 2013. An extinguishment loss of approximately $26 million was recognized during 2012 within Interest expense, net in the accompanying Condensed Consolidated Statements of Comprehensive Income.</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2" w:right="29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85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451"/>
              <w:spacing w:after="0" w:line="158"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1"/>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58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plus 0.270% floating rate notes due 2013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85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plus 0.500% floating rate notes due 2015</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1.200% notes due 2015*</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4.875% notes due 2015*</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6.290% notes due 2016</w:t>
            </w:r>
            <w:r>
              <w:rPr>
                <w:rFonts w:ascii="Arial" w:cs="Arial" w:eastAsia="Arial" w:hAnsi="Arial"/>
                <w:sz w:val="25"/>
                <w:szCs w:val="25"/>
                <w:color w:val="auto"/>
                <w:vertAlign w:val="superscript"/>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5.375% notes due 2017*</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1.800% notes due 2017*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85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6.800% notes due 2018</w:t>
            </w:r>
            <w:r>
              <w:rPr>
                <w:rFonts w:ascii="Arial" w:cs="Arial" w:eastAsia="Arial" w:hAnsi="Arial"/>
                <w:sz w:val="25"/>
                <w:szCs w:val="25"/>
                <w:color w:val="auto"/>
                <w:vertAlign w:val="superscript"/>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8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6.125% notes due 2019</w:t>
            </w:r>
            <w:r>
              <w:rPr>
                <w:rFonts w:ascii="Arial" w:cs="Arial" w:eastAsia="Arial" w:hAnsi="Arial"/>
                <w:sz w:val="25"/>
                <w:szCs w:val="25"/>
                <w:color w:val="auto"/>
                <w:vertAlign w:val="superscript"/>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6.125% notes due 2019*</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8.875% notes due 2019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4.500% notes due 2020*</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4.875% notes due 2020</w:t>
            </w:r>
            <w:r>
              <w:rPr>
                <w:rFonts w:ascii="Arial" w:cs="Arial" w:eastAsia="Arial" w:hAnsi="Arial"/>
                <w:sz w:val="25"/>
                <w:szCs w:val="25"/>
                <w:color w:val="auto"/>
                <w:vertAlign w:val="superscript"/>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0"/>
        </w:trPr>
        <w:tc>
          <w:tcPr>
            <w:tcW w:w="85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3.600% notes due 2021</w:t>
            </w:r>
            <w:r>
              <w:rPr>
                <w:rFonts w:ascii="Arial" w:cs="Arial" w:eastAsia="Arial" w:hAnsi="Arial"/>
                <w:sz w:val="25"/>
                <w:szCs w:val="25"/>
                <w:color w:val="auto"/>
                <w:vertAlign w:val="superscript"/>
              </w:rPr>
              <w:t>‡</w:t>
            </w: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8.750% notes due 2021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3.100% notes due 2022*</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1.550% junior subordinated notes due 2022</w:t>
            </w:r>
            <w:r>
              <w:rPr>
                <w:rFonts w:ascii="Arial" w:cs="Arial" w:eastAsia="Arial" w:hAnsi="Arial"/>
                <w:sz w:val="25"/>
                <w:szCs w:val="25"/>
                <w:color w:val="auto"/>
                <w:vertAlign w:val="superscript"/>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0"/>
        </w:trPr>
        <w:tc>
          <w:tcPr>
            <w:tcW w:w="85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7.100% notes due 2027</w:t>
            </w:r>
            <w:r>
              <w:rPr>
                <w:rFonts w:ascii="Arial" w:cs="Arial" w:eastAsia="Arial" w:hAnsi="Arial"/>
                <w:sz w:val="25"/>
                <w:szCs w:val="25"/>
                <w:color w:val="auto"/>
                <w:vertAlign w:val="superscript"/>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6.700% notes due 2028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7.500% notes due 2029*</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5.400% notes due 2035*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6.050% notes due 2036*</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6.800% notes due 2036</w:t>
            </w:r>
            <w:r>
              <w:rPr>
                <w:rFonts w:ascii="Arial" w:cs="Arial" w:eastAsia="Arial" w:hAnsi="Arial"/>
                <w:sz w:val="25"/>
                <w:szCs w:val="25"/>
                <w:color w:val="auto"/>
                <w:vertAlign w:val="superscript"/>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85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7.000% notes due 2038</w:t>
            </w:r>
            <w:r>
              <w:rPr>
                <w:rFonts w:ascii="Arial" w:cs="Arial" w:eastAsia="Arial" w:hAnsi="Arial"/>
                <w:sz w:val="25"/>
                <w:szCs w:val="25"/>
                <w:color w:val="auto"/>
                <w:vertAlign w:val="superscript"/>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6.125% notes due 2038*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5.700% notes due 2040*</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4.500% notes due 2042*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Project financing obligations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Other (including capitalized leases and discounts)</w:t>
            </w:r>
            <w:r>
              <w:rPr>
                <w:rFonts w:ascii="Arial" w:cs="Arial" w:eastAsia="Arial" w:hAnsi="Arial"/>
                <w:sz w:val="25"/>
                <w:szCs w:val="25"/>
                <w:color w:val="auto"/>
                <w:vertAlign w:val="superscript"/>
              </w:rPr>
              <w:t>‡</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Total principal long-term debt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20,671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22,365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Other (fair market value adjustment)</w:t>
            </w:r>
            <w:r>
              <w:rPr>
                <w:rFonts w:ascii="Arial" w:cs="Arial" w:eastAsia="Arial" w:hAnsi="Arial"/>
                <w:sz w:val="25"/>
                <w:szCs w:val="25"/>
                <w:color w:val="auto"/>
                <w:vertAlign w:val="superscript"/>
              </w:rPr>
              <w:t>‡</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20,885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22,718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50"/>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19,785</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8890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p>
      <w:pPr>
        <w:ind w:left="660" w:right="100" w:hanging="652"/>
        <w:spacing w:after="0" w:line="27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may redeem the above notes, in whole or in part, at our option at any time at a redemption price in U.S. Dollars equal to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10-50 basis points. The redemption price will also include interest accrued to the date of redemption on the principal balance of the notes being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-570230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 w:lineRule="exact"/>
        <w:rPr>
          <w:sz w:val="20"/>
          <w:szCs w:val="20"/>
          <w:color w:val="auto"/>
        </w:rPr>
      </w:pPr>
    </w:p>
    <w:p>
      <w:pPr>
        <w:ind w:left="660" w:right="120" w:hanging="652"/>
        <w:spacing w:after="0" w:line="30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5"/>
          <w:szCs w:val="15"/>
          <w:color w:val="auto"/>
        </w:rPr>
        <w:t>The junior subordinated notes are redeemable at our option, in whole or in part, on a date not earlier than August 1, 2017. The redemption price will be the principal amount, plus accrued and unpaid interest, if any, up to but excluding the redemption date. We may extend or eliminate the optional redemption date as part of a remarketing of the junior subordinated notes which could occur between April 29, 2015 and July 15, 2015 or between July 23, 2015 and July 29, 2015.</w:t>
      </w:r>
    </w:p>
    <w:p>
      <w:pPr>
        <w:spacing w:after="0" w:line="1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Includes notes and remaining fair market value adjustments that were assumed as a part of the Goodrich acquisition on July 26, 2012.</w:t>
      </w:r>
    </w:p>
    <w:p>
      <w:pPr>
        <w:ind w:left="660" w:hanging="652"/>
        <w:spacing w:after="0" w:line="225"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three-month LIBOR rate as of September 30, 2013 was approximately 0.3%.</w:t>
      </w:r>
    </w:p>
    <w:p>
      <w:pPr>
        <w:spacing w:after="0" w:line="289" w:lineRule="exact"/>
        <w:rPr>
          <w:rFonts w:ascii="Arial" w:cs="Arial" w:eastAsia="Arial" w:hAnsi="Arial"/>
          <w:sz w:val="25"/>
          <w:szCs w:val="25"/>
          <w:color w:val="auto"/>
          <w:vertAlign w:val="superscript"/>
        </w:rPr>
      </w:pPr>
    </w:p>
    <w:p>
      <w:pPr>
        <w:ind w:left="5620"/>
        <w:spacing w:after="0"/>
        <w:rPr>
          <w:rFonts w:ascii="Arial" w:cs="Arial" w:eastAsia="Arial" w:hAnsi="Arial"/>
          <w:sz w:val="25"/>
          <w:szCs w:val="25"/>
          <w:color w:val="auto"/>
          <w:vertAlign w:val="superscript"/>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South Korea, Singapore, Spain, the United Kingdom and the United States. With few exceptions, we are no longer subject to U.S. federal, state and local, or non-U.S. income tax examinations for years before 2000.</w:t>
      </w:r>
    </w:p>
    <w:p>
      <w:pPr>
        <w:spacing w:after="0" w:line="134" w:lineRule="exact"/>
        <w:rPr>
          <w:sz w:val="20"/>
          <w:szCs w:val="20"/>
          <w:color w:val="auto"/>
        </w:rPr>
      </w:pPr>
    </w:p>
    <w:p>
      <w:pPr>
        <w:ind w:right="140" w:firstLine="392"/>
        <w:spacing w:after="0" w:line="272"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has also been recognized; interest accrued in relation to unrecognized tax benefits is recorded in interest expense. Penalties, if incurred, would be recognized as a component of income tax expense.</w:t>
      </w:r>
    </w:p>
    <w:p>
      <w:pPr>
        <w:spacing w:after="0" w:line="124" w:lineRule="exact"/>
        <w:rPr>
          <w:sz w:val="20"/>
          <w:szCs w:val="20"/>
          <w:color w:val="auto"/>
        </w:rPr>
      </w:pPr>
    </w:p>
    <w:p>
      <w:pPr>
        <w:ind w:right="40" w:firstLine="392"/>
        <w:spacing w:after="0" w:line="267" w:lineRule="auto"/>
        <w:rPr>
          <w:sz w:val="20"/>
          <w:szCs w:val="20"/>
          <w:color w:val="auto"/>
        </w:rPr>
      </w:pPr>
      <w:r>
        <w:rPr>
          <w:rFonts w:ascii="Arial" w:cs="Arial" w:eastAsia="Arial" w:hAnsi="Arial"/>
          <w:sz w:val="17"/>
          <w:szCs w:val="17"/>
          <w:color w:val="auto"/>
        </w:rPr>
        <w:t>It is reasonably possible that over the next twelve months the amount of unrecognized tax benefits may change within a range of a net increase of $45 million to a net decrease of $490 million as a result of additional worldwide uncertain tax positions, the revaluation of current uncertain tax positions arising from developments in examinations, in appeals or in the courts, or the closure of tax statutes. A portion of this net change may impact the Company's income tax expense. Not included in the range are assessments made by the French Tax Authority of €237 million (approximately $320 million) related to the proposed disallowance of certain deductions claimed in France for tax years 2008 through 2011. This is a recurring issue and it is expected that similar challenges will be raised in subsequent tax years until the issue is resolved. Resolution discussions with the French Revenue Authority on this matter have been unsuccessful to date and UTC may be required to pursue the defense of the issue through litigation, which could be commenced as early as the fourth quarter of 2013. UTC intends to assert a vigorous defense and believes it should prevail on the issue. Accordingly, no accrual has been made for this matter. Also, not included in the range is €204 million (approximately $275 million) of tax benefits that we have claimed related to a 1998 German reorganization. A portion of these tax benefits was denied by the German Tax Office on July 5, 2012, as a result of the audit of tax years 1999 to 2000. On August 3, 2012, the Company filed suit in the German Tax Court and expects to litigate this case. In 2008 the German Federal Tax Court denied benefits to another taxpayer in a case involving a German tax law relevant to our reorganization. The determination of the German Federal Tax Court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German Federal Tax Court for further consideration of certain related issues. In May 2010, the German Federal Tax Court released its decision, in which it resolved certain tax issues that may be relevant to our audit and remanded the case to a lower court for further development. After consideration of the ECJ decision and the latest German Federal Tax Court decision, we continue to believe that it is more likely than not that the relevant German tax law is violative of EU principles and we have not accrued tax expense for this matter. As we continue to monitor developments related to this matter, it may become necessary for us to accrue tax expense and related interest.</w:t>
      </w:r>
    </w:p>
    <w:p>
      <w:pPr>
        <w:spacing w:after="0" w:line="136"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auto"/>
        </w:rPr>
        <w:t>UTC tax years 2006 through 2008 are currently before the Appeals Division of the IRS (IRS Appeals) for resolution discussions regarding certain proposed adjustments with which UTC does not agree. Such resolution discussions are currently expected to continue into 2014 and be completed within the next 12 months. Tax years 2009 and 2010 are under review by the Examination Division of the IRS (IRS Examination), which is expected to continue into 2014 and be completed within the next 12 months.</w:t>
      </w:r>
    </w:p>
    <w:p>
      <w:pPr>
        <w:spacing w:after="0" w:line="133" w:lineRule="exact"/>
        <w:rPr>
          <w:sz w:val="20"/>
          <w:szCs w:val="20"/>
          <w:color w:val="auto"/>
        </w:rPr>
      </w:pPr>
    </w:p>
    <w:p>
      <w:pPr>
        <w:ind w:firstLine="392"/>
        <w:spacing w:after="0" w:line="276" w:lineRule="auto"/>
        <w:rPr>
          <w:sz w:val="20"/>
          <w:szCs w:val="20"/>
          <w:color w:val="auto"/>
        </w:rPr>
      </w:pPr>
      <w:r>
        <w:rPr>
          <w:rFonts w:ascii="Arial" w:cs="Arial" w:eastAsia="Arial" w:hAnsi="Arial"/>
          <w:sz w:val="17"/>
          <w:szCs w:val="17"/>
          <w:color w:val="auto"/>
        </w:rPr>
        <w:t>The Company is currently engaged in litigation regarding the proper timing of certain deductions taken by Goodrich in its tax years 2001 and 2002, prior to its acquisition by UTC, which could be settled as early as the fourth quarter of 2013. UTC believes that this matter is adequately reserved and it is not expected that any potential settlement would have a material adverse impact on financial results. The Company is also engaged in litigation with respect to a separate issue involving the proper timing of deductions taken by Goodrich Corporation in its tax years 2005 and 2006, prior to its acquisition by UTC, which is expected to continue into 2014. This is a recurring issue and it is expected that the IRS will continue to challenge it in</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subsequent tax years, potentially including post-acquisition years, until the issue is resolved. Goodrich pre-acquisition tax years 2007 through 2010 are currently before IRS Appeals for resolution discussions regarding certain disputed proposed adjustments, including the recurring timing issue described above. These resolution discussions are expected to continue into 2014.</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As part of our acquisition of Goodrich on July 26, 2012, we assumed approximately $1.5 billion of pension and postretirement benefit plan obligations. Contributions to our plans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29"/>
        </w:trPr>
        <w:tc>
          <w:tcPr>
            <w:tcW w:w="54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39"/>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Defined Contribution Plans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80" w:type="dxa"/>
            <w:vAlign w:val="bottom"/>
            <w:gridSpan w:val="3"/>
            <w:vMerge w:val="continue"/>
          </w:tcPr>
          <w:p>
            <w:pPr>
              <w:spacing w:after="0"/>
              <w:rPr>
                <w:sz w:val="19"/>
                <w:szCs w:val="19"/>
                <w:color w:val="auto"/>
              </w:rPr>
            </w:pP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There were no contributions to our domestic defined benefit pension plans in the first nine months of 2013. In the first nine months of 2012, we made contributions of $201 million to our domestic defined benefit pension plans, all of which was contributed in the third quarter of 2012.</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illustrate the components of net periodic benefit cost for our defined pension and other postretirement benefit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center"/>
              <w:ind w:left="477"/>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tcPr>
          <w:p>
            <w:pPr>
              <w:jc w:val="center"/>
              <w:ind w:left="497"/>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88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loss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r>
      <w:tr>
        <w:trPr>
          <w:trHeight w:val="37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320" w:type="dxa"/>
            <w:vAlign w:val="bottom"/>
          </w:tcPr>
          <w:p>
            <w:pPr>
              <w:spacing w:after="0"/>
              <w:rPr>
                <w:sz w:val="12"/>
                <w:szCs w:val="12"/>
                <w:color w:val="auto"/>
              </w:rPr>
            </w:pPr>
          </w:p>
        </w:tc>
        <w:tc>
          <w:tcPr>
            <w:tcW w:w="2520" w:type="dxa"/>
            <w:vAlign w:val="bottom"/>
            <w:gridSpan w:val="4"/>
          </w:tcPr>
          <w:p>
            <w:pPr>
              <w:jc w:val="center"/>
              <w:ind w:right="192"/>
              <w:spacing w:after="0" w:line="149" w:lineRule="exact"/>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(gain) loss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Net settlements and curtailment gains for pension benefits include curtailment gains of approximately $24 million related to, and recorded in, discontinued operations for the nine months ended September 30, 2013. There were no curtailment gains related to discontinued operations for the quarter ended September 30, 2013. Net settlements and curtailment losses for pension benefits include curtailment losses of approximately $24 million related to, and recorded in, discontinued operations for the nine months ended September 30, 2012. There were no curtailment losses related to discontinued operations for the quarter ended September 30, 2012.</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During the nine months ended September 30, 2013, we recorded net pre-tax restructuring costs totaling $343 million for new and ongoing restructuring actions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net costs included $145 million recorded in cost of sales, $199 million in selling, general and administrative expenses, $1 million in other income, net, and ($2) million in discontinued operations. As described below, these costs primarily relate to actions initiated during 2013 and 2012.</w:t>
      </w:r>
    </w:p>
    <w:p>
      <w:pPr>
        <w:spacing w:after="0" w:line="14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2013 Actions. </w:t>
      </w:r>
      <w:r>
        <w:rPr>
          <w:rFonts w:ascii="Arial" w:cs="Arial" w:eastAsia="Arial" w:hAnsi="Arial"/>
          <w:sz w:val="18"/>
          <w:szCs w:val="18"/>
          <w:color w:val="auto"/>
        </w:rPr>
        <w:t>During the nine months ended September 30, 2013, we initiated restructuring actions relating to ongoing cost reduction efforts,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workforce reductions and the consolidation of field operations. We recorded net pre-tax restructuring costs totaling $298 million, including $100 million in cost of sales and $198 million in selling, general and administrative expenses.</w:t>
      </w:r>
    </w:p>
    <w:p>
      <w:pPr>
        <w:spacing w:after="0" w:line="18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expect the actions initiated in the nine months ended September 30, 2013 to result in net workforce reductions of approximately 3,600 hourly and salaried employees, the exiting of approximately 600 thousand net square feet of facilities and the disposal of assets associated with exited facilities. As of September 30, 2013, we have completed net workforce reductions of approximately 2,400 employees and have exited approximately 5,000 net square feet. We are targeting the majority of the remaining workforce and all facility related cost reduction actions for completion during 2013 and 2014. No specific plans for significant other actions have been finalized at this time.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accrual balances and utilization by cost type for the 2013 restructuring actions: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Facility Exit,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40" w:type="dxa"/>
            <w:vAlign w:val="bottom"/>
          </w:tcPr>
          <w:p>
            <w:pPr>
              <w:spacing w:after="0"/>
              <w:rPr>
                <w:sz w:val="12"/>
                <w:szCs w:val="12"/>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Write-Downs</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July 1, 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2013</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2013 restructuring actions by type: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Facility Exit,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40" w:type="dxa"/>
            <w:vAlign w:val="bottom"/>
          </w:tcPr>
          <w:p>
            <w:pPr>
              <w:spacing w:after="0"/>
              <w:rPr>
                <w:sz w:val="12"/>
                <w:szCs w:val="12"/>
                <w:color w:val="auto"/>
              </w:rPr>
            </w:pPr>
          </w:p>
        </w:tc>
        <w:tc>
          <w:tcPr>
            <w:tcW w:w="11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Write-Downs</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Costs incurred - quarter ended March 31, 2013</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incurred - quarter ended June 30, 2013</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Costs incurred - quarter ended September 30, 2013</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5140" w:type="dxa"/>
            <w:vAlign w:val="bottom"/>
            <w:gridSpan w:val="3"/>
            <w:vMerge w:val="restart"/>
          </w:tcPr>
          <w:p>
            <w:pPr>
              <w:ind w:left="40"/>
              <w:spacing w:after="0"/>
              <w:rPr>
                <w:sz w:val="20"/>
                <w:szCs w:val="20"/>
                <w:color w:val="auto"/>
              </w:rPr>
            </w:pPr>
            <w:r>
              <w:rPr>
                <w:rFonts w:ascii="Arial" w:cs="Arial" w:eastAsia="Arial" w:hAnsi="Arial"/>
                <w:sz w:val="18"/>
                <w:szCs w:val="18"/>
                <w:color w:val="auto"/>
              </w:rPr>
              <w:t>Balance at September 30, 2013</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gridSpan w:val="3"/>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2013 restructuring actions by segment: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2"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378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Costs incurred</w:t>
            </w:r>
          </w:p>
        </w:tc>
        <w:tc>
          <w:tcPr>
            <w:tcW w:w="18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Costs incurred</w:t>
            </w:r>
          </w:p>
        </w:tc>
        <w:tc>
          <w:tcPr>
            <w:tcW w:w="16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Costs incurred</w:t>
            </w:r>
          </w:p>
        </w:tc>
        <w:tc>
          <w:tcPr>
            <w:tcW w:w="140" w:type="dxa"/>
            <w:vAlign w:val="bottom"/>
          </w:tcPr>
          <w:p>
            <w:pPr>
              <w:spacing w:after="0"/>
              <w:rPr>
                <w:sz w:val="24"/>
                <w:szCs w:val="24"/>
                <w:color w:val="auto"/>
              </w:rPr>
            </w:pPr>
          </w:p>
        </w:tc>
        <w:tc>
          <w:tcPr>
            <w:tcW w:w="13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Remaining Costs at</w:t>
            </w:r>
          </w:p>
        </w:tc>
        <w:tc>
          <w:tcPr>
            <w:tcW w:w="0" w:type="dxa"/>
            <w:vAlign w:val="bottom"/>
          </w:tcPr>
          <w:p>
            <w:pPr>
              <w:spacing w:after="0"/>
              <w:rPr>
                <w:sz w:val="1"/>
                <w:szCs w:val="1"/>
                <w:color w:val="auto"/>
              </w:rPr>
            </w:pPr>
          </w:p>
        </w:tc>
      </w:tr>
      <w:tr>
        <w:trPr>
          <w:trHeight w:val="149"/>
        </w:trPr>
        <w:tc>
          <w:tcPr>
            <w:tcW w:w="37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Quarter ended June</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780" w:type="dxa"/>
            <w:vAlign w:val="bottom"/>
            <w:gridSpan w:val="4"/>
            <w:vMerge w:val="continue"/>
          </w:tcPr>
          <w:p>
            <w:pPr>
              <w:spacing w:after="0"/>
              <w:rPr>
                <w:sz w:val="13"/>
                <w:szCs w:val="13"/>
                <w:color w:val="auto"/>
              </w:rPr>
            </w:pPr>
          </w:p>
        </w:tc>
        <w:tc>
          <w:tcPr>
            <w:tcW w:w="1080" w:type="dxa"/>
            <w:vAlign w:val="bottom"/>
          </w:tcPr>
          <w:p>
            <w:pPr>
              <w:jc w:val="right"/>
              <w:ind w:right="79"/>
              <w:spacing w:after="0" w:line="158" w:lineRule="exact"/>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March 31, 2013</w:t>
            </w:r>
          </w:p>
        </w:tc>
        <w:tc>
          <w:tcPr>
            <w:tcW w:w="180" w:type="dxa"/>
            <w:vAlign w:val="bottom"/>
          </w:tcPr>
          <w:p>
            <w:pPr>
              <w:spacing w:after="0"/>
              <w:rPr>
                <w:sz w:val="13"/>
                <w:szCs w:val="13"/>
                <w:color w:val="auto"/>
              </w:rPr>
            </w:pPr>
          </w:p>
        </w:tc>
        <w:tc>
          <w:tcPr>
            <w:tcW w:w="1180" w:type="dxa"/>
            <w:vAlign w:val="bottom"/>
          </w:tcPr>
          <w:p>
            <w:pPr>
              <w:jc w:val="center"/>
              <w:ind w:right="74"/>
              <w:spacing w:after="0" w:line="158" w:lineRule="exact"/>
              <w:rPr>
                <w:sz w:val="20"/>
                <w:szCs w:val="20"/>
                <w:color w:val="auto"/>
              </w:rPr>
            </w:pPr>
            <w:r>
              <w:rPr>
                <w:rFonts w:ascii="Arial" w:cs="Arial" w:eastAsia="Arial" w:hAnsi="Arial"/>
                <w:sz w:val="14"/>
                <w:szCs w:val="14"/>
                <w:b w:val="1"/>
                <w:bCs w:val="1"/>
                <w:color w:val="auto"/>
                <w:w w:val="91"/>
              </w:rPr>
              <w:t>30, 2013</w:t>
            </w:r>
          </w:p>
        </w:tc>
        <w:tc>
          <w:tcPr>
            <w:tcW w:w="120" w:type="dxa"/>
            <w:vAlign w:val="bottom"/>
          </w:tcPr>
          <w:p>
            <w:pPr>
              <w:spacing w:after="0"/>
              <w:rPr>
                <w:sz w:val="13"/>
                <w:szCs w:val="13"/>
                <w:color w:val="auto"/>
              </w:rPr>
            </w:pPr>
          </w:p>
        </w:tc>
        <w:tc>
          <w:tcPr>
            <w:tcW w:w="146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September 30, 2013</w:t>
            </w:r>
          </w:p>
        </w:tc>
        <w:tc>
          <w:tcPr>
            <w:tcW w:w="140" w:type="dxa"/>
            <w:vAlign w:val="bottom"/>
          </w:tcPr>
          <w:p>
            <w:pPr>
              <w:spacing w:after="0"/>
              <w:rPr>
                <w:sz w:val="13"/>
                <w:szCs w:val="13"/>
                <w:color w:val="auto"/>
              </w:rPr>
            </w:pPr>
          </w:p>
        </w:tc>
        <w:tc>
          <w:tcPr>
            <w:tcW w:w="1340" w:type="dxa"/>
            <w:vAlign w:val="bottom"/>
          </w:tcPr>
          <w:p>
            <w:pPr>
              <w:jc w:val="right"/>
              <w:ind w:right="54"/>
              <w:spacing w:after="0" w:line="158" w:lineRule="exact"/>
              <w:rPr>
                <w:sz w:val="20"/>
                <w:szCs w:val="20"/>
                <w:color w:val="auto"/>
              </w:rPr>
            </w:pPr>
            <w:r>
              <w:rPr>
                <w:rFonts w:ascii="Arial" w:cs="Arial" w:eastAsia="Arial" w:hAnsi="Arial"/>
                <w:sz w:val="14"/>
                <w:szCs w:val="14"/>
                <w:b w:val="1"/>
                <w:bCs w:val="1"/>
                <w:color w:val="auto"/>
                <w:w w:val="90"/>
              </w:rPr>
              <w:t>September 30,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UTC Climate, Controls &amp; Security</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UTC Aerospace Systems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Eliminations and other</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gridSpan w:val="4"/>
            <w:vMerge w:val="restart"/>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gridSpan w:val="4"/>
            <w:vMerge w:val="continue"/>
          </w:tcPr>
          <w:p>
            <w:pPr>
              <w:spacing w:after="0"/>
              <w:rPr>
                <w:sz w:val="20"/>
                <w:szCs w:val="20"/>
                <w:color w:val="auto"/>
              </w:rPr>
            </w:pP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341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40"/>
        <w:spacing w:after="0" w:line="289" w:lineRule="auto"/>
        <w:rPr>
          <w:sz w:val="20"/>
          <w:szCs w:val="20"/>
          <w:color w:val="auto"/>
        </w:rPr>
      </w:pPr>
      <w:r>
        <w:rPr>
          <w:rFonts w:ascii="Arial" w:cs="Arial" w:eastAsia="Arial" w:hAnsi="Arial"/>
          <w:sz w:val="17"/>
          <w:szCs w:val="17"/>
          <w:b w:val="1"/>
          <w:bCs w:val="1"/>
          <w:color w:val="auto"/>
        </w:rPr>
        <w:t xml:space="preserve">2012 Actions. </w:t>
      </w:r>
      <w:r>
        <w:rPr>
          <w:rFonts w:ascii="Arial" w:cs="Arial" w:eastAsia="Arial" w:hAnsi="Arial"/>
          <w:sz w:val="17"/>
          <w:szCs w:val="17"/>
          <w:color w:val="auto"/>
        </w:rPr>
        <w:t>During the nine months ended September 30, 2013, we recorded net pre-tax restructuring costs totaling $44 million for restructuring actions</w:t>
      </w:r>
      <w:r>
        <w:rPr>
          <w:rFonts w:ascii="Arial" w:cs="Arial" w:eastAsia="Arial" w:hAnsi="Arial"/>
          <w:sz w:val="17"/>
          <w:szCs w:val="17"/>
          <w:b w:val="1"/>
          <w:bCs w:val="1"/>
          <w:color w:val="auto"/>
        </w:rPr>
        <w:t xml:space="preserve"> </w:t>
      </w:r>
      <w:r>
        <w:rPr>
          <w:rFonts w:ascii="Arial" w:cs="Arial" w:eastAsia="Arial" w:hAnsi="Arial"/>
          <w:sz w:val="17"/>
          <w:szCs w:val="17"/>
          <w:color w:val="auto"/>
        </w:rPr>
        <w:t>initiated in 2012, including $40 million in cost of sales, $3 million in selling, general and administrative expenses, and $1 million in other income, net. The 2012 actions relate to ongoing cost reduction efforts, including workforce reductions and the consolidation of field operations.</w:t>
      </w:r>
    </w:p>
    <w:p>
      <w:pPr>
        <w:spacing w:after="0" w:line="162"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September 30, 2013, we have completed net workforce reductions of approximately 6,100 employees of an expected 7,300 employees, and have exited approximately 1.6 million net square feet of facilities of an expected 3.6 million net square feet. We are targeting the majority of the remaining workforce and facility related cost reduction actions for completion during 2013 and 2014.</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accrual balances and utilization by cost type for the 2012 restructuring actions: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Facility Exit,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40" w:type="dxa"/>
            <w:vAlign w:val="bottom"/>
          </w:tcPr>
          <w:p>
            <w:pPr>
              <w:spacing w:after="0"/>
              <w:rPr>
                <w:sz w:val="12"/>
                <w:szCs w:val="12"/>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Write-Downs</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July 1, 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2013</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2012 restructuring actions by type: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Facility Exit,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40" w:type="dxa"/>
            <w:vAlign w:val="bottom"/>
          </w:tcPr>
          <w:p>
            <w:pPr>
              <w:spacing w:after="0"/>
              <w:rPr>
                <w:sz w:val="12"/>
                <w:szCs w:val="12"/>
                <w:color w:val="auto"/>
              </w:rPr>
            </w:pPr>
          </w:p>
        </w:tc>
        <w:tc>
          <w:tcPr>
            <w:tcW w:w="11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Write-Downs</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Costs incurred through December 31, 2012</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incurred - quarter ended March 31, 2013</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Costs incurred - quarter ended June 30, 2013</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incurred - quarter ended September 30, 2013</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2013</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2012 restructuring actions by segment: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242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Costs incurred</w:t>
            </w:r>
          </w:p>
        </w:tc>
        <w:tc>
          <w:tcPr>
            <w:tcW w:w="180" w:type="dxa"/>
            <w:vAlign w:val="bottom"/>
          </w:tcPr>
          <w:p>
            <w:pPr>
              <w:spacing w:after="0"/>
              <w:rPr>
                <w:sz w:val="24"/>
                <w:szCs w:val="24"/>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Costs incurred</w:t>
            </w: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Costs incurred</w:t>
            </w: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Costs incurred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140" w:type="dxa"/>
            <w:vAlign w:val="bottom"/>
          </w:tcPr>
          <w:p>
            <w:pPr>
              <w:spacing w:after="0"/>
              <w:rPr>
                <w:sz w:val="12"/>
                <w:szCs w:val="12"/>
                <w:color w:val="auto"/>
              </w:rPr>
            </w:pPr>
          </w:p>
        </w:tc>
        <w:tc>
          <w:tcPr>
            <w:tcW w:w="13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Remaining Costs at</w:t>
            </w:r>
          </w:p>
        </w:tc>
        <w:tc>
          <w:tcPr>
            <w:tcW w:w="0" w:type="dxa"/>
            <w:vAlign w:val="bottom"/>
          </w:tcPr>
          <w:p>
            <w:pPr>
              <w:spacing w:after="0"/>
              <w:rPr>
                <w:sz w:val="1"/>
                <w:szCs w:val="1"/>
                <w:color w:val="auto"/>
              </w:rPr>
            </w:pPr>
          </w:p>
        </w:tc>
      </w:tr>
      <w:tr>
        <w:trPr>
          <w:trHeight w:val="149"/>
        </w:trPr>
        <w:tc>
          <w:tcPr>
            <w:tcW w:w="24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through</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20" w:type="dxa"/>
            <w:vAlign w:val="bottom"/>
            <w:gridSpan w:val="4"/>
            <w:vMerge w:val="continue"/>
          </w:tcPr>
          <w:p>
            <w:pPr>
              <w:spacing w:after="0"/>
              <w:rPr>
                <w:sz w:val="13"/>
                <w:szCs w:val="13"/>
                <w:color w:val="auto"/>
              </w:rPr>
            </w:pPr>
          </w:p>
        </w:tc>
        <w:tc>
          <w:tcPr>
            <w:tcW w:w="1080" w:type="dxa"/>
            <w:vAlign w:val="bottom"/>
          </w:tcPr>
          <w:p>
            <w:pPr>
              <w:jc w:val="right"/>
              <w:ind w:right="79"/>
              <w:spacing w:after="0" w:line="158" w:lineRule="exact"/>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December 31, 2012</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March 31, 2013</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June 30, 2013</w:t>
            </w:r>
          </w:p>
        </w:tc>
        <w:tc>
          <w:tcPr>
            <w:tcW w:w="140" w:type="dxa"/>
            <w:vAlign w:val="bottom"/>
          </w:tcPr>
          <w:p>
            <w:pPr>
              <w:spacing w:after="0"/>
              <w:rPr>
                <w:sz w:val="13"/>
                <w:szCs w:val="13"/>
                <w:color w:val="auto"/>
              </w:rPr>
            </w:pPr>
          </w:p>
        </w:tc>
        <w:tc>
          <w:tcPr>
            <w:tcW w:w="1120" w:type="dxa"/>
            <w:vAlign w:val="bottom"/>
          </w:tcPr>
          <w:p>
            <w:pPr>
              <w:jc w:val="center"/>
              <w:ind w:right="56"/>
              <w:spacing w:after="0" w:line="158"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54"/>
              <w:spacing w:after="0" w:line="158" w:lineRule="exact"/>
              <w:rPr>
                <w:sz w:val="20"/>
                <w:szCs w:val="20"/>
                <w:color w:val="auto"/>
              </w:rPr>
            </w:pPr>
            <w:r>
              <w:rPr>
                <w:rFonts w:ascii="Arial" w:cs="Arial" w:eastAsia="Arial" w:hAnsi="Arial"/>
                <w:sz w:val="14"/>
                <w:szCs w:val="14"/>
                <w:b w:val="1"/>
                <w:bCs w:val="1"/>
                <w:color w:val="auto"/>
                <w:w w:val="90"/>
              </w:rPr>
              <w:t>September 30,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420" w:type="dxa"/>
            <w:vAlign w:val="bottom"/>
            <w:gridSpan w:val="4"/>
          </w:tcPr>
          <w:p>
            <w:pPr>
              <w:ind w:left="40"/>
              <w:spacing w:after="0"/>
              <w:rPr>
                <w:sz w:val="20"/>
                <w:szCs w:val="20"/>
                <w:color w:val="auto"/>
              </w:rPr>
            </w:pPr>
            <w:r>
              <w:rPr>
                <w:rFonts w:ascii="Arial" w:cs="Arial" w:eastAsia="Arial" w:hAnsi="Arial"/>
                <w:sz w:val="18"/>
                <w:szCs w:val="18"/>
                <w:color w:val="auto"/>
              </w:rPr>
              <w:t>UTC Climate, Controls &amp;</w:t>
            </w: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gridSpan w:val="4"/>
          </w:tcPr>
          <w:p>
            <w:pPr>
              <w:ind w:left="40"/>
              <w:spacing w:after="0"/>
              <w:rPr>
                <w:sz w:val="20"/>
                <w:szCs w:val="20"/>
                <w:color w:val="auto"/>
              </w:rPr>
            </w:pPr>
            <w:r>
              <w:rPr>
                <w:rFonts w:ascii="Arial" w:cs="Arial" w:eastAsia="Arial" w:hAnsi="Arial"/>
                <w:sz w:val="18"/>
                <w:szCs w:val="18"/>
                <w:color w:val="auto"/>
              </w:rPr>
              <w:t>Security</w:t>
            </w:r>
          </w:p>
        </w:tc>
        <w:tc>
          <w:tcPr>
            <w:tcW w:w="108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420" w:type="dxa"/>
            <w:vAlign w:val="bottom"/>
            <w:gridSpan w:val="4"/>
          </w:tcPr>
          <w:p>
            <w:pPr>
              <w:ind w:left="40"/>
              <w:spacing w:after="0"/>
              <w:rPr>
                <w:sz w:val="20"/>
                <w:szCs w:val="20"/>
                <w:color w:val="auto"/>
              </w:rPr>
            </w:pPr>
            <w:r>
              <w:rPr>
                <w:rFonts w:ascii="Arial" w:cs="Arial" w:eastAsia="Arial" w:hAnsi="Arial"/>
                <w:sz w:val="18"/>
                <w:szCs w:val="18"/>
                <w:color w:val="auto"/>
              </w:rPr>
              <w:t>UTC Aerospace Systems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420" w:type="dxa"/>
            <w:vAlign w:val="bottom"/>
            <w:gridSpan w:val="4"/>
          </w:tcPr>
          <w:p>
            <w:pPr>
              <w:ind w:left="40"/>
              <w:spacing w:after="0"/>
              <w:rPr>
                <w:sz w:val="20"/>
                <w:szCs w:val="20"/>
                <w:color w:val="auto"/>
              </w:rPr>
            </w:pPr>
            <w:r>
              <w:rPr>
                <w:rFonts w:ascii="Arial" w:cs="Arial" w:eastAsia="Arial" w:hAnsi="Arial"/>
                <w:sz w:val="18"/>
                <w:szCs w:val="18"/>
                <w:color w:val="auto"/>
              </w:rPr>
              <w:t>Eliminations and other</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2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660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2011 Actions. </w:t>
      </w:r>
      <w:r>
        <w:rPr>
          <w:rFonts w:ascii="Arial" w:cs="Arial" w:eastAsia="Arial" w:hAnsi="Arial"/>
          <w:sz w:val="18"/>
          <w:szCs w:val="18"/>
          <w:color w:val="auto"/>
        </w:rPr>
        <w:t>As of September 30, 2013, we have approximately $5 million of accrual balances remaining related to 2011 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By their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4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Foreign Currency Forward Contracts. </w:t>
      </w:r>
      <w:r>
        <w:rPr>
          <w:rFonts w:ascii="Arial" w:cs="Arial" w:eastAsia="Arial" w:hAnsi="Arial"/>
          <w:sz w:val="17"/>
          <w:szCs w:val="17"/>
          <w:color w:val="auto"/>
        </w:rPr>
        <w:t>We manage our foreign currency transaction risks to acceptable limits through the use of derivatives that hedge</w:t>
      </w:r>
      <w:r>
        <w:rPr>
          <w:rFonts w:ascii="Arial" w:cs="Arial" w:eastAsia="Arial" w:hAnsi="Arial"/>
          <w:sz w:val="17"/>
          <w:szCs w:val="17"/>
          <w:b w:val="1"/>
          <w:bCs w:val="1"/>
          <w:color w:val="auto"/>
        </w:rPr>
        <w:t xml:space="preserve"> </w:t>
      </w:r>
      <w:r>
        <w:rPr>
          <w:rFonts w:ascii="Arial" w:cs="Arial" w:eastAsia="Arial" w:hAnsi="Arial"/>
          <w:sz w:val="17"/>
          <w:szCs w:val="17"/>
          <w:color w:val="auto"/>
        </w:rPr>
        <w:t>forecasted cash flows associated with foreign currency transaction exposures, which are accounted for as cash flow hedges, as we deem appropriate. To the extent these derivatives are effective in offsetting the variability of the hedged cash flows, and otherwise meet the hedge accounting criteria of the Derivatives and Hedging Topic of the FASB ASC, the changes in the derivatives’ fair values are not included in current earnings but are included in “Accumulated other comprehensive loss.”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in which it occurs.</w:t>
      </w:r>
    </w:p>
    <w:p>
      <w:pPr>
        <w:spacing w:after="0" w:line="17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(e.g. payables, receivables) and other economic hedges where the hedge accounting criteria were not met.</w:t>
      </w:r>
    </w:p>
    <w:p>
      <w:pPr>
        <w:spacing w:after="0" w:line="18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$12.6 billion and $11.8 billion at September 30, 2013 and December 31, 2012, respectively.</w:t>
      </w:r>
    </w:p>
    <w:p>
      <w:pPr>
        <w:spacing w:after="0" w:line="17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enter into transactions that are subject to arrangements designed to provide for netting of offsetting obligations in the event of the insolvency or default of a counterparty. However, we have not elected to offset multiple contracts with a single counterparty and, as a result, the fair value of the derivative instruments in a loss position is not offset against the fair value of derivative instruments in a gain position.</w:t>
      </w:r>
    </w:p>
    <w:p>
      <w:pPr>
        <w:spacing w:after="0" w:line="73"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summarizes the fair value of derivative instruments as of September 30, 2013 and December 31, 2012 which consist solely of foreign exchange contracts: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Derivatives</w:t>
            </w:r>
          </w:p>
        </w:tc>
        <w:tc>
          <w:tcPr>
            <w:tcW w:w="160" w:type="dxa"/>
            <w:vAlign w:val="bottom"/>
          </w:tcPr>
          <w:p>
            <w:pPr>
              <w:spacing w:after="0"/>
              <w:rPr>
                <w:sz w:val="13"/>
                <w:szCs w:val="13"/>
                <w:color w:val="auto"/>
              </w:rPr>
            </w:pPr>
          </w:p>
        </w:tc>
        <w:tc>
          <w:tcPr>
            <w:tcW w:w="120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3"/>
              </w:rPr>
              <w:t>Derivatives not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Derivatives</w:t>
            </w:r>
          </w:p>
        </w:tc>
        <w:tc>
          <w:tcPr>
            <w:tcW w:w="160" w:type="dxa"/>
            <w:vAlign w:val="bottom"/>
          </w:tcPr>
          <w:p>
            <w:pPr>
              <w:spacing w:after="0"/>
              <w:rPr>
                <w:sz w:val="13"/>
                <w:szCs w:val="13"/>
                <w:color w:val="auto"/>
              </w:rPr>
            </w:pPr>
          </w:p>
        </w:tc>
        <w:tc>
          <w:tcPr>
            <w:tcW w:w="1200" w:type="dxa"/>
            <w:vAlign w:val="bottom"/>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Derivatives not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designated</w:t>
            </w:r>
          </w:p>
        </w:tc>
        <w:tc>
          <w:tcPr>
            <w:tcW w:w="160" w:type="dxa"/>
            <w:vAlign w:val="bottom"/>
          </w:tcPr>
          <w:p>
            <w:pPr>
              <w:spacing w:after="0"/>
              <w:rPr>
                <w:sz w:val="12"/>
                <w:szCs w:val="12"/>
                <w:color w:val="auto"/>
              </w:rPr>
            </w:pPr>
          </w:p>
        </w:tc>
        <w:tc>
          <w:tcPr>
            <w:tcW w:w="12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designated as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designated</w:t>
            </w:r>
          </w:p>
        </w:tc>
        <w:tc>
          <w:tcPr>
            <w:tcW w:w="160" w:type="dxa"/>
            <w:vAlign w:val="bottom"/>
          </w:tcPr>
          <w:p>
            <w:pPr>
              <w:spacing w:after="0"/>
              <w:rPr>
                <w:sz w:val="12"/>
                <w:szCs w:val="12"/>
                <w:color w:val="auto"/>
              </w:rPr>
            </w:pPr>
          </w:p>
        </w:tc>
        <w:tc>
          <w:tcPr>
            <w:tcW w:w="12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designated as</w:t>
            </w:r>
          </w:p>
        </w:tc>
        <w:tc>
          <w:tcPr>
            <w:tcW w:w="0" w:type="dxa"/>
            <w:vAlign w:val="bottom"/>
          </w:tcPr>
          <w:p>
            <w:pPr>
              <w:spacing w:after="0"/>
              <w:rPr>
                <w:sz w:val="1"/>
                <w:szCs w:val="1"/>
                <w:color w:val="auto"/>
              </w:rPr>
            </w:pPr>
          </w:p>
        </w:tc>
      </w:tr>
      <w:tr>
        <w:trPr>
          <w:trHeight w:val="149"/>
        </w:trPr>
        <w:tc>
          <w:tcPr>
            <w:tcW w:w="56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2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as hedging</w:t>
            </w:r>
          </w:p>
        </w:tc>
        <w:tc>
          <w:tcPr>
            <w:tcW w:w="160" w:type="dxa"/>
            <w:vAlign w:val="bottom"/>
          </w:tcPr>
          <w:p>
            <w:pPr>
              <w:spacing w:after="0"/>
              <w:rPr>
                <w:sz w:val="12"/>
                <w:szCs w:val="12"/>
                <w:color w:val="auto"/>
              </w:rPr>
            </w:pPr>
          </w:p>
        </w:tc>
        <w:tc>
          <w:tcPr>
            <w:tcW w:w="12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1"/>
              </w:rPr>
              <w:t>hedging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as hedging</w:t>
            </w:r>
          </w:p>
        </w:tc>
        <w:tc>
          <w:tcPr>
            <w:tcW w:w="160" w:type="dxa"/>
            <w:vAlign w:val="bottom"/>
          </w:tcPr>
          <w:p>
            <w:pPr>
              <w:spacing w:after="0"/>
              <w:rPr>
                <w:sz w:val="12"/>
                <w:szCs w:val="12"/>
                <w:color w:val="auto"/>
              </w:rPr>
            </w:pPr>
          </w:p>
        </w:tc>
        <w:tc>
          <w:tcPr>
            <w:tcW w:w="12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hedging</w:t>
            </w:r>
          </w:p>
        </w:tc>
        <w:tc>
          <w:tcPr>
            <w:tcW w:w="0" w:type="dxa"/>
            <w:vAlign w:val="bottom"/>
          </w:tcPr>
          <w:p>
            <w:pPr>
              <w:spacing w:after="0"/>
              <w:rPr>
                <w:sz w:val="1"/>
                <w:szCs w:val="1"/>
                <w:color w:val="auto"/>
              </w:rPr>
            </w:pPr>
          </w:p>
        </w:tc>
      </w:tr>
      <w:tr>
        <w:trPr>
          <w:trHeight w:val="158"/>
        </w:trPr>
        <w:tc>
          <w:tcPr>
            <w:tcW w:w="562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instruments</w:t>
            </w:r>
          </w:p>
        </w:tc>
        <w:tc>
          <w:tcPr>
            <w:tcW w:w="160" w:type="dxa"/>
            <w:vAlign w:val="bottom"/>
          </w:tcPr>
          <w:p>
            <w:pPr>
              <w:spacing w:after="0"/>
              <w:rPr>
                <w:sz w:val="13"/>
                <w:szCs w:val="13"/>
                <w:color w:val="auto"/>
              </w:rPr>
            </w:pPr>
          </w:p>
        </w:tc>
        <w:tc>
          <w:tcPr>
            <w:tcW w:w="1200" w:type="dxa"/>
            <w:vAlign w:val="bottom"/>
          </w:tcPr>
          <w:p>
            <w:pPr>
              <w:jc w:val="center"/>
              <w:ind w:right="96"/>
              <w:spacing w:after="0" w:line="158" w:lineRule="exact"/>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instruments</w:t>
            </w:r>
          </w:p>
        </w:tc>
        <w:tc>
          <w:tcPr>
            <w:tcW w:w="160" w:type="dxa"/>
            <w:vAlign w:val="bottom"/>
          </w:tcPr>
          <w:p>
            <w:pPr>
              <w:spacing w:after="0"/>
              <w:rPr>
                <w:sz w:val="13"/>
                <w:szCs w:val="13"/>
                <w:color w:val="auto"/>
              </w:rPr>
            </w:pPr>
          </w:p>
        </w:tc>
        <w:tc>
          <w:tcPr>
            <w:tcW w:w="120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89"/>
              </w:rPr>
              <w:t>instruments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Balance Sheet Asset Locations: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Other assets, 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 Derivative Contracts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color w:val="auto"/>
              </w:rPr>
              <w:t>Balance Sheet Liability Locations:</w:t>
            </w: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Total Liability Derivative Contracts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impact from foreign exchange derivative instruments that qualified as cash flow hedges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39"/>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(loss) recorded in Accumulated other comprehensive loss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w w:val="96"/>
              </w:rPr>
              <w:t>Gain (loss) reclassified from Accumulated other comprehensive loss into</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20" w:type="dxa"/>
            <w:vAlign w:val="bottom"/>
            <w:gridSpan w:val="3"/>
            <w:vMerge w:val="continue"/>
          </w:tcPr>
          <w:p>
            <w:pPr>
              <w:spacing w:after="0"/>
              <w:rPr>
                <w:sz w:val="15"/>
                <w:szCs w:val="15"/>
                <w:color w:val="auto"/>
              </w:rPr>
            </w:pPr>
          </w:p>
        </w:tc>
        <w:tc>
          <w:tcPr>
            <w:tcW w:w="960" w:type="dxa"/>
            <w:vAlign w:val="bottom"/>
            <w:vMerge w:val="restart"/>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vMerge w:val="restart"/>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920" w:type="dxa"/>
            <w:vAlign w:val="bottom"/>
            <w:vMerge w:val="restart"/>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2"/>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Product sales (effective portion)</w:t>
            </w:r>
          </w:p>
        </w:tc>
        <w:tc>
          <w:tcPr>
            <w:tcW w:w="96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Assuming current market conditions continue, a $15 million pre-tax gain is expected to be reclassified from Accumulated other comprehensive loss into Product sales to reflect the fixed prices obtained from foreign exchange hedging within the next 12 months. At September 30, 2013, all derivative contracts accounted for as cash flow hedges will mature by September 2015.</w:t>
      </w:r>
    </w:p>
    <w:p>
      <w:pPr>
        <w:spacing w:after="0" w:line="18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effect on the Condensed Consolidated Statement of Comprehensive Income from derivative contracts not designated as hedging instruments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(loss) recognized in Other income, net</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Valuation Hierarchy. </w:t>
      </w:r>
      <w:r>
        <w:rPr>
          <w:rFonts w:ascii="Arial" w:cs="Arial" w:eastAsia="Arial" w:hAnsi="Arial"/>
          <w:sz w:val="17"/>
          <w:szCs w:val="17"/>
          <w:color w:val="auto"/>
        </w:rPr>
        <w:t>The following table provides the valuation hierarchy classification of assets and liabilities that are carried at fair value and measured on</w:t>
      </w:r>
      <w:r>
        <w:rPr>
          <w:rFonts w:ascii="Arial" w:cs="Arial" w:eastAsia="Arial" w:hAnsi="Arial"/>
          <w:sz w:val="17"/>
          <w:szCs w:val="17"/>
          <w:b w:val="1"/>
          <w:bCs w:val="1"/>
          <w:color w:val="auto"/>
        </w:rPr>
        <w:t xml:space="preserve"> </w:t>
      </w:r>
      <w:r>
        <w:rPr>
          <w:rFonts w:ascii="Arial" w:cs="Arial" w:eastAsia="Arial" w:hAnsi="Arial"/>
          <w:sz w:val="17"/>
          <w:szCs w:val="17"/>
          <w:color w:val="auto"/>
        </w:rPr>
        <w:t>a recurring and nonrecurring basis in our Condensed Consolidated Balance Sheet as of September 30, 2013 and December 31, 2012: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Total Carrying</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Quoted price in</w:t>
            </w:r>
          </w:p>
        </w:tc>
        <w:tc>
          <w:tcPr>
            <w:tcW w:w="200" w:type="dxa"/>
            <w:vAlign w:val="bottom"/>
          </w:tcPr>
          <w:p>
            <w:pPr>
              <w:spacing w:after="0"/>
              <w:rPr>
                <w:sz w:val="14"/>
                <w:szCs w:val="14"/>
                <w:color w:val="auto"/>
              </w:rPr>
            </w:pPr>
          </w:p>
        </w:tc>
        <w:tc>
          <w:tcPr>
            <w:tcW w:w="16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Significant other</w:t>
            </w:r>
          </w:p>
        </w:tc>
        <w:tc>
          <w:tcPr>
            <w:tcW w:w="118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Value at</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200" w:type="dxa"/>
            <w:vAlign w:val="bottom"/>
          </w:tcPr>
          <w:p>
            <w:pPr>
              <w:spacing w:after="0"/>
              <w:rPr>
                <w:sz w:val="12"/>
                <w:szCs w:val="12"/>
                <w:color w:val="auto"/>
              </w:rPr>
            </w:pPr>
          </w:p>
        </w:tc>
        <w:tc>
          <w:tcPr>
            <w:tcW w:w="16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inputs</w:t>
            </w:r>
          </w:p>
        </w:tc>
        <w:tc>
          <w:tcPr>
            <w:tcW w:w="11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15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September 30, 2013</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3"/>
                <w:szCs w:val="13"/>
                <w:color w:val="auto"/>
              </w:rPr>
            </w:pPr>
          </w:p>
        </w:tc>
        <w:tc>
          <w:tcPr>
            <w:tcW w:w="1680" w:type="dxa"/>
            <w:vAlign w:val="bottom"/>
            <w:gridSpan w:val="3"/>
          </w:tcPr>
          <w:p>
            <w:pPr>
              <w:jc w:val="center"/>
              <w:ind w:right="500"/>
              <w:spacing w:after="0" w:line="158" w:lineRule="exact"/>
              <w:rPr>
                <w:sz w:val="20"/>
                <w:szCs w:val="20"/>
                <w:color w:val="auto"/>
              </w:rPr>
            </w:pPr>
            <w:r>
              <w:rPr>
                <w:rFonts w:ascii="Arial" w:cs="Arial" w:eastAsia="Arial" w:hAnsi="Arial"/>
                <w:sz w:val="14"/>
                <w:szCs w:val="14"/>
                <w:b w:val="1"/>
                <w:bCs w:val="1"/>
                <w:color w:val="auto"/>
                <w:w w:val="94"/>
              </w:rPr>
              <w:t>(Level 2)</w:t>
            </w:r>
          </w:p>
        </w:tc>
        <w:tc>
          <w:tcPr>
            <w:tcW w:w="1180" w:type="dxa"/>
            <w:vAlign w:val="bottom"/>
          </w:tcPr>
          <w:p>
            <w:pPr>
              <w:jc w:val="center"/>
              <w:ind w:right="118"/>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Business dispositions</w:t>
            </w:r>
          </w:p>
        </w:tc>
        <w:tc>
          <w:tcPr>
            <w:tcW w:w="1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During the nine months ended September 30, 2013, we recorded an approximately $38 million net gain from UTC Climate, Controls &amp; Security's ongoing portfolio transformation, primarily due to a gain on the sale of a business in Hong Kong. In addition, we recorded an approximately $193 million gain from the sale of the Pratt &amp; Whitney Power Systems business (see Note 1), as well as an approximately $25 million charge to adjust the fair value of a Pratt &amp; Whitney joint venture investment.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516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Total Carrying</w:t>
            </w: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Quoted price in</w:t>
            </w:r>
          </w:p>
        </w:tc>
        <w:tc>
          <w:tcPr>
            <w:tcW w:w="180" w:type="dxa"/>
            <w:vAlign w:val="bottom"/>
          </w:tcPr>
          <w:p>
            <w:pPr>
              <w:spacing w:after="0"/>
              <w:rPr>
                <w:sz w:val="24"/>
                <w:szCs w:val="24"/>
                <w:color w:val="auto"/>
              </w:rPr>
            </w:pPr>
          </w:p>
        </w:tc>
        <w:tc>
          <w:tcPr>
            <w:tcW w:w="16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Significant other</w:t>
            </w:r>
          </w:p>
        </w:tc>
        <w:tc>
          <w:tcPr>
            <w:tcW w:w="12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80" w:type="dxa"/>
            <w:vAlign w:val="bottom"/>
          </w:tcPr>
          <w:p>
            <w:pPr>
              <w:spacing w:after="0"/>
              <w:rPr>
                <w:sz w:val="12"/>
                <w:szCs w:val="12"/>
                <w:color w:val="auto"/>
              </w:rPr>
            </w:pPr>
          </w:p>
        </w:tc>
        <w:tc>
          <w:tcPr>
            <w:tcW w:w="16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inputs</w:t>
            </w:r>
          </w:p>
        </w:tc>
        <w:tc>
          <w:tcPr>
            <w:tcW w:w="12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18"/>
              <w:spacing w:after="0" w:line="158"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3"/>
                <w:szCs w:val="13"/>
                <w:color w:val="auto"/>
              </w:rPr>
            </w:pPr>
          </w:p>
        </w:tc>
        <w:tc>
          <w:tcPr>
            <w:tcW w:w="1620" w:type="dxa"/>
            <w:vAlign w:val="bottom"/>
            <w:gridSpan w:val="3"/>
          </w:tcPr>
          <w:p>
            <w:pPr>
              <w:jc w:val="center"/>
              <w:ind w:right="480"/>
              <w:spacing w:after="0" w:line="158" w:lineRule="exact"/>
              <w:rPr>
                <w:sz w:val="20"/>
                <w:szCs w:val="20"/>
                <w:color w:val="auto"/>
              </w:rPr>
            </w:pPr>
            <w:r>
              <w:rPr>
                <w:rFonts w:ascii="Arial" w:cs="Arial" w:eastAsia="Arial" w:hAnsi="Arial"/>
                <w:sz w:val="14"/>
                <w:szCs w:val="14"/>
                <w:b w:val="1"/>
                <w:bCs w:val="1"/>
                <w:color w:val="auto"/>
                <w:w w:val="94"/>
              </w:rPr>
              <w:t>(Level 2)</w:t>
            </w:r>
          </w:p>
        </w:tc>
        <w:tc>
          <w:tcPr>
            <w:tcW w:w="1260" w:type="dxa"/>
            <w:vAlign w:val="bottom"/>
          </w:tcPr>
          <w:p>
            <w:pPr>
              <w:jc w:val="center"/>
              <w:ind w:right="117"/>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Equity method investment</w:t>
            </w:r>
          </w:p>
        </w:tc>
        <w:tc>
          <w:tcPr>
            <w:tcW w:w="20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Business dispositions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During the nine months ended September 30, 2012, we recorded net gains on nonrecurring fair value measurements of approximately $220 million within Other income, net from UTC Climate, Controls &amp; Security's ongoing portfolio transformation efforts. These net gains include approximately $357 million from the sales of controlling interests in manufacturing and distribution joint ventures in Asia and Canada, of which approximately $272 million were non-cash. These gains were partially offset by $103 million of other-than-temporary impairment charges related to business dispositions and a $32 million loss on the disposition of the U.S. fire and security branch operations. In addition, we recorded a $34 million gain on the fair market measurement of the shares of Goodrich that the Company held prior to its acquisition of Goodrich.</w:t>
      </w:r>
    </w:p>
    <w:p>
      <w:pPr>
        <w:spacing w:after="0" w:line="17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They are measured at fair value using closing stock prices from active markets and are classified within Level 1 of the valuation hierarchy. Our derivative assets and liabilities are managed on the basis of net exposure to market and credit risks of each of the counterparties. The fair value for these derivative assets and liabilities is measured at the price that would be received on a net asset position for a particular risk or to transfer a net liability position for a particular risk in an orderly transaction between market participants at the measurement date.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 As of September 30, 2013, there were no significant transfers in and out of Level 1 and Level 2.</w:t>
      </w:r>
    </w:p>
    <w:p>
      <w:pPr>
        <w:spacing w:after="0" w:line="164"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As of September 30, 2013,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September 30, 2013 and December 31, 2012: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1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September 30, 2013: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514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Total Fair</w:t>
            </w:r>
          </w:p>
        </w:tc>
        <w:tc>
          <w:tcPr>
            <w:tcW w:w="180" w:type="dxa"/>
            <w:vAlign w:val="bottom"/>
          </w:tcPr>
          <w:p>
            <w:pPr>
              <w:spacing w:after="0"/>
              <w:rPr>
                <w:sz w:val="24"/>
                <w:szCs w:val="24"/>
                <w:color w:val="auto"/>
              </w:rPr>
            </w:pPr>
          </w:p>
        </w:tc>
        <w:tc>
          <w:tcPr>
            <w:tcW w:w="15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3"/>
              </w:rPr>
              <w:t>Quoted price in</w:t>
            </w: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Significant other</w:t>
            </w:r>
          </w:p>
        </w:tc>
        <w:tc>
          <w:tcPr>
            <w:tcW w:w="220" w:type="dxa"/>
            <w:vAlign w:val="bottom"/>
          </w:tcPr>
          <w:p>
            <w:pPr>
              <w:spacing w:after="0"/>
              <w:rPr>
                <w:sz w:val="24"/>
                <w:szCs w:val="24"/>
                <w:color w:val="auto"/>
              </w:rPr>
            </w:pPr>
          </w:p>
        </w:tc>
        <w:tc>
          <w:tcPr>
            <w:tcW w:w="12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15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20" w:type="dxa"/>
            <w:vAlign w:val="bottom"/>
          </w:tcPr>
          <w:p>
            <w:pPr>
              <w:spacing w:after="0"/>
              <w:rPr>
                <w:sz w:val="12"/>
                <w:szCs w:val="12"/>
                <w:color w:val="auto"/>
              </w:rPr>
            </w:pPr>
          </w:p>
        </w:tc>
        <w:tc>
          <w:tcPr>
            <w:tcW w:w="12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58"/>
        </w:trPr>
        <w:tc>
          <w:tcPr>
            <w:tcW w:w="514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38"/>
              <w:spacing w:after="0" w:line="158"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(Level 1)</w:t>
            </w: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3"/>
                <w:szCs w:val="13"/>
                <w:color w:val="auto"/>
              </w:rPr>
            </w:pPr>
          </w:p>
        </w:tc>
        <w:tc>
          <w:tcPr>
            <w:tcW w:w="1260" w:type="dxa"/>
            <w:vAlign w:val="bottom"/>
          </w:tcPr>
          <w:p>
            <w:pPr>
              <w:jc w:val="center"/>
              <w:ind w:right="157"/>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Customer financing notes receivable</w:t>
            </w:r>
          </w:p>
        </w:tc>
        <w:tc>
          <w:tcPr>
            <w:tcW w:w="22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(20,830)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long-term receivables and customer financing notes receivable include our commercial and aerospace long-term trade,</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 and other receivables, leases, and notes receivable. Our long-term receivables and customer financing notes receivable are measured and presented in the table above at fair value using an income approach based on the present value of the contractual, promised or most likely cash flows discounted at observed or estimated market rate for comparable assets or liabilities that are traded in the market. Based on these inputs, long-term receivables and customer financing notes receivable are presented in the table above within Level 2 of the valuation hierarchy. Our short-term borrowings include commercial paper and other international credit facility agreements. Our long-term debt includes domestic and international notes. Commercial paper and domestic long-term notes are measured and presented in the table above at fair values based on comparable transactions and current market interest rates quoted in active markets for similar assets, and are classified within Level 2 of the valuation hierarchy. Foreign short-term borrowings and foreign long-term notes are measured and presented in the table above at fair value based on comparable transactions and rates calculated from the respective countries’ yield curves. Based on these inputs, foreign borrowings and foreign long-term notes are classified within Level 3 of the valuation hierarchy. The fair values of Accounts receivable and Accounts payable approximate the carrying amounts due to the short-term maturities of these instruments.</w:t>
      </w:r>
    </w:p>
    <w:p>
      <w:pPr>
        <w:spacing w:after="0" w:line="16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had commercial aerospace financing and other contractual commitments totaling approximately $11.7 billion at September 30, 2013, including approximately $6.4 billion of IAE commitments, related to commercial aircraft and certain contractual rights to provide product on new aircraft platforms. We had commercial aerospace financing and other contractual commitments of approximately $10.9 billion at December 31, 2012, which included approximately $5.8 billion of IAE commitments.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 commitments is not readily determinable.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Credit Quality of Long-Term Receivables</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 long-term or financing receivable represents a contractual right to receive money on demand or on fixed and determinable dates, including trade receivable balances with maturity dates greater than one year. Our long-term and financing receivables primarily represent balances related to the aerospace businesses such as long-term trade accounts receivable, leases, and notes receivable. We also have other long-term receivables in our commercial businesses; however, both the individual and aggregate amounts are not significant.</w:t>
      </w:r>
    </w:p>
    <w:p>
      <w:pPr>
        <w:spacing w:after="0" w:line="18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Long-term trade accounts receivable represent amounts arising from the sale of goods and services with a contractual maturity date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long-term receivables as of September 30, 2013 and December 31,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85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Economic conditions and air travel influence the operating environment for most airlines, and the financial performance of our aerospace businesses is directly tied to the economic conditions of the commercial aerospace and defense industries. Additionally, the value of the collateral is also closely tied to commercial airline performance and may be subject to exposure of reduced valuation as a result of market declines. We determine a receivable is impaired when, based on current information and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events, it is probable that we will be unable to collect amounts due according to the contractual terms of the receivable agreement. Factors considered in assessing collectability and risk include, but are not limited to, examination of credit quality indicators and other evaluation measures, underlying value of any collateral or security interests, significant past due balances, historical losses, and existing economic conditions.</w:t>
      </w:r>
    </w:p>
    <w:p>
      <w:pPr>
        <w:spacing w:after="0" w:line="16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Long-term receivables can be considered delinquent if payment has not been received in accordance with the underlying agreement. If determined delinquent, long-term trade accounts receivable and notes and leases receivable balances accruing interest may be placed on non-accrual status. We record potential losses related to long-term receivables when identified. The reserve for credit losses on these receivables relates to specifically identified receivables that are evaluated individually for impairment. For notes and leases receivable, we determine a specific reserve for exposure based on the difference between the carrying value of the receivable and the estimated fair value of the related collateral in connection with the evaluation of credit risk and collectability. For long-term trade accounts receivable, we evaluate credit risk and collectability individually to determine if an allowance is necessary. Uncollectible long-term receivables are written-off when collection of the indebtedness has been pursued for a reasonable period of time without collection; the customer is no longer in operation; or judgment has been levied, but the underlying assets are not adequate to satisfy the indebtedness. At both September 30, 2013 and December 31, 2012, we did not have any significant balances that are considered to be delinquent, on non-accrual status, past due 90 days or more, or considered to be impaired.</w:t>
      </w:r>
    </w:p>
    <w:p>
      <w:pPr>
        <w:spacing w:after="0" w:line="178"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The following table provides the balance of aerospace industry long-term receivables and summarizes the associated changes in the reserve for estimated credit losses and exposure for the nine months ended September 30, 2013 and 2012, respectively: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Beginning balance of the reserve for credit losses and exposure as of January 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Provision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Recoveries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8580" w:type="dxa"/>
            <w:vAlign w:val="bottom"/>
            <w:gridSpan w:val="3"/>
          </w:tcPr>
          <w:p>
            <w:pPr>
              <w:ind w:left="40"/>
              <w:spacing w:after="0"/>
              <w:rPr>
                <w:sz w:val="20"/>
                <w:szCs w:val="20"/>
                <w:color w:val="auto"/>
              </w:rPr>
            </w:pPr>
            <w:r>
              <w:rPr>
                <w:rFonts w:ascii="Arial" w:cs="Arial" w:eastAsia="Arial" w:hAnsi="Arial"/>
                <w:sz w:val="18"/>
                <w:szCs w:val="18"/>
                <w:color w:val="auto"/>
                <w:w w:val="92"/>
              </w:rPr>
              <w:t>Ending balance of the reserve for credit losses and exposure: individually evaluated for impairment as of September</w:t>
            </w: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30</w:t>
            </w:r>
          </w:p>
        </w:tc>
        <w:tc>
          <w:tcPr>
            <w:tcW w:w="73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Ending balance of long-term receivables: individually evaluated for impairment as of September 30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determine credit ratings for each customer in the portfolio based upon public information and information obtained directly from our customers. We conduct a review of customer credit ratings, published historical credit default rates for different rating categories, and multiple third party aircraft value publications as a basis to validate the reasonableness of the allowance for losses on these balances quarterly or when events and circumstances warrant. The credit ratings listed below range from “A” which indicates an extremely strong capacity to meet financial obligations and the receivable is either collateralized or uncollateralized, to “D” which indicates that payment is in default and the receivable is uncollateralized. There can be no assurance that actual results will not differ from estimates or that consideration of these factors in the future will not result in an increase or decrease to the allowance for credit losses on long-term receivables.</w:t>
      </w:r>
    </w:p>
    <w:p>
      <w:pPr>
        <w:spacing w:after="0" w:line="18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summarizes the credit risk profile by creditworthiness category for aerospace long-term receivable balances at September 30, 2013 and December 31, 2012: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Long-term</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Notes and</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Long-term</w:t>
            </w: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88"/>
              </w:rPr>
              <w:t>Notes and</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trade accounts</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79"/>
              </w:rPr>
              <w:t>leases</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trade accounts</w:t>
            </w: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83"/>
              </w:rPr>
              <w:t>leases</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receivable</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receivable</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receivable</w:t>
            </w:r>
          </w:p>
        </w:tc>
        <w:tc>
          <w:tcPr>
            <w:tcW w:w="240" w:type="dxa"/>
            <w:vAlign w:val="bottom"/>
          </w:tcPr>
          <w:p>
            <w:pPr>
              <w:spacing w:after="0"/>
              <w:rPr>
                <w:sz w:val="13"/>
                <w:szCs w:val="13"/>
                <w:color w:val="auto"/>
              </w:rPr>
            </w:pPr>
          </w:p>
        </w:tc>
        <w:tc>
          <w:tcPr>
            <w:tcW w:w="1120" w:type="dxa"/>
            <w:vAlign w:val="bottom"/>
          </w:tcPr>
          <w:p>
            <w:pPr>
              <w:jc w:val="center"/>
              <w:ind w:right="177"/>
              <w:spacing w:after="0" w:line="158" w:lineRule="exact"/>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 - (low risk, collateralized/uncollateralized)</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B - (moderate risk, collateralized/uncollateralized)</w:t>
            </w:r>
          </w:p>
        </w:tc>
        <w:tc>
          <w:tcPr>
            <w:tcW w:w="22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 - (high risk, collateralized/uncollateralized)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 - (in default, uncollateralized)</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25</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Shareowners’ Equity and Noncontrolling Interest</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 and nine months ended September 30, 2013 and 2012 is provided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Quarter Ended September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Share-owners’</w:t>
            </w:r>
          </w:p>
        </w:tc>
        <w:tc>
          <w:tcPr>
            <w:tcW w:w="16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Share-owners’</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3"/>
                <w:szCs w:val="13"/>
                <w:color w:val="auto"/>
              </w:rPr>
            </w:pPr>
          </w:p>
        </w:tc>
        <w:tc>
          <w:tcPr>
            <w:tcW w:w="820" w:type="dxa"/>
            <w:vAlign w:val="bottom"/>
          </w:tcPr>
          <w:p>
            <w:pPr>
              <w:jc w:val="right"/>
              <w:ind w:right="23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Comprehensive income for the period:</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680"/>
              <w:spacing w:after="0"/>
              <w:rPr>
                <w:sz w:val="20"/>
                <w:szCs w:val="20"/>
                <w:color w:val="auto"/>
              </w:rPr>
            </w:pPr>
            <w:r>
              <w:rPr>
                <w:rFonts w:ascii="Arial" w:cs="Arial" w:eastAsia="Arial" w:hAnsi="Arial"/>
                <w:sz w:val="18"/>
                <w:szCs w:val="18"/>
                <w:color w:val="auto"/>
              </w:rPr>
              <w:t>Total other comprehensive income</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comprehensive income for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Common Stock issued under employee plans</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Common Stock repurchased</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Treasury Stock reissued under employee plans</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Equity Units Issuance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Dividends on Common Stock</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on ESOP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Dividends attributable to noncontrolling interest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 of subsidiary shares from noncontrolling</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Sale of subsidiary shares in noncontrolling interest</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Acquisition of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Disposition of noncontrolling interest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Redeemable noncontrolling interest in subsidiaries’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earnings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Redeemable noncontrolling interest in total other</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Change in redemption value of put options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Redeemable noncontrolling interest reclassification to</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28,577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29,919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26,091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2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6"/>
              </w:rPr>
              <w:t>Nine Months Ended September 30,</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Share-owners’</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Share-owners’</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3"/>
                <w:szCs w:val="13"/>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vMerge w:val="restart"/>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Equity</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70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Treasury Stock reissued under employee plans</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Equity Units Issuance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Purchase of subsidiary shares from noncontrolling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Sale of subsidiary shares in noncontrolling interest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Disposition of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 in subsidiaries’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earnings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Redeemable noncontrolling interest in total other</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Change in redemption value of put options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Redeemable noncontrolling interest reclassification to</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28,577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29,919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24,955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As of January 1, 2013, we adopted the provisions of the FASB issued Accounting Standards Update ("ASU") No. 2013-02, "Reporting of Amounts Reclassified Out of Accumulated Other Comprehensive Income." As a result of this adoption, we have disclosed below the significant items reclassified to net income in their entirety during the period.</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 summary of the changes in each component of accumulated other comprehensive loss, net of tax for the nine months ended September 30, 2013 are provided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Unrealized Gains</w:t>
            </w:r>
          </w:p>
        </w:tc>
        <w:tc>
          <w:tcPr>
            <w:tcW w:w="24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Post-</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Available-for-Sale</w:t>
            </w:r>
          </w:p>
        </w:tc>
        <w:tc>
          <w:tcPr>
            <w:tcW w:w="2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0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29"/>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income before</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reclassifications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7"/>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27</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4" w:right="2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Details of the reclassification out of accumulated other comprehensive loss for the quarter and nine months ended September 30, 2013 is provided below:</w:t>
      </w:r>
    </w:p>
    <w:p>
      <w:pPr>
        <w:sectPr>
          <w:pgSz w:w="11900" w:h="16838" w:orient="portrait"/>
          <w:cols w:equalWidth="0" w:num="1">
            <w:col w:w="11420"/>
          </w:cols>
          <w:pgMar w:left="240" w:top="121" w:right="239" w:bottom="1440" w:gutter="0" w:footer="0" w:header="0"/>
        </w:sectPr>
      </w:pPr>
    </w:p>
    <w:p>
      <w:pPr>
        <w:spacing w:after="0" w:line="230" w:lineRule="exact"/>
        <w:rPr>
          <w:sz w:val="20"/>
          <w:szCs w:val="20"/>
          <w:color w:val="auto"/>
        </w:rPr>
      </w:pPr>
    </w:p>
    <w:p>
      <w:pPr>
        <w:ind w:left="40" w:right="1360"/>
        <w:spacing w:after="0"/>
        <w:rPr>
          <w:sz w:val="20"/>
          <w:szCs w:val="20"/>
          <w:color w:val="auto"/>
        </w:rPr>
      </w:pPr>
      <w:r>
        <w:rPr>
          <w:rFonts w:ascii="Arial" w:cs="Arial" w:eastAsia="Arial" w:hAnsi="Arial"/>
          <w:sz w:val="14"/>
          <w:szCs w:val="14"/>
          <w:b w:val="1"/>
          <w:bCs w:val="1"/>
          <w:color w:val="auto"/>
        </w:rPr>
        <w:t>Details about Accumulated Other Comprehensive Loss Components Reclassified to Net Income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13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Quarter Ended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248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3"/>
              </w:rPr>
              <w:t>Affected Line Item in the Condensed</w:t>
            </w:r>
          </w:p>
        </w:tc>
        <w:tc>
          <w:tcPr>
            <w:tcW w:w="0" w:type="dxa"/>
            <w:vAlign w:val="bottom"/>
          </w:tcPr>
          <w:p>
            <w:pPr>
              <w:spacing w:after="0"/>
              <w:rPr>
                <w:sz w:val="1"/>
                <w:szCs w:val="1"/>
                <w:color w:val="auto"/>
              </w:rPr>
            </w:pPr>
          </w:p>
        </w:tc>
      </w:tr>
      <w:tr>
        <w:trPr>
          <w:trHeight w:val="144"/>
        </w:trPr>
        <w:tc>
          <w:tcPr>
            <w:tcW w:w="17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September 30, 2013</w:t>
            </w:r>
          </w:p>
        </w:tc>
        <w:tc>
          <w:tcPr>
            <w:tcW w:w="1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September 30, 2013</w:t>
            </w:r>
          </w:p>
        </w:tc>
        <w:tc>
          <w:tcPr>
            <w:tcW w:w="2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480" w:type="dxa"/>
            <w:vAlign w:val="bottom"/>
            <w:vMerge w:val="restart"/>
          </w:tcPr>
          <w:p>
            <w:pPr>
              <w:jc w:val="center"/>
              <w:ind w:left="148"/>
              <w:spacing w:after="0" w:line="126" w:lineRule="exact"/>
              <w:rPr>
                <w:sz w:val="20"/>
                <w:szCs w:val="20"/>
                <w:color w:val="auto"/>
              </w:rPr>
            </w:pPr>
            <w:r>
              <w:rPr>
                <w:rFonts w:ascii="Arial" w:cs="Arial" w:eastAsia="Arial" w:hAnsi="Arial"/>
                <w:sz w:val="14"/>
                <w:szCs w:val="14"/>
                <w:b w:val="1"/>
                <w:bCs w:val="1"/>
                <w:color w:val="auto"/>
                <w:w w:val="91"/>
              </w:rPr>
              <w:t>Consolidated Statement of</w:t>
            </w:r>
          </w:p>
        </w:tc>
        <w:tc>
          <w:tcPr>
            <w:tcW w:w="0" w:type="dxa"/>
            <w:vAlign w:val="bottom"/>
          </w:tcPr>
          <w:p>
            <w:pPr>
              <w:spacing w:after="0"/>
              <w:rPr>
                <w:sz w:val="1"/>
                <w:szCs w:val="1"/>
                <w:color w:val="auto"/>
              </w:rPr>
            </w:pPr>
          </w:p>
        </w:tc>
      </w:tr>
      <w:tr>
        <w:trPr>
          <w:trHeight w:val="52"/>
        </w:trPr>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Income (Expense)</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Income (Expense)</w:t>
            </w:r>
          </w:p>
        </w:tc>
        <w:tc>
          <w:tcPr>
            <w:tcW w:w="2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72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248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3756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4780" w:space="720"/>
            <w:col w:w="592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Foreign Currency Translation: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Recognized due to business disposition</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0"/>
              <w:spacing w:after="0"/>
              <w:rPr>
                <w:sz w:val="20"/>
                <w:szCs w:val="20"/>
                <w:color w:val="auto"/>
              </w:rPr>
            </w:pPr>
            <w:r>
              <w:rPr>
                <w:rFonts w:ascii="Arial" w:cs="Arial" w:eastAsia="Arial" w:hAnsi="Arial"/>
                <w:sz w:val="18"/>
                <w:szCs w:val="18"/>
                <w:color w:val="auto"/>
              </w:rPr>
              <w:t>Defined Benefit Pension and Post-retirement Plans:</w:t>
            </w: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prior-service costs and transition obligation</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Note (1)</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Recognized actuarial net loss</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(714)</w:t>
            </w:r>
          </w:p>
        </w:tc>
        <w:tc>
          <w:tcPr>
            <w:tcW w:w="2600" w:type="dxa"/>
            <w:vAlign w:val="bottom"/>
          </w:tcPr>
          <w:p>
            <w:pPr>
              <w:ind w:left="120"/>
              <w:spacing w:after="0"/>
              <w:rPr>
                <w:sz w:val="20"/>
                <w:szCs w:val="20"/>
                <w:color w:val="auto"/>
              </w:rPr>
            </w:pPr>
            <w:r>
              <w:rPr>
                <w:rFonts w:ascii="Arial" w:cs="Arial" w:eastAsia="Arial" w:hAnsi="Arial"/>
                <w:sz w:val="18"/>
                <w:szCs w:val="18"/>
                <w:color w:val="auto"/>
              </w:rPr>
              <w:t>Note (1)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Tax benefit</w:t>
            </w:r>
          </w:p>
        </w:tc>
        <w:tc>
          <w:tcPr>
            <w:tcW w:w="6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26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Unrealized Gains on Available-for-Sale Securities: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 on sale of securities, before tax</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Tax expense</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26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2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Unrealized Hedging (Losses) Gains: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contracts</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sales</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Other contracts</w:t>
            </w:r>
          </w:p>
        </w:tc>
        <w:tc>
          <w:tcPr>
            <w:tcW w:w="6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60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Tax (expense) benefit</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6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900" w:right="600" w:hanging="244"/>
        <w:spacing w:after="0" w:line="277" w:lineRule="auto"/>
        <w:tabs>
          <w:tab w:leader="none" w:pos="9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pension cost (see Note 7 for additional details).</w:t>
      </w:r>
    </w:p>
    <w:p>
      <w:pPr>
        <w:spacing w:after="0" w:line="279"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 A summary of the changes in redeemable noncontrolling interest recorded in the mezzanine section of the Condensed Consolidated Balance Sheet for the quarters and nine months ended September 30, 2013 and 2012 is provided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beginning of period</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currency translation, net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Dividends attributable to noncontrolling interest</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Purchase of subsidiary shares from</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Disposition of noncontrolling interest</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 in redemption value of put options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29"/>
        </w:trPr>
        <w:tc>
          <w:tcPr>
            <w:tcW w:w="40" w:type="dxa"/>
            <w:vAlign w:val="bottom"/>
          </w:tcPr>
          <w:p>
            <w:pPr>
              <w:spacing w:after="0"/>
              <w:rPr>
                <w:sz w:val="19"/>
                <w:szCs w:val="19"/>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w w:val="97"/>
              </w:rPr>
              <w:t>Redeemable noncontrolling interest reclassification to noncontrolling</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end of period</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28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Changes in noncontrolling interests that do not result in a change of control and where there is a difference between fair value and carrying value are accounted for as equity transactions. A summary of these changes in ownership interests in subsidiaries and the effect on shareowners’ equity for the quarters and nine months ended September 30, 2013 and 2012 is provided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2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Transfers to noncontrolling interests: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Decrease in common stock for purchase of subsidiary shares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2"/>
              </w:rPr>
              <w:t>Change from net income attributable to common shareowners and transfers</w:t>
            </w: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8"/>
                <w:szCs w:val="18"/>
                <w:color w:val="auto"/>
              </w:rPr>
              <w:t>4,222</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42"/>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to noncontrolling interests</w:t>
            </w:r>
          </w:p>
        </w:tc>
        <w:tc>
          <w:tcPr>
            <w:tcW w:w="3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Guarantees</w:t>
      </w:r>
    </w:p>
    <w:p>
      <w:pPr>
        <w:spacing w:after="0" w:line="229"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extend a variety of financial, market value and product performance guarantees to third parties. As disclosed in Note 2, on June 14, 2013 we completed the sale of substantially all operations of Rocketdyne to GenCorp Inc. Following the sale, certain guarantees of Rocketdyne's performance under existing contracts remain in place, which resulted in an increase in our performance guarantees of approximately $124 million, with no associated significant carrying amount of a liability as of September 30, 2013. There have been no other material changes to guarantees outstanding since December 31, 2012.</w:t>
      </w:r>
    </w:p>
    <w:p>
      <w:pPr>
        <w:spacing w:after="0" w:line="4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nine months ended September 30, 2013 and 2012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1,468</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September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The decrease reflected in “Other” during the nine months ended September 30, 2012 primarily reflects the impact of warranty reserves reclassified to Liabilities held for sale, as part of the Clipper disposition, partially offset by an increase in warranty reserves arising out of our acquisition of Goodrich. See Notes 1 and 2 for further discussion.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Contingent Liabilities</w:t>
      </w:r>
    </w:p>
    <w:p>
      <w:pPr>
        <w:spacing w:after="0" w:line="229" w:lineRule="exact"/>
        <w:rPr>
          <w:sz w:val="20"/>
          <w:szCs w:val="20"/>
          <w:color w:val="auto"/>
        </w:rPr>
      </w:pPr>
    </w:p>
    <w:p>
      <w:pPr>
        <w:jc w:val="both"/>
        <w:ind w:right="180" w:firstLine="432"/>
        <w:spacing w:after="0" w:line="277" w:lineRule="auto"/>
        <w:rPr>
          <w:sz w:val="20"/>
          <w:szCs w:val="20"/>
          <w:color w:val="auto"/>
        </w:rPr>
      </w:pPr>
      <w:r>
        <w:rPr>
          <w:rFonts w:ascii="Arial" w:cs="Arial" w:eastAsia="Arial" w:hAnsi="Arial"/>
          <w:sz w:val="18"/>
          <w:szCs w:val="18"/>
          <w:color w:val="auto"/>
        </w:rPr>
        <w:t>Summarized below are the matters previously described in Note 18 of the Notes to the Consolidated Financial Statements in our 2012 Annual Report, incorporated by reference in our 2012 Form 10-K, updated as applicable.</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U.S. and regulatory authorities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over our non-U.S. operations. We accrue for the costs of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conjunction with the completion of our acquisition of Goodrich on July 26, 2012, we recorded additional environmental reserves of $325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Note 1 for further discussion.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ind w:right="20"/>
        <w:spacing w:after="0" w:line="256" w:lineRule="auto"/>
        <w:rPr>
          <w:sz w:val="20"/>
          <w:szCs w:val="20"/>
          <w:color w:val="auto"/>
        </w:rPr>
      </w:pPr>
      <w:r>
        <w:rPr>
          <w:rFonts w:ascii="Arial" w:cs="Arial" w:eastAsia="Arial" w:hAnsi="Arial"/>
          <w:sz w:val="18"/>
          <w:szCs w:val="18"/>
          <w:b w:val="1"/>
          <w:bCs w:val="1"/>
          <w:color w:val="auto"/>
        </w:rPr>
        <w:t xml:space="preserve">Government. </w:t>
      </w:r>
      <w:r>
        <w:rPr>
          <w:rFonts w:ascii="Arial" w:cs="Arial" w:eastAsia="Arial" w:hAnsi="Arial"/>
          <w:sz w:val="18"/>
          <w:szCs w:val="18"/>
          <w:color w:val="auto"/>
        </w:rPr>
        <w:t>We are now, and believe that in light of the current U.S. Government contracting environment we will continue to be, the subject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92"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have settled some allegations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58"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As previously disclosed, the United States government sued us in 1999 in the United States District Court for the Southern District of Ohio, claiming that Pratt &amp; Whitney violated the civil False Claims Act and common law. The claims relate to the “Fighter Engine Competition” between Pratt &amp; Whitney's F100 engine and General Electric's F110 engine. The government alleged that it overpaid for F100 engines under contracts awarded by the U.S. Air Force in fiscal years 1985 through 1990 because Pratt &amp; Whitney inflated its estimated costs for some purchased parts and withheld data that would have revealed the overstatements. At trial, which ended in April, 2005, the government claimed Pratt &amp; Whitney's liability to be approximately $624 million. On August 1, 2008, the trial court held that the Air Force had not suffered any actual damages because Pratt &amp; Whitney had made significant price concessions after the alleged overstatements were made. However, the trial court judge found that Pratt &amp; Whitney violated the False Claims Act due to inaccurate statements contained in its 1983 initial engine pricing proposal. In the absence of actual damages, the trial court awarded the government the maximum civil penalty of approximately $7 million, or $10,000 for each of the 709 invoices Pratt &amp; Whitney submitted in 1989 and later under the contracts. In September 2008, both the government and UTC appealed the decision to the United States Court of Appeals for the Sixth Circuit. On November 18, 2010, the Sixth Circuit affirmed Pratt &amp; Whitney's liability under the False Claims Act, but remanded the case to the trial court for further proceedings on the issues of False Claims Act damages and common law liability and damages.</w:t>
      </w:r>
    </w:p>
    <w:p>
      <w:pPr>
        <w:spacing w:after="0" w:line="18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June 18, 2012, the trial court found that Pratt &amp; Whitney had breached obligations imposed by common law based on the same conduct with respect to which the court previously found liability under the False Claims Act. Under the common law claims, the U.S. Air Force is entitled to seek damages for events occurring before March 3, 1989, which are not recoverable under the False Claims Act.</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June 17, 2013, the trial court awarded the government approximately $473 million in damages and penalties, plus prejudgment interest in an amount to be determined. On July 1, 2013, the trial court, after determining the amount of prejudgment interest, entered judgment in favor of the government in the amount of approximately $664 million. The trial court also awarded postjudgment interest on the full amount of the judgment to accrue from July 2, 2013, at the federal variable interest rate determined pursuant to 28 U.S.C. § 1961. The judgment included four different components of damages: (1) common law damages of approximately $109 million; (2) prejudgment interest on common law damages of approximately $191 million; (3) False Claims Act treble damages of approximately $357 million; and (4) penalties of approximately $7 million. The penalty component of the judgment previously was affirmed by the United States Court of Appeals in 2010.</w:t>
      </w:r>
    </w:p>
    <w:p>
      <w:pPr>
        <w:spacing w:after="0" w:line="189"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strongly disagree with the trial court's analysis and conclusions. We filed an appeal from the judgment to the United States Court of Appeals for the Sixth Circuit on August 26, 2013. Based on our analysis, we continue to believe that there is no basis for any common law liability for the inaccurate statements. We also believe that the government suffered no actual damages as a result of the inaccurate statements made in 1983 and, therefore, there is no basis in fact or law for the award of common law damages, prejudgment interest or False Claims Act treble damages. If, contrary to our expectations, all or any portion of the judgment should ultimately be affirmed, we estimate a range of possible loss from approximately $24 million to $657 million in excess of amounts previously accrued, plus postjudgment interest. The outcome of this matter could result in a material adverse effect on our results of operations in the period in which a liability would be recognized and cash flows for the period in which damages would be paid.</w:t>
      </w:r>
    </w:p>
    <w:p>
      <w:pPr>
        <w:spacing w:after="0" w:line="16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As previously disclosed, in December 2008, the Department of Defense (DOD) issued a contract claim against Sikorsky to recover overpayments the DOD alleges that it made to Sikorsky since January 2003 in connection with cost accounting changes approved by the DOD and implemented by Sikorsky in 1999 and 2006. These changes relate to the calculation of material overhead rates in government contracts. The DOD claimed that Sikorsky's liability was approximately $96 million (including interest through September 30, 2013). We believed this claim was without merit and Sikorsky filed an appeal in December 2009 with the U.S. Court of Federal Claims. Trial in the matter concluded in January 2013, and on March 22, 2013,</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29" w:right="259" w:bottom="1440" w:gutter="0" w:footer="0" w:header="0"/>
        </w:sectPr>
      </w:pPr>
    </w:p>
    <w:bookmarkStart w:id="30" w:name="page31"/>
    <w:bookmarkEnd w:id="30"/>
    <w:p>
      <w:pPr>
        <w:ind w:right="260"/>
        <w:spacing w:after="0" w:line="312" w:lineRule="auto"/>
        <w:rPr>
          <w:sz w:val="20"/>
          <w:szCs w:val="20"/>
          <w:color w:val="auto"/>
        </w:rPr>
      </w:pPr>
      <w:r>
        <w:rPr>
          <w:rFonts w:ascii="Arial" w:cs="Arial" w:eastAsia="Arial" w:hAnsi="Arial"/>
          <w:sz w:val="16"/>
          <w:szCs w:val="16"/>
          <w:color w:val="auto"/>
        </w:rPr>
        <w:t>the U.S. Court of Federal Claims issued a written decision in favor of Sikorsky determining that the DOD had failed to prove its claims because Sikorsky's calculation of material overhead complied with the cost accounting standards. While the DOD has appealed this decision, we do not believe the ultimate resolution of this matter will have a material adverse effect on our competitive position, results of operations, cash flows or financial condition.</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 As previously disclosed, UTC is involved in litigation in Germany concerning €204 million (approximately $275 million) of tax benefits that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claimed related to a 1998 reorganization of the corporate structure of Otis operations in Germany. A portion of these tax benefits were disallowed by the local German Tax Office on July 5, 2012, as a result of the audit of tax years 1999 to 2000. The legal and factual issues relating to the denial of the tax benefits center on the interpretation and application of a German tax law. On August 3, 2012, the Company filed suit in the local German tax court and intends to litigate vigorously the matter to conclusion. We do not believe the resolution of this matter will have a material adverse effect on our results of operations, cash flows or financial condition.</w:t>
      </w:r>
    </w:p>
    <w:p>
      <w:pPr>
        <w:spacing w:after="0" w:line="19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UTC has also been involved in administrative review proceedings with the French Revenue Authority concerning €237 million (approximately $320 million) related to certain deductions claimed in France for tax years 2008 through 2011 that the French Revenue Authority has proposed to disallow. This is a recurring issue and it is expected that similar challenges will be raised in subsequent tax years until the issue is resolved. Resolution discussions with the French Revenue Authority on this matter have been unsuccessful to date and UTC may be required to pursue the defense of the issue through litigation, which could be commenced as early as the fourth quarter of 2013. UTC intends to assert a vigorous defense and believes it should prevail on the issue. Accordingly, no accrual has been made for this matter.</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6 Income Taxes” of our Condensed Consolidated Financial Statements for further discussion of these tax matters.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extend performance and operating cost guarantees beyond our normal warranty and service policies for extended periods on some of our products.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have accrued our estimate of the liability that may result under these guarantees and for service costs that are probable and can be reasonably estimated.</w:t>
      </w:r>
    </w:p>
    <w:p>
      <w:pPr>
        <w:spacing w:after="0" w:line="234"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Like many other industrial companies in recent years, we or our subsidiaries are named as a defendant in lawsuits alleging personal injury as a result of exposure to asbestos integrated into certain of our products or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covered by insurance or other forms of indemnity or have been dismissed without payment. The remainder of the closed cases have been resolved for amounts that are not material individually or in the aggregate. While insurance coverage litigation is pending against a number of Goodrich insurers, based on information currently available we do not believe that resolution of asbestos-related matters will have a material adverse effect upon our competitive position, results of operations, cash flows or financial condition.</w:t>
      </w:r>
    </w:p>
    <w:p>
      <w:pPr>
        <w:spacing w:after="0" w:line="16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are involved in a number of other legal proceedings, investigations and other contingency matters, including government audit matters, environmental investigatory, remediation, operating and maintenance costs, performance guarantees, self-insurance programs and matters arising out of the normal course of business. We are also subject to a number of routine lawsuits, investigations and claims (some of which involve substantial amounts) arising out of the ordinary course of our business. Many of these proceedings are at preliminary stages, and many of these cases seek an indeterminate amount of damages. We regularly evaluate the status of legal proceedings in which we are involved, to assess whether a loss is probable and reasonably estimable in light of the facts and circumstances known to us at a particular point in time or there is a reasonable possibility that a loss or additional loss may have been incurred and determine if accruals and related disclosures are appropriate. The Company has established reserves for several hundred of its legal proceedings and other matters. We accrue contingencies based upon a range of possible outcomes. If no amount within this range is a better estimate than any other, then we accrue the minimum amount. With respect to any additional losses that may be incurred in excess of those accrued, either they are considered not material or we do not believe that a range of reasonably possible losses (defined by the relevant accounting literature to include all potential losses other than those deemed “remote”) can be determined. We do not believe that these matters will have a material adverse effect upon our competitive position, results of operations, cash flows or financial condition.</w:t>
      </w:r>
    </w:p>
    <w:p>
      <w:pPr>
        <w:spacing w:after="0" w:line="18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All forward-looking statements concerning the possible or anticipated outcome of environmental, investigatory, litigation proceedings and other contingency matters involve risks and uncertainties that could cause actual results to differ materially from those expressed or implied in the forward-looking statements. For further information as to these risks and uncertainties, see “Cautionary Note Concerning Factors That May Affect Future Results” and Part II, Item 1A, “Risk Factors” in this Form 10-Q.</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33"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229"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Our operations are classified into five principal segments: Otis, UTC Climate, Controls &amp; Security, Pratt &amp; Whitney, UTC Aerospace Systems and Sikorsky. The segments are generally based on the management structure of the businesses and the grouping of similar operating companies, where each management organization has general operating autonomy over diversified products and services. On September 23, 2013, we announced the formation of UTC Building and Industrial Systems, a new organizational structure consisting of Otis and UTC Climate, Controls &amp; Security. This new organizational structure is intended to enhance our ability to deliver more integrated solutions to our customers and accelerate innovation in smart building technologies and sustainable designs. Otis and UTC Climate, Controls &amp; Security each will continue to report their financial and operational results as separate segments, which is consistent with how we will allocate resources and measure the financial performance of these businesses. Subsequent to the completion of our acquisition of Goodrich on July 26, 2012, the Goodrich businesses were combined with the legacy Hamilton Sundstrand businesses to form the new UTC Aerospace Systems segment. Effective July 1, 2012, the Auxiliary Power Unit (APU) business of UTC Aerospace Systems was transferred to the Pratt &amp; Whitney business segment. The APU business designs and manufactures a variety of products for commercial and military aircraft. Annual sales for the APU business are approximately $600 million. The reclassification has been made prospectively; prior year segment results have not been restated for the transfer of the business.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quarters ended September 30, 2013 and 2012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4,237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4,259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7"/>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15,664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nine months ended September 30, 2013 and 2012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12,617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12,943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9,896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5,160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7"/>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46,421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41,642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7,192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 8 to the Condensed Consolidated Financial Statements for a discussion of restructuring costs included in segment operating results.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Accounting Pronouncements</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March 2013, the FASB issued ASU No. 2013-05, "Parent's Accounting for the Cumulative Translation Adjustment upon Derecognition of Certain Subsidiaries or Group of Assets within a Foreign Entity or of an Investment in a Foreign Entity." This ASU is intended to eliminate diversity in practice on the release of cumulative translation adjustment into net income when a parent either sells a part or all of its investment in a foreign entity or no longer holds a controlling financial interest. In addition, the amendments in this ASU resolve the diversity in practice for the treatment of business combinations achieved in stages (sometimes also referred to as step acquisitions) involving a foreign entity. The provisions of this ASU are effective for interim and annual periods beginning after December 15, 2013 and must be applied prospectively. This ASU is not expected to have a material impact on our financial statements or disclosures.</w:t>
      </w:r>
    </w:p>
    <w:p>
      <w:pPr>
        <w:spacing w:after="0" w:line="81"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In July 2013, the FASB issued ASU No. 2013-10, "Inclusion of the Fed Funds Effective Swap Rate (or Overnight Index Swap Rate) as a Benchmark Interest Rate for Hedge Accounting Purposes." This ASU is intended to permit the Fed Funds Effective Swap Rate to be used as a U.S. benchmark interest rate for hedge accounting purposes under FASB ASC Topic 815, "Derivatives and Hedging", in addition to UST and LIBOR, as well as to remove the restriction on using different benchmark rates for similar hedges. The provisions of this ASU are effective for new or redesignated hedging relationships entered into on or after July 17, 2013. This ASU is not expected to have a material effect on our financial statements or disclosures.</w:t>
      </w:r>
    </w:p>
    <w:p>
      <w:pPr>
        <w:spacing w:after="0" w:line="15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July 2013, the FASB issued ASU No. 2013-11, "Presentation of an Unrecognized Tax Benefit When a Net Operating Loss Carryforward, a Similar Tax Loss, or a Tax Credit Carryforward Exists." This ASU is intended to provide guidance and reduce diversity in practice in the presentation of an unrecognized tax benefit when a tax loss or credit carryforward exists. The provisions of this ASU are effective for periods beginning after December 15, 2013 and must be applied prospectively for unrecognized tax benefits that exist at the effective date. Early adoption is permitted. There are no material effects on, or changes to, our financial statements or disclosures as a result of this ASU.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and nine months ended September 30, 2013 and 2012, PricewaterhouseCoopers LLP (PricewaterhouseCoopers) reported that it has applied limited procedures in accordance with professional standards for a review of such information. However, its report dated October 25, 2013,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right="3460" w:firstLine="3453"/>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as of September 30, 2013 and the related condensed consolidated statements of comprehensive income for the three-month and nine-month periods ended September 30, 2013 and 2012 and the condensed consolidated statement of cash flows for the nine-month periods ended September 30, 2013 and 2012. This interim financial information is the responsibility of the Corporation's management.</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previously audited, in accordance with the standards of the Public Company Accounting Oversight Board (United States), the consolidated balance sheet as of December 31, 2012, and the related consolidated statements of operations, of comprehensive income, of cash flows, and of changes in equity for the year then ended (not presented herein), and in our report dated February 7, 2013, we expressed an unqualified opinion on those consolidated financial statements. In our opinion, the information set forth in the accompanying condensed consolidated balance sheet as of December 31, 2012,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25, 2013</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are a global provider of high technology products and services to the building systems and aerospace industries. Our operations are classified into five principal business segments: Otis, UTC Climate, Controls &amp; Security, Pratt &amp; Whitney, UTC Aerospace Systems and Sikorsky. Otis and UTC Climate, Controls &amp; Security are referred to as the “commercial businesses,” while Pratt &amp; Whitney, UTC Aerospace Systems and Sikorsky are collectively referred to as the “aerospace businesses.” On September 23, 2013, we announced the formation of UTC Building and Industrial Systems, a new organizational structure consisting of Otis and UTC Climate, Controls &amp; Security. This new organizational structure will enhance our ability to deliver more integrated solutions to our customers and accelerate innovation in smart building technologies and sustainable designs. Otis and UTC Climate, Controls &amp; Security each will continue to report their financial and operational results as separate segments, which is consistent with how we will allocate resources and measure the financial performance of these businesses.</w:t>
      </w:r>
    </w:p>
    <w:p>
      <w:pPr>
        <w:spacing w:after="0" w:line="179"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On July 26, 2012, UTC acquired Goodrich Corporation (Goodrich) pursuant to a merger agreement dated September 21, 2011. As a result of the acquisition, Goodrich became a wholly-owned subsidiary of UTC. The acquired Goodrich business and the legacy Hamilton Sundstrand business have been combined to form a new segment named UTC Aerospace Systems. The results of the acquired Goodrich business have been included in UTC’s financial statements only for periods subsequent to the completion of the acquisition. The acquisition resulted in the inclusion of Goodrich’s assets and liabilities as of the acquisition date at their respective fair values. Accordingly, the acquisition materially affected UTC’s results of operations and financial position.</w:t>
      </w:r>
    </w:p>
    <w:p>
      <w:pPr>
        <w:spacing w:after="0" w:line="15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Certain reclassifications have been made to the prior year amounts to conform to the current year presentation. The current status of significant factors impacting our business environment in 2013 is discussed below. For additional discussion, refer to the “Business Overview” section in Management’s Discussion and Analysis of Financial Condition and Results of Operations in our 2012 Annual Report, which is incorporated by reference in our 2012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aftermarket businesses, and longer cycles at Otis and in our aerospace OEM businesses. Our customers include companies in the private sector and governments, and our businesses reflect an extensive geographic diversification that has evolved with the continued globalization of world economies.</w:t>
      </w:r>
    </w:p>
    <w:p>
      <w:pPr>
        <w:spacing w:after="0" w:line="189"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Growth in emerging markets continues to be led by China where our sales for the quarter grew 11% over the prior year, while European economic conditions continue to stagnate. During the first nine months of 2013, organic sales in Europe declined 3% across our commercial businesses. The European market, together with U.S. Government defense spending, represent over 35% of UTC sales. The economic environment in North America has continued to rebound on improving consumer sentiment, lower unemployment rates, an improving housing market, and increasing commercial construction. However, economic uncertainty persists in the U.S., in part as a result of the continued political impasse in Washington D.C, including the sequestration, government shut-down and Congressional fight over the debt ceiling.</w:t>
      </w:r>
    </w:p>
    <w:p>
      <w:pPr>
        <w:spacing w:after="0" w:line="19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U.S. Government deficit reduction measures continue to pressure U.S. Department of Defense spending and adversely affect our military businesses. Total sales to the U.S. Government were $2.4 billion and $2.6 billion, or 16% and 17% of total UTC sales in the third quarter of 2013 and 2012, respectively. Our participation in long-term production and development programs for the U.S. Government has, and is expected to contribute positively to our results in 2013. In July 2012, the U.S. Government and Sikorsky signed a five-year multiservice contract (Multi-year 8) for approximately 650 H-60 helicopters. Actual production quantities will be determined year-by-year over the life of the program based on funding allocations set by Congress and Pentagon acquisition priorities. Sikorsky's commercial business has benefited from increases in off-shore oil platform activity and those benefits are projected to continue throughout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Disposition Activity</w:t>
      </w:r>
    </w:p>
    <w:p>
      <w:pPr>
        <w:spacing w:after="0" w:line="225"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In 2012, the Board of Directors of the Company approved a plan for the divestiture of a number of non-core businesses. Cash generated from these divestitures has been used to repay debt incurred to finance the acquisition of Goodrich. The legacy Hamilton Sundstrand Industrial businesses, as well as Clipper Windpower (Clipper), Pratt &amp; Whitney Rocketdyne (Rocketdyne) and UTC Power all met the "held-for-sale" criteria in 2012. The results of operations, including the net realized</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gain and losses on disposition, and the related cash flows which result from these non-core businesses have been reclassified to Discontinued Operations in our Condensed Consolidated Statements of Comprehensive Income and Cash Flows. The dispositions of Clipper and the legacy Hamilton Sundstrand Industrial businesses were completed in 2012. On February 12, 2013, we completed the disposition of UTC Power to ClearEdge Power. The UTC Power disposition resulted in payments by UTC totaling $48 million, which included capitalization of the business prior to the sale and interim funding of operations as the buyer took control of a loss generating business. We have no continuing involvement with the UTC Power business.</w:t>
      </w:r>
    </w:p>
    <w:p>
      <w:pPr>
        <w:spacing w:after="0" w:line="15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On June 14, 2013, we completed the sale of substantially all operations of Rocketdyne to GenCorp Inc. for $411 million. The sale generated a pre-tax loss of approximately $7 million ($3 million after tax) through September 30, 2013, which has been included in discontinued operations in the accompanying Condensed Consolidated Statement of Comprehensive Income. On May 17, 2013, we completed the sale of the Pratt &amp; Whitney Power Systems business to Mitsubishi Heavy Industries (MHI) and entered into a long-term engineering and manufacturing agreement with MHI. The sale generated a pre-tax gain of approximately $193 million ($132 million after tax). Cash received in connection with the sale was $432 million, and excludes contingent consideration valued at approximately $200 million. Pratt &amp; Whitney Power Systems was not reclassified to Discontinued Operations due to our level of continuing involvement in the business post-sale.</w:t>
      </w:r>
    </w:p>
    <w:p>
      <w:pPr>
        <w:spacing w:after="0" w:line="178"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In connection with regulatory approval of the Goodrich acquisition, regulatory authorities required UTC to dispose of the Goodrich electric power systems and the pumps and engine controls businesses. Pursuant to these regulatory obligations, these businesses had been held separately from UTC's and Goodrich's ongoing businesses since the acquisition of Goodrich by UTC. On March 18, 2013, we completed the sale of the Goodrich pumps and engine controls business to Triumph Group, Inc., and on March 26, 2013, we completed the sale of the Goodrich electric power systems business to Safran S.A. Combined proceeds from the sales of the two businesses were approximately $600 million.</w:t>
      </w:r>
    </w:p>
    <w:p>
      <w:pPr>
        <w:spacing w:after="0" w:line="173"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As discussed below in “Results of Operations,” our results include the impact from non-recurring items such as the beneficial impact of gains from business divestiture activities, including those related to the ongoing portfolio transformation at UTC Climate, Controls &amp; Security.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On February 7, 2013, we completed the acquisition of Grupo Ascensores Enor, S.A. (Enor), a privately held company headquartered in Spain with operations in Spain and Portugal, which designs, manufactures, installs and services elevators. Enor's 2012 sales were approximately $50 million. Under the terms of the transaction, Zardoya Otis, S.A. (ZOSA), a non-wholly owned subsidiary of the Company, exchanged publicly traded shares of ZOSA with a fair value of approximately $240 million as of the transaction completion date for all of the shares of Enor.</w:t>
      </w:r>
    </w:p>
    <w:p>
      <w:pPr>
        <w:spacing w:after="0" w:line="178"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During the nine months ended September 30, 2013, our cash investment in business acquisitions was approximately $120 million and consisted of a number of additional small acquisitions primarily in our commercial businesses. We expect cash investment in businesses of approximately $250 million in 2013. However, actual acquisition spending may vary depending upon the timing, availability and value of acquisition opportunities.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400" w:firstLine="432"/>
        <w:spacing w:after="0" w:line="286" w:lineRule="auto"/>
        <w:rPr>
          <w:sz w:val="20"/>
          <w:szCs w:val="20"/>
          <w:color w:val="auto"/>
        </w:rPr>
      </w:pPr>
      <w:r>
        <w:rPr>
          <w:rFonts w:ascii="Arial" w:cs="Arial" w:eastAsia="Arial" w:hAnsi="Arial"/>
          <w:sz w:val="17"/>
          <w:szCs w:val="17"/>
          <w:color w:val="auto"/>
        </w:rPr>
        <w:t>Commercial airline financial distress and consolidation, global economic conditions, changes in raw material and commodity prices, interest rates, foreign currency exchange rates, energy costs, and the impact from natural disasters and weather conditions create uncertainties that could impact our earnings outlook for the remainder of 2013. See Part II, Item 1A, “Risk Factors” in this Form 10-Q for further discussion.</w:t>
      </w:r>
    </w:p>
    <w:p>
      <w:pPr>
        <w:spacing w:after="0" w:line="166"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following activities are disclosed as required by Section 13(r)(1)(D)(iii) of the Securities Exchange Act of 1934, as amended (Exchange Act), as transactions or dealings with the government of Iran that have not been specifically authorized by a U.S. federal department or agency:</w:t>
      </w:r>
    </w:p>
    <w:p>
      <w:pPr>
        <w:spacing w:after="0" w:line="14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 2012 and 2013, non-U.S. affiliates of Otis provided elevator maintenance services at the residence of the Iranian Ambassador in Athens, Greece, pursuant to a contract executed in September 2012; the London branch office of Bank Sepah (an Iranian bank), pursuant to a contract executed in 2005; and the London branch office of the Persia International Bank (an Iranian bank), pursuant to a contract executed in 2008. Both banks are designated by the U.S. Department of the Treasury’s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Office of Foreign Assets Control on the Specially Designated Nationals and Blocked Persons List pursuant to Executive Order 13382. In 2012, the aggregate revenues and net profits attributable to these three contracts were approximately $21 thousand and $16 thousand, respectively. In 2013, the aggregate revenues and net profits attributable to these three contracts were approximately $20 thousand and $15 thousand, respectively.</w:t>
      </w:r>
    </w:p>
    <w:p>
      <w:pPr>
        <w:spacing w:after="0" w:line="166"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provision of elevator maintenance services by non-U.S. affiliates of Otis was permissible under applicable law when the associated contracts were executed. However, the services continued after the President issued Executive Order 13628 on October 9, 2012, which implemented Section 218 of the Iran Threat Reduction and Syria Human Rights Act (ITRA) by prohibiting any entity owned or controlled by a U.S. person and established or maintained outside the U.S. from knowingly engaging in any transaction, directly or indirectly, with the Government of Iran. Otis has filed appropriate disclosures with the Office of Foreign Assets Control. The non-U.S. Otis affiliates have ceased performance under these contracts and do not intend to continue or enter into any new Iran-related activity.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2012 Annual Report, incorporated by reference in our 2012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nine months ended September 30, 2013.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15,462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15,042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45,867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41,265</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factors contributing to the total percentage change year-over-year in total net sales for the quarter and nine months ended September 30, 2013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900" w:type="dxa"/>
            <w:vAlign w:val="bottom"/>
            <w:gridSpan w:val="2"/>
          </w:tcPr>
          <w:p>
            <w:pPr>
              <w:ind w:left="60"/>
              <w:spacing w:after="0"/>
              <w:rPr>
                <w:sz w:val="20"/>
                <w:szCs w:val="20"/>
                <w:color w:val="auto"/>
              </w:rPr>
            </w:pPr>
            <w:r>
              <w:rPr>
                <w:rFonts w:ascii="Arial" w:cs="Arial" w:eastAsia="Arial" w:hAnsi="Arial"/>
                <w:sz w:val="14"/>
                <w:szCs w:val="14"/>
                <w:b w:val="1"/>
                <w:bCs w:val="1"/>
                <w:color w:val="auto"/>
              </w:rPr>
              <w:t>Quarter Ended September</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7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30, 2013</w:t>
            </w:r>
          </w:p>
        </w:tc>
        <w:tc>
          <w:tcPr>
            <w:tcW w:w="114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September 30, 2013</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w w:val="99"/>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90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760" w:type="dxa"/>
            <w:vAlign w:val="bottom"/>
          </w:tcPr>
          <w:p>
            <w:pPr>
              <w:ind w:left="140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w w:val="94"/>
              </w:rPr>
              <w:t>11%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w:t>
            </w:r>
          </w:p>
        </w:tc>
        <w:tc>
          <w:tcPr>
            <w:tcW w:w="290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760" w:type="dxa"/>
            <w:vAlign w:val="bottom"/>
          </w:tcPr>
          <w:p>
            <w:pPr>
              <w:ind w:left="140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w w:val="94"/>
              </w:rPr>
              <w:t>11%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During the third quarter of 2013, organic sales growth at Otis (4%), UTC Climate, Controls &amp; Security (2%) and UTC Aerospace Systems (2%), was offset by organic sales contraction at Sikorsky (7%). Organic sales growth at Otis was led by higher new equipment sales volume in the U.S., China, Russia and Brazil, while the organic sales decline at Sikorsky was driven by lower military helicopter and aftermarket sales.</w:t>
      </w:r>
    </w:p>
    <w:p>
      <w:pPr>
        <w:spacing w:after="0" w:line="166"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During the nine months ended September 30, 2013, Otis experienced organic sales growth of 3% driven by higher new equipment sales, while UTC Aerospace Systems realized organic sales growth of 2% on higher commercial aerospace OEM volume. These increases were offset by a contraction in Sikorsky organic sales (6%) driven by lower aircraft and aftermarket sales to the U.S. Government, and organic sales contraction at Pratt &amp; Whitney (3%) driven by lower military engine volume.</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sales increase from acquisitions for the quarter ended September 30, 2013 was primarily a result of the acquisition of Goodrich, partially offset by the ongoing portfolio transformation initiatives at UTC Climate, Controls &amp; Security. The sales increase from acquisitions for the nine months ended September 30, 2013 was primarily a result of the acquisitions of Goodrich and IAE, partially offset by the ongoing portfolio transformation initiatives at UTC Climate, Controls &amp; Security.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8,316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8,278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24,876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21,724</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product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8,143</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service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11,020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11,003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33,037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29,867</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and nine months ended September 30, 2013 in total cost of products and services sold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920" w:type="dxa"/>
            <w:vAlign w:val="bottom"/>
            <w:gridSpan w:val="2"/>
          </w:tcPr>
          <w:p>
            <w:pPr>
              <w:ind w:left="80"/>
              <w:spacing w:after="0"/>
              <w:rPr>
                <w:sz w:val="20"/>
                <w:szCs w:val="20"/>
                <w:color w:val="auto"/>
              </w:rPr>
            </w:pPr>
            <w:r>
              <w:rPr>
                <w:rFonts w:ascii="Arial" w:cs="Arial" w:eastAsia="Arial" w:hAnsi="Arial"/>
                <w:sz w:val="14"/>
                <w:szCs w:val="14"/>
                <w:b w:val="1"/>
                <w:bCs w:val="1"/>
                <w:color w:val="auto"/>
              </w:rPr>
              <w:t>Quarter Ended September</w:t>
            </w:r>
          </w:p>
        </w:tc>
        <w:tc>
          <w:tcPr>
            <w:tcW w:w="1820" w:type="dxa"/>
            <w:vAlign w:val="bottom"/>
          </w:tcPr>
          <w:p>
            <w:pPr>
              <w:jc w:val="right"/>
              <w:ind w:right="2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68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30, 2013</w:t>
            </w:r>
          </w:p>
        </w:tc>
        <w:tc>
          <w:tcPr>
            <w:tcW w:w="1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September 30, 2013</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920" w:type="dxa"/>
            <w:vAlign w:val="bottom"/>
            <w:gridSpan w:val="2"/>
          </w:tcPr>
          <w:p>
            <w:pPr>
              <w:jc w:val="right"/>
              <w:ind w:right="136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2920" w:type="dxa"/>
            <w:vAlign w:val="bottom"/>
            <w:gridSpan w:val="2"/>
          </w:tcPr>
          <w:p>
            <w:pPr>
              <w:jc w:val="right"/>
              <w:ind w:right="136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920" w:type="dxa"/>
            <w:vAlign w:val="bottom"/>
            <w:tcBorders>
              <w:bottom w:val="single" w:sz="8" w:color="CCEEFF"/>
            </w:tcBorders>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120" w:type="dxa"/>
            <w:vAlign w:val="bottom"/>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66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66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organic decrease in total cost of products and services sold (2%) in the third quarter of 2013 was driven by the absence of amortization of inventory fair-value adjustments related to the Goodrich acquisition that were recorded in 2012 within the UTC Aerospace Systems segment. The increase in “Acquisitions and divestitures, net” (2%) is largely attributable to the acquisition of Goodrich, partially offset by the disposition of the Pratt &amp; Whitney Power Systems business.</w:t>
      </w:r>
    </w:p>
    <w:p>
      <w:pPr>
        <w:spacing w:after="0" w:line="18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organic decrease in total cost of products and services sold (1%) in the nine months ended September 30, 2013 is a result of the absence of inventory fair-value adjustment amortization noted above. The increase in “Acquisitions and divestitures, net” (12%) is attributable to the acquisitions of Goodrich and IAE, partially offset by the ongoing portfolio transformation initiatives at UTC Climate, Controls &amp; Security and the disposition of the Pratt &amp; Whitney Power Systems business.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11,398</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w:t>
            </w:r>
          </w:p>
        </w:tc>
      </w:tr>
    </w:tbl>
    <w:p>
      <w:pPr>
        <w:spacing w:after="0" w:line="12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180 basis point increase in gross margin as a percentage of sales for the third quarter of 2013 is due to the absence of amortization of an inventory fair-value adjustment related to the Goodrich acquisition that was recorded in 2012 (100 basis points) favorable military contract performance at Pratt &amp; Whitney, the favorable gross margin impact of higher commercial spares sales at Pratt &amp; Whitney and the benefit of increased productivity and restructuring savings at UTC Climate, Controls &amp; Security.</w:t>
      </w:r>
    </w:p>
    <w:p>
      <w:pPr>
        <w:spacing w:after="0" w:line="18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40 basis point increase in gross margin as a percentage of sales for the first nine months of 2013 is largely due to the absence of amortization of inventory fair-value adjustment related to the Goodrich acquisition that was recorded in 2012 (30 basis points) and the benefit of increased productivity and restructuring savings at UTC Climate, Controls &amp; Security.</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9"/>
                <w:szCs w:val="19"/>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1,871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1,659</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1,607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1,146</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(7%) in the third quarter of 2013 is primarily related to the acquisition of Goodrich. Customer-funded research and development increased (1%) due to higher customer-funded spending at Pratt &amp; Whitney on U.S. military programs (11%), offset by lower customer-funded spending at UTC Aerospace Systems on space programs and within U.S. Government programs at Sikorsky.</w:t>
      </w:r>
    </w:p>
    <w:p>
      <w:pPr>
        <w:spacing w:after="0" w:line="15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year-over-year increase in company-funded research and development (13%) in the first nine months of 2013 is primarily related to the acquisition of Goodrich (17%), partially offset by lower research and development spending at Pratt &amp; Whitney related to the development of multiple geared turbofan platforms (3%). The increase in customer-funded research and development (40%) is due to the acquisition of Goodrich (27%) and at Pratt &amp; Whitney to military programs (12%).</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expect company-funded research and development for the full year 2013 to increase approximately $200 million, as compared with 2012.</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4,657</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r>
    </w:tbl>
    <w:p>
      <w:pPr>
        <w:spacing w:after="0" w:line="229"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Selling, general and administrative expenses increased 1% in the third quarter of 2013 due to the impact of acquisitions, net of divestitures, completed over the preceding twelve months (1%) and higher restructuring costs (1%), partially offset by savings from previous restructuring actions.</w:t>
      </w:r>
    </w:p>
    <w:p>
      <w:pPr>
        <w:spacing w:after="0" w:line="14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Selling, general and administrative expenses increased 7% in the first nine months of 2013 due primarily to the impact of acquisitions, net of divestitures, completed over the preceding twelve months. Higher pension and export compliance costs (combined 1%) were largely offset by savings from previous restructuring actions. The 40 basis point year-over-year decrease as a percentage of sales reflects higher sales volume as a result of the Goodrich acquisition and the benefits from previous restructuring actions.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jc w:val="right"/>
              <w:ind w:right="2"/>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211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851</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Other income, net includes equity earnings in unconsolidated entities, royalty income, foreign exchange gains and losses as well as other ongoing and non-recurring items. The year-over-year decrease in other income, net in the third quarter of 2013 (11%) is a result of the charge to adjust the fair value of a Pratt &amp; Whitney joint venture investment (12%) and the absence of gains recognized in the third quarter of 2012 including the fair value re-measurement of the shares held by the Company prior to the acquisition of Goodrich (16%) and the effective settlement of a pre-existing contractual dispute in connection with the acquisition of Goodrich (22%). These decreases were partially offset by licensing income recognized in the third quarter of 2013 (10%), net gains recognized on miscellaneous asset sales (11%) and normal recurring operational activity as disclosed above.</w:t>
      </w:r>
    </w:p>
    <w:p>
      <w:pPr>
        <w:spacing w:after="0" w:line="16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year-over-year increase in other income, net in the first nine months of 2013 (8%) is a result of a gain on the sale of Pratt &amp; Whitney Power Systems (23%), the benefit of a settlement with an engine program partner (5%), higher licensing income (3%) and net gains recognized on miscellaneous asset sales (5%). These results were partially offset by a charge to adjust the fair value of a Pratt &amp; Whitney joint venture investment (3%); the absence of gains recorded in the third quarter of 2012, including a fair value re-measurement of the shares of Goodrich held by the Company prior to the acquisition of Goodrich (4%) and a gain as a result of the effective settlement of a pre-existing contractual dispute in connection with the acquisition of Goodrich (5%); and a decline in net gains related to the ongoing UTC Climate, Controls &amp; Security portfolio transformation (20%). The remaining increase in other income, net is attributable to normal recurring operational activity as disclosed above.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Average interest expense rate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2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decrease in interest expense in the third quarter of 2013 is a result of lower average debt balances as a result of debt repayments made since September 30, 2012. The decrease in interest income in the third quarter of 2013 reflects the absence of $25 million favorable pre-tax interest adjustments related to the resolution of disputes with the Appeals Division of the IRS for the Company's 2004 - 2005 tax years, which were recognized in the third quarter of 2012.</w:t>
      </w:r>
    </w:p>
    <w:p>
      <w:pPr>
        <w:spacing w:after="0" w:line="1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increase in interest expense in the first nine months of 2013 is a result of higher average debt balances associated with the financing of our acquisition of Goodrich. The decrease in interest income in the first nine months of 2013 reflects the absence of approximately $40 million of favorable pre-tax interest adjustments related to the conclusion of the IRS's examination of our tax returns for the years 2006 to 2008 and resolution of disputes with the Appeals Division of the IRS for the Company's 2004 - 2005 tax years, which were recorded in 2012. This was partially offset by $36 million of favorable pre-tax interest adjustments, which were recorded in 2013, related to settlements for the Company's tax years prior to 2006, as well as the conclusion of certain IRS examinations of the 2009 and 2010 tax years.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4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3"/>
              </w:rPr>
              <w:t>Quarter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320" w:type="dxa"/>
            <w:vAlign w:val="bottom"/>
            <w:gridSpan w:val="2"/>
          </w:tcPr>
          <w:p>
            <w:pPr>
              <w:ind w:left="6000"/>
              <w:spacing w:after="0"/>
              <w:rPr>
                <w:sz w:val="20"/>
                <w:szCs w:val="20"/>
                <w:color w:val="auto"/>
              </w:rPr>
            </w:pPr>
            <w:r>
              <w:rPr>
                <w:rFonts w:ascii="Arial" w:cs="Arial" w:eastAsia="Arial" w:hAnsi="Arial"/>
                <w:sz w:val="14"/>
                <w:szCs w:val="14"/>
                <w:b w:val="1"/>
                <w:bCs w:val="1"/>
                <w:color w:val="auto"/>
                <w:w w:val="96"/>
              </w:rPr>
              <w:t>2013</w:t>
            </w:r>
          </w:p>
        </w:tc>
        <w:tc>
          <w:tcPr>
            <w:tcW w:w="15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420" w:type="dxa"/>
            <w:vAlign w:val="bottom"/>
          </w:tcPr>
          <w:p>
            <w:pPr>
              <w:jc w:val="right"/>
              <w:ind w:right="479"/>
              <w:spacing w:after="0"/>
              <w:rPr>
                <w:sz w:val="20"/>
                <w:szCs w:val="20"/>
                <w:color w:val="auto"/>
              </w:rPr>
            </w:pPr>
            <w:r>
              <w:rPr>
                <w:rFonts w:ascii="Arial" w:cs="Arial" w:eastAsia="Arial" w:hAnsi="Arial"/>
                <w:sz w:val="14"/>
                <w:szCs w:val="14"/>
                <w:b w:val="1"/>
                <w:bCs w:val="1"/>
                <w:color w:val="auto"/>
              </w:rPr>
              <w:t>2012</w:t>
            </w:r>
          </w:p>
        </w:tc>
      </w:tr>
      <w:tr>
        <w:trPr>
          <w:trHeight w:val="243"/>
        </w:trPr>
        <w:tc>
          <w:tcPr>
            <w:tcW w:w="5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8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28.7%</w:t>
            </w: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26.6%</w:t>
            </w:r>
          </w:p>
        </w:tc>
        <w:tc>
          <w:tcPr>
            <w:tcW w:w="12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5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The increase in the effective tax rate for the quarter ended September 30, 2013, primarily reflects the absence of a favorable non-cash income tax adjustment of $34 million, recorded in the third quarter of 2012, related to the resolution of disputed tax matters with the Appeals Division of the IRS for the Company's 2004 and 2005 tax years. This increase is partially offset by the favorable tax impact of a U.K. tax rate reduction enacted in July 2013.</w:t>
      </w:r>
    </w:p>
    <w:p>
      <w:pPr>
        <w:spacing w:after="0" w:line="147"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In addition to the item noted above, the increase in the effective tax rate for the nine months ended September 30, 2013, reflects the absence of a favorable non-cash tax adjustment of $203 million, recorded in the first quarter of 2012, related to the conclusion of the IRS's examination of the Company's 2006 - 2008 tax years. The increase also reflects the absence of a favorable non-cash income adjustment of $168 million, recorded in the second quarter of 2012, related to the release of valuation allowances resulting from internal legal entity reorganizations. Those items were partially offset by a favorable tax impact of $95 million associated with the legislative corporate tax extenders enacted in January 2013, as part of the American Taxpayer Relief Act of 2012. That impact, related to the 2012 retroactive effect of the law, was recorded in the first quarter of 2013.</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anticipate that our full year annual effective income tax rate in 2013 will be approximately 29%, absent one-time adjustments.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 from Continuing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8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3,902</w:t>
            </w:r>
          </w:p>
        </w:tc>
      </w:tr>
      <w:tr>
        <w:trPr>
          <w:trHeight w:val="243"/>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4.31</w:t>
            </w:r>
          </w:p>
        </w:tc>
      </w:tr>
    </w:tbl>
    <w:p>
      <w:pPr>
        <w:spacing w:after="0" w:line="12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Net income attributable to common shareowners from continuing operations for the third quarter of 2013 includes restructuring charges, net of tax benefit, of $69 million. The net effect on diluted earnings per share of restructuring charges was $0.08 per share. The results for the third quarter of 2012 included a net $0.09 per share benefit from non-recurring items, offset by $0.09 per share of restructuring charges. The impact of foreign currency translation and hedging generated a favorable effect of $0.01 per diluted share on our operational performance in the third quarter of 2013.</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Net income attributable to common shareowners from continuing operations for the first nine months of 2013 includes restructuring charges, net of tax benefit, of $230 million as well as a benefit from non-recurring items, net of tax expense, of $307 million. The net benefit on diluted earnings per share of non-recurring items in excess of restructuring charges was $0.08 per share. The results for the first nine months of 2012 included a net $0.49 per share benefit from non-recurring items, partially offset by $0.25 per share of restructuring charges. Foreign currency translation and hedging generated an adverse effect of $0.02 per diluted share on our operational performance in the first nine months of 2013.</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Gain (Loss) Attributable to Common Shareowners from Discontinued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296"/>
              <w:spacing w:after="0"/>
              <w:rPr>
                <w:sz w:val="20"/>
                <w:szCs w:val="20"/>
                <w:color w:val="auto"/>
              </w:rPr>
            </w:pPr>
            <w:r>
              <w:rPr>
                <w:rFonts w:ascii="Arial" w:cs="Arial" w:eastAsia="Arial" w:hAnsi="Arial"/>
                <w:sz w:val="14"/>
                <w:szCs w:val="14"/>
                <w:b w:val="1"/>
                <w:bCs w:val="1"/>
                <w:color w:val="auto"/>
              </w:rPr>
              <w:t>Quarter Ended September 30,</w:t>
            </w: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8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9"/>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gain (loss) attributable to common shareowners from discontinued</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7"/>
        </w:trPr>
        <w:tc>
          <w:tcPr>
            <w:tcW w:w="5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43"/>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Diluted earnings (loss) per share from discontinued operations</w:t>
            </w: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0.02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0.19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(0.92)</w:t>
            </w:r>
          </w:p>
        </w:tc>
      </w:tr>
    </w:tbl>
    <w:p>
      <w:pPr>
        <w:spacing w:after="0" w:line="12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Diluted earnings per share from discontinued operations for the third quarter of 2013 includes $0.02 earnings per share primarily reflecting favorable income tax adjustments related to the revaluation of a deferred tax liability initially recorded during the quarter ended December 31, 2012 on the planned repatriation of the non-U.S. proceeds from the sale of the Hamilton Sundstrand Industrial businesses. Diluted loss per share from discontinued operations for the third quarter of 2012 includes $0.14 per share of favorable income tax adjustments related to the reversal of a portion of the deferred tax liability initially recorded during the quarter ended March 31, 2012 on the existing difference between the expected accounting versus tax gain on the planned disposition of the legacy Hamilton Sundstrand Industrial businesses, which was completed in December 2012.</w:t>
      </w:r>
    </w:p>
    <w:p>
      <w:pPr>
        <w:spacing w:after="0" w:line="178" w:lineRule="exact"/>
        <w:rPr>
          <w:sz w:val="20"/>
          <w:szCs w:val="20"/>
          <w:color w:val="auto"/>
        </w:rPr>
      </w:pPr>
    </w:p>
    <w:p>
      <w:pPr>
        <w:ind w:right="320" w:firstLine="432"/>
        <w:spacing w:after="0" w:line="293" w:lineRule="auto"/>
        <w:rPr>
          <w:sz w:val="20"/>
          <w:szCs w:val="20"/>
          <w:color w:val="auto"/>
        </w:rPr>
      </w:pPr>
      <w:r>
        <w:rPr>
          <w:rFonts w:ascii="Arial" w:cs="Arial" w:eastAsia="Arial" w:hAnsi="Arial"/>
          <w:sz w:val="16"/>
          <w:szCs w:val="16"/>
          <w:color w:val="auto"/>
        </w:rPr>
        <w:t>Diluted earnings per share from discontinued operations for the first nine months of 2013 includes $0.03 earnings per share from the results of operations of the discontinued entities offset by $0.01 loss per share on the sales of Rocketdyne and UTC Power. Diluted loss per share from discontinued operations for the first nine months of 2012 includes $0.82 per share of goodwill impairment charges related to Rocketdyne and Clipper and net asset impairment charges at UTC Power, and $0.12 per share unfavorable income tax adjustments related to the recognition of a deferred tax liability on the existing difference between the accounting versus tax gain on the planned disposition of Hamilton Sundstrand’s Industrial businesses. A $0.09 per share benefit from the results of operations of discontinued entities was partially offset by the $0.07 per share Clipper warranty charge.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recorded net pre-tax restructuring costs totaling $343 million and $360 million in the first nine months of 2013 and 2012, respectively, for new and ongoing restructuring actions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89"/>
        </w:trPr>
        <w:tc>
          <w:tcPr>
            <w:tcW w:w="5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61"/>
        </w:trPr>
        <w:tc>
          <w:tcPr>
            <w:tcW w:w="40" w:type="dxa"/>
            <w:vAlign w:val="bottom"/>
            <w:tcBorders>
              <w:bottom w:val="single" w:sz="8" w:color="CCEEFF"/>
            </w:tcBorders>
          </w:tcPr>
          <w:p>
            <w:pPr>
              <w:spacing w:after="0"/>
              <w:rPr>
                <w:sz w:val="5"/>
                <w:szCs w:val="5"/>
                <w:color w:val="auto"/>
              </w:rPr>
            </w:pPr>
          </w:p>
        </w:tc>
        <w:tc>
          <w:tcPr>
            <w:tcW w:w="1220" w:type="dxa"/>
            <w:vAlign w:val="bottom"/>
            <w:tcBorders>
              <w:top w:val="single" w:sz="8" w:color="auto"/>
              <w:bottom w:val="single" w:sz="8" w:color="CCEEFF"/>
            </w:tcBorders>
          </w:tcPr>
          <w:p>
            <w:pPr>
              <w:spacing w:after="0"/>
              <w:rPr>
                <w:sz w:val="5"/>
                <w:szCs w:val="5"/>
                <w:color w:val="auto"/>
              </w:rPr>
            </w:pPr>
          </w:p>
        </w:tc>
        <w:tc>
          <w:tcPr>
            <w:tcW w:w="3740" w:type="dxa"/>
            <w:vAlign w:val="bottom"/>
            <w:tcBorders>
              <w:bottom w:val="single" w:sz="8" w:color="CCEEFF"/>
            </w:tcBorders>
          </w:tcPr>
          <w:p>
            <w:pPr>
              <w:spacing w:after="0"/>
              <w:rPr>
                <w:sz w:val="5"/>
                <w:szCs w:val="5"/>
                <w:color w:val="auto"/>
              </w:rPr>
            </w:pPr>
          </w:p>
        </w:tc>
        <w:tc>
          <w:tcPr>
            <w:tcW w:w="33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3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3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3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3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3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3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41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net costs for the first nine months of 2013 and 2012 were recorded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61"/>
        </w:trPr>
        <w:tc>
          <w:tcPr>
            <w:tcW w:w="40" w:type="dxa"/>
            <w:vAlign w:val="bottom"/>
            <w:tcBorders>
              <w:bottom w:val="single" w:sz="8" w:color="CCEEFF"/>
            </w:tcBorders>
          </w:tcPr>
          <w:p>
            <w:pPr>
              <w:spacing w:after="0"/>
              <w:rPr>
                <w:sz w:val="5"/>
                <w:szCs w:val="5"/>
                <w:color w:val="auto"/>
              </w:rPr>
            </w:pPr>
          </w:p>
        </w:tc>
        <w:tc>
          <w:tcPr>
            <w:tcW w:w="1220" w:type="dxa"/>
            <w:vAlign w:val="bottom"/>
            <w:tcBorders>
              <w:top w:val="single" w:sz="8" w:color="auto"/>
              <w:bottom w:val="single" w:sz="8" w:color="CCEEFF"/>
            </w:tcBorders>
          </w:tcPr>
          <w:p>
            <w:pPr>
              <w:spacing w:after="0"/>
              <w:rPr>
                <w:sz w:val="5"/>
                <w:szCs w:val="5"/>
                <w:color w:val="auto"/>
              </w:rPr>
            </w:pPr>
          </w:p>
        </w:tc>
        <w:tc>
          <w:tcPr>
            <w:tcW w:w="7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r>
      <w:tr>
        <w:trPr>
          <w:trHeight w:val="237"/>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As described below, the charges incurred in the first nine months of 2013 primarily relate to actions initiated during 2013 and 2012, while the charges incurred in the first nine months of 2012 primarily relate to actions initiated during 2012 and 2011.</w:t>
      </w:r>
    </w:p>
    <w:p>
      <w:pPr>
        <w:spacing w:after="0" w:line="166" w:lineRule="exact"/>
        <w:rPr>
          <w:sz w:val="20"/>
          <w:szCs w:val="20"/>
          <w:color w:val="auto"/>
        </w:rPr>
      </w:pPr>
    </w:p>
    <w:p>
      <w:pPr>
        <w:ind w:right="460"/>
        <w:spacing w:after="0" w:line="347" w:lineRule="auto"/>
        <w:rPr>
          <w:sz w:val="20"/>
          <w:szCs w:val="20"/>
          <w:color w:val="auto"/>
        </w:rPr>
      </w:pPr>
      <w:r>
        <w:rPr>
          <w:rFonts w:ascii="Arial" w:cs="Arial" w:eastAsia="Arial" w:hAnsi="Arial"/>
          <w:sz w:val="16"/>
          <w:szCs w:val="16"/>
          <w:b w:val="1"/>
          <w:bCs w:val="1"/>
          <w:color w:val="auto"/>
        </w:rPr>
        <w:t xml:space="preserve">2013 Actions. </w:t>
      </w:r>
      <w:r>
        <w:rPr>
          <w:rFonts w:ascii="Arial" w:cs="Arial" w:eastAsia="Arial" w:hAnsi="Arial"/>
          <w:sz w:val="16"/>
          <w:szCs w:val="16"/>
          <w:color w:val="auto"/>
        </w:rPr>
        <w:t>During the nine months ended September 30, 2013, we initiated restructuring actions relating to ongoing cost reduction efforts,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workforce reductions and the consolidation of field operations. We incurred net pre-tax restructuring costs totaling $298 million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8"/>
        </w:trPr>
        <w:tc>
          <w:tcPr>
            <w:tcW w:w="97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8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68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8"/>
                <w:szCs w:val="18"/>
                <w:color w:val="auto"/>
              </w:rPr>
              <w:t>The following table summarizes the charges associated with the 2013 restructuring actions: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96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4"/>
                <w:szCs w:val="24"/>
                <w:color w:val="auto"/>
              </w:rPr>
            </w:pPr>
          </w:p>
        </w:tc>
        <w:tc>
          <w:tcPr>
            <w:tcW w:w="1520" w:type="dxa"/>
            <w:vAlign w:val="bottom"/>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8"/>
        </w:trPr>
        <w:tc>
          <w:tcPr>
            <w:tcW w:w="97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8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68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8"/>
                <w:szCs w:val="18"/>
                <w:color w:val="auto"/>
              </w:rPr>
              <w:t>The following table summarizes the charges associated with the 2013 restructuring actions by cost type: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96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4"/>
                <w:szCs w:val="24"/>
                <w:color w:val="auto"/>
              </w:rPr>
            </w:pPr>
          </w:p>
        </w:tc>
        <w:tc>
          <w:tcPr>
            <w:tcW w:w="1520" w:type="dxa"/>
            <w:vAlign w:val="bottom"/>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8"/>
        </w:trPr>
        <w:tc>
          <w:tcPr>
            <w:tcW w:w="97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8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Asset write-downs</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Facility exit, lease termination and other costs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80" w:firstLine="432"/>
        <w:spacing w:after="0" w:line="273" w:lineRule="auto"/>
        <w:rPr>
          <w:sz w:val="20"/>
          <w:szCs w:val="20"/>
          <w:color w:val="auto"/>
        </w:rPr>
      </w:pPr>
      <w:r>
        <w:rPr>
          <w:rFonts w:ascii="Arial" w:cs="Arial" w:eastAsia="Arial" w:hAnsi="Arial"/>
          <w:sz w:val="17"/>
          <w:szCs w:val="17"/>
          <w:color w:val="auto"/>
        </w:rPr>
        <w:t>We expect the 2013 actions that were initiated in the first nine months to result in net workforce reductions of approximately 3,600 hourly and salaried employees, the exiting of approximately 600 thousand net square feet and the disposal of assets associated with exited facilities. As of September 30, 2013, we have completed net workforce reductions of approximately 2,400 employees and have exited approximately 5 thousand net square feet. We are targeting the majority of the remaining workforce and all facility related cost reduction actions for completion during 2013 and 2014. Approximately 75% of the total pre-tax charge will require cash payments, which we expect to fund with cash generated from operations. During the nine months ended September 30, 2013, we had cash outflows of approximately $132 million related to the 2013 actions. We</w:t>
      </w:r>
    </w:p>
    <w:p>
      <w:pPr>
        <w:sectPr>
          <w:pgSz w:w="11900" w:h="16838" w:orient="portrait"/>
          <w:cols w:equalWidth="0" w:num="1">
            <w:col w:w="11420"/>
          </w:cols>
          <w:pgMar w:left="240" w:top="122"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2" w:right="2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expect to incur additional restructuring costs of $43 million to complete these actions. We expect recurring pre-tax savings to increase over the two-year period subsequent to initiating these actions to approximately $300 million annually.</w:t>
      </w:r>
    </w:p>
    <w:p>
      <w:pPr>
        <w:spacing w:after="0" w:line="166"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2012 Actions. </w:t>
      </w:r>
      <w:r>
        <w:rPr>
          <w:rFonts w:ascii="Arial" w:cs="Arial" w:eastAsia="Arial" w:hAnsi="Arial"/>
          <w:sz w:val="16"/>
          <w:szCs w:val="16"/>
          <w:color w:val="auto"/>
        </w:rPr>
        <w:t>During the nine months ended September 30, 2013 and 2012, we recorded net pre-tax restructuring costs totaling $44 million and $310</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respectively, for restructuring actions initiated in 2012. The 2012 actions relate to ongoing cost reduction efforts, including workforce reductions and the consolidation of field operations. We incurred net pre-tax restructuring costs for the nine months ended September 30, 2013 and 2012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charges for the nine months ended September 30, 2013 and 2012 associated with the 2012 restructuring actions: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12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r>
      <w:tr>
        <w:trPr>
          <w:trHeight w:val="237"/>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summarizes the charges for the nine months ended September 30, 2013 and 2012 associated with the 2012 restructuring actions by cost type: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12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Asset write-downs</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Facility exit, lease termination and other costs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r>
      <w:tr>
        <w:trPr>
          <w:trHeight w:val="237"/>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r>
      <w:tr>
        <w:trPr>
          <w:trHeight w:val="237"/>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expect the 2012 actions to result in net workforce reductions of approximately 7,300 hourly and salaried employees, the exiting of approximately 3.6 million net square feet of facilities and the disposal of assets associated with the exited facilities. As of September 30, 2013, we completed net workforce reductions of approximately 6,100 employees and exited approximately 1.6 million net square feet of facilities. We are targeting the majority of the remaining workforce and facility related cost reduction actions for completion during 2013 and 2014. Approximately 80% of the total pre-tax charge will require cash payments, which we expect to fund with cash generated from operations. During the nine months ended September 30, 2013, we had cash outflows of approximately $220 million related to the 2012 actions. We expect to incur additional restructuring costs of $40 million to complete these actions. We expect recurring pre-tax savings to increase over the two-year period subsequent to initiating these actions to approximately $550 million annually.</w:t>
      </w:r>
    </w:p>
    <w:p>
      <w:pPr>
        <w:spacing w:after="0" w:line="16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Additional 2013 Actions. </w:t>
      </w:r>
      <w:r>
        <w:rPr>
          <w:rFonts w:ascii="Arial" w:cs="Arial" w:eastAsia="Arial" w:hAnsi="Arial"/>
          <w:sz w:val="18"/>
          <w:szCs w:val="18"/>
          <w:color w:val="auto"/>
        </w:rPr>
        <w:t>We expect to initiate additional restructuring actions during the remainder of 2013. Including trailing costs related to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actions, we now expect full year 2013 restructuring costs from continuing operations of approximately $500 million, including the $343 million of charges incurred during the first nine months of 2013. The expected adverse impact on full year earnings in 2013 from anticipated restructuring costs is expected to be offset by the beneficial</w:t>
      </w:r>
    </w:p>
    <w:p>
      <w:pPr>
        <w:sectPr>
          <w:pgSz w:w="11900" w:h="16838" w:orient="portrait"/>
          <w:cols w:equalWidth="0" w:num="1">
            <w:col w:w="11400"/>
          </w:cols>
          <w:pgMar w:left="240" w:top="122" w:right="25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122" w:right="25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impact from net non-recurring items. Except for those actions described above, no specific plans for significant other actions have been finalized at this time.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Segments are generally based on the management structure of the businesses and the grouping of similar operating companies, where each management organization has general operating autonomy over diversified products and services. Subsequent to the completion of our acquisition of Goodrich on July 26, 2012, we combined the Goodrich businesses with the legacy Hamilton Sundstrand businesses to form the UTC Aerospace Systems segment. Adjustments to reconcile segment reporting to the consolidated results for the quarters and nine months ended September 30, 2013 and 2012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although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179"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Global commercial heating, ventilation, and air conditioning (HVAC) orders increased 10% in the third quarter with growth in Asia and Europe. North American residential HVAC orders increased 7% in the third quarter of 2013, due largely to an improving housing market. Transicold orders increased approximately 70% in the third quarter of 2013 due to order growth in the container business as the shipping container market has recovered.</w:t>
      </w:r>
    </w:p>
    <w:p>
      <w:pPr>
        <w:spacing w:after="0" w:line="14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Within the Otis segment, new equipment orders increased 4% in the third quarter of 2013 with growth in China (15%) and the Americas (13%). New equipment orders declined in Europe (6%) with growth in Russia and Germany more than offset by a decline in the United Kingdom due to the absence of a major contract award in the third quarter of 2012. Otis continues to face pricing pressures, primarily in the European service business and in the new equipment business in China.</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September 30, 2013 and 2012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Otis</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6"/>
          </w:tcPr>
          <w:p>
            <w:pPr>
              <w:jc w:val="right"/>
              <w:ind w:right="768"/>
              <w:spacing w:after="0"/>
              <w:rPr>
                <w:sz w:val="20"/>
                <w:szCs w:val="20"/>
                <w:color w:val="auto"/>
              </w:rPr>
            </w:pPr>
            <w:r>
              <w:rPr>
                <w:rFonts w:ascii="Arial" w:cs="Arial" w:eastAsia="Arial" w:hAnsi="Arial"/>
                <w:sz w:val="14"/>
                <w:szCs w:val="14"/>
                <w:b w:val="1"/>
                <w:bCs w:val="1"/>
                <w:color w:val="auto"/>
              </w:rPr>
              <w:t>UTC Climate, Controls &amp; Security</w:t>
            </w:r>
          </w:p>
        </w:tc>
        <w:tc>
          <w:tcPr>
            <w:tcW w:w="0" w:type="dxa"/>
            <w:vAlign w:val="bottom"/>
          </w:tcPr>
          <w:p>
            <w:pPr>
              <w:spacing w:after="0"/>
              <w:rPr>
                <w:sz w:val="1"/>
                <w:szCs w:val="1"/>
                <w:color w:val="auto"/>
              </w:rPr>
            </w:pPr>
          </w:p>
        </w:tc>
      </w:tr>
      <w:tr>
        <w:trPr>
          <w:trHeight w:val="229"/>
        </w:trPr>
        <w:tc>
          <w:tcPr>
            <w:tcW w:w="37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3,054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4,259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2,034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3,035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1,020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1,224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369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592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651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632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ind w:left="40"/>
              <w:spacing w:after="0"/>
              <w:rPr>
                <w:sz w:val="20"/>
                <w:szCs w:val="20"/>
                <w:color w:val="auto"/>
              </w:rPr>
            </w:pPr>
            <w:r>
              <w:rPr>
                <w:rFonts w:ascii="Arial" w:cs="Arial" w:eastAsia="Arial" w:hAnsi="Arial"/>
                <w:sz w:val="18"/>
                <w:szCs w:val="18"/>
                <w:color w:val="auto"/>
              </w:rPr>
              <w:t>Operating Profit Margins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1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nine months ended September 30, 2013 and 2012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Otis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6"/>
          </w:tcPr>
          <w:p>
            <w:pPr>
              <w:jc w:val="right"/>
              <w:ind w:right="739"/>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7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1220" w:type="dxa"/>
            <w:vAlign w:val="bottom"/>
          </w:tcPr>
          <w:p>
            <w:pPr>
              <w:jc w:val="right"/>
              <w:ind w:right="299"/>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8,851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12,617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12,943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6,088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5,848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8,941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9,302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3,003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3,676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3,641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1,135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1,676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1,868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Operating Profit Margins</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1520" w:type="dxa"/>
            <w:vAlign w:val="bottom"/>
          </w:tcPr>
          <w:p>
            <w:pPr>
              <w:jc w:val="right"/>
              <w:ind w:right="218"/>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422"/>
              <w:spacing w:after="0"/>
              <w:rPr>
                <w:sz w:val="20"/>
                <w:szCs w:val="20"/>
                <w:color w:val="auto"/>
              </w:rPr>
            </w:pPr>
            <w:r>
              <w:rPr>
                <w:rFonts w:ascii="Arial" w:cs="Arial" w:eastAsia="Arial" w:hAnsi="Arial"/>
                <w:sz w:val="18"/>
                <w:szCs w:val="18"/>
                <w:color w:val="auto"/>
              </w:rPr>
              <w:t>15.6%</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15.2%</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3320" w:type="dxa"/>
            <w:vAlign w:val="bottom"/>
          </w:tcPr>
          <w:p>
            <w:pPr>
              <w:spacing w:after="0"/>
              <w:rPr>
                <w:sz w:val="20"/>
                <w:szCs w:val="20"/>
                <w:color w:val="auto"/>
              </w:rPr>
            </w:pPr>
            <w:r>
              <w:rPr>
                <w:rFonts w:ascii="Arial" w:cs="Arial" w:eastAsia="Arial" w:hAnsi="Arial"/>
                <w:sz w:val="18"/>
                <w:szCs w:val="18"/>
                <w:b w:val="1"/>
                <w:bCs w:val="1"/>
                <w:color w:val="auto"/>
              </w:rPr>
              <w:t>Otis –</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8"/>
              </w:rPr>
              <w:t>Quarter Ended September 30, 2013 Compared with Quarter Ended September 30, 2012</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3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5"/>
          </w:tcPr>
          <w:p>
            <w:pPr>
              <w:jc w:val="right"/>
              <w:ind w:right="562"/>
              <w:spacing w:after="0"/>
              <w:rPr>
                <w:sz w:val="20"/>
                <w:szCs w:val="20"/>
                <w:color w:val="auto"/>
              </w:rPr>
            </w:pPr>
            <w:r>
              <w:rPr>
                <w:rFonts w:ascii="Arial" w:cs="Arial" w:eastAsia="Arial" w:hAnsi="Arial"/>
                <w:sz w:val="14"/>
                <w:szCs w:val="14"/>
                <w:b w:val="1"/>
                <w:bCs w:val="1"/>
                <w:color w:val="auto"/>
              </w:rPr>
              <w:t>Factors contributing to total % Change</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620" w:type="dxa"/>
            <w:vAlign w:val="bottom"/>
            <w:gridSpan w:val="2"/>
          </w:tcPr>
          <w:p>
            <w:pPr>
              <w:jc w:val="right"/>
              <w:ind w:right="580"/>
              <w:spacing w:after="0" w:line="153" w:lineRule="exact"/>
              <w:rPr>
                <w:sz w:val="20"/>
                <w:szCs w:val="20"/>
                <w:color w:val="auto"/>
              </w:rPr>
            </w:pPr>
            <w:r>
              <w:rPr>
                <w:rFonts w:ascii="Arial" w:cs="Arial" w:eastAsia="Arial" w:hAnsi="Arial"/>
                <w:sz w:val="14"/>
                <w:szCs w:val="14"/>
                <w:b w:val="1"/>
                <w:bCs w:val="1"/>
                <w:color w:val="auto"/>
              </w:rPr>
              <w:t>Organic /</w:t>
            </w:r>
          </w:p>
        </w:tc>
        <w:tc>
          <w:tcPr>
            <w:tcW w:w="1620" w:type="dxa"/>
            <w:vAlign w:val="bottom"/>
            <w:gridSpan w:val="2"/>
          </w:tcPr>
          <w:p>
            <w:pPr>
              <w:ind w:left="660"/>
              <w:spacing w:after="0" w:line="153" w:lineRule="exact"/>
              <w:rPr>
                <w:sz w:val="20"/>
                <w:szCs w:val="20"/>
                <w:color w:val="auto"/>
              </w:rPr>
            </w:pPr>
            <w:r>
              <w:rPr>
                <w:rFonts w:ascii="Arial" w:cs="Arial" w:eastAsia="Arial" w:hAnsi="Arial"/>
                <w:sz w:val="14"/>
                <w:szCs w:val="14"/>
                <w:b w:val="1"/>
                <w:bCs w:val="1"/>
                <w:color w:val="auto"/>
              </w:rPr>
              <w:t>FX</w:t>
            </w:r>
          </w:p>
        </w:tc>
        <w:tc>
          <w:tcPr>
            <w:tcW w:w="16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Acquisitions /</w:t>
            </w:r>
          </w:p>
        </w:tc>
        <w:tc>
          <w:tcPr>
            <w:tcW w:w="2040" w:type="dxa"/>
            <w:vAlign w:val="bottom"/>
            <w:gridSpan w:val="4"/>
          </w:tcPr>
          <w:p>
            <w:pPr>
              <w:jc w:val="center"/>
              <w:ind w:right="46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1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462"/>
              <w:spacing w:after="0"/>
              <w:rPr>
                <w:sz w:val="20"/>
                <w:szCs w:val="20"/>
                <w:color w:val="auto"/>
              </w:rPr>
            </w:pPr>
            <w:r>
              <w:rPr>
                <w:rFonts w:ascii="Arial" w:cs="Arial" w:eastAsia="Arial" w:hAnsi="Arial"/>
                <w:sz w:val="14"/>
                <w:szCs w:val="14"/>
                <w:b w:val="1"/>
                <w:bCs w:val="1"/>
                <w:color w:val="auto"/>
                <w:w w:val="87"/>
              </w:rPr>
              <w:t>Costs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organic sales increase in the quarter (4%) is due to higher new equipment sales (3%) primarily in China, the U.S., Russia and Brazil partially offset by a decline in South Korea. Higher service sales (1%) in the U.S. and Asia were partially offset by declines in Southern Europe.</w:t>
      </w:r>
    </w:p>
    <w:p>
      <w:pPr>
        <w:spacing w:after="0" w:line="17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operational profit increase in the quarter (1%) was driven by higher service contribution (3%) primarily due to higher repair and modernization volume and improved margins, partially offset by higher overhead expenses (2%) due to continued investments in emerging markets. The benefits of higher new equipment volume and lower commodity costs (combined 3%) were partially offset by costs associated with the factory transformation in North America.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2013 Compared with Nine Months Ended September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Factors contributing to total % Change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18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rPr>
              <w:t>FX</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2"/>
              </w:rPr>
              <w:t>Translation</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9"/>
              </w:rPr>
              <w:t>Divestitures, net</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The organic sales increase in the first nine months (3%) is due to higher new equipment sales (3%) primarily in China, the U.S. and Russia partially offset by declines in South Korea and Hong Kong. Service sales increases in the U.S., Asia and Brazil (combined 1%) were partially offset by declines in Southern Europe.</w:t>
      </w:r>
    </w:p>
    <w:p>
      <w:pPr>
        <w:spacing w:after="0" w:line="18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operational profit decrease in the first nine months (1%) is due to lower service contribution (1%) principally due to continued pricing pressures, most notably in Europe. New equipment contribution increased (1%) due to higher new equipment volume and the impact of lower commodity costs, partially offset by costs associated with the factory transformation in North America. Overhead expenses increased (1%) due to continued investments in emerging markets.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2013 Compared with Quarter Ended September 30, 2012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center"/>
              <w:ind w:right="120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rPr>
              <w:t>FX</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5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5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Translation</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640" w:type="dxa"/>
            <w:vAlign w:val="bottom"/>
            <w:gridSpan w:val="3"/>
          </w:tcPr>
          <w:p>
            <w:pPr>
              <w:jc w:val="right"/>
              <w:ind w:right="1368"/>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5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Organic sales increased (2%) reflecting growth in the transport refrigeration business (2%) and in the Americas (1%) driven by U.S. residential HVAC, partially offset by weakness in Europe and Australia (combined 1%). The decrease in "Acquisitions and divestitures, net" (3%) reflects the year over year impact of divestitures completed in the preceding twelve months associated with UTC Climate, Controls &amp; Security's ongoing portfolio transformation.</w:t>
      </w:r>
    </w:p>
    <w:p>
      <w:pPr>
        <w:spacing w:after="0" w:line="14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12% operational profit increase was driven largely by the benefits of restructuring actions and cost productivity (combined 6%), positive volume, mix, and pricing (combined 4%) and lower commodities costs (2%).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2013 Compared with Nine Months Ended September 30, 2012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6"/>
          </w:tcPr>
          <w:p>
            <w:pPr>
              <w:ind w:left="1180"/>
              <w:spacing w:after="0"/>
              <w:rPr>
                <w:sz w:val="20"/>
                <w:szCs w:val="20"/>
                <w:color w:val="auto"/>
              </w:rPr>
            </w:pPr>
            <w:r>
              <w:rPr>
                <w:rFonts w:ascii="Arial" w:cs="Arial" w:eastAsia="Arial" w:hAnsi="Arial"/>
                <w:sz w:val="14"/>
                <w:szCs w:val="14"/>
                <w:b w:val="1"/>
                <w:bCs w:val="1"/>
                <w:color w:val="auto"/>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66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Organic /</w:t>
            </w: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FX</w:t>
            </w:r>
          </w:p>
        </w:tc>
        <w:tc>
          <w:tcPr>
            <w:tcW w:w="170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Acquisitions /</w:t>
            </w:r>
          </w:p>
        </w:tc>
        <w:tc>
          <w:tcPr>
            <w:tcW w:w="16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Organic sales were flat reflecting growth in the Americas (1%), driven by the U.S. residential HVAC, which was offset by lower volumes in Europe (1%) resulting from weak markets in the region. The decrease in "Acquisitions and divestitures, net" (3%) reflects the year over year impact of divestitures completed in the preceding twelve months associated with UTC Climate, Controls &amp; Security's ongoing portfolio transformation.</w:t>
      </w:r>
    </w:p>
    <w:p>
      <w:pPr>
        <w:spacing w:after="0" w:line="5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8% operational profit increase was driven largely by the benefits of restructuring actions and cost productivity (combined 5%), favorable commodity costs (2%) and net positive volume, mix and price (combined 1%). The decrease in "Other" primarily reflects the net year-over-year impact of transactions associated with ongoing portfolio transformation activities. This includes an approximate $38 million net gain in the first quarter of 2013 from the sale of a business in Hong Kong. Prior year portfolio transformation included approximately $215 million of gains primarily from the sale of a majority interest in a manufacturing and distribution joint venture in Thailand, and an approximately $142 million gain from the sale of a controlling interest in the Canadian distribution business. These gains were partially offset by approximately $103 million of impairment charges for assets which had been classified as held for sale and by a $32 million loss on the disposition of the U.S. fire and security branch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Effective July 1, 2012, we transferred the auxiliary power unit business (APU) of the UTC Aerospace Systems business segment to the Pratt &amp; Whitney business segment. The APU business designs and manufactures a variety of products for commercial and military aircraft. Annual sales for the APU business are approximately $600 million. The reclassification has been made prospectively; prior year segment results have not been restated for the transfer of the business.</w:t>
      </w:r>
    </w:p>
    <w:p>
      <w:pPr>
        <w:spacing w:after="0" w:line="18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aerospace businesses serve both commercial and government aerospace customers. In addition, Pratt &amp; Whitney also serves customers in the industrial markets.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8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commercial airline industry has remained generally strong for the last three years. Airline traffic, as measured by RPMs, has grown 5.1% through the first eight months of 2013. Airlines generally remain profitable and are forecasted to earn $11.7 billion in 2013. Nevertheless, high fuel prices continue to challenge the airlines to consider the need for more fuel efficient aircraft. Pratt &amp; Whitney continues to invest in engineering and development of five separate geared turbofan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platforms to meet demand for new engines which are fuel efficient and have reduced noise levels and exhaust emissions. Commercial aerospace spares orders at Pratt &amp; Whitney’s large commercial engine business increased 17% in the third quarter of 2013 as compared to the same period of 2012. Defense spending has declined during 2013, and we expect U.S. Government deficit reduction measures to continue to adversely affect our military aerospace businesses into 2014.</w:t>
      </w:r>
    </w:p>
    <w:p>
      <w:pPr>
        <w:spacing w:after="0" w:line="18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record changes in contract estimates using the cumulative catch-up method in accordance with the Revenue Recognition Topic of the FASB Accounting Standards Codification. The net increase in operating profit as a result of significant changes in aerospace contract estimates was $89 million and $158 million in the quarter and nine months ended September 30, 2013, respectively.</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September 30, 2013 and 2012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Pratt &amp; Whitney</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w w:val="91"/>
              </w:rPr>
              <w:t>UTC Aerospace Systems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Sikorsky</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9"/>
                <w:szCs w:val="19"/>
                <w:color w:val="auto"/>
              </w:rPr>
            </w:pPr>
          </w:p>
        </w:tc>
        <w:tc>
          <w:tcPr>
            <w:tcW w:w="720" w:type="dxa"/>
            <w:vAlign w:val="bottom"/>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3,386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3,574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1,649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2,513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2,767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1,346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807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Operating Expenses and</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398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439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Profit Margins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8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nine months ended September 30, 2013 and 2012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Pratt &amp; Whitney</w:t>
            </w: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w w:val="91"/>
              </w:rPr>
              <w:t>UTC Aerospace Systems</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Sikorsky</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9"/>
                <w:szCs w:val="19"/>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9"/>
                <w:szCs w:val="19"/>
                <w:color w:val="auto"/>
              </w:rPr>
            </w:pPr>
          </w:p>
        </w:tc>
        <w:tc>
          <w:tcPr>
            <w:tcW w:w="880" w:type="dxa"/>
            <w:vAlign w:val="bottom"/>
          </w:tcPr>
          <w:p>
            <w:pPr>
              <w:jc w:val="right"/>
              <w:ind w:right="1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10,412</w:t>
            </w: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10,073</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3 %</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9,896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4,356</w:t>
            </w:r>
          </w:p>
        </w:tc>
        <w:tc>
          <w:tcPr>
            <w:tcW w:w="44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4,615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7,947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96"/>
              <w:spacing w:after="0"/>
              <w:rPr>
                <w:sz w:val="20"/>
                <w:szCs w:val="20"/>
                <w:color w:val="auto"/>
              </w:rPr>
            </w:pPr>
            <w:r>
              <w:rPr>
                <w:rFonts w:ascii="Arial" w:cs="Arial" w:eastAsia="Arial" w:hAnsi="Arial"/>
                <w:sz w:val="18"/>
                <w:szCs w:val="18"/>
                <w:color w:val="auto"/>
              </w:rPr>
              <w:t>7,599</w:t>
            </w:r>
          </w:p>
        </w:tc>
        <w:tc>
          <w:tcPr>
            <w:tcW w:w="80" w:type="dxa"/>
            <w:vAlign w:val="bottom"/>
          </w:tcPr>
          <w:p>
            <w:pPr>
              <w:spacing w:after="0"/>
              <w:rPr>
                <w:sz w:val="21"/>
                <w:szCs w:val="21"/>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16"/>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3,571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3,725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2,474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2,854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Operating Expenses and</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96"/>
              <w:spacing w:after="0"/>
              <w:rPr>
                <w:sz w:val="20"/>
                <w:szCs w:val="20"/>
                <w:color w:val="auto"/>
              </w:rPr>
            </w:pPr>
            <w:r>
              <w:rPr>
                <w:rFonts w:ascii="Arial" w:cs="Arial" w:eastAsia="Arial" w:hAnsi="Arial"/>
                <w:sz w:val="18"/>
                <w:szCs w:val="18"/>
                <w:color w:val="auto"/>
              </w:rPr>
              <w:t>1,249</w:t>
            </w:r>
          </w:p>
        </w:tc>
        <w:tc>
          <w:tcPr>
            <w:tcW w:w="8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16"/>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338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1,412</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1,225</w:t>
            </w:r>
          </w:p>
        </w:tc>
        <w:tc>
          <w:tcPr>
            <w:tcW w:w="80" w:type="dxa"/>
            <w:vAlign w:val="bottom"/>
            <w:shd w:val="clear" w:color="auto" w:fill="CCEEFF"/>
          </w:tcPr>
          <w:p>
            <w:pPr>
              <w:spacing w:after="0"/>
              <w:rPr>
                <w:sz w:val="22"/>
                <w:szCs w:val="22"/>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15 %</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405</w:t>
            </w:r>
          </w:p>
        </w:tc>
        <w:tc>
          <w:tcPr>
            <w:tcW w:w="4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Profit Margins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8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Pratt &amp; Whitney –</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60" w:type="dxa"/>
            <w:vAlign w:val="bottom"/>
            <w:gridSpan w:val="19"/>
          </w:tcPr>
          <w:p>
            <w:pPr>
              <w:spacing w:after="0"/>
              <w:rPr>
                <w:sz w:val="20"/>
                <w:szCs w:val="20"/>
                <w:color w:val="auto"/>
              </w:rPr>
            </w:pPr>
            <w:r>
              <w:rPr>
                <w:rFonts w:ascii="Arial" w:cs="Arial" w:eastAsia="Arial" w:hAnsi="Arial"/>
                <w:sz w:val="18"/>
                <w:szCs w:val="18"/>
                <w:b w:val="1"/>
                <w:bCs w:val="1"/>
                <w:i w:val="1"/>
                <w:iCs w:val="1"/>
                <w:color w:val="auto"/>
                <w:w w:val="87"/>
              </w:rPr>
              <w:t>Quarter Ended September 30, 2013 Compared with Quarter Ended September 30, 2012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rPr>
              <w:t>Factors contributing to total % Change</w:t>
            </w: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w w:val="98"/>
              </w:rPr>
              <w:t>Organic /</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center"/>
              <w:ind w:right="640"/>
              <w:spacing w:after="0" w:line="153" w:lineRule="exact"/>
              <w:rPr>
                <w:sz w:val="20"/>
                <w:szCs w:val="20"/>
                <w:color w:val="auto"/>
              </w:rPr>
            </w:pPr>
            <w:r>
              <w:rPr>
                <w:rFonts w:ascii="Arial" w:cs="Arial" w:eastAsia="Arial" w:hAnsi="Arial"/>
                <w:sz w:val="14"/>
                <w:szCs w:val="14"/>
                <w:b w:val="1"/>
                <w:bCs w:val="1"/>
                <w:color w:val="auto"/>
              </w:rPr>
              <w:t>FX</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7"/>
          </w:tcPr>
          <w:p>
            <w:pPr>
              <w:jc w:val="center"/>
              <w:ind w:right="44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40" w:type="dxa"/>
            <w:vAlign w:val="bottom"/>
          </w:tcPr>
          <w:p>
            <w:pPr>
              <w:spacing w:after="0"/>
              <w:rPr>
                <w:sz w:val="13"/>
                <w:szCs w:val="13"/>
                <w:color w:val="auto"/>
              </w:rPr>
            </w:pPr>
          </w:p>
        </w:tc>
        <w:tc>
          <w:tcPr>
            <w:tcW w:w="1220" w:type="dxa"/>
            <w:vAlign w:val="bottom"/>
            <w:gridSpan w:val="4"/>
          </w:tcPr>
          <w:p>
            <w:pPr>
              <w:jc w:val="right"/>
              <w:ind w:right="288"/>
              <w:spacing w:after="0" w:line="153" w:lineRule="exact"/>
              <w:rPr>
                <w:sz w:val="20"/>
                <w:szCs w:val="20"/>
                <w:color w:val="auto"/>
              </w:rPr>
            </w:pPr>
            <w:r>
              <w:rPr>
                <w:rFonts w:ascii="Arial" w:cs="Arial" w:eastAsia="Arial" w:hAnsi="Arial"/>
                <w:sz w:val="14"/>
                <w:szCs w:val="14"/>
                <w:b w:val="1"/>
                <w:bCs w:val="1"/>
                <w:color w:val="auto"/>
                <w:w w:val="91"/>
              </w:rPr>
              <w:t>Restructuring</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gridSpan w:val="2"/>
            <w:vMerge w:val="restart"/>
          </w:tcPr>
          <w:p>
            <w:pPr>
              <w:jc w:val="right"/>
              <w:ind w:right="49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6"/>
              </w:rPr>
              <w:t>Translation*</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right="32"/>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Costs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7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4"/>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gridSpan w:val="3"/>
          </w:tcPr>
          <w:p>
            <w:pPr>
              <w:jc w:val="right"/>
              <w:ind w:right="168"/>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21 %</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Organic sales remain unchanged for the quarter as higher sales volume within the commercial (4%) and Pratt &amp; Whitney Canada (P&amp;WC) (1%) businesses were offset by lower military OEM sales volume (5%) due in part to the completion of the F119 program at the end of 2012. The decrease in "Acquisitions and divestitures, net" (5%) reflects the divestiture of Pratt &amp; Whitney Power Systems.</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operational profit increase (21%) is due to the change in sales mix noted above (16%), favorable military contract performance (8%), higher income from licensing agreements (5%), profits from industrial turbines and related development contracts (4%), favorable mix within the Aeropower business (3%), and benefits from restructuring actions. This was partially offset by the absence of a gain as a result of the effective settlement of a pre-existing contractual dispute in connection with the acquisition of Goodrich in 2012 (11%) and additional pension expense during the quarter (4%). The decrease in "Acquisitions and divestitures, net" (6%) reflects the divestiture of Pratt &amp; Whitney Power Systems. "Other" reflects a gain on the sale of intellectual property (3%), offset by a fair value adjustment to a joint venture investment (6%).</w:t>
      </w:r>
    </w:p>
    <w:p>
      <w:pPr>
        <w:sectPr>
          <w:pgSz w:w="11900" w:h="16838" w:orient="portrait"/>
          <w:cols w:equalWidth="0" w:num="1">
            <w:col w:w="11420"/>
          </w:cols>
          <w:pgMar w:left="240" w:top="122"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2013 Compared with Nine Months Ended September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5"/>
          </w:tcPr>
          <w:p>
            <w:pPr>
              <w:jc w:val="center"/>
              <w:ind w:left="1099"/>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98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w:t>
            </w:r>
          </w:p>
        </w:tc>
        <w:tc>
          <w:tcPr>
            <w:tcW w:w="12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4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As discussed further in the “Business Overview” and “Results of Operations” sections of Management’s Discussion and Analysis of Financial Condition and Results of Operations, for Pratt &amp; Whitney only, the transactional impact of foreign exchange hedging at P&amp;WC has been netted against the translational foreign exchange impact for presentation purposes in the above tables. For all other segments, these 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193"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The organic sales decrease (2%) was primarily driven by lower military OEM sales (5%), partially offset by higher military spares and development program sales (combined 2%). Sales increased (6%) as a result of the consolidation of IAE and the transfer of the AeroPower business to Pratt &amp; Whitney from UTC Aerospace Systems, partially offset by the divestiture of Pratt &amp; Whitney Power Systems.</w:t>
      </w:r>
    </w:p>
    <w:p>
      <w:pPr>
        <w:spacing w:after="0" w:line="18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operational profit increase (7%) was driven by lower research and development spending (4%), favorable commercial aftermarket mix (3%), income from licensing agreements (1%), and profits from industrial turbines and related development contracts (5%), partially offset by the change in military sales mix noted above (2%), and the absence of a gain as a result of the of the effective settlement of a pre-existing contractual dispute in connection with the acquisition of Goodrich in 2012 (4%). Restructuring savings were largely offset by higher pension costs. The increase in "Acquisitions and divestitures, net" (5%) reflects the consolidations of IAE and the transfer of the AeroPower business to Pratt &amp; Whitney from UTC Aerospace Systems, partially offset by the divestiture of Pratt &amp; Whitney Power Systems. "Other" reflects a gain on the sale of Pratt &amp; Whitney Power Systems (16%) and a gain on the sale of intellectual property (1%), offset by a fair value adjustment of a joint venture investment (2%), and the absence of gains on the sale of intellectual property (1%), on the sale of an equity interest in a venture (2%), and on the acquisition of a controlling interest in IAE (2%) in 2012.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2013 Compared with Quarter Ended September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rPr>
              <w:t>FX</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3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Operational</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5"/>
              </w:rPr>
              <w:t>Translation</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59 %</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320" w:firstLine="432"/>
        <w:spacing w:after="0" w:line="286" w:lineRule="auto"/>
        <w:rPr>
          <w:sz w:val="20"/>
          <w:szCs w:val="20"/>
          <w:color w:val="auto"/>
        </w:rPr>
      </w:pPr>
      <w:r>
        <w:rPr>
          <w:rFonts w:ascii="Arial" w:cs="Arial" w:eastAsia="Arial" w:hAnsi="Arial"/>
          <w:sz w:val="17"/>
          <w:szCs w:val="17"/>
          <w:color w:val="auto"/>
        </w:rPr>
        <w:t>The organic sales growth (2%) primarily reflects an increase in commercial aerospace OEM sales volume (3%) and higher commercial and military aftermarket volumes (1%), partially offset by lower military OEM volumes (1%). Operational cost-of-sales declined (3%) due to the absence of inventory step-up amortization (8%) related to the Goodrich acquisition in 2012, partially offset by the sales volume increases.</w:t>
      </w:r>
    </w:p>
    <w:p>
      <w:pPr>
        <w:spacing w:after="0" w:line="166"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operational profit increase (59%) primarily reflects the absence of amortization of inventory fair-value adjustments (55%) related to the Goodrich acquisition, lower selling, general and administrative expenses (8%) including the impact synergies from the integration of Goodrich, and lower research and development costs (7%), partially offset by lower profits on OEM sales (13%) for military related products. “Acquisitions and Divestitures, net” is principally a result of the acquisition of Goodrich.</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2013 Compared with Nine Months Ended September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Factors contributing to total % Change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114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rPr>
              <w:t>FX</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70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620" w:type="dxa"/>
            <w:vAlign w:val="bottom"/>
            <w:gridSpan w:val="3"/>
          </w:tcPr>
          <w:p>
            <w:pPr>
              <w:jc w:val="right"/>
              <w:ind w:right="1368"/>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organic sales growth (2%) primarily reflects an increase in commercial aerospace OEM sales volume (4%) partially offset by lower military OEM volumes (1%). Operational cost-of-sales was flat versus the prior year due to the absence of inventory step-up amortization (4%) related to the Goodrich acquisition in 2012, partially offset by volume increases.</w:t>
      </w:r>
    </w:p>
    <w:p>
      <w:pPr>
        <w:spacing w:after="0" w:line="18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operational profit increase (21%) primarily reflects the absence of amortization of inventory fair-value adjustments (22%), lower selling, general and administrative expenses (5%) primarily from synergies on the integration of Goodrich, lower research and development costs (4%), and higher licensing income (2%), partially offset by lower profits on OEM sales (12%) primarily attributable to adverse mix for military related products. “Acquisitions and Divestitures, net” is principally a result of the acquisition of Goodrich.</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2013 Compared with Quarter Ended September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6"/>
          </w:tcPr>
          <w:p>
            <w:pPr>
              <w:ind w:left="1060"/>
              <w:spacing w:after="0"/>
              <w:rPr>
                <w:sz w:val="20"/>
                <w:szCs w:val="20"/>
                <w:color w:val="auto"/>
              </w:rPr>
            </w:pPr>
            <w:r>
              <w:rPr>
                <w:rFonts w:ascii="Arial" w:cs="Arial" w:eastAsia="Arial" w:hAnsi="Arial"/>
                <w:sz w:val="14"/>
                <w:szCs w:val="14"/>
                <w:b w:val="1"/>
                <w:bCs w:val="1"/>
                <w:color w:val="auto"/>
              </w:rPr>
              <w:t>Factors contributing to total % Change</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170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Organic /</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FX</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4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480" w:type="dxa"/>
            <w:vAlign w:val="bottom"/>
          </w:tcPr>
          <w:p>
            <w:pPr>
              <w:ind w:left="12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The organic sales decrease (7%) reflects decreased international military sales (5%), lower volume on customer funded development programs (2%), decreased U.S. Government sales (6%) primarily due to lower Naval Hawk deliveries, and decreased aftermarket sales (4%) due primarily to lower military spares activity. These decreases were partially offset by increased commercial aircraft sales (10%) due to higher S-92 sales and S-76D aircraft volume.</w:t>
      </w:r>
    </w:p>
    <w:p>
      <w:pPr>
        <w:spacing w:after="0" w:line="14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operational profit decrease (22%) reflects lower profitability from U.S. Government contracts (22%) due to lower aircraft volume, increased selling, general and administrative expenses (8%) due largely to higher pension and export compliance costs, and higher research and development costs (5%), and lower profits from customer funded development programs (7%). These decreases were partially offset by increased profitability from commercial operations (10%) due to increased S-92 aircraft sales and completions volume and increased profitability in international military (9%) due to favorable product mix.</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2013 Compared with Nine Months Ended September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6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70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Organic /</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FX</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70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organic sales decrease (6%) reflects decreased international military sales (5%), decreased U.S. Government sales (3%) due to lower volume and unfavorable Multi-year 8 pricing provisions, lower volume on customer funded development programs (1%) and decreased aftermarket sales (6%) due to lower military spares activity. These decreases were partially offset by increased commercial aircraft sales (9%) due to increased S-92 aircraft sales volume and completion services and higher S-76D aircraft volume.</w:t>
      </w:r>
    </w:p>
    <w:p>
      <w:pPr>
        <w:spacing w:after="0" w:line="18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operational profit decrease (25%) reflects lower profitability from the U.S. Government (23%) due to lower aircraft volume and Multi-year 8 pricing and reset provisions, lower profitability in aftermarket (7%) due to lower military spares</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volume and increased selling, general and administrative expenses (8%) due largely to increased pension and export compliance costs. These decreases were partially offset by increased profitability from commercial operations (13%) due to increased S-92 aircraft sales and completions volume.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Net Sales</w:t>
            </w:r>
          </w:p>
        </w:tc>
        <w:tc>
          <w:tcPr>
            <w:tcW w:w="9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w w:val="97"/>
              </w:rPr>
              <w:t>Operating Profits</w:t>
            </w:r>
          </w:p>
        </w:tc>
        <w:tc>
          <w:tcPr>
            <w:tcW w:w="0" w:type="dxa"/>
            <w:vAlign w:val="bottom"/>
          </w:tcPr>
          <w:p>
            <w:pPr>
              <w:spacing w:after="0"/>
              <w:rPr>
                <w:sz w:val="1"/>
                <w:szCs w:val="1"/>
                <w:color w:val="auto"/>
              </w:rPr>
            </w:pPr>
          </w:p>
        </w:tc>
      </w:tr>
      <w:tr>
        <w:trPr>
          <w:trHeight w:val="190"/>
        </w:trPr>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200" w:type="dxa"/>
            <w:vAlign w:val="bottom"/>
            <w:gridSpan w:val="3"/>
          </w:tcPr>
          <w:p>
            <w:pPr>
              <w:ind w:left="640"/>
              <w:spacing w:after="0"/>
              <w:rPr>
                <w:sz w:val="20"/>
                <w:szCs w:val="20"/>
                <w:color w:val="auto"/>
              </w:rPr>
            </w:pPr>
            <w:r>
              <w:rPr>
                <w:rFonts w:ascii="Arial" w:cs="Arial" w:eastAsia="Arial" w:hAnsi="Arial"/>
                <w:sz w:val="14"/>
                <w:szCs w:val="14"/>
                <w:b w:val="1"/>
                <w:bCs w:val="1"/>
                <w:color w:val="auto"/>
              </w:rPr>
              <w:t>Quarter Ended September 30,</w:t>
            </w:r>
          </w:p>
        </w:tc>
        <w:tc>
          <w:tcPr>
            <w:tcW w:w="30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Quarter Ended September 30,</w:t>
            </w:r>
          </w:p>
        </w:tc>
        <w:tc>
          <w:tcPr>
            <w:tcW w:w="0" w:type="dxa"/>
            <w:vAlign w:val="bottom"/>
          </w:tcPr>
          <w:p>
            <w:pPr>
              <w:spacing w:after="0"/>
              <w:rPr>
                <w:sz w:val="1"/>
                <w:szCs w:val="1"/>
                <w:color w:val="auto"/>
              </w:rPr>
            </w:pPr>
          </w:p>
        </w:tc>
      </w:tr>
      <w:tr>
        <w:trPr>
          <w:trHeight w:val="80"/>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2"/>
              </w:rPr>
              <w:t>(Dollars in millions)</w:t>
            </w:r>
          </w:p>
        </w:tc>
        <w:tc>
          <w:tcPr>
            <w:tcW w:w="3900" w:type="dxa"/>
            <w:vAlign w:val="bottom"/>
            <w:vMerge w:val="restart"/>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220" w:type="dxa"/>
            <w:vAlign w:val="bottom"/>
            <w:tcBorders>
              <w:bottom w:val="single" w:sz="8" w:color="auto"/>
            </w:tcBorders>
            <w:vMerge w:val="continue"/>
          </w:tcPr>
          <w:p>
            <w:pPr>
              <w:spacing w:after="0"/>
              <w:rPr>
                <w:sz w:val="12"/>
                <w:szCs w:val="12"/>
                <w:color w:val="auto"/>
              </w:rPr>
            </w:pPr>
          </w:p>
        </w:tc>
        <w:tc>
          <w:tcPr>
            <w:tcW w:w="3900" w:type="dxa"/>
            <w:vAlign w:val="bottom"/>
            <w:vMerge w:val="continue"/>
          </w:tcPr>
          <w:p>
            <w:pPr>
              <w:spacing w:after="0"/>
              <w:rPr>
                <w:sz w:val="12"/>
                <w:szCs w:val="12"/>
                <w:color w:val="auto"/>
              </w:rPr>
            </w:pPr>
          </w:p>
        </w:tc>
        <w:tc>
          <w:tcPr>
            <w:tcW w:w="1120" w:type="dxa"/>
            <w:vAlign w:val="bottom"/>
          </w:tcPr>
          <w:p>
            <w:pPr>
              <w:jc w:val="right"/>
              <w:ind w:right="148"/>
              <w:spacing w:after="0" w:line="129" w:lineRule="exact"/>
              <w:rPr>
                <w:sz w:val="20"/>
                <w:szCs w:val="20"/>
                <w:color w:val="auto"/>
              </w:rPr>
            </w:pPr>
            <w:r>
              <w:rPr>
                <w:rFonts w:ascii="Arial" w:cs="Arial" w:eastAsia="Arial" w:hAnsi="Arial"/>
                <w:sz w:val="14"/>
                <w:szCs w:val="14"/>
                <w:b w:val="1"/>
                <w:bCs w:val="1"/>
                <w:color w:val="auto"/>
              </w:rPr>
              <w:t>2013</w:t>
            </w:r>
          </w:p>
        </w:tc>
        <w:tc>
          <w:tcPr>
            <w:tcW w:w="1980" w:type="dxa"/>
            <w:vAlign w:val="bottom"/>
          </w:tcPr>
          <w:p>
            <w:pPr>
              <w:jc w:val="right"/>
              <w:ind w:right="528"/>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2120" w:type="dxa"/>
            <w:vAlign w:val="bottom"/>
          </w:tcPr>
          <w:p>
            <w:pPr>
              <w:jc w:val="right"/>
              <w:ind w:right="528"/>
              <w:spacing w:after="0" w:line="129"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top w:val="single" w:sz="8" w:color="auto"/>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(103)</w:t>
            </w: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Net Sales</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w w:val="97"/>
              </w:rPr>
              <w:t>Operating Profits</w:t>
            </w: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5160" w:type="dxa"/>
            <w:vAlign w:val="bottom"/>
            <w:gridSpan w:val="3"/>
            <w:vMerge w:val="continue"/>
          </w:tcPr>
          <w:p>
            <w:pPr>
              <w:spacing w:after="0"/>
              <w:rPr>
                <w:sz w:val="12"/>
                <w:szCs w:val="12"/>
                <w:color w:val="auto"/>
              </w:rPr>
            </w:pPr>
          </w:p>
        </w:tc>
        <w:tc>
          <w:tcPr>
            <w:tcW w:w="9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CCEEFF"/>
            </w:tcBorders>
          </w:tcPr>
          <w:p>
            <w:pPr>
              <w:spacing w:after="0"/>
              <w:rPr>
                <w:sz w:val="8"/>
                <w:szCs w:val="8"/>
                <w:color w:val="auto"/>
              </w:rPr>
            </w:pPr>
          </w:p>
        </w:tc>
        <w:tc>
          <w:tcPr>
            <w:tcW w:w="1220" w:type="dxa"/>
            <w:vAlign w:val="bottom"/>
            <w:tcBorders>
              <w:top w:val="single" w:sz="8" w:color="auto"/>
              <w:bottom w:val="single" w:sz="8" w:color="CCEEFF"/>
            </w:tcBorders>
          </w:tcPr>
          <w:p>
            <w:pPr>
              <w:spacing w:after="0"/>
              <w:rPr>
                <w:sz w:val="8"/>
                <w:szCs w:val="8"/>
                <w:color w:val="auto"/>
              </w:rPr>
            </w:pPr>
          </w:p>
        </w:tc>
        <w:tc>
          <w:tcPr>
            <w:tcW w:w="390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(303)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Eliminations and other reflects the elimination of sales, other income and operating profit transacted between segments, as well as the operating results of certain smaller businesses. The year-over-year change in sales for the quarter and nine months ended September 30, 2013, as compared with the same periods of 2012, reflects an increase in the amount of inter-segment sales eliminations, due in part to the acquisition of Goodrich. The year-over-year change in operating profit for the third quarter of 2013, as compared with the same period of 2012, primarily reflects lower acquisitions and divestiture costs of $34 million. Similarly, the year-over-year change in operating profit for the nine months ended September 30, 2013, as compared with the same period of 2012, reflects lower acquisitions and divestiture costs of $70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4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8"/>
        </w:trPr>
        <w:tc>
          <w:tcPr>
            <w:tcW w:w="65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ind w:right="534"/>
              <w:spacing w:after="0" w:line="158"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554"/>
              <w:spacing w:after="0" w:line="15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554"/>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6,242</w:t>
            </w:r>
          </w:p>
        </w:tc>
        <w:tc>
          <w:tcPr>
            <w:tcW w:w="0" w:type="dxa"/>
            <w:vAlign w:val="bottom"/>
          </w:tcPr>
          <w:p>
            <w:pPr>
              <w:spacing w:after="0"/>
              <w:rPr>
                <w:sz w:val="1"/>
                <w:szCs w:val="1"/>
                <w:color w:val="auto"/>
              </w:rPr>
            </w:pPr>
          </w:p>
        </w:tc>
      </w:tr>
      <w:tr>
        <w:trPr>
          <w:trHeight w:val="243"/>
        </w:trPr>
        <w:tc>
          <w:tcPr>
            <w:tcW w:w="654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Pr>
          <w:p>
            <w:pPr>
              <w:spacing w:after="0"/>
              <w:rPr>
                <w:sz w:val="21"/>
                <w:szCs w:val="21"/>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21,188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23,221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16,567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22,458</w:t>
            </w:r>
          </w:p>
        </w:tc>
        <w:tc>
          <w:tcPr>
            <w:tcW w:w="0" w:type="dxa"/>
            <w:vAlign w:val="bottom"/>
          </w:tcPr>
          <w:p>
            <w:pPr>
              <w:spacing w:after="0"/>
              <w:rPr>
                <w:sz w:val="1"/>
                <w:szCs w:val="1"/>
                <w:color w:val="auto"/>
              </w:rPr>
            </w:pPr>
          </w:p>
        </w:tc>
      </w:tr>
      <w:tr>
        <w:trPr>
          <w:trHeight w:val="243"/>
        </w:trPr>
        <w:tc>
          <w:tcPr>
            <w:tcW w:w="654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200" w:type="dxa"/>
            <w:vAlign w:val="bottom"/>
          </w:tcPr>
          <w:p>
            <w:pPr>
              <w:spacing w:after="0"/>
              <w:rPr>
                <w:sz w:val="21"/>
                <w:szCs w:val="21"/>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29,919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27,069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26,091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(debt plus equity)</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51,107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50,290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54,791</w:t>
            </w:r>
          </w:p>
        </w:tc>
        <w:tc>
          <w:tcPr>
            <w:tcW w:w="0" w:type="dxa"/>
            <w:vAlign w:val="bottom"/>
          </w:tcPr>
          <w:p>
            <w:pPr>
              <w:spacing w:after="0"/>
              <w:rPr>
                <w:sz w:val="1"/>
                <w:szCs w:val="1"/>
                <w:color w:val="auto"/>
              </w:rPr>
            </w:pPr>
          </w:p>
        </w:tc>
      </w:tr>
      <w:tr>
        <w:trPr>
          <w:trHeight w:val="243"/>
        </w:trPr>
        <w:tc>
          <w:tcPr>
            <w:tcW w:w="6540" w:type="dxa"/>
            <w:vAlign w:val="bottom"/>
            <w:gridSpan w:val="3"/>
          </w:tcPr>
          <w:p>
            <w:pPr>
              <w:ind w:left="40"/>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200" w:type="dxa"/>
            <w:vAlign w:val="bottom"/>
          </w:tcPr>
          <w:p>
            <w:pPr>
              <w:spacing w:after="0"/>
              <w:rPr>
                <w:sz w:val="21"/>
                <w:szCs w:val="21"/>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46,486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45,471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48,549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to total capitalization</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654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 of liquidity is operating cash flows of continuing operations, which, after netting out capital expenditures, we target to equal or exceed net income attributable to common shareowners from continuing operations. For the full year of 2013, we expect operating cash flows of continuing operations less capital expenditures to be essentially equal to net income attributable to common shareowners from continuing operations.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8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Improvement in the global economy remains uneven. In the U.S., economic indicators have generally been strengthening, but U.S. Government spending, the recent political impasse in the U.S. and the impact of sequestration have increased market uncertainties. There continues to be fiscal uncertainty in Europe, while emerging markets have shown more moderate levels of growth. In light of these circumstances, we continue to assess our current business and closely monitor the impact of global</w:t>
      </w:r>
    </w:p>
    <w:p>
      <w:pPr>
        <w:sectPr>
          <w:pgSz w:w="11900" w:h="16838" w:orient="portrait"/>
          <w:cols w:equalWidth="0" w:num="1">
            <w:col w:w="11420"/>
          </w:cols>
          <w:pgMar w:left="240" w:top="12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economic conditions on our customers and suppliers. We have determined that these circumstances have not had a significant impact on our financial position, results of operations or liquidity during the first nine months of 2013.</w:t>
      </w:r>
    </w:p>
    <w:p>
      <w:pPr>
        <w:spacing w:after="0" w:line="17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domestic pension funds experienced a positive return on assets of 6.02% during the first nine months of 2013. Approximately 88% of these domestic pension plans' funds are invested in readily-liquid investments, including equity, fixed income, asset-backed receivables and structured products. The balance of these domestic pension plans' funds (12%) is invested in less-liquid but market-valued investments, including real estate and private equity. Across our global pension plans, the continued recognition of prior pension losses and the impact of a lower discount rate, partially offset by additional funding, the sunset of the final average earning (FAE) provision for the legacy Goodrich salaried employees' plan, and the positive returns experienced during 2012, are expected to result in increased pension expense in 2013 of approximately $225 million as compared to 2012.</w:t>
      </w:r>
    </w:p>
    <w:p>
      <w:pPr>
        <w:spacing w:after="0" w:line="17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strong debt ratings and financial position have historically enabled us to issue long-term debt at favorable market rates, including our issuance of $9.8 billion of long-term debt in June 2012. Our ability to obtain debt financing at comparable risk-based interest rates is partly a function of our existing debt-to-total-capitalization level as well as our current credit standing.</w:t>
      </w:r>
    </w:p>
    <w:p>
      <w:pPr>
        <w:spacing w:after="0" w:line="181"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The purchase price of Goodrich of $127.50 per share in cash equated to a total enterprise value of $18.3 billion, including $1.9 billion in net debt assumed. To finance the cash consideration for the Goodrich acquisition and pay related fees, expenses and other amounts due and payable as a result of the acquisition, we utilized the net proceeds of approximately $9.6 billion from the $9.8 billion of long-term notes issued on June 1, 2012, the net proceeds of approximately $1.1 billion from the equity units issued on June 18, 2012, $3.2 billion from the issuance of commercial paper during July 2012 and $2.0 billion of proceeds borrowed on July 26, 2012 pursuant to our April 24, 2012 term loan credit agreement. We prepaid all of the $2.0 billion borrowed pursuant to this term loan credit agreement in November and December 2012. For the remainder of the cash consideration, we utilized approximately $0.5 billion of cash and cash equivalents generated from operating activities.</w:t>
      </w:r>
    </w:p>
    <w:p>
      <w:pPr>
        <w:spacing w:after="0" w:line="17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On May 7, 2013, we commenced cash tender offers for two series of outstanding notes issued by Goodrich and the 2015 UTC 1.200% Senior Notes. These offers expired on June 4, 2013. Approximately $874.2 million in aggregate principal amount of these outstanding notes were tendered pursuant to these tender offers, including notes validly tendered prior to an early tender date in May 2013 and thereby eligible for an early tender premium. Total payments under these tender offers were approximately $935 million including principal, premium and interest. On June 24, 2013 we redeemed all remaining outstanding 2015 UTC 1.200% Senior Notes, representing $327 million in aggregate principal, under our redemption notice issued on May 24, 2013.</w:t>
      </w:r>
    </w:p>
    <w:p>
      <w:pPr>
        <w:spacing w:after="0" w:line="158"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On August 23, 2013, we redeemed all remaining outstanding 2019 Goodrich 6.125% notes, representing $202 million in aggregate principal, under our redemption notice issued on July 24, 2013. On September 27, 2013, we redeemed all remaining outstanding 2021 Goodrich 3.600% notes, representing $294 million in aggregate principal, under our redemption notice issued on August 28, 2013.</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full year 2013 debt repayments to be approximately $2.5 billion. We expect full year 2014 debt repayments to be approximately $1 billion.</w:t>
      </w:r>
    </w:p>
    <w:p>
      <w:pPr>
        <w:spacing w:after="0" w:line="24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December 6, 2012, we commenced cash tender offers for six series of outstanding notes originally issued by Goodrich. These offers expired on January 7, 2013. Approximately $635 million in aggregate principal amount of the outstanding Goodrich notes were tendered pursuant to these tender offers prior to an early tender date in December 2012 and, as a result, were eligible for an early tender premium. Additionally, approximately $2 million in aggregate principal amount of the outstanding Goodrich notes not eligible for an early tender premium were tendered prior to the January 7, 2013 expiration date. Total payments under these tender offers were approximately $790 million including principal, premium and interest.</w:t>
      </w:r>
    </w:p>
    <w:p>
      <w:pPr>
        <w:spacing w:after="0" w:line="17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2012, the Board approved plans for the divestiture of a number of non-core businesses. On December 13, 2012, we completed the sale of the legacy Hamilton Sundstrand Industrial businesses to a private limited liability company formed by affiliates of BC Partners and affiliates of The Carlyle Group for $3.4 billion. On February 12, 2013 we completed the disposition of our UTC Power unit to ClearEdge Power. In connection with regulatory approval of the Goodrich acquisition, we completed the sale of the Goodrich pumps and engine controls business to Triumph Group, Inc. and the sale of the Goodrich electric power systems business to Safran S.A. for combined proceeds of approximately $600 million. We completed these transactions on March 18, 2013 and March 26, 2013, respectively. On May 17, 2013, we completed the sale of our Pratt &amp; Whitney Power Systems business to MHI and entered into a long-term engineering and manufacturing agreement with MHI. Cash received in connection with the sale was $432 million, excluding contingent consideration valued at approximately $200 million. On June 14, 2013, we completed the sale of Rocketdyne to GenCorp Inc. Cash generated from these divestitures was used to repay debt incurred to finance the Goodrich acquisition.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80" w:firstLine="432"/>
        <w:spacing w:after="0" w:line="312" w:lineRule="auto"/>
        <w:rPr>
          <w:sz w:val="20"/>
          <w:szCs w:val="20"/>
          <w:color w:val="auto"/>
        </w:rPr>
      </w:pPr>
      <w:r>
        <w:rPr>
          <w:rFonts w:ascii="Arial" w:cs="Arial" w:eastAsia="Arial" w:hAnsi="Arial"/>
          <w:sz w:val="16"/>
          <w:szCs w:val="16"/>
          <w:color w:val="auto"/>
        </w:rPr>
        <w:t>Tax payments related to discontinued operations were approximately $604 million for the nine months ended September 30, 2013, inclusive of approximately $91 million of tax benefit realized during the quarter ended September 30, 2013 reflecting the cash tax impact of transactions previously reported in discontinued operations. We do not expect remaining net tax payments related to these discontinued operations to be significant.</w:t>
      </w:r>
    </w:p>
    <w:p>
      <w:pPr>
        <w:spacing w:after="0" w:line="14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To manage the cash flow and liquidity impact of the Goodrich acquisition, we suspended share repurchases during 2012. In 2013, we resumed share repurchase activity and repurchased approximately $1 billion of our common stock in the nine months ended September 30, 2013. We expect 2013 full year share repurchases to be approximately $1.2 billion.</w:t>
      </w:r>
    </w:p>
    <w:p>
      <w:pPr>
        <w:spacing w:after="0" w:line="18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At September 30, 2013, we had revolving credit agreements with various banks permitting aggregate borrowings of up to $4 billion pursuant to a $2 billion revolving credit agreement and a $2 billion multicurrency revolving credit agreement, both of which expire in November 2016. As of September 30, 2013, there were no borrowings under either of these revolving credit agreements. The undrawn portions of our revolving credit agreements are also available to serve as backup facilities for the issuance of commercial paper. As of September 30, 2013, our maximum commercial paper borrowing authority as set by our Board of Directors was $4 billion. We use our commercial paper borrowings for general corporate purposes, including the funding of potential acquisitions and repurchases of our common stock.</w:t>
      </w:r>
    </w:p>
    <w:p>
      <w:pPr>
        <w:spacing w:after="0" w:line="19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continue to have access to the commercial paper markets and our existing credit facilities, and continue to expect strong generation of operating cash flows. While the impact of market volatility cannot be predicted, we believe we have sufficient operating flexibility, cash reserves and funding sources to maintain adequate amounts of liquidity and to meet our future operating cash needs.</w:t>
      </w:r>
    </w:p>
    <w:p>
      <w:pPr>
        <w:spacing w:after="0" w:line="18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Given our extensive international operations, most of our cash is denominated in foreign currencies.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19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September 30, 2013 and December 31, 2012, the amount of such restricted cash was approximately $40 million and $35 million, respectively, and is primarily included in current assets.</w:t>
      </w:r>
    </w:p>
    <w:p>
      <w:pPr>
        <w:spacing w:after="0" w:line="1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believe our future operating cash flows will be sufficient to meet our future operating cash needs. Further, despite our higher debt levels incurred to finance the Goodrich acquisition in 2012, our ability to obtain debt or equity financing, as well as the availability under committed credit lines, provides additional potential sources of liquidity should they be required or appropriate.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9"/>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4,891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4,651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Cash generated from operating activities of continuing operations in the first nine months of 2013 was $240 million higher than the same period in 2012, driven primarily by higher income from continuing operations of $360 million and non-cash depreciation and amortization charges of $288 million. During the first nine months of 2013, the net increase in working capital resulted in a cash outflow of $464 million, an increase of $315 million over the first nine months of 2012. The 2013 cash outflows for working capital were primarily driven by increases in inventory to support deliveries and other contractual commitments at Pratt &amp; Whitney and Sikorsky, contracts in progress at Otis and UTC Climate, Controls &amp; Security, as well as increases in accounts receivable at Pratt &amp; Whitney attributable to volume, partially offset by increases in accounts payable and accrued liabilities primarily at Pratt &amp; Whitney, Otis and Sikorsky and lower levels of accounts receivable at UTC Climate, Controls &amp; Security primarily attributable to seasonality.</w:t>
      </w:r>
    </w:p>
    <w:p>
      <w:pPr>
        <w:spacing w:after="0" w:line="16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funded status of our defined benefit pension plans is dependent upon many factors, including returns on invested assets and the level of market interest rates. We can contribute cash or company stock to our plans at our discretion, subject to applicable regulations. Total cash contributions to our global defined benefit pension plans during the first nine months of 2013 and 2012 were $72 million and $233 million, respectively. We expect to make total cash contributions of approximately $200 million to our global defined benefit pension plans in 2013. Our domestic pension plans are approximately 93% funded on a</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projected benefit obligation basis as of September 30, 2013 and we are not required to make additional contributions through the end of 2013. Contributions to our global defined benefit pension plans in 2013 are expected to meet or exceed the current funding requirements.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9"/>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567"/>
        <w:spacing w:after="0" w:line="297" w:lineRule="auto"/>
        <w:rPr>
          <w:sz w:val="20"/>
          <w:szCs w:val="20"/>
          <w:color w:val="auto"/>
        </w:rPr>
      </w:pPr>
      <w:r>
        <w:rPr>
          <w:rFonts w:ascii="Arial" w:cs="Arial" w:eastAsia="Arial" w:hAnsi="Arial"/>
          <w:sz w:val="16"/>
          <w:szCs w:val="16"/>
          <w:color w:val="auto"/>
        </w:rPr>
        <w:t>Cash flows used in investing activities of continuing operations for the nine months ended September 30, 2013 primarily reflect the net proceeds of approximately $1.5 billion from business dispositions, offset by capital expenditures of approximately $1.0 billion and payments related to our collaboration intangible assets and contractual rights to provide product on new aircraft platforms of approximately $740 million. Business dispositions include the sale of the legacy Goodrich pumps and engine controls business to Triumph Group, Inc. on March 18, 2013, the sale of the legacy Goodrich electric power systems business to Safran S.A. on March 26, 2013, and the sale of Pratt &amp; Whitney Power Systems to MHI on May 17, 2013.</w:t>
      </w:r>
    </w:p>
    <w:p>
      <w:pPr>
        <w:spacing w:after="0" w:line="226" w:lineRule="exact"/>
        <w:rPr>
          <w:sz w:val="20"/>
          <w:szCs w:val="20"/>
          <w:color w:val="auto"/>
        </w:rPr>
      </w:pPr>
    </w:p>
    <w:p>
      <w:pPr>
        <w:ind w:firstLine="540"/>
        <w:spacing w:after="0" w:line="273" w:lineRule="auto"/>
        <w:rPr>
          <w:sz w:val="20"/>
          <w:szCs w:val="20"/>
          <w:color w:val="auto"/>
        </w:rPr>
      </w:pPr>
      <w:r>
        <w:rPr>
          <w:rFonts w:ascii="Arial" w:cs="Arial" w:eastAsia="Arial" w:hAnsi="Arial"/>
          <w:sz w:val="17"/>
          <w:szCs w:val="17"/>
          <w:color w:val="auto"/>
        </w:rPr>
        <w:t>In October 2011, Pratt &amp; Whitney and Rolls-Royce announced their intention to form a new partnership to develop an engine to power future mid-size aircraft. In September 2013, following further discussion and because of the current regulatory environment, the parties have agreed not to proceed with the partnership. During the nine months ended September 30, 2013, we increased our collaboration intangible assets by approximately $550 million, including net payments of $335 million made under our 2012 agreement to acquire Rolls-Royce's collaboration interest in IAE and the September 2013 agreement not to proceed with the partnership with Rolls-Royce. Capital expenditures for the nine months ended September 30, 2013 primarily relate to investments in new programs at Pratt &amp; Whitney, and continuing Goodrich integration activities at UTC Aerospace Systems.</w:t>
      </w:r>
    </w:p>
    <w:p>
      <w:pPr>
        <w:spacing w:after="0" w:line="70"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Investments in businesses in the first nine months of 2013 included a number of small acquisitions, primarily in our commercial businesses. We expect total cash investments for acquisitions in 2013 to be approximately $250 million, including acquisitions completed during the first nine months of 2013. However, actual acquisition spending may vary depending upon the timing, availability and appropriate value of acquisition opportunities.</w:t>
      </w:r>
    </w:p>
    <w:p>
      <w:pPr>
        <w:spacing w:after="0" w:line="166"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Customer financing activities were a net use of cash of $121 million for the first nine months of 2013 and a net source of cash of $1 million for the first nine months of 2012. While we expect that 2013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$11.7 billion at September 30, 2013, including approximately $6.4 billion of IAE commitments, related to commercial aircraft and certain contractual rights to provide product on new aircraft platforms, of which up to $600 million may be required to be disbursed during the remainder of 2013. We had commercial aerospace financing and other contractual commitments of approximately $10.9 billion at December 31, 2012.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9"/>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provided by financing activities of continuing operations</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(4,226)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13,986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timing and levels of certain cash flow activities, such as acquisitions and repurchases of our stock, have resulted in the issuance of both long-term and short-term debt. In June 2012, we issued $9.8 billion of long-term debt and $1.1 billion of Equity Units, and in July 2012, we borrowed $2.0 billion from our term loan credit agreement and issued $3.2 billion of commercial paper primarily to partially finance our acquisition of Goodrich and pay related fees, expenses and other amounts due and payable by UTC as a result of the acquisition. Commercial paper borrowings and revolving credit facilities provide short-term liquidity to supplement operating cash flows and are used for general corporate purposes, including the funding of potential acquisitions and repurchases of our stock. We had approximately $100 million of outstanding commercial paper at September 30, 2013.</w:t>
      </w:r>
    </w:p>
    <w:p>
      <w:pPr>
        <w:spacing w:after="0" w:line="17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At September 30, 2013, management had authority to repurchase approximately 53.1 million shares under the share repurchase program announced on February 4, 2013. Under this program, shares may be purchased on the open market, in privately negotiated transactions and under plans complying with Rules 10b5-1 and 10b-18 under the Securities Exchange Act of 1934, as amended. We may also reacquire shares outside of the program from time to time in connection with the surrender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of shares to cover taxes on vesting of restricted stock. In connection with our acquisition of Goodrich, we suspended share repurchases during 2012. During the nine months ended September 30, 2013, we resumed repurchase activity and repurchased approximately 10.7 million shares of our common stock for approximately $1 billion. Our share repurchase levels are influenced by various factors, including the level of other investing activities.</w:t>
      </w:r>
    </w:p>
    <w:p>
      <w:pPr>
        <w:spacing w:after="0" w:line="14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paid dividends on Common Stock of $0.535 per share in the first quarter of 2013 totaling $465 million in the aggregate, $0.535 per share in the second quarter of 2013 totaling $465 million in the aggregate and $0.535 per share in the third quarter of 2013 totaling $465 million in the aggregate. On October 9, 2013, the Board of Directors declared a dividend of $0.59 per share payable December 10, 2013 to shareowners of record at the close of business on November 15, 2013.</w:t>
      </w:r>
    </w:p>
    <w:p>
      <w:pPr>
        <w:spacing w:after="0" w:line="187"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Discontinued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69"/>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discontinued operations</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(330)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Cash flows used in discontinued operations primarily relate to the completed divestitures of the legacy Hamilton Sundstrand Industrial businesses in December 2012 and Rocketdyne on June 14, 2013. Tax payments related to discontinued operations were approximately $603 million for the nine months ended September 30, 2013, inclusive of approximately $91 million of cash tax benefit realized during the quarter ended September 30, 2013 reflecting the tax impact of transactions reported in discontinued operations. We do not expect remaining net tax payments related to these discontinued operations to be significant. Net cash flows used in discontinued operations for the nine months ended September 30, 2013 includes positive cash flows of approximately $400 million related to the sale of Rocketdyne, and cash flows from the operating activities of Rocketdyne and of UTC Power, through its date of disposition of February 12, 2013, as well as payments made in settlement of liabilities, transaction costs, and interim funding of UTC Power and of Clipper, which was divested in 2012.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our 2012 Annual Report, incorporated by reference in our 2012 Form 10-K, we disclosed our off-balance sheet arrangements and contractual obligations. As of September 30, 2013, there have been no material changes to these off-balance sheet arrangements and contractual obligations outside the ordinary course of business except as otherwise disclosed.</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finalizing the purchase accounting for the acquisition of Goodrich, we finalized the fair value measurement of our existing customer contractual obligations which resulted in an incremental $200 million of obligations recognized during the second quarter of 2013. Based on the estimated net cash outflows of the OEM developmental programs plus a reasonable contracting profit margin required to transfer the contracts to market participants, we recorded total assumed liabilities of approximately $2.2 billion. These liabilities will be liquidated in accordance with the underlying economic pattern of obligations, as reflected by the net cash outflows incurred on the OEM contracts. Total consumption of the contractual obligation through the next five years is expected to be as follows: $70 million remaining in 2013, $274 million in 2014, $213 million in 2015, $242 million in 2016, $233 million in 2017 and $894 million thereafter.</w:t>
      </w:r>
    </w:p>
    <w:p>
      <w:pPr>
        <w:spacing w:after="0" w:line="189" w:lineRule="exact"/>
        <w:rPr>
          <w:sz w:val="20"/>
          <w:szCs w:val="20"/>
          <w:color w:val="auto"/>
        </w:rPr>
      </w:pPr>
    </w:p>
    <w:p>
      <w:pPr>
        <w:ind w:right="460" w:firstLine="432"/>
        <w:spacing w:after="0" w:line="259" w:lineRule="auto"/>
        <w:rPr>
          <w:sz w:val="20"/>
          <w:szCs w:val="20"/>
          <w:color w:val="auto"/>
        </w:rPr>
      </w:pPr>
      <w:r>
        <w:rPr>
          <w:rFonts w:ascii="Arial" w:cs="Arial" w:eastAsia="Arial" w:hAnsi="Arial"/>
          <w:sz w:val="18"/>
          <w:szCs w:val="18"/>
          <w:color w:val="auto"/>
        </w:rPr>
        <w:t>On June 14, 2013 we completed the sale of substantially all operations of Rocketdyne to GenCorp Inc. Following the sale, certain guarantees of Rocketdyne's performance under existing contracts remain in place, which resulted in an increase in our performance guarantees of approximately $124 million, with no associated significant carrying amount of a liability as of September 30, 2013. There have been no other material changes to guarantees outstanding since December 31, 2012.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nine months ended September 30, 2013. For discussion of our exposure to market risk, refer to Part II, Item 7A, “Quantitative and Qualitative Disclosures About Market Risk,” contained in our 2012 Form 10-K.</w:t>
      </w:r>
    </w:p>
    <w:p>
      <w:pPr>
        <w:spacing w:after="0" w:line="35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Chairman &amp; Chief Executive Officer (CEO), the Senior Vice President and Chief Financial Officer (CFO) and the Acting Controller and Assistant Controller, Financial Reporting (Controller), of the effectiveness of the design and operation of our disclosure controls and procedures as of September 30, 2013.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September 30, 2013,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78"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three months ended September 30, 2013, that has materially affected, or is reasonably likely to materially affect, our internal control over financial reporting.</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122" w:right="31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19"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and other measures of financial performance.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69" w:lineRule="exact"/>
        <w:rPr>
          <w:sz w:val="20"/>
          <w:szCs w:val="20"/>
          <w:color w:val="auto"/>
        </w:rPr>
      </w:pPr>
    </w:p>
    <w:p>
      <w:pPr>
        <w:ind w:left="820" w:right="60" w:hanging="326"/>
        <w:spacing w:after="0" w:line="25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difficulties (including bankruptcy) of commercial airlines, the impact of weather conditions and natural disasters and the financial condition of our customers and suppliers;</w:t>
      </w:r>
    </w:p>
    <w:p>
      <w:pPr>
        <w:spacing w:after="0" w:line="188"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the acquired Goodrich operations and to realize synergies and opportunities for growth and innovation;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intended benefits of recently announced organizational changes;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reduction efforts and restructuring costs and savings and other consequences thereof;</w:t>
      </w:r>
    </w:p>
    <w:p>
      <w:pPr>
        <w:spacing w:after="0" w:line="22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nature, impact or timing of acquisition, divestiture and joint venture activity, including integration of other acquired businesses into our existing businesses;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development, production, delivery, support, performance and anticipated benefits of advanced technologies and new products and services;</w:t>
      </w:r>
    </w:p>
    <w:p>
      <w:pPr>
        <w:spacing w:after="0" w:line="248" w:lineRule="exact"/>
        <w:rPr>
          <w:rFonts w:ascii="Arial" w:cs="Arial" w:eastAsia="Arial" w:hAnsi="Arial"/>
          <w:sz w:val="16"/>
          <w:szCs w:val="16"/>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customer driven cost and product efficiency initiatives;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legal proceedings and other contingencies;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repurchases of our common stock;</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225" w:lineRule="exact"/>
        <w:rPr>
          <w:rFonts w:ascii="Arial" w:cs="Arial" w:eastAsia="Arial" w:hAnsi="Arial"/>
          <w:sz w:val="18"/>
          <w:szCs w:val="18"/>
          <w:color w:val="auto"/>
        </w:rPr>
      </w:pPr>
    </w:p>
    <w:p>
      <w:pPr>
        <w:ind w:left="820" w:right="40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changes in tax, environmental and other laws and regulations or political conditions in the U.S. and other countries in which we operate.</w:t>
      </w:r>
    </w:p>
    <w:p>
      <w:pPr>
        <w:spacing w:after="0" w:line="170"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 Accounting Estimates,” “Results of Operations,” and “Liquidity and Financial Condition,” and the section titled “Risk Factors” in this Form 10-Q and in our 2012 Form 10-K. Our Form 10-K also includes important information as to these factors in the “Business” section under the headings “General,” “Description of Business by Segment” and “Other Matters Relating to Our Business as a Whole,” and in the “Legal Proceedings” section. Additional important information as to these factors is included</w:t>
      </w:r>
    </w:p>
    <w:p>
      <w:pPr>
        <w:sectPr>
          <w:pgSz w:w="11900" w:h="16838" w:orient="portrait"/>
          <w:cols w:equalWidth="0" w:num="1">
            <w:col w:w="11320"/>
          </w:cols>
          <w:pgMar w:left="240" w:top="122" w:right="339" w:bottom="1440" w:gutter="0" w:footer="0" w:header="0"/>
        </w:sect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20"/>
          </w:cols>
          <w:pgMar w:left="240" w:top="122" w:right="33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our 2012 Annual Report in the section titled “Management’s Discussion and Analysis of Financial Condition and Results of Operations” under the headings “Environmental Matters” and “Restructuring Costs.” The forward-looking statements speak only as of the date of this Form 10-Q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F100 Engine Litigation</w:t>
      </w:r>
    </w:p>
    <w:p>
      <w:pPr>
        <w:spacing w:after="0" w:line="26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As previously disclosed, the United States government sued us in 1999 in the United States District Court for the Southern District of Ohio, claiming that Pratt &amp; Whitney violated the civil False Claims Act and common law. The claims relate to the “Fighter Engine Competition” between Pratt &amp; Whitney's F100 engine and General Electric's F110 engine. The government alleged that it overpaid for F100 engines under contracts awarded by the U.S. Air Force in fiscal years 1985 through 1990 because Pratt &amp; Whitney inflated its estimated costs for some purchased parts and withheld data that would have revealed the overstatements. At trial, which ended in April, 2005, the government claimed Pratt &amp; Whitney's liability to be approximately $624 million. On August 1, 2008, the trial court held that the Air Force had not suffered any actual damages because Pratt &amp; Whitney had made significant price concessions after the alleged overstatements were made. However, the trial court judge found that Pratt &amp; Whitney violated the False Claims Act due to inaccurate statements contained in its 1983 initial engine pricing proposal. In the absence of actual damages, the trial court awarded the government the maximum civil penalty of approximately $7 million, or $10,000 for each of the 709 invoices Pratt &amp; Whitney submitted in 1989 and later under the contracts. In September 2008, both the government and UTC appealed the decision to the United States Court of Appeals for the Sixth Circuit. On November 18, 2010, the Sixth Circuit affirmed Pratt &amp; Whitney's liability under the False Claims Act, but remanded the case to the trial court for further proceedings on the issues of False Claims Act damages and common law liability and damages.</w:t>
      </w:r>
    </w:p>
    <w:p>
      <w:pPr>
        <w:spacing w:after="0" w:line="12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June 18, 2012, the trial court found that Pratt &amp; Whitney had breached obligations imposed by common law based on the same conduct with respect to which the court previously found liability under the False Claims Act. Under the common law claims, the U.S. Air Force is entitled to seek damages for events occurring before March 3, 1989, which are not recoverable under the False Claims Act.</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June 17, 2013, the trial court awarded the government approximately $473 million in damages and penalties, plus prejudgment interest in an amount to be determined. On July 1, 2013, the trial court, after determining the amount of prejudgment interest, entered judgment in favor of the government in the amount of approximately $664 million. The trial court also awarded postjudgment interest on the full amount of the judgment to accrue from July 2, 2013, at the federal variable interest rate determined pursuant to 28 U.S.C. § 1961. The judgment included four different components of damages: (1) common law damages of approximately $109 million; (2) prejudgment interest on common law damages of approximately $191 million; (3) False Claims Act treble damages of approximately $357 million; and (4) penalties of approximately $7 million. The penalty component of the judgment previously was affirmed by the United States Court of Appeals in 2010.</w:t>
      </w:r>
    </w:p>
    <w:p>
      <w:pPr>
        <w:spacing w:after="0" w:line="13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strongly disagree with the trial court's analysis and conclusions. We filed an appeal from the judgment to the United States Court of Appeals for the Sixth Circuit on August 26, 2013. Based on our analysis, we continue to believe that there is no basis for any common law liability for the inaccurate statements. We also believe that the government suffered no actual damages as a result of the inaccurate statements made in 1983 and, therefore, there is no basis in fact or law for the award of common law damages, prejudgment interest or False Claims Act treble damages. If, contrary to our expectations, all or any portion of the judgment should ultimately be affirmed, we estimate a range of possible loss from approximately $24 million to $657 million in excess of amounts previously accrued, plus postjudgment interest. The outcome of this matter could result in a material adverse effect on our results of operations in the period in which a liability would be recognized and cash flows for the period in which damages would be paid.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October 31, 2012, a shareholder filed a stockholder derivative action in the Delaware Court of Chancery against all of</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2" w:right="25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UTC's current directors. The complaint centers on the June 28, 2012 guilty plea of P&amp;WC to violations of the U.S. Arms Export Control Act and International Traffic in Arms Regulations, and making false statements in connection with its illegal export to China of U.S.-origin military software used in the development of a Chinese military attack helicopter, the Z-10. The complaint alleges, among other things, that UTC's directors breached their fiduciary duties owed to UTC and its shareholders and committed “corporate waste” by failing to oversee adequately UTC's export control compliance. The complaint also alleges that UTC's directors “failed to ensure” that there were adequate internal controls to assure compliance. The complaint seeks declaratory and injunctive relief against UTC, including an order removing and replacing the directors, and asserts a claim for unspecified money damages against only the directors. On June 18, 2013, the Chancery Court issued an order granting the directors' motion to dismiss the case, with prejudice. The shareholder has appealed this decision. We do not believe the resolution of this matter will have a material adverse effect on our competitive position, results of operations, cash flows or financial condition.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Defense Cost Accounting Standards Claim</w:t>
      </w:r>
    </w:p>
    <w:p>
      <w:pPr>
        <w:spacing w:after="0" w:line="18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As previously disclosed, in December 2008, the Department of Defense (DOD) issued a contract claim against Sikorsky to recover overpayments the DOD alleges that it made to Sikorsky since January 2003 in connection with cost accounting changes approved by the DOD and implemented by Sikorsky in 1999 and 2006. These changes relate to the calculation of material overhead rates in government contracts. The DOD claimed that Sikorsky's liability was approximately $96 million (including interest through September 30, 2013). We believed this claim was without merit and Sikorsky filed an appeal in December 2009 with the U.S. Court of Federal Claims. Trial in the matter concluded in January 2013 and on March 22, 2013, the U.S. Court of Federal Claims issued a written decision in favor of Sikorsky determining that the DOD had failed to prove its claims because Sikorsky's calculation of material overhead complied with the cost accounting standards. DOD has appealed this decision. We do not believe the ultimate resolution of this matter will have a material adverse effect on our competitive position, results of operations, cash flows or financial condition.</w:t>
      </w:r>
    </w:p>
    <w:p>
      <w:pPr>
        <w:spacing w:after="0" w:line="247"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Except as otherwise noted above, there have been no material developments in legal proceedings. For a description of previously reported legal proceedings refer to Part I, Item 3, “Legal Proceedings,” of our 2012 Form 10-K.</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Our business, financial condition, operating results and cash flows can be impacted by the factors set forth below, any one of which could cause our actual results to vary materially from recent results or from our anticipated future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2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Over the past few years, market and economic conditions in the U.S. and globally have been highly challenging with tighter credit conditions and slower economic growth. The U.S. economy has experienced a recession and faces continued concerns about the systemic impacts of adverse economic conditions such as the growing U.S. deficit, high energy costs, geopolitical issues, the availability and cost of credit, and an unstable real estate market. In 2012, the global economy improved as compared to 2011 and continued to show signs of a gradual recovery from the significant downturn of 2008 and 2009 when the global economy experienced widespread recessionary conditions, record levels of unemployment, significant distress of financial institutions, extreme volatility in security prices, severely diminished liquidity and credit availability, rating downgrades of certain investments and declining valuations of others. However, despite positive economic indicators seen since the beginning of 2011, uncertainty continues to exist as to the overall rate and stability of the recovery. Despite a recent slowdown in growth rates in China and other emerging economies, global gross domestic product growth continues to be led by emerging markets. In the developed economies, particularly in Europe, economic conditions continue to stagnate. Further disruptions in Europe or in other economies could affect our sales or liquidity.</w:t>
      </w:r>
    </w:p>
    <w:p>
      <w:pPr>
        <w:spacing w:after="0" w:line="178"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While improvement in the global economy remains uneven, in the U.S., economic conditions have continued to rebound on improving consumer sentiment, lower unemployment rates, an improving housing market and increasing commercial construction. However, U.S. Government deficit reduction measures, the recent U.S. Government shut-down, the Congressional fight over the debt ceiling and the impact of sequestration have increased market uncertainties and adversely affected our military businesses. There continues to be fiscal uncertainty in Europe while emerging markets have shown continued but modest strength. There can be no assurance that any of the recent economic improvements will be broad-based and sustainable, or that they will enhance conditions in markets relevant to us. Further, there can be no assurance that we will not experience further adverse effects that may be material to our cash flows, competitive position, financial condition, results of operations, or our ability to access capital. While these economic developments have not impaired our ability to access credit markets and finance our operations to date, there can be no assurance that there will not be a further deterioration in financial</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markets and confidence in major economies. These economic developments affect businesses such as ours in a number of ways. The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 spending, air travel, construction activity, the financial strength of airlines and business jet operators, and government procurement. Strengthening of the rate of exchange for the U.S. Dollar against certain major currencies such as the Euro, the Canadian Dollar and other currencies could also adversely affects our results, as the majority of our sales are non-U.S. based.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Construction and Aerospace Industries.</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results of our commercial and industrial businesses, which generated approximately 51 percent of our consolidated sales in 2012, are influenced by a number of external factors including fluctuations in residential and commercial construction activity, regulatory changes, interest rates, labor costs, foreign currency exchange rates, customer attrition, raw material and energy costs, the tightening of global credit markets, and other global and political factors. For example, a slowdown in building and remodeling activity can adversely affect the financial performance of Otis and UTC Climate, Controls &amp; Security. In addition, the financial performance of UTC Climate, Controls &amp; Security can also be influenced by production and utilization of transport equipment and, particularly in its residential business, weather conditions.</w:t>
      </w:r>
    </w:p>
    <w:p>
      <w:pPr>
        <w:spacing w:after="0" w:line="193"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The results of our commercial and military aerospace businesses, which generated approximately 49 percent of our consolidated sales in 2012, are directly tied to the economic conditions in the commercial aviation and defense industries, which are cyclical in nature. Although the operating environment currently faced by commercial airlines has shown signs of gradual improvement since 2011, uncertainty continues to exist. As a result, financial difficulties, including bankruptcy, of one or more of the major commercial airlines could result in significant cancellations of orders, reductions in our aerospace sales and losses under existing contracts. In addition, capital spending and demand for aircraft engines, aerospace products and component aftermarket parts and service by commercial airlines, aircraft operators and aircraft manufacturers are influenced by a wide variety of factors, including current and predicted traffic levels, load factors, aircraft fuel pricing, labor issues, worldwide airline profits, airline consolidation, competition, the retirement of older aircraft, regulatory changes, terrorism and related safety concerns, general economic conditions, corporate profitability, and backlog levels, all of which could reduce the aftermarket sales and margins of our aerospace businesses. Other factors, including future terrorist actions, pandemic health issues or major natural disasters, could also dramatically reduce the demand for air travel, which could negatively impact the aftermarket sales and margins of our aerospace businesses. Additionally, because a substantial portion of the backlog for commercial aerospace customers is scheduled for delivery beyond 2013,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U.S. Government deficit reduction measures, the recent U.S. Government shut-down, the Congressional fight over the debt ceiling and the impact of sequestration have increased market uncertainty and adversely affected our military businesses. Should these factors continue and overall U.S. Government defense spending decline, it could result in significant reductions to revenue, cash flow, profit and backlog for our military businesses. Spare parts sales and aftermarket service trends are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 material adverse effect on our competitive position, results of operations, cash flows or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171"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relating to certain of our U.S. Government contracts. If we or one of our business units were charged with wrongdoing as a result of any U.S. Government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investigation (including violation of certain environmental or export laws, as further described below), the U.S. Government could suspend us from bidding on or receiving awards of new U.S. Government contracts pending the completion of legal proceedings. If convicted or found liable, the U.S. Government could subject us to fines, penalties, repayments and treble and other damages, and/or bar us from bidding on or receiving new awards of U.S. Government contracts.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We are also sensitive to U.S. military budgets, which may be impacted by numerous economic and political factors and which may fluctuate based on the policies of the current administration or Congress. In addition, the specific government programs in which we participate or in which we may seek to participate in the future, compete with other programs for consideration during the budget formulation and appropriation processes. One or more of the programs that we currently support could be phased-out or terminated. Reductions in these existing programs, unless offset by other programs and opportunities, could have a material adverse effect on our competitive position, results of operations, cash flows or financial condition.</w:t>
      </w:r>
    </w:p>
    <w:p>
      <w:pPr>
        <w:spacing w:after="0" w:line="2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Foreign Currency Fluctuations, Economic Conditions and Changes in Local Government Regulation.</w:t>
      </w:r>
    </w:p>
    <w:p>
      <w:pPr>
        <w:spacing w:after="0" w:line="170"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We conduct our business on a global basis, with approximately 60 percent of our 2012 consolidated sales derived from international operations, including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 we pay suppliers for materials used in our products. As a result, our operating margins may also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sales are non-U.S. based, a strengthening of the U.S. Dollar against other major foreign currencies could adversely affect our results of operations.</w:t>
      </w:r>
    </w:p>
    <w:p>
      <w:pPr>
        <w:spacing w:after="0" w:line="17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majority of sales in the aerospace businesses are transacted in U.S. Dollars, consistent with established industry practice, while the majority of costs at locations outside the U.S. are incurred in the applicable local currency (principally the Euro, the Canadian Dollar, and the Polish Zloty). For operating units with U.S. Dollar sales and local currency costs, there is foreign currency exposure that could impact our results of operations depending on market changes in the exchange rate of the U.S. Dollar against the applicable foreign currencies. To manage certain exposures, we employ long-term hedging strategies associated with U.S. Dollar sales. See Note 1 and Note 14 to the Consolidated Financial Statements in our 2012 Annual Report and Note 9 to the Condensed Consolidated Financial Statements in this Form 10-Q for further discussion of our hedging strategies.</w:t>
      </w:r>
    </w:p>
    <w:p>
      <w:pPr>
        <w:spacing w:after="0" w:line="17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international sales and operations are subject to risks associated with changes in local government laws, regulations and policies, including those related to tariffs and trade barriers, investments, taxation, exchange controls, capital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w:t>
      </w:r>
    </w:p>
    <w:p>
      <w:pPr>
        <w:spacing w:after="0" w:line="18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addition, as part of our globalization strategy, we have invested in certain countries, including Argentina, Brazil, China, India, Mexico, Russia, South Africa and countries in the Middle East, that carry high levels of currency, political, compliance and economic risk. We expect that sales to emerging markets will continue to account for a significant portion of our sales as our business evolves and as these and other developing nations and regions around the world increase their demand for our products. Emerging market operations can present many risks, including cultural differences (such as employment and business practices), volatility in gross domestic product, economic and government instability, and the imposition of exchange controls and capital controls. While these factors and their impact are difficult to predict, any one or more of them could have a material adverse effect on our competitive position, results of operations, cash flows or financial condition.</w:t>
      </w:r>
    </w:p>
    <w:p>
      <w:pPr>
        <w:spacing w:after="0" w:line="2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reliance on suppliers, third party contract manufacturing and commodity markets to secure raw materials, parts, components and sub-systems used in our products exposes us to volatility in the prices and availability of these materials. In many instances, we depend upon a single source of supply, manufacturing or assembly or participate in commodity markets that may be subject to allocations of limited supplies by suppliers. A disruption in deliveries from our suppliers or third party contract manufacturers, supplier capacity constraints, supplier and third party contract manufacturer production disruptions, closing or bankruptcy of our suppliers, price increases, or decreased availability of raw materials or commodities, could have a material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 material adverse effect on our competitive position, results of operations, cash flows or financial condition.</w:t>
      </w:r>
    </w:p>
    <w:p>
      <w:pPr>
        <w:spacing w:after="0" w:line="29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We Engage in Acquisitions and Divestitures, and May Encounter Difficulties Integrating Acquired Businesses with, or Disposing of Divested Businesses From, Our Current Operations; Therefore, We May Not Realize the Anticipated Benefits of these Acquisitions and Divestitures.</w:t>
      </w:r>
    </w:p>
    <w:p>
      <w:pPr>
        <w:spacing w:after="0" w:line="124"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We seek to grow through strategic acquisitions in addition to internal growth. In the past several years, we have made various acquisitions and have entered into joint venture arrangements intended to complement and expand our businesses, and expect to do so in the future. For example, on June 29, 2012, Pratt &amp; Whitney acquired Rolls-Royce's ownership and collaboration interests in IAE, and on July 26, 2012, we completed our acquisition of Goodrich. Our due diligence reviews may not identify all of the material issues necessary to accurately estimate the cost and potential loss contingencies of a particular transaction, including potential exposure to regulatory sanctions resulting from an acquisition target’s previous activities. We may incur unanticipated costs or expenses, including post-closing asset impairment charges, expenses associated with eliminating duplicate facilities, litigation, and other liabilities. We also may encounter difficulties in integrating acquisitions with our operations, applying our internal controls processes to these acquisitions, or in managing strategic investments. Additionally, we may not realize the degree or timing of benefits we anticipate when we first enter into a transaction. Any of the foregoing could adversely affect our business and results of operations. In addition, accounting requirements relating to business combinations, including the requirement to expense certain acquisition costs as incurred, may cause us to incur greater earnings volatility and generally lower earnings during periods in which we acquire new businesses. Furthermore, we make strategic divestitures from time to time. For example, we completed the disposition of UTC Power to ClearEdge Power in February 2013, the disposition of the legacy Hamilton Sundstrand Industrial businesses to affiliates of BC Partners and The Carlyle Group in December 2012, and the disposition of Clipper to a private equity acquirer in August 2012. Additionally, in June 2013 we completed the sale of substantially all operations of our Pratt &amp; Whitney Rocketdyne business to GenCorp Inc., and in May 2013 we completed the sale of our Pratt &amp; Whitney Power Systems unit to Mitsubishi Heavy Industries. Our divestitures may result in continued financial involvement in the divested businesses, such as through guarantees or other financial arrangements, following the transaction. Under these arrangements, nonperformance by those divested businesses could result in obligations imposed on us and could have a material adverse effect on our competitive position, results of operations, cash flows or financial condition. The success of future acquisitions and divestitures will depend on the satisfaction of conditions precedent to, and consummation of, the pending transactions, the timing of consummation of these pending transactions, and the ability of the parties to secure any required regulatory approvals in a timely manner.</w:t>
      </w:r>
    </w:p>
    <w:p>
      <w:pPr>
        <w:spacing w:after="0" w:line="24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The Acquired Goodrich Business May Underperform Relative to Our Expectations; The Transaction May Cause Our Financial Results to Differ From Our Expectations or the Expectations of the Investment Community; We May Not Be Able to Achieve Anticipated Cost Savings or Other Anticipated Synergies.</w:t>
      </w:r>
    </w:p>
    <w:p>
      <w:pPr>
        <w:spacing w:after="0" w:line="181"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The success of the Goodrich acquisition will continue to depend, in part, on our ability to realize the anticipated synergies, cost savings and growth opportunities from the integration of Goodrich with our existing businesses. The integration process is complex, costly and time-consuming. The potential difficulties of integrating the operations of Goodrich and realizing our expectations for the acquisition include, among others:</w:t>
      </w:r>
    </w:p>
    <w:p>
      <w:pPr>
        <w:spacing w:after="0" w:line="220"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issues in integrating manufacturing, logistics, information, communications and other systems;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risks inherent in the Goodrich business and our business;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retaining key customers, suppliers and employees;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22" w:right="27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and obtaining required regulatory approvals, licenses and permits;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changes in the combined business due to divestitures imposed by antitrust regulators;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on our internal controls and compliance with the regulatory requirements under the Sarbanes-Oxley Act of 2002.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Debt Has Increased As a Result of the Goodrich Acquisition and Will Increase If We Incur Additional Debt in the Future and Do Not Retire Existing Debt.</w:t>
      </w:r>
    </w:p>
    <w:p>
      <w:pPr>
        <w:spacing w:after="0" w:line="17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have outstanding debt and other financial obligations and significant unused borrowing capacity. We have incurred substantial additional debt as a result of the Goodrich acquisition. As of September 30, 2013, we had approximately $21.2 billion of total debt on a consolidated basis. Our debt level and related debt service obligations could have negative consequences, including, among others:</w:t>
      </w:r>
    </w:p>
    <w:p>
      <w:pPr>
        <w:spacing w:after="0" w:line="181" w:lineRule="exact"/>
        <w:rPr>
          <w:sz w:val="20"/>
          <w:szCs w:val="20"/>
          <w:color w:val="auto"/>
        </w:rPr>
      </w:pPr>
    </w:p>
    <w:p>
      <w:pPr>
        <w:ind w:left="900" w:right="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us to dedicate significant cash flow from operations to the payment of principal and interest on our debt, which would reduce the funds we have available for other purposes, such as acquisitions and reinvestment in our businesses;</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our flexibility in planning for or reacting to changes in our business and market conditions;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exposing us to interest rate risk since a portion of our debt obligations are at variable rates.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may incur significantly more debt in the future. If we add new debt and do not retire existing debt, the risks described above could increase.</w:t>
      </w:r>
    </w:p>
    <w:p>
      <w:pPr>
        <w:spacing w:after="0" w:line="23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global and domestic revolving credit facilities impose restrictions on us, including certain restrictions on our ability to incur liens on our assets. Our revolving credit facilities are available for general corporate purposes. There are currently no amounts outstanding under these credit facilities. Our long-term debt obligations include covenants that may adversely affect our ability to incur certain secured indebtedness or engage in certain types of sale and leaseback transactions. Our ability to comply with these restrictions and covenants may be affected by events beyond our control. If we breach any of these restrictions or covenants and do not obtain a waiver from the lenders, then, subject to applicable cure periods, our outstanding indebtedness could be declared immediately due and payable.</w:t>
      </w:r>
    </w:p>
    <w:p>
      <w:pPr>
        <w:spacing w:after="0" w:line="3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170"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We seek to achieve growth through the design, development, production, sale and support of innovative products that incorporate advanced technologies. The product, program and service needs of our customers change and evolve regularly, and we invest substantial amounts in research and development efforts to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supplier- and internally-produced parts and materials; performance of suppliers and subcontractors; hiring and training of qualified personnel; achieving cost and production efficiencies; identification of emerging technological trends in our target end-markets; validation of innovative technologies; the level of customer interest in new technologies and products; and customer acceptance of our products and products that incorporate technologies we develop. For example, certain of our aerospace products are incorporated into larger systems and end products manufactured by our customers. These systems and end products may incorporate additional technologies manufactured by third parties and involve additional risks and uncertainties. As a result, the performance and market acceptance of these larger systems and end products could affect the level of customer interest and acceptance of our own products in the marketplace.</w:t>
      </w:r>
    </w:p>
    <w:p>
      <w:pPr>
        <w:spacing w:after="0" w:line="18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Any development efforts divert resources from other potential investments in our businesses, and these efforts may not lead to the development of new technologies or products on a timely basis or meet the needs of our customers as fully as competitive offerings. In addition, the markets for our products or products that incorporate our technologies may not develop or grow as we anticipate. We or our customers, suppliers or subcontractors may encounter difficulties in developing and producing new products and services, and may not realize the degree or timing of benefits initially anticipated or may otherwise suffer significant adverse financial consequences. Due to the design complexity of our products, we may in the future experience delays in completing the development and introduction of new products. Any delays could result in increased development costs or deflect resources from other projects. In particular, we cannot predict with certainty whether, when and in what quantities our aerospace businesses will produce and sell aircraft engines, helicopters, aircraft systems and components and other products currently in development or pending required certifications. Our contracts are typically awarded on a competitive basis. Our bids are based upon, among other items, the cost to provide the products and services. To generate an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2" w:right="25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acceptable return on our investment in these contracts, we must be able to accurately estimate our costs to provide the services required by the contract and to be able to complete the contracts in a timely manner. If we fail to accurately estimate our costs or the time required to complete a contract, the profitability of our contracts may be materially and adversely affected. Some of our contracts provide for liquidated damages in the event that we are unable to perform and deliver in accordance with the contractual specifications and schedule. Furthermore, we cannot be sure that our competitors will not develop competing technologies which gain market acceptance in advance of or instead of our products. The possibility exists that our competitors might develop new technology or offerings that might cause our existing technology and offerings to become obsolete. Any of the foregoing could have a material adverse effect on our competitive position, results of operations, cash flows or financial condition.</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Exports of Certain of Our Products Are Subject to Various Export Control Regulations and May Require a License From the U.S. Department of State, the U.S. Department of Commerce or the U.S. Department of the Treasury.</w:t>
      </w:r>
    </w:p>
    <w:p>
      <w:pPr>
        <w:spacing w:after="0" w:line="143"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As an exporter, we must comply with various laws and regulations relating to the export of products, services and technology from the U.S. and other countries having jurisdiction over our operations. In the U.S., these laws include, among others, the U.S. Export Administration Regulations (EAR) administered by the U.S. Department of Commerce, Bureau of Industry and Security, the International Traffic in Arms Regulations (ITAR) administered by the U.S. Department of State, Directorate of Defense Trade Controls (DDTC), and trade sanctions, regulations and embargoes administered by the U.S. Department of the Treasury, Office of Foreign Assets Control. Certain of our products have military or strategic applications and are on the munitions list of the ITAR, or represent so-called “dual use” items governed by the EAR. As a result, these products require individual validated licenses in order to be exported to certain jurisdictions. Any failures to comply with these laws and regulations could result in civil or criminal penalties, fines, investigations, adverse publicity and restrictions on our ability to export our products, and repeat failures could carry more significant penalties. As previously disclosed, on June 28, 2012, we entered into a consent agreement with the DDTC and a deferred prosecution agreement with the U.S. Department of Justice regarding separate but related export licensing compliance violations, both of which impose significant continuing obligations. In connection with the foregoing, we entered into an administrative agreement with the Department of the Army Suspension and Debarment Official, in which Army officials determined that we are presently responsible and that further action is not necessary pursuant to the Federal Acquisition Regulation and National Defense Appropriations Act. Any changes in export regulations may further restrict the export of our products. The length of time required by the licensing processes can vary, potentially delaying the shipment of products and the recognition of the corresponding revenue. Any restrictions on the export of our products or product lines could have a material adverse effect on our competitive position, results of operations, cash flows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Tax, Environmental and Other Legal Compliance Risks.</w:t>
      </w:r>
    </w:p>
    <w:p>
      <w:pPr>
        <w:spacing w:after="0" w:line="225"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We are subject to a variety of litigation, tax and other legal compliance risks. These risks include, among other things, possible liability relating to product liability matters, personal injuries, intellectual property rights, contract-related claims, government contracts, taxes, environmental matters and compliance with U.S. and foreign laws, competition laws and laws governing improper business practices. We or one of our business units could be charged with wrongdoing as a result of such matters. If convicted or found liable, we could be subject to significant fines, penalties, repayments, other damages (in certain cases, treble damages). As a global business, we are subject to complex laws and regulations in the U.S. and other countries in which we operate. Those laws and regulations may be interpreted in different ways. They may also change from time to time, as may related interpretations and other guidance. Changes in laws or regulations could result in higher expenses and payments, and uncertainty relating to laws or regulations may also affect how we conduct our operations and structure our investments and could limit our ability to enforce our rights. Changes in environmental and climate change laws or regulations, including laws relating to greenhouse gas emissions, could lead to new or additional investment in product designs and could increase environmental compliance expenditures. Changes in climate change concerns, or in the regulation of such concerns, including greenhouse gas emissions, could subject us to additional costs and restrictions, including increased energy and raw materials costs.</w:t>
      </w:r>
    </w:p>
    <w:p>
      <w:pPr>
        <w:spacing w:after="0" w:line="17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the area of taxes, changes in tax laws and regulations, as well as changes in related interpretations and other tax guidance could materially impact our tax receivables and liabilities and our deferred tax assets and deferred tax liabilities. Additionally, in the ordinary course of business we are subject to examinations by various authorities, including tax authorities. In addition to ongoing investigations, there could be additional investigations launched in the future by governmental authorities in various jurisdictions, and existing investigations could be expanded.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2" w:right="25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or there is a reasonable possibility that a loss or additional loss may have been incurred and determine if accruals and related disclosures are appropriate. Subsequent developments in legal proceedings may affect our assessment and estimates of the loss contingency recorded as a liability or as a reserve against assets in our financial statements and could result in a material adverse effect on our results of operations in the period in which a liability would be recognized or cash flows or financial position for the period in which damages would be paid. For a description of current legal proceedings, see Part I, Item 3 “Legal Proceedings,” in our Form 10-K, as updated from time to time in subsequent filings, including this Form 10-Q. For income tax risks, we recognize tax benefits based on our assessment that a tax benefit has a greater than 50 percent likelihood of being sustained upon ultimate settlement with the applicable taxing authority that has full knowledge of all relevant facts. For those income tax positions where we assess that there is not a greater than 50 percent likelihood that such tax benefits will be sustained, we do not recognize a tax benefit in our financial statements. Subsequent events may cause us to change our assessment of the likelihood of sustaining a previously-recognized benefit which could result in a material adverse effect on our financial condition or results of operations in the period in which any such event occurs or on our cash flows in the period in which the ultimate settlement with the applicable taxing authority occurs. See Note 6 to the Condensed Consolidated Financial Statements in this Form 10-Q for further discussion on income taxes.</w:t>
      </w:r>
    </w:p>
    <w:p>
      <w:pPr>
        <w:spacing w:after="0" w:line="18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the U.S. Foreign Corrupt Practices Act (FCPA) and similar worldwide anti-bribery laws in non-U.S. jurisdictions generally prohibit companies and their intermediaries from making improper payments to non-U.S. officials for the purpose of obtaining or retaining business. The FCPA applies to companies, individual directors, officers, employees and agents. Under the FCPA, U.S. companies may be held liable for actions taken by strategic or local partners or representatives. The FCPA also imposes accounting standards and requirements on publicly traded U.S. corporations and their foreign affiliates, which are intended to prevent the diversion of corporate funds to the payment of bribes and other improper payments. Certain of our customer relationships outside of the U.S. are with governmental entities and are therefore subject to such anti-bribery laws. Our policies mandate compliance with these anti-bribery laws. Despite meaningful measures that we undertake to facilitate lawful conduct, which include training and internal control policies, these measures may not always prevent our employees or agents from violating the FCPA or similar laws. As a result, we could be subject to criminal and civil penalties, disgorgement, further changes or enhancements to our procedures, policies and controls, personnel changes or other remedial actions. Violations of these laws, or allegations of such violations, could disrupt our operations, involve significant management distraction and result in a material adverse effect on our competitive position, results of operations, cash flows or financial condition.</w:t>
      </w:r>
    </w:p>
    <w:p>
      <w:pPr>
        <w:spacing w:after="0" w:line="29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May Be Unable to Realize Expected Benefits From Our Cost Reduction and Restructuring Efforts and Our Profitability May Be Hurt or Our Business Otherwise Might Be Adversely Affected.</w:t>
      </w:r>
    </w:p>
    <w:p>
      <w:pPr>
        <w:spacing w:after="0" w:line="17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order to operate more efficiently and control costs, we announce from time to time restructuring plans, which include workforce reductions as well as global facility consolidations and other cost reduction initiatives. These plans are intended to generate operating expense savings through direct and indirect overhead expense reductions as well as other savings. We may undertake further workforce reductions or restructuring actions in the future. These types of cost reduction and restructuring activities are complex. If we do not successfully manage our current restructuring activities, or any other restructuring activities that we may undertake in the future, expected efficiencies and benefits might be delayed or not realized, and our operations and business could be disrupted. Risks associated with these actions and other workforce management issues include delays in implementation of anticipated workforce reductions, additional unexpected costs, changes in restructuring plans that increase or decrease the number of employees affected, adverse effects on employee morale and the failure to meet operational targets due to the loss of employees, any of which may impair our ability to achieve anticipated cost reductions or may otherwise harm our business, which could have a material adverse effect on our competitive position, results of operations, cash flows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Performance May Be Adversely Affected By Information Technology and Other Business Disruptions.</w:t>
      </w:r>
    </w:p>
    <w:p>
      <w:pPr>
        <w:spacing w:after="0" w:line="27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business may be impacted by disruptions, including information technology attacks or failures, threats to physical security, as well as damaging weather or other acts of nature, pandemics or other public health crises. Cybersecurity attacks,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(our own or that of third parties). We have experienced cybersecurity attacks and may continue to experience them going forward, potentially with more frequency. We believe that we have adopted appropriate measures to mitigate potential risks to our technology and our operations from these information technology-related and other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potential disruptions. However, given the unpredictability of the timing, nature and scope of such disruptions, we could potentially be subject to production downtimes, operational delays, other detrimental impacts on our operations or ability to provide products and services to our customers, the compromising of confidential or otherwise protected information, misappropriation, destruction or corruption of data, security breaches, other manipulation or improper use of our systems or networks, financial losses from remedial actions, loss of business or potential liability, and/or damage to our reputation, any of which could have a material adverse effect on our competitive position, results of operations, cash flows or financial condition.</w:t>
      </w:r>
    </w:p>
    <w:p>
      <w:pPr>
        <w:spacing w:after="0" w:line="173"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b w:val="1"/>
          <w:bCs w:val="1"/>
          <w:i w:val="1"/>
          <w:iCs w:val="1"/>
          <w:color w:val="auto"/>
        </w:rPr>
        <w:t>We Depend On Our Intellectual Property, and Have Access to Certain Intellectual Property and Information of Our Customers and Suppliers; Infringement or Failure to Protect Our Intellectual Property Could Adversely Affect Our Future Growth and Success.</w:t>
      </w:r>
    </w:p>
    <w:p>
      <w:pPr>
        <w:spacing w:after="0" w:line="14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rely on a combination of patents, trademarks, copyrights, trade secrets, nondisclosure agreements, information technology security systems and other measures to protect our proprietary intellectual property. We also rely on nondisclosure agreements, information technology security systems and other measures to protect certain customer and supplier information and intellectual property that we have in our possession or to which we have access. Our efforts to protect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be found to be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U.S., which could have a material negative impact on our sales volume and therefore could have a material adverse effect on our competitive position, results of operations, cash flows or financial condition. We may also be subject to disruptions, losses and liability resulting from various cybersecurity attacks or information technology failures, as described above.</w:t>
      </w:r>
    </w:p>
    <w:p>
      <w:pPr>
        <w:spacing w:after="0" w:line="178"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Any of these events or factors could diminish or cause us to lose the competitive advantages associated with our intellectual property, subject us to judgments, penalties and significant litigation costs or temporarily or permanently disrupt our sales and marketing of the affected products or services. Any of the foregoing could have a material adverse effect on our competitive position, results of operations, cash flows or financial condition.</w:t>
      </w:r>
    </w:p>
    <w:p>
      <w:pPr>
        <w:spacing w:after="0" w:line="3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September 30, 2013 of equity securities that are registered by us pursuant to Section 12 of the Exchange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Total Number of Shares</w:t>
            </w: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Average Price Paid per</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a Publicly Announced</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Purchased</w:t>
            </w:r>
          </w:p>
        </w:tc>
        <w:tc>
          <w:tcPr>
            <w:tcW w:w="2060" w:type="dxa"/>
            <w:vAlign w:val="bottom"/>
            <w:gridSpan w:val="2"/>
            <w:vMerge w:val="continue"/>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Program</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2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 (000's)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3,289</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$100.44</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3,286</w:t>
            </w:r>
          </w:p>
        </w:tc>
        <w:tc>
          <w:tcPr>
            <w:tcW w:w="18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53,108</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August 1 - August 31</w:t>
            </w: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48"/>
              <w:spacing w:after="0"/>
              <w:rPr>
                <w:sz w:val="20"/>
                <w:szCs w:val="20"/>
                <w:color w:val="auto"/>
              </w:rPr>
            </w:pPr>
            <w:r>
              <w:rPr>
                <w:rFonts w:ascii="Arial" w:cs="Arial" w:eastAsia="Arial" w:hAnsi="Arial"/>
                <w:sz w:val="18"/>
                <w:szCs w:val="18"/>
                <w:color w:val="auto"/>
              </w:rPr>
              <w:t>53,108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 September 30</w:t>
            </w:r>
          </w:p>
        </w:tc>
        <w:tc>
          <w:tcPr>
            <w:tcW w:w="20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53,108</w:t>
            </w:r>
          </w:p>
        </w:tc>
        <w:tc>
          <w:tcPr>
            <w:tcW w:w="0" w:type="dxa"/>
            <w:vAlign w:val="bottom"/>
          </w:tcPr>
          <w:p>
            <w:pPr>
              <w:spacing w:after="0"/>
              <w:rPr>
                <w:sz w:val="1"/>
                <w:szCs w:val="1"/>
                <w:color w:val="auto"/>
              </w:rPr>
            </w:pPr>
          </w:p>
        </w:tc>
      </w:tr>
      <w:tr>
        <w:trPr>
          <w:trHeight w:val="23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3,289</w:t>
            </w:r>
          </w:p>
        </w:tc>
        <w:tc>
          <w:tcPr>
            <w:tcW w:w="22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$100.44</w:t>
            </w:r>
          </w:p>
        </w:tc>
        <w:tc>
          <w:tcPr>
            <w:tcW w:w="240" w:type="dxa"/>
            <w:vAlign w:val="bottom"/>
          </w:tcPr>
          <w:p>
            <w:pPr>
              <w:spacing w:after="0"/>
              <w:rPr>
                <w:sz w:val="20"/>
                <w:szCs w:val="20"/>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3,286</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We repurchase shares under a program announced on February 4, 2013, which authorized the repurchase of up to 60 million shares of our common stock. Under this current program, shares may be purchased on the open market, in privately negotiated transactions and under plans complying with Rules 10b5-1 and 10b-18 under the Securities Exchange Act of 1934, as amended. We may also reacquire shares outside of the program from time to time in connection with the surrender of shares to cover taxes on vesting of restricted stock. Approximately 3,000 shares were reacquired in transactions outside the program during the quarter ended September 30, 2013.</w:t>
      </w:r>
    </w:p>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jc w:val="center"/>
              <w:ind w:right="140"/>
              <w:spacing w:after="0"/>
              <w:rPr>
                <w:rFonts w:ascii="Arial" w:cs="Arial" w:eastAsia="Arial" w:hAnsi="Arial"/>
                <w:sz w:val="14"/>
                <w:szCs w:val="14"/>
                <w:color w:val="0000FF"/>
                <w:w w:val="92"/>
              </w:rPr>
            </w:pPr>
            <w:hyperlink w:anchor="page1">
              <w:r>
                <w:rPr>
                  <w:rFonts w:ascii="Arial" w:cs="Arial" w:eastAsia="Arial" w:hAnsi="Arial"/>
                  <w:sz w:val="14"/>
                  <w:szCs w:val="14"/>
                  <w:color w:val="0000FF"/>
                  <w:w w:val="92"/>
                </w:rPr>
                <w:t>Table of Contents</w:t>
              </w:r>
            </w:hyperlink>
          </w:p>
        </w:tc>
        <w:tc>
          <w:tcPr>
            <w:tcW w:w="10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gridSpan w:val="2"/>
          </w:tcPr>
          <w:p>
            <w:pPr>
              <w:spacing w:after="0"/>
              <w:rPr>
                <w:sz w:val="24"/>
                <w:szCs w:val="24"/>
                <w:color w:val="auto"/>
              </w:rPr>
            </w:pP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96"/>
        </w:trPr>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10.11</w:t>
            </w: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United Technologies Corporation Executive Leadership Group Program, as amended and restated effective October 15, 2013.*</w:t>
            </w:r>
          </w:p>
        </w:tc>
        <w:tc>
          <w:tcPr>
            <w:tcW w:w="0" w:type="dxa"/>
            <w:vAlign w:val="bottom"/>
          </w:tcPr>
          <w:p>
            <w:pPr>
              <w:spacing w:after="0"/>
              <w:rPr>
                <w:sz w:val="1"/>
                <w:szCs w:val="1"/>
                <w:color w:val="auto"/>
              </w:rPr>
            </w:pPr>
          </w:p>
        </w:tc>
      </w:tr>
      <w:tr>
        <w:trPr>
          <w:trHeight w:val="377"/>
        </w:trPr>
        <w:tc>
          <w:tcPr>
            <w:tcW w:w="1020" w:type="dxa"/>
            <w:vAlign w:val="bottom"/>
          </w:tcPr>
          <w:p>
            <w:pPr>
              <w:ind w:left="180"/>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1"/>
              </w:rPr>
              <w:t>Schedule of Terms for Restricted Stock Unit Retention Awards relating to the United Technologies Corporation Executive Leadership Group</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Program (referred to above in Exhibit 10.11).*</w:t>
            </w:r>
          </w:p>
        </w:tc>
        <w:tc>
          <w:tcPr>
            <w:tcW w:w="0" w:type="dxa"/>
            <w:vAlign w:val="bottom"/>
          </w:tcPr>
          <w:p>
            <w:pPr>
              <w:spacing w:after="0"/>
              <w:rPr>
                <w:sz w:val="1"/>
                <w:szCs w:val="1"/>
                <w:color w:val="auto"/>
              </w:rPr>
            </w:pPr>
          </w:p>
        </w:tc>
      </w:tr>
      <w:tr>
        <w:trPr>
          <w:trHeight w:val="377"/>
        </w:trPr>
        <w:tc>
          <w:tcPr>
            <w:tcW w:w="1020" w:type="dxa"/>
            <w:vAlign w:val="bottom"/>
          </w:tcPr>
          <w:p>
            <w:pPr>
              <w:ind w:left="180"/>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9"/>
              </w:rPr>
              <w:t>Form of Award Agreement for Restricted Share Unit Retention Awards relating to the United Technologies Corporation Executive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Leadership Group Program (referred to above in Exhibit 10.11).*</w:t>
            </w:r>
          </w:p>
        </w:tc>
        <w:tc>
          <w:tcPr>
            <w:tcW w:w="0" w:type="dxa"/>
            <w:vAlign w:val="bottom"/>
          </w:tcPr>
          <w:p>
            <w:pPr>
              <w:spacing w:after="0"/>
              <w:rPr>
                <w:sz w:val="1"/>
                <w:szCs w:val="1"/>
                <w:color w:val="auto"/>
              </w:rPr>
            </w:pP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utx-20130930.xml)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utx-20130930.xsd)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utx-20130930_cal.xml)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utx-20130930_def.xml)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utx-20130930_lab.xml)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utx-20130930_pre.xml)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Comprehensive Income for the quarters and nine months ended September 30, 2013 and 2012, (ii) Condensed Consolidated Balance Sheet as of September 30, 2013 and December 31, 2012, (iii) Condensed Consolidated Statement of Cash Flows for the nine months ended September 30, 2013 and 2012, and (iv) 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4" w:right="2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25,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824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48"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Gregory J. Hayes</w:t>
      </w:r>
    </w:p>
    <w:p>
      <w:pPr>
        <w:spacing w:after="0" w:line="9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239" w:lineRule="exact"/>
        <w:rPr>
          <w:sz w:val="20"/>
          <w:szCs w:val="20"/>
          <w:color w:val="auto"/>
        </w:rPr>
      </w:pPr>
    </w:p>
    <w:p>
      <w:pPr>
        <w:jc w:val="center"/>
        <w:ind w:left="5340"/>
        <w:spacing w:after="0"/>
        <w:rPr>
          <w:sz w:val="20"/>
          <w:szCs w:val="20"/>
          <w:color w:val="auto"/>
        </w:rPr>
      </w:pPr>
      <w:r>
        <w:rPr>
          <w:rFonts w:ascii="Arial" w:cs="Arial" w:eastAsia="Arial" w:hAnsi="Arial"/>
          <w:sz w:val="16"/>
          <w:szCs w:val="16"/>
          <w:color w:val="auto"/>
        </w:rPr>
        <w:t>(on behalf of the Registrant and as the Registrant’s Principal Financial Officer and</w:t>
      </w:r>
    </w:p>
    <w:p>
      <w:pPr>
        <w:spacing w:after="0" w:line="46" w:lineRule="exact"/>
        <w:rPr>
          <w:sz w:val="20"/>
          <w:szCs w:val="20"/>
          <w:color w:val="auto"/>
        </w:rPr>
      </w:pPr>
    </w:p>
    <w:p>
      <w:pPr>
        <w:jc w:val="center"/>
        <w:ind w:left="5340"/>
        <w:spacing w:after="0"/>
        <w:rPr>
          <w:sz w:val="20"/>
          <w:szCs w:val="20"/>
          <w:color w:val="auto"/>
        </w:rPr>
      </w:pPr>
      <w:r>
        <w:rPr>
          <w:rFonts w:ascii="Arial" w:cs="Arial" w:eastAsia="Arial" w:hAnsi="Arial"/>
          <w:sz w:val="18"/>
          <w:szCs w:val="18"/>
          <w:color w:val="auto"/>
        </w:rPr>
        <w:t>Principal Accounting Officer)</w:t>
      </w:r>
    </w:p>
    <w:p>
      <w:pPr>
        <w:spacing w:after="0" w:line="346" w:lineRule="exact"/>
        <w:rPr>
          <w:sz w:val="20"/>
          <w:szCs w:val="20"/>
          <w:color w:val="auto"/>
        </w:rPr>
      </w:pPr>
    </w:p>
    <w:p>
      <w:pPr>
        <w:ind w:left="40"/>
        <w:spacing w:after="0"/>
        <w:tabs>
          <w:tab w:leader="none" w:pos="820" w:val="left"/>
          <w:tab w:leader="none" w:pos="4940" w:val="left"/>
          <w:tab w:leader="none" w:pos="75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25,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w:t>
      </w:r>
      <w:r>
        <w:rPr>
          <w:rFonts w:ascii="Arial" w:cs="Arial" w:eastAsia="Arial" w:hAnsi="Arial"/>
          <w:sz w:val="13"/>
          <w:szCs w:val="13"/>
          <w:color w:val="auto"/>
        </w:rPr>
        <w:t>OHN</w:t>
      </w:r>
      <w:r>
        <w:rPr>
          <w:rFonts w:ascii="Arial" w:cs="Arial" w:eastAsia="Arial" w:hAnsi="Arial"/>
          <w:sz w:val="17"/>
          <w:szCs w:val="17"/>
          <w:color w:val="auto"/>
        </w:rPr>
        <w:t xml:space="preserve"> E. S</w:t>
      </w:r>
      <w:r>
        <w:rPr>
          <w:rFonts w:ascii="Arial" w:cs="Arial" w:eastAsia="Arial" w:hAnsi="Arial"/>
          <w:sz w:val="13"/>
          <w:szCs w:val="13"/>
          <w:color w:val="auto"/>
        </w:rPr>
        <w:t>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824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48"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John E. Stantial</w:t>
      </w:r>
    </w:p>
    <w:p>
      <w:pPr>
        <w:spacing w:after="0" w:line="9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Acting Controller and Assistant Controller, Financial Reporting</w:t>
      </w:r>
    </w:p>
    <w:p>
      <w:pPr>
        <w:spacing w:after="0" w:line="23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(on behalf of the Registrant)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122" w:right="31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10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10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102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United Technologies Corporation Executive Leadership Group Program, as amended and restated effective October 15, 2013.*</w:t>
            </w:r>
          </w:p>
        </w:tc>
        <w:tc>
          <w:tcPr>
            <w:tcW w:w="0" w:type="dxa"/>
            <w:vAlign w:val="bottom"/>
          </w:tcPr>
          <w:p>
            <w:pPr>
              <w:spacing w:after="0"/>
              <w:rPr>
                <w:sz w:val="1"/>
                <w:szCs w:val="1"/>
                <w:color w:val="auto"/>
              </w:rPr>
            </w:pPr>
          </w:p>
        </w:tc>
      </w:tr>
      <w:tr>
        <w:trPr>
          <w:trHeight w:val="377"/>
        </w:trPr>
        <w:tc>
          <w:tcPr>
            <w:tcW w:w="1040" w:type="dxa"/>
            <w:vAlign w:val="bottom"/>
          </w:tcPr>
          <w:p>
            <w:pPr>
              <w:ind w:left="18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w w:val="91"/>
              </w:rPr>
              <w:t>Schedule of Terms for Restricted Stock Unit Retention Awards relating to the United Technologies Corporation Executive Leadership Group</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rPr>
              <w:t>Program (referred to above in Exhibit 10.11).*</w:t>
            </w:r>
          </w:p>
        </w:tc>
        <w:tc>
          <w:tcPr>
            <w:tcW w:w="0" w:type="dxa"/>
            <w:vAlign w:val="bottom"/>
          </w:tcPr>
          <w:p>
            <w:pPr>
              <w:spacing w:after="0"/>
              <w:rPr>
                <w:sz w:val="1"/>
                <w:szCs w:val="1"/>
                <w:color w:val="auto"/>
              </w:rPr>
            </w:pPr>
          </w:p>
        </w:tc>
      </w:tr>
      <w:tr>
        <w:trPr>
          <w:trHeight w:val="377"/>
        </w:trPr>
        <w:tc>
          <w:tcPr>
            <w:tcW w:w="1040" w:type="dxa"/>
            <w:vAlign w:val="bottom"/>
          </w:tcPr>
          <w:p>
            <w:pPr>
              <w:ind w:left="18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w w:val="99"/>
              </w:rPr>
              <w:t>Form of Award Agreement for Restricted Share Unit Retention Awards relating to the United Technologies Corporation Executive</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rPr>
              <w:t>Leadership Group Program (referred to above in Exhibit 10.11).*</w:t>
            </w:r>
          </w:p>
        </w:tc>
        <w:tc>
          <w:tcPr>
            <w:tcW w:w="0" w:type="dxa"/>
            <w:vAlign w:val="bottom"/>
          </w:tcPr>
          <w:p>
            <w:pPr>
              <w:spacing w:after="0"/>
              <w:rPr>
                <w:sz w:val="1"/>
                <w:szCs w:val="1"/>
                <w:color w:val="auto"/>
              </w:rPr>
            </w:pPr>
          </w:p>
        </w:tc>
      </w:tr>
      <w:tr>
        <w:trPr>
          <w:trHeight w:val="392"/>
        </w:trPr>
        <w:tc>
          <w:tcPr>
            <w:tcW w:w="1040" w:type="dxa"/>
            <w:vAlign w:val="bottom"/>
          </w:tcPr>
          <w:p>
            <w:pPr>
              <w:ind w:left="1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ind w:left="1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utx-20130930.xml)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utx-20130930.xsd)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utx-20130930_cal.xml)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utx-20130930_def.xml)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utx-20130930_lab.xml)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utx-20130930_pre.xml)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Comprehensive Income for the quarters and nine months ended September 30, 2013 and 2012, (ii) Condensed Consolidated Balance Sheet as of September 30, 2013 and December 31, 2012, (iii) Condensed Consolidated Statement of Cash Flows for the nine months ended September 30, 2013 and 2012, and (iv) Notes to Condensed Consolidated Financial Statements.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4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This Exhibit is divided into two sections. The first section (Exhibit 10.11, Section 1) is applicable to Executive Leadership Group (“ELG”) members receiving an ELG Restricted Stock Unit Retention Award on or after October 15, 2013. Such ELG members will not be eligible for the 2.5 times base salary ELG separation benefit. The second section (Exhibit 10.11, Section 2) is applicable to ELG members who received an ELG Restricted Stock Unit Retention Award prior to October 15, 2013.</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10.11, 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LEADERSHIP GROUP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 October 2013)</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Executive Leadership Group Agreement (the “ELG Agreement”) is entered into between __________________ (hereinafter the “Executive”)</w:t>
      </w:r>
    </w:p>
    <w:p>
      <w:pPr>
        <w:spacing w:after="0" w:line="127" w:lineRule="exact"/>
        <w:rPr>
          <w:sz w:val="20"/>
          <w:szCs w:val="20"/>
          <w:color w:val="auto"/>
        </w:rPr>
      </w:pPr>
    </w:p>
    <w:p>
      <w:pPr>
        <w:ind w:right="560"/>
        <w:spacing w:after="0" w:line="387" w:lineRule="auto"/>
        <w:rPr>
          <w:sz w:val="20"/>
          <w:szCs w:val="20"/>
          <w:color w:val="auto"/>
        </w:rPr>
      </w:pPr>
      <w:r>
        <w:rPr>
          <w:rFonts w:ascii="Arial" w:cs="Arial" w:eastAsia="Arial" w:hAnsi="Arial"/>
          <w:sz w:val="18"/>
          <w:szCs w:val="18"/>
          <w:color w:val="auto"/>
        </w:rPr>
        <w:t>and United Technologies Corporation (“UTC”), a Delaware corporation, with an office and place of business at Hartford, Connecticut (UTC and all its subsidiaries, divisions and affiliates are hereinafter referred to as the “Company”).</w:t>
      </w:r>
    </w:p>
    <w:p>
      <w:pPr>
        <w:spacing w:after="0" w:line="264" w:lineRule="exact"/>
        <w:rPr>
          <w:sz w:val="20"/>
          <w:szCs w:val="20"/>
          <w:color w:val="auto"/>
        </w:rPr>
      </w:pPr>
    </w:p>
    <w:p>
      <w:pPr>
        <w:ind w:right="180" w:firstLine="648"/>
        <w:spacing w:after="0" w:line="402" w:lineRule="auto"/>
        <w:rPr>
          <w:sz w:val="20"/>
          <w:szCs w:val="20"/>
          <w:color w:val="auto"/>
        </w:rPr>
      </w:pPr>
      <w:r>
        <w:rPr>
          <w:rFonts w:ascii="Arial" w:cs="Arial" w:eastAsia="Arial" w:hAnsi="Arial"/>
          <w:sz w:val="17"/>
          <w:szCs w:val="17"/>
          <w:color w:val="auto"/>
        </w:rPr>
        <w:t>The Executive acknowledges receipt of the materials summarizing the United Technologies Corporation’s Executive Leadership Group (“ELG”) Program and the benefits available to the Executive as a member of the ELG, as well as the Executive’s obligations and commitments to the Company as an ELG member. Capitalized terms in this ELG Agreement are defined in Attachment A of the ELG Program materials.</w:t>
      </w:r>
    </w:p>
    <w:p>
      <w:pPr>
        <w:spacing w:after="0" w:line="260" w:lineRule="exact"/>
        <w:rPr>
          <w:sz w:val="20"/>
          <w:szCs w:val="20"/>
          <w:color w:val="auto"/>
        </w:rPr>
      </w:pPr>
    </w:p>
    <w:p>
      <w:pPr>
        <w:ind w:right="160" w:firstLine="648"/>
        <w:spacing w:after="0" w:line="366" w:lineRule="auto"/>
        <w:rPr>
          <w:sz w:val="20"/>
          <w:szCs w:val="20"/>
          <w:color w:val="auto"/>
        </w:rPr>
      </w:pPr>
      <w:r>
        <w:rPr>
          <w:rFonts w:ascii="Arial" w:cs="Arial" w:eastAsia="Arial" w:hAnsi="Arial"/>
          <w:sz w:val="18"/>
          <w:szCs w:val="18"/>
          <w:color w:val="auto"/>
        </w:rPr>
        <w:t>ELG benefits include a restricted stock unit (RSU) retention award, supplemental life insurance, disability benefits, and an annual car allowance. Following three years of ELG service, the ELG Restricted Stock Unit Retention Award (the “ELG RSU Retention Award”) provides for vesting in the event of a Qualifying Separation. A “Qualifying Separation” means and includes a Mutually Agreeable Termination, a Change in Control Termination, or retirement at age 62 or later. Vesting is also subject to compliance with ELG Covenants. The ELG RSU Retention Award will not vest in the case of a Termination for Cause.</w:t>
      </w:r>
    </w:p>
    <w:p>
      <w:pPr>
        <w:spacing w:after="0" w:line="285" w:lineRule="exact"/>
        <w:rPr>
          <w:sz w:val="20"/>
          <w:szCs w:val="20"/>
          <w:color w:val="auto"/>
        </w:rPr>
      </w:pPr>
    </w:p>
    <w:p>
      <w:pPr>
        <w:ind w:right="100" w:firstLine="648"/>
        <w:spacing w:after="0" w:line="420" w:lineRule="auto"/>
        <w:rPr>
          <w:sz w:val="20"/>
          <w:szCs w:val="20"/>
          <w:color w:val="auto"/>
        </w:rPr>
      </w:pPr>
      <w:r>
        <w:rPr>
          <w:rFonts w:ascii="Arial" w:cs="Arial" w:eastAsia="Arial" w:hAnsi="Arial"/>
          <w:sz w:val="16"/>
          <w:szCs w:val="16"/>
          <w:color w:val="auto"/>
        </w:rPr>
        <w:t>While employed and following termination of employment, the Executive agrees to protect and to not disclose Company Information, until such information has become public or is no longer material or relevant to the Company. While employed and for a two-year period following termination of employment, the Executive agrees to refrain from activities that might reasonably be expected to induce an employee to leave the Company. In the event of a Qualifying Separation, the Executive will vest in the ELG RSU Retention Award provided the Executive agrees to certain additional commitments to the Company, including a three year non-compete agreement and a waiver of claims arising from or relating to the termination of the Executive’s employment.</w:t>
      </w:r>
    </w:p>
    <w:p>
      <w:pPr>
        <w:spacing w:after="0" w:line="254" w:lineRule="exact"/>
        <w:rPr>
          <w:sz w:val="20"/>
          <w:szCs w:val="20"/>
          <w:color w:val="auto"/>
        </w:rPr>
      </w:pPr>
    </w:p>
    <w:p>
      <w:pPr>
        <w:ind w:right="280" w:firstLine="648"/>
        <w:spacing w:after="0" w:line="387" w:lineRule="auto"/>
        <w:rPr>
          <w:sz w:val="20"/>
          <w:szCs w:val="20"/>
          <w:color w:val="auto"/>
        </w:rPr>
      </w:pPr>
      <w:r>
        <w:rPr>
          <w:rFonts w:ascii="Arial" w:cs="Arial" w:eastAsia="Arial" w:hAnsi="Arial"/>
          <w:sz w:val="18"/>
          <w:szCs w:val="18"/>
          <w:color w:val="auto"/>
        </w:rPr>
        <w:t>ELG membership requires commitment to UTC share ownership guidelines. The value of an ELG member’s UTC share ownership must equal or exceed three times (3x) annual base salary within five years of appointment to the ELG.</w:t>
      </w:r>
    </w:p>
    <w:p>
      <w:pPr>
        <w:spacing w:after="0" w:line="264" w:lineRule="exact"/>
        <w:rPr>
          <w:sz w:val="20"/>
          <w:szCs w:val="20"/>
          <w:color w:val="auto"/>
        </w:rPr>
      </w:pPr>
    </w:p>
    <w:p>
      <w:pPr>
        <w:ind w:right="80" w:firstLine="648"/>
        <w:spacing w:after="0" w:line="369" w:lineRule="auto"/>
        <w:rPr>
          <w:sz w:val="20"/>
          <w:szCs w:val="20"/>
          <w:color w:val="auto"/>
        </w:rPr>
      </w:pPr>
      <w:r>
        <w:rPr>
          <w:rFonts w:ascii="Arial" w:cs="Arial" w:eastAsia="Arial" w:hAnsi="Arial"/>
          <w:sz w:val="18"/>
          <w:szCs w:val="18"/>
          <w:color w:val="auto"/>
        </w:rPr>
        <w:t>In consideration of the ELG benefits, the Executive hereby commits to membership in the ELG effective [DATE] in accordance with the terms and conditions set forth in this Agreement and as further described in the ELG Program materials. In consideration of ELG membership, the Executive hereby acknowledges and accepts the obligations and commitments to the Company, including postemployment restrictions and protective covenants as described in this Agreement and the ELG</w:t>
      </w:r>
    </w:p>
    <w:p>
      <w:pPr>
        <w:sectPr>
          <w:pgSz w:w="11900" w:h="16838" w:orient="portrait"/>
          <w:cols w:equalWidth="0" w:num="1">
            <w:col w:w="11420"/>
          </w:cols>
          <w:pgMar w:left="240" w:top="796" w:right="239" w:bottom="1440" w:gutter="0" w:footer="0" w:header="0"/>
        </w:sectPr>
      </w:pPr>
    </w:p>
    <w:bookmarkStart w:id="70" w:name="page71"/>
    <w:bookmarkEnd w:id="70"/>
    <w:p>
      <w:pPr>
        <w:spacing w:after="0" w:line="387" w:lineRule="auto"/>
        <w:rPr>
          <w:sz w:val="20"/>
          <w:szCs w:val="20"/>
          <w:color w:val="auto"/>
        </w:rPr>
      </w:pPr>
      <w:r>
        <w:rPr>
          <w:rFonts w:ascii="Arial" w:cs="Arial" w:eastAsia="Arial" w:hAnsi="Arial"/>
          <w:sz w:val="18"/>
          <w:szCs w:val="18"/>
          <w:color w:val="auto"/>
        </w:rPr>
        <w:t>Program materials. The Company, in turn, agrees to provide ELG benefits to the Executive upon receipt of this signed Agreement in accordance with this Agreement and as described in the ELG Program materials.</w:t>
      </w:r>
    </w:p>
    <w:p>
      <w:pPr>
        <w:spacing w:after="0" w:line="21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of ELG Member]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UNITED TECHNOLOGIES CORPORATION</w:t>
      </w:r>
    </w:p>
    <w:p>
      <w:pPr>
        <w:spacing w:after="0" w:line="200" w:lineRule="exact"/>
        <w:rPr>
          <w:sz w:val="20"/>
          <w:szCs w:val="20"/>
          <w:color w:val="auto"/>
        </w:rPr>
      </w:pPr>
    </w:p>
    <w:p>
      <w:pPr>
        <w:spacing w:after="0" w:line="245" w:lineRule="exact"/>
        <w:rPr>
          <w:sz w:val="20"/>
          <w:szCs w:val="20"/>
          <w:color w:val="auto"/>
        </w:rPr>
      </w:pPr>
    </w:p>
    <w:p>
      <w:pPr>
        <w:ind w:left="2600"/>
        <w:spacing w:after="0"/>
        <w:tabs>
          <w:tab w:leader="none" w:pos="2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__________________________________________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Senior Vice President, Human Resources &amp; Organization</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60"/>
          </w:cols>
          <w:pgMar w:left="240" w:top="638" w:right="59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i w:val="1"/>
          <w:iCs w:val="1"/>
          <w:color w:val="auto"/>
        </w:rPr>
        <w:t>(Rev. October 2013)</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 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terms shall have the following meanings for purposes of the Executive Leadership Group Program, including all agreements, awards and benefits:</w:t>
      </w:r>
    </w:p>
    <w:p>
      <w:pPr>
        <w:spacing w:after="0" w:line="38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“Company” means United Technologies Corporation and its subsidiaries, divisions and affiliates.</w:t>
      </w:r>
    </w:p>
    <w:p>
      <w:pPr>
        <w:spacing w:after="0" w:line="117" w:lineRule="exact"/>
        <w:rPr>
          <w:rFonts w:ascii="Arial" w:cs="Arial" w:eastAsia="Arial" w:hAnsi="Arial"/>
          <w:sz w:val="18"/>
          <w:szCs w:val="18"/>
          <w:color w:val="auto"/>
        </w:rPr>
      </w:pPr>
    </w:p>
    <w:p>
      <w:pPr>
        <w:ind w:left="660" w:right="80" w:hanging="652"/>
        <w:spacing w:after="0" w:line="31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"Company Information" means (i) confidential or proprietary information including without limitation information received from third parties under confidential or proprietary conditions; (ii) information subject to the Company’s attorney-client or work-product privilege; and (iii) other technical, business or financial information, the use or disclosure of which might reasonably be construed to be contrary to the Company’s interests.</w:t>
      </w:r>
    </w:p>
    <w:p>
      <w:pPr>
        <w:spacing w:after="0" w:line="38" w:lineRule="exact"/>
        <w:rPr>
          <w:rFonts w:ascii="Arial" w:cs="Arial" w:eastAsia="Arial" w:hAnsi="Arial"/>
          <w:sz w:val="16"/>
          <w:szCs w:val="16"/>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“Qualifying Separation” means and includes a Mutually Agreeable Termination, a Change- in-Control Termination, or retirement at age 62 or later.</w:t>
      </w:r>
    </w:p>
    <w:p>
      <w:pPr>
        <w:spacing w:after="0" w:line="356" w:lineRule="exact"/>
        <w:rPr>
          <w:rFonts w:ascii="Arial" w:cs="Arial" w:eastAsia="Arial" w:hAnsi="Arial"/>
          <w:sz w:val="16"/>
          <w:szCs w:val="16"/>
          <w:color w:val="auto"/>
        </w:rPr>
      </w:pPr>
    </w:p>
    <w:p>
      <w:pPr>
        <w:ind w:left="1300" w:right="120" w:hanging="644"/>
        <w:spacing w:after="0" w:line="291"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“Mutually Agreeable Termination” means a decision by the Company, in its sole discretion, to terminate the Executive’s employment with the Company as a result of circumstances described in this paragraph and the Executive’s acknowledgment and agreement that his/her employment will end as a result of such circumstances. Circumstances that may result in a Mutually Agreeable Termination include management realignment, change in business conditions or priorities, the sale or elimination of the Executive’s business unit or any other change in business circumstances that materially and adversely affects the Executive’s role within the Company or such circumstances that preclude continued employment at the ELG level, in all cases as determined by the Senior Vice President, Human Resources and Organization. Neither a unilateral voluntary resignation nor a Termination for Cause will constitute a Mutually Agreeable Termination.</w:t>
      </w:r>
    </w:p>
    <w:p>
      <w:pPr>
        <w:spacing w:after="0" w:line="59" w:lineRule="exact"/>
        <w:rPr>
          <w:rFonts w:ascii="Arial" w:cs="Arial" w:eastAsia="Arial" w:hAnsi="Arial"/>
          <w:sz w:val="16"/>
          <w:szCs w:val="16"/>
          <w:color w:val="auto"/>
        </w:rPr>
      </w:pPr>
    </w:p>
    <w:p>
      <w:pPr>
        <w:jc w:val="both"/>
        <w:ind w:left="1300" w:right="220" w:hanging="644"/>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“Change-in-Control Termination” means either the involuntary termination of the Executive’s employment by the Company (other than a Termination for Cause) or the voluntary resignation by the Executive for Good Reason within 24 months following a Change in-Control.</w:t>
      </w:r>
    </w:p>
    <w:p>
      <w:pPr>
        <w:spacing w:after="0" w:line="15" w:lineRule="exact"/>
        <w:rPr>
          <w:rFonts w:ascii="Arial" w:cs="Arial" w:eastAsia="Arial" w:hAnsi="Arial"/>
          <w:sz w:val="16"/>
          <w:szCs w:val="16"/>
          <w:color w:val="auto"/>
        </w:rPr>
      </w:pPr>
    </w:p>
    <w:p>
      <w:pPr>
        <w:ind w:left="1960" w:hanging="655"/>
        <w:spacing w:after="0"/>
        <w:tabs>
          <w:tab w:leader="none" w:pos="19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“Change-in-Control” shall mean any of the following events:</w:t>
      </w:r>
    </w:p>
    <w:p>
      <w:pPr>
        <w:spacing w:after="0" w:line="117" w:lineRule="exact"/>
        <w:rPr>
          <w:rFonts w:ascii="Arial" w:cs="Arial" w:eastAsia="Arial" w:hAnsi="Arial"/>
          <w:sz w:val="18"/>
          <w:szCs w:val="18"/>
          <w:color w:val="auto"/>
        </w:rPr>
      </w:pPr>
    </w:p>
    <w:p>
      <w:pPr>
        <w:ind w:left="2280" w:hanging="327"/>
        <w:spacing w:after="0" w:line="276" w:lineRule="auto"/>
        <w:tabs>
          <w:tab w:leader="none" w:pos="2280" w:val="left"/>
        </w:tabs>
        <w:numPr>
          <w:ilvl w:val="3"/>
          <w:numId w:val="17"/>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“Person”)) of beneficial ownership (within the meaning of Rule 13d-3 promulgated under the Exchange Act) of 20% or more of the then-outstanding Shares of Common Stock plus any other outstanding shares of stock of the Corporation entitled to vote in the election of directors (the “Outstanding Corporation Voting Securities”); provided, however, that the Corporation and any employee benefit plan (or related trust) sponsored by it shall not be deemed to be a Person; or</w:t>
      </w:r>
    </w:p>
    <w:p>
      <w:pPr>
        <w:spacing w:after="0" w:line="64" w:lineRule="exact"/>
        <w:rPr>
          <w:rFonts w:ascii="Arial" w:cs="Arial" w:eastAsia="Arial" w:hAnsi="Arial"/>
          <w:sz w:val="17"/>
          <w:szCs w:val="17"/>
          <w:color w:val="auto"/>
        </w:rPr>
      </w:pPr>
    </w:p>
    <w:p>
      <w:pPr>
        <w:ind w:left="2280" w:right="100" w:hanging="327"/>
        <w:spacing w:after="0" w:line="279" w:lineRule="auto"/>
        <w:tabs>
          <w:tab w:leader="none" w:pos="2280" w:val="left"/>
        </w:tabs>
        <w:numPr>
          <w:ilvl w:val="3"/>
          <w:numId w:val="17"/>
        </w:numPr>
        <w:rPr>
          <w:rFonts w:ascii="Arial" w:cs="Arial" w:eastAsia="Arial" w:hAnsi="Arial"/>
          <w:sz w:val="17"/>
          <w:szCs w:val="17"/>
          <w:color w:val="auto"/>
        </w:rPr>
      </w:pPr>
      <w:r>
        <w:rPr>
          <w:rFonts w:ascii="Arial" w:cs="Arial" w:eastAsia="Arial" w:hAnsi="Arial"/>
          <w:sz w:val="17"/>
          <w:szCs w:val="17"/>
          <w:color w:val="auto"/>
        </w:rPr>
        <w:t>A change in the composition of the Board such that the individuals who constitute the Board (the “Incumbent Board”) cease for any reason to constitute at least a majority of the Board. For this purpose, any individual whose election or nomination for election by the Corporation’s shareowners was approved by a vote of at least two-thirds of the directors then comprising the Incumbent Board shall be considered a member of the Incumbent Board; or</w:t>
      </w:r>
    </w:p>
    <w:p>
      <w:pPr>
        <w:spacing w:after="0" w:line="63" w:lineRule="exact"/>
        <w:rPr>
          <w:rFonts w:ascii="Arial" w:cs="Arial" w:eastAsia="Arial" w:hAnsi="Arial"/>
          <w:sz w:val="17"/>
          <w:szCs w:val="17"/>
          <w:color w:val="auto"/>
        </w:rPr>
      </w:pPr>
    </w:p>
    <w:p>
      <w:pPr>
        <w:ind w:left="2280" w:right="80" w:hanging="327"/>
        <w:spacing w:after="0" w:line="259" w:lineRule="auto"/>
        <w:tabs>
          <w:tab w:leader="none" w:pos="2280" w:val="left"/>
        </w:tabs>
        <w:numPr>
          <w:ilvl w:val="3"/>
          <w:numId w:val="17"/>
        </w:numPr>
        <w:rPr>
          <w:rFonts w:ascii="Arial" w:cs="Arial" w:eastAsia="Arial" w:hAnsi="Arial"/>
          <w:sz w:val="18"/>
          <w:szCs w:val="18"/>
          <w:color w:val="auto"/>
        </w:rPr>
      </w:pPr>
      <w:r>
        <w:rPr>
          <w:rFonts w:ascii="Arial" w:cs="Arial" w:eastAsia="Arial" w:hAnsi="Arial"/>
          <w:sz w:val="18"/>
          <w:szCs w:val="18"/>
          <w:color w:val="auto"/>
        </w:rPr>
        <w:t>The consummation of a reorganization, merger, statutory share exchange or consolidation or similar corporate transaction involving the Corporation or any of its Subsidiaries or a sale or other disposition of substantially all of the assets of the Corporation or a material acquisition of assets or stock of another entity by the Corporation or any of its Subsidiaries, (each, a “Business Combination”) if:</w:t>
      </w:r>
    </w:p>
    <w:p>
      <w:pPr>
        <w:spacing w:after="0" w:line="78" w:lineRule="exact"/>
        <w:rPr>
          <w:rFonts w:ascii="Arial" w:cs="Arial" w:eastAsia="Arial" w:hAnsi="Arial"/>
          <w:sz w:val="18"/>
          <w:szCs w:val="18"/>
          <w:color w:val="auto"/>
        </w:rPr>
      </w:pPr>
    </w:p>
    <w:p>
      <w:pPr>
        <w:jc w:val="both"/>
        <w:ind w:left="2600" w:right="20" w:hanging="323"/>
        <w:spacing w:after="0" w:line="264" w:lineRule="auto"/>
        <w:tabs>
          <w:tab w:leader="none" w:pos="2600" w:val="left"/>
        </w:tabs>
        <w:numPr>
          <w:ilvl w:val="4"/>
          <w:numId w:val="17"/>
        </w:numPr>
        <w:rPr>
          <w:rFonts w:ascii="Arial" w:cs="Arial" w:eastAsia="Arial" w:hAnsi="Arial"/>
          <w:sz w:val="18"/>
          <w:szCs w:val="18"/>
          <w:color w:val="auto"/>
        </w:rPr>
      </w:pPr>
      <w:r>
        <w:rPr>
          <w:rFonts w:ascii="Arial" w:cs="Arial" w:eastAsia="Arial" w:hAnsi="Arial"/>
          <w:sz w:val="18"/>
          <w:szCs w:val="18"/>
          <w:color w:val="auto"/>
        </w:rPr>
        <w:t>the individuals and entities that were the beneficial owners of the Outstanding Corporation Voting Securities immediately prior to such Business Combination do not beneficially own, directly or indirectly, more than 50% of the then-outstanding shares of stock and the</w:t>
      </w:r>
    </w:p>
    <w:p>
      <w:pPr>
        <w:sectPr>
          <w:pgSz w:w="11900" w:h="16838" w:orient="portrait"/>
          <w:cols w:equalWidth="0" w:num="1">
            <w:col w:w="11420"/>
          </w:cols>
          <w:pgMar w:left="240" w:top="1017" w:right="239" w:bottom="1440" w:gutter="0" w:footer="0" w:header="0"/>
        </w:sectPr>
      </w:pPr>
    </w:p>
    <w:bookmarkStart w:id="72" w:name="page73"/>
    <w:bookmarkEnd w:id="72"/>
    <w:p>
      <w:pPr>
        <w:ind w:left="2592" w:right="640"/>
        <w:spacing w:after="0" w:line="324" w:lineRule="auto"/>
        <w:rPr>
          <w:sz w:val="20"/>
          <w:szCs w:val="20"/>
          <w:color w:val="auto"/>
        </w:rPr>
      </w:pPr>
      <w:r>
        <w:rPr>
          <w:rFonts w:ascii="Arial" w:cs="Arial" w:eastAsia="Arial" w:hAnsi="Arial"/>
          <w:sz w:val="18"/>
          <w:szCs w:val="18"/>
          <w:color w:val="auto"/>
        </w:rPr>
        <w:t>combined voting power of the then-outstanding voting securities of the corporation resulting from such Business Combination; or</w:t>
      </w:r>
    </w:p>
    <w:p>
      <w:pPr>
        <w:spacing w:after="0" w:line="35" w:lineRule="exact"/>
        <w:rPr>
          <w:sz w:val="20"/>
          <w:szCs w:val="20"/>
          <w:color w:val="auto"/>
        </w:rPr>
      </w:pPr>
    </w:p>
    <w:p>
      <w:pPr>
        <w:ind w:left="2592" w:right="80" w:hanging="323"/>
        <w:spacing w:after="0" w:line="277" w:lineRule="auto"/>
        <w:tabs>
          <w:tab w:leader="none" w:pos="25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Person beneficially owns, directly or indirectly, 20% or more of the then-outstanding shares of stock of the corporation resulting from such Business Combination; or</w:t>
      </w:r>
    </w:p>
    <w:p>
      <w:pPr>
        <w:spacing w:after="0" w:line="62" w:lineRule="exact"/>
        <w:rPr>
          <w:rFonts w:ascii="Arial" w:cs="Arial" w:eastAsia="Arial" w:hAnsi="Arial"/>
          <w:sz w:val="18"/>
          <w:szCs w:val="18"/>
          <w:color w:val="auto"/>
        </w:rPr>
      </w:pPr>
    </w:p>
    <w:p>
      <w:pPr>
        <w:ind w:left="2592" w:right="400" w:hanging="323"/>
        <w:spacing w:after="0" w:line="277" w:lineRule="auto"/>
        <w:tabs>
          <w:tab w:leader="none" w:pos="25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members of the Incumbent Board do not comprise at least a majority of the members of the board of directors of the corporation resulting from such Business Combination; or</w:t>
      </w:r>
    </w:p>
    <w:p>
      <w:pPr>
        <w:spacing w:after="0" w:line="62" w:lineRule="exact"/>
        <w:rPr>
          <w:sz w:val="20"/>
          <w:szCs w:val="20"/>
          <w:color w:val="auto"/>
        </w:rPr>
      </w:pPr>
    </w:p>
    <w:p>
      <w:pPr>
        <w:ind w:left="2272" w:hanging="327"/>
        <w:spacing w:after="0"/>
        <w:tabs>
          <w:tab w:leader="none" w:pos="22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complete liquidation or dissolution of the Corporation.</w:t>
      </w:r>
    </w:p>
    <w:p>
      <w:pPr>
        <w:spacing w:after="0" w:line="117" w:lineRule="exact"/>
        <w:rPr>
          <w:sz w:val="20"/>
          <w:szCs w:val="20"/>
          <w:color w:val="auto"/>
        </w:rPr>
      </w:pPr>
    </w:p>
    <w:p>
      <w:pPr>
        <w:ind w:left="1952"/>
        <w:spacing w:after="0" w:line="273" w:lineRule="auto"/>
        <w:rPr>
          <w:sz w:val="20"/>
          <w:szCs w:val="20"/>
          <w:color w:val="auto"/>
        </w:rPr>
      </w:pPr>
      <w:r>
        <w:rPr>
          <w:rFonts w:ascii="Arial" w:cs="Arial" w:eastAsia="Arial" w:hAnsi="Arial"/>
          <w:sz w:val="17"/>
          <w:szCs w:val="17"/>
          <w:color w:val="auto"/>
        </w:rPr>
        <w:t>If an Award is determined to be subject to Section 409A of the Code, the payment or settlement of the Award shall accelerate upon a Change-in-Control only if the event also constitutes a “change in ownership,” “change in effective control,” or “change in the ownership of a substantial portion of the Corporation’s assets” as defined under Section 409A of the Code. Any adjustment to the Award that does not affect the Award’s status under Section 409A (including, but not limited to, accelerated vesting or adjustment of the amount of the Award) may occur upon a Change-in-Control as defined herein without regard to this paragraph, even if the event does not constitute a Change-in-Control under Section 409A.</w:t>
      </w:r>
    </w:p>
    <w:p>
      <w:pPr>
        <w:spacing w:after="0" w:line="178" w:lineRule="exact"/>
        <w:rPr>
          <w:sz w:val="20"/>
          <w:szCs w:val="20"/>
          <w:color w:val="auto"/>
        </w:rPr>
      </w:pPr>
    </w:p>
    <w:p>
      <w:pPr>
        <w:ind w:left="1952" w:right="380" w:hanging="655"/>
        <w:spacing w:after="0" w:line="277" w:lineRule="auto"/>
        <w:tabs>
          <w:tab w:leader="none" w:pos="1952"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“Good Reason” means voluntary termination of the Executive’s employment within twenty-four (24) months of a Change-in-Control </w:t>
      </w:r>
      <w:r>
        <w:rPr>
          <w:rFonts w:ascii="Arial" w:cs="Arial" w:eastAsia="Arial" w:hAnsi="Arial"/>
          <w:sz w:val="18"/>
          <w:szCs w:val="18"/>
          <w:i w:val="1"/>
          <w:iCs w:val="1"/>
          <w:color w:val="auto"/>
        </w:rPr>
        <w:t>and</w:t>
      </w:r>
      <w:r>
        <w:rPr>
          <w:rFonts w:ascii="Arial" w:cs="Arial" w:eastAsia="Arial" w:hAnsi="Arial"/>
          <w:sz w:val="18"/>
          <w:szCs w:val="18"/>
          <w:color w:val="auto"/>
        </w:rPr>
        <w:t xml:space="preserve"> the occurrence of any one or more of the following:</w:t>
      </w:r>
    </w:p>
    <w:p>
      <w:pPr>
        <w:spacing w:after="0" w:line="386" w:lineRule="exact"/>
        <w:rPr>
          <w:rFonts w:ascii="Arial" w:cs="Arial" w:eastAsia="Arial" w:hAnsi="Arial"/>
          <w:sz w:val="18"/>
          <w:szCs w:val="18"/>
          <w:color w:val="auto"/>
        </w:rPr>
      </w:pPr>
    </w:p>
    <w:p>
      <w:pPr>
        <w:ind w:left="2272" w:right="400" w:hanging="327"/>
        <w:spacing w:after="0" w:line="259" w:lineRule="auto"/>
        <w:tabs>
          <w:tab w:leader="none" w:pos="2272"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assignment of the Executive to a position that is materially inconsistent with the Executive’s authorities, duties, responsibilities, and status (including reporting relationships) as an employee of the Company, or a material reduction or change in the nature or status of the Executive’s authorities, duties, or responsibilities from those in effect immediately preceding a Change-in-Control;</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272" w:right="140" w:hanging="327"/>
        <w:spacing w:after="0" w:line="259" w:lineRule="auto"/>
        <w:tabs>
          <w:tab w:leader="none" w:pos="2272"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Company requires the Executive to be based at a location which is at least fifty (50) miles further from the Executive’s current primary residence than such residence is from the Executive’s current job location, except for required travel on Company business to an extent substantially consistent with the Executive’s business obligations immediately preceding the Change-in-Control;</w:t>
      </w:r>
    </w:p>
    <w:p>
      <w:pPr>
        <w:spacing w:after="0" w:line="186" w:lineRule="exact"/>
        <w:rPr>
          <w:rFonts w:ascii="Arial" w:cs="Arial" w:eastAsia="Arial" w:hAnsi="Arial"/>
          <w:sz w:val="18"/>
          <w:szCs w:val="18"/>
          <w:color w:val="auto"/>
        </w:rPr>
      </w:pPr>
    </w:p>
    <w:p>
      <w:pPr>
        <w:ind w:left="2272" w:hanging="327"/>
        <w:spacing w:after="0"/>
        <w:tabs>
          <w:tab w:leader="none" w:pos="2272" w:val="left"/>
        </w:tabs>
        <w:numPr>
          <w:ilvl w:val="2"/>
          <w:numId w:val="20"/>
        </w:numPr>
        <w:rPr>
          <w:rFonts w:ascii="Arial" w:cs="Arial" w:eastAsia="Arial" w:hAnsi="Arial"/>
          <w:sz w:val="17"/>
          <w:szCs w:val="17"/>
          <w:color w:val="auto"/>
        </w:rPr>
      </w:pPr>
      <w:r>
        <w:rPr>
          <w:rFonts w:ascii="Arial" w:cs="Arial" w:eastAsia="Arial" w:hAnsi="Arial"/>
          <w:sz w:val="17"/>
          <w:szCs w:val="17"/>
          <w:color w:val="auto"/>
        </w:rPr>
        <w:t>A reduction by the Company in the Executive’s Base Salary in effect on the date preceding the Change-in-Control;</w:t>
      </w:r>
    </w:p>
    <w:p>
      <w:pPr>
        <w:spacing w:after="0" w:line="236" w:lineRule="exact"/>
        <w:rPr>
          <w:rFonts w:ascii="Arial" w:cs="Arial" w:eastAsia="Arial" w:hAnsi="Arial"/>
          <w:sz w:val="17"/>
          <w:szCs w:val="17"/>
          <w:color w:val="auto"/>
        </w:rPr>
      </w:pPr>
    </w:p>
    <w:p>
      <w:pPr>
        <w:ind w:left="2272" w:right="80" w:hanging="327"/>
        <w:spacing w:after="0" w:line="273" w:lineRule="auto"/>
        <w:tabs>
          <w:tab w:leader="none" w:pos="2272" w:val="left"/>
        </w:tabs>
        <w:numPr>
          <w:ilvl w:val="2"/>
          <w:numId w:val="20"/>
        </w:numPr>
        <w:rPr>
          <w:rFonts w:ascii="Arial" w:cs="Arial" w:eastAsia="Arial" w:hAnsi="Arial"/>
          <w:sz w:val="17"/>
          <w:szCs w:val="17"/>
          <w:color w:val="auto"/>
        </w:rPr>
      </w:pPr>
      <w:r>
        <w:rPr>
          <w:rFonts w:ascii="Arial" w:cs="Arial" w:eastAsia="Arial" w:hAnsi="Arial"/>
          <w:sz w:val="17"/>
          <w:szCs w:val="17"/>
          <w:color w:val="auto"/>
        </w:rPr>
        <w:t>A material reduction in the Executive’s level of participation in any of the Company’s short- and/or long-term incentive compensation plans, employee benefit or retirement plans, policies, practices, or arrangements in which the Executive participates from the levels in place during the fiscal year immediately preceding the Change-in-Control; provided, however, that reductions in the levels of participation in any such plans shall not be deemed to be “Good Reason” if the Executive’s reduced level of participation in each such program remains substantially consistent with the average level of participation of other executives who have positions commensurate with the Executive’s position; or</w:t>
      </w:r>
    </w:p>
    <w:p>
      <w:pPr>
        <w:spacing w:after="0" w:line="178" w:lineRule="exact"/>
        <w:rPr>
          <w:rFonts w:ascii="Arial" w:cs="Arial" w:eastAsia="Arial" w:hAnsi="Arial"/>
          <w:sz w:val="17"/>
          <w:szCs w:val="17"/>
          <w:color w:val="auto"/>
        </w:rPr>
      </w:pPr>
    </w:p>
    <w:p>
      <w:pPr>
        <w:ind w:left="2272" w:right="300" w:hanging="327"/>
        <w:spacing w:after="0" w:line="277" w:lineRule="auto"/>
        <w:tabs>
          <w:tab w:leader="none" w:pos="2272"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the Company to assume and agree to perform its obligations under this Agreement.</w:t>
      </w:r>
    </w:p>
    <w:p>
      <w:pPr>
        <w:spacing w:after="0" w:line="116" w:lineRule="exact"/>
        <w:rPr>
          <w:rFonts w:ascii="Arial" w:cs="Arial" w:eastAsia="Arial" w:hAnsi="Arial"/>
          <w:sz w:val="18"/>
          <w:szCs w:val="18"/>
          <w:color w:val="auto"/>
        </w:rPr>
      </w:pPr>
    </w:p>
    <w:p>
      <w:pPr>
        <w:ind w:left="652" w:right="220" w:hanging="652"/>
        <w:spacing w:after="0" w:line="257"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“Termination for Cause” means a decision by the Company to terminate the Executive’s employment for (i) violation of an ELG covenant, (ii) conduct involving a felony criminal offense under U.S. federal or state law or an equivalent violation of the laws of any other country, (iii) dishonesty, fraud, self-dealing, or material violations of civil law in the course of fulfilling the Executive’s employment duties; (iv) breach of the Executive’s intellectual property agreement or other written agreement with the Company; or (v) willful misconduct injurious to the Company, as determined by the Committee.</w:t>
      </w:r>
    </w:p>
    <w:p>
      <w:pPr>
        <w:sectPr>
          <w:pgSz w:w="11900" w:h="16838" w:orient="portrait"/>
          <w:cols w:equalWidth="0" w:num="1">
            <w:col w:w="11352"/>
          </w:cols>
          <w:pgMar w:left="248" w:top="719" w:right="299" w:bottom="1440" w:gutter="0" w:footer="0" w:header="0"/>
        </w:sectPr>
      </w:pPr>
    </w:p>
    <w:bookmarkStart w:id="73" w:name="page74"/>
    <w:bookmarkEnd w:id="73"/>
    <w:p>
      <w:pPr>
        <w:jc w:val="center"/>
        <w:ind w:right="-219"/>
        <w:spacing w:after="0"/>
        <w:rPr>
          <w:sz w:val="20"/>
          <w:szCs w:val="20"/>
          <w:color w:val="auto"/>
        </w:rPr>
      </w:pPr>
      <w:r>
        <w:rPr>
          <w:rFonts w:ascii="Arial" w:cs="Arial" w:eastAsia="Arial" w:hAnsi="Arial"/>
          <w:sz w:val="18"/>
          <w:szCs w:val="18"/>
          <w:b w:val="1"/>
          <w:bCs w:val="1"/>
          <w:color w:val="auto"/>
        </w:rPr>
        <w:t>EXECUTIVE LEADERSHIP GROUP AGREEMENT</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Amendment 1</w:t>
      </w:r>
    </w:p>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Amendment to the Executive Leadership Group (“ELG”) Agreement entered into by and between ________________ (the “Executive”) and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United Technologies Corporation on ______________ provides that the Executive shall now be eligible for an enhanced ELG Restricted Stock Unit</w:t>
      </w:r>
    </w:p>
    <w:p>
      <w:pPr>
        <w:spacing w:after="0" w:line="115" w:lineRule="exact"/>
        <w:rPr>
          <w:sz w:val="20"/>
          <w:szCs w:val="20"/>
          <w:color w:val="auto"/>
        </w:rPr>
      </w:pPr>
    </w:p>
    <w:p>
      <w:pPr>
        <w:spacing w:after="0" w:line="369" w:lineRule="auto"/>
        <w:rPr>
          <w:sz w:val="20"/>
          <w:szCs w:val="20"/>
          <w:color w:val="auto"/>
        </w:rPr>
      </w:pPr>
      <w:r>
        <w:rPr>
          <w:rFonts w:ascii="Arial" w:cs="Arial" w:eastAsia="Arial" w:hAnsi="Arial"/>
          <w:sz w:val="18"/>
          <w:szCs w:val="18"/>
          <w:color w:val="auto"/>
        </w:rPr>
        <w:t>Retention Award (“ELG RSU Retention Award”) which shall vest upon Qualifying Separation from the Company with completion of at least three years of service as a member of the ELG. “Qualifying Separation” means and includes a Mutually Agreeable Termination, a Change-in-Control Termination or retirement at age 62 or later, as further defined in the revised ELG RSU Retention Award Schedule of Terms. The parties also agree that the Executive shall no longer be eligible for the 2.5 times severance benefit under the ELG Program.</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or caused to be executed this Agreement.</w:t>
      </w:r>
    </w:p>
    <w:p>
      <w:pPr>
        <w:spacing w:after="0" w:line="36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of ELG Member]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UNITED TECHNOLOGIES CORPORATION</w:t>
      </w:r>
    </w:p>
    <w:p>
      <w:pPr>
        <w:spacing w:after="0" w:line="229" w:lineRule="exact"/>
        <w:rPr>
          <w:sz w:val="20"/>
          <w:szCs w:val="20"/>
          <w:color w:val="auto"/>
        </w:rPr>
      </w:pPr>
    </w:p>
    <w:p>
      <w:pPr>
        <w:ind w:left="2600"/>
        <w:spacing w:after="0"/>
        <w:tabs>
          <w:tab w:leader="none" w:pos="2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__________________________________________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Senior Vice President, Human Resources &amp; Organization</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200"/>
          </w:cols>
          <w:pgMar w:left="240" w:top="796" w:right="45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10.11, Section 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LEADERSHIP GROUP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175"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undersigned Executive acknowledges receipt of the materials summarizing the Corporation’s Executive Leadership Group (“ELG”) Program and the benefits available to the Executive as a member of ELG as well as the Executive’s obligations and commitments to the Corporation as an ELG member. ELG benefits include a restricted share unit retention award that vests at retirement (age 62 minimum), supplemental life insurance and disability benefits, a flexible perquisites allowance and eligibility for the standard ELG severance benefit as set forth in the pre-retirement ELG Standard Separation Agreement as set forth in Attachment B. The ELG Standard Separation Agreement provides for severance benefits in the event of a Mutually Agreeable Termination before age 62 or an involuntary termination or termination for Good Reason following a Change in Control. Severance benefits are not provided in the case of a Termination for Cause. Capitalized terms in this Membership Agreement and the ELG Standard Separation Agreement are defined in Attachment A.</w:t>
      </w:r>
    </w:p>
    <w:p>
      <w:pPr>
        <w:spacing w:after="0" w:line="11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While employed and for a two-year period following termination of employment, ELG members must agree to protect Company information and to refrain from activities that could lead to the recruitment of Company employees. If eligible for the ELG Standard Separation Agreement in the event of a qualifying termination prior to age 62, or upon vesting in the ELG restricted share unit retention award at retirement on or after age 62, an ELG member must make additional commitments to the Company, including a non-compete agreement and a waiver of claims arising from or relating to the termination of the Executive’s employment. Such post employment covenants are set forth in Attachment B.</w:t>
      </w:r>
    </w:p>
    <w:p>
      <w:pPr>
        <w:spacing w:after="0" w:line="10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ELG membership requires commitment to share ownership guidelines. The value of an ELG member’s UTC share ownership must equal or exceed an amount equal to 3 times annual base salary within five years of appointment to the ELG.</w:t>
      </w:r>
    </w:p>
    <w:p>
      <w:pPr>
        <w:spacing w:after="0" w:line="11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consideration of the ELG benefits, the Executive hereby commits to membership in the ELG in accordance with the terms and conditions set forth in this Agreement and further described in the ELG program materials and hereby acknowledges and accepts postemployment restrictions and protective covenants as described therein. The Company, in turn, agrees to provide ELG benefits to the Executive upon its receipt of this Agreement in accordance with this Agreement and as described in the ELG program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367665</wp:posOffset>
            </wp:positionV>
            <wp:extent cx="2298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375285</wp:posOffset>
            </wp:positionV>
            <wp:extent cx="2298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Date</w:t>
      </w:r>
    </w:p>
    <w:p>
      <w:pPr>
        <w:spacing w:after="0" w:line="329"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UNITED TECHNOLOGIES</w:t>
      </w:r>
    </w:p>
    <w:p>
      <w:pPr>
        <w:spacing w:after="0" w:line="27"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CORPORATION</w:t>
      </w:r>
    </w:p>
    <w:p>
      <w:pPr>
        <w:spacing w:after="0" w:line="31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375285</wp:posOffset>
            </wp:positionV>
            <wp:extent cx="2298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98065"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31750</wp:posOffset>
            </wp:positionV>
            <wp:extent cx="1981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75" w:name="page76"/>
    <w:bookmarkEnd w:id="75"/>
    <w:p>
      <w:pPr>
        <w:jc w:val="center"/>
        <w:ind w:right="400"/>
        <w:spacing w:after="0"/>
        <w:rPr>
          <w:sz w:val="20"/>
          <w:szCs w:val="20"/>
          <w:color w:val="auto"/>
        </w:rPr>
      </w:pPr>
      <w:r>
        <w:rPr>
          <w:rFonts w:ascii="Arial" w:cs="Arial" w:eastAsia="Arial" w:hAnsi="Arial"/>
          <w:sz w:val="18"/>
          <w:szCs w:val="18"/>
          <w:b w:val="1"/>
          <w:bCs w:val="1"/>
          <w:color w:val="auto"/>
        </w:rPr>
        <w:t>Attachment A</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 The following terms shall have the following meanings for purposes of the Executive Leadership Group Agreement and the ELG Standard Separation Agreement set forth in Attachment B:</w:t>
      </w:r>
    </w:p>
    <w:p>
      <w:pPr>
        <w:spacing w:after="0" w:line="197" w:lineRule="exact"/>
        <w:rPr>
          <w:sz w:val="20"/>
          <w:szCs w:val="20"/>
          <w:color w:val="auto"/>
        </w:rPr>
      </w:pPr>
    </w:p>
    <w:p>
      <w:pPr>
        <w:ind w:left="920" w:right="560" w:hanging="413"/>
        <w:spacing w:after="0" w:line="288" w:lineRule="auto"/>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 in Control” means the acquisition of 30% or more of the Company’s outstanding voting shares by a third person or group (as defined in Section 13 (d) (3) of the Securities Exchange Act of 1934) of which such person is a member, or a change in the majority of the Board of Directors such that, within any consecutive two-year period, the members of the new majority are not approved by two-thirds of the members incumbent at the beginning of such two-year period. Members approved after such date by two-thirds of such incumbents as of the beginning of such two-year period shall be deemed to be incumbents as of the beginning of such two-year period for purposes of this computation. A merger or consolidation of the Corporation with another company where the Corporation is not the surviving company, a sale of substantially all of the assets of the Corporation, a dissolution or liquidation of the Corporation or other event or transaction having similar effect also constitutes a “Change in Control” for purposes of this Agreement. Any Change in Control event must constitute either a “change in ownership”, a “change in effective control” or a “change in the ownership of a substantial portion of the Company’s assets” within the meaning of Section 409A.</w:t>
      </w:r>
    </w:p>
    <w:p>
      <w:pPr>
        <w:spacing w:after="0" w:line="223" w:lineRule="exact"/>
        <w:rPr>
          <w:rFonts w:ascii="Arial" w:cs="Arial" w:eastAsia="Arial" w:hAnsi="Arial"/>
          <w:sz w:val="16"/>
          <w:szCs w:val="16"/>
          <w:color w:val="auto"/>
        </w:rPr>
      </w:pPr>
    </w:p>
    <w:p>
      <w:pPr>
        <w:ind w:left="920" w:right="540" w:hanging="413"/>
        <w:spacing w:after="0" w:line="25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in Control Termination” means either the involuntary termination of the Executive’s employment by the Company (other than a Termination for Cause) or the voluntary resignation by the executive for Good Reason within 24 months following a Change in Control. Notwithstanding the foregoing, any executive will not be eligible for the standard ELG severance benefit in the event of Termination for Cause or for executives who become ELG members after December 1, 2005 whose employment terminates after age 62 and who have vested in the ELG retention grant.</w:t>
      </w:r>
    </w:p>
    <w:p>
      <w:pPr>
        <w:spacing w:after="0" w:line="309" w:lineRule="exact"/>
        <w:rPr>
          <w:rFonts w:ascii="Arial" w:cs="Arial" w:eastAsia="Arial" w:hAnsi="Arial"/>
          <w:sz w:val="18"/>
          <w:szCs w:val="18"/>
          <w:color w:val="auto"/>
        </w:rPr>
      </w:pPr>
    </w:p>
    <w:p>
      <w:pPr>
        <w:ind w:left="920" w:right="960" w:hanging="413"/>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“Good Reason” means voluntarily termination of the Executive’s employment within twenty-four (24) months of a Change in Control </w:t>
      </w:r>
      <w:r>
        <w:rPr>
          <w:rFonts w:ascii="Arial" w:cs="Arial" w:eastAsia="Arial" w:hAnsi="Arial"/>
          <w:sz w:val="18"/>
          <w:szCs w:val="18"/>
          <w:i w:val="1"/>
          <w:iCs w:val="1"/>
          <w:color w:val="auto"/>
        </w:rPr>
        <w:t>and</w:t>
      </w:r>
      <w:r>
        <w:rPr>
          <w:rFonts w:ascii="Arial" w:cs="Arial" w:eastAsia="Arial" w:hAnsi="Arial"/>
          <w:sz w:val="18"/>
          <w:szCs w:val="18"/>
          <w:color w:val="auto"/>
        </w:rPr>
        <w:t xml:space="preserve"> the occurrence of any one or more of the following:</w:t>
      </w:r>
    </w:p>
    <w:p>
      <w:pPr>
        <w:spacing w:after="0" w:line="224" w:lineRule="exact"/>
        <w:rPr>
          <w:rFonts w:ascii="Arial" w:cs="Arial" w:eastAsia="Arial" w:hAnsi="Arial"/>
          <w:sz w:val="18"/>
          <w:szCs w:val="18"/>
          <w:color w:val="auto"/>
        </w:rPr>
      </w:pPr>
    </w:p>
    <w:p>
      <w:pPr>
        <w:ind w:left="1460" w:right="500" w:hanging="535"/>
        <w:spacing w:after="0" w:line="259"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assignment of the Executive to duties materially inconsistent with the Executive’s authorities, duties, responsibilities, and status (including reporting relationships) as an employee of the Company, or a material reduction or change in the nature or status of the Executive’s authorities, duties, or responsibilities from those in effect immediately preceding a Change in Control;</w:t>
      </w:r>
    </w:p>
    <w:p>
      <w:pPr>
        <w:spacing w:after="0" w:line="240" w:lineRule="exact"/>
        <w:rPr>
          <w:rFonts w:ascii="Arial" w:cs="Arial" w:eastAsia="Arial" w:hAnsi="Arial"/>
          <w:sz w:val="18"/>
          <w:szCs w:val="18"/>
          <w:color w:val="auto"/>
        </w:rPr>
      </w:pPr>
    </w:p>
    <w:p>
      <w:pPr>
        <w:ind w:left="1460" w:right="700" w:hanging="535"/>
        <w:spacing w:after="0" w:line="259"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Company’s requiring the Executive to be based at a location which is at least fifty (50) miles further from the current primary residence than is such residence from the Company’s current headquarters, except for required travel on the Company’s business to an extent substantially consistent with the Executive’s business obligations immediately preceding the Change in Control;</w:t>
      </w:r>
    </w:p>
    <w:p>
      <w:pPr>
        <w:spacing w:after="0" w:line="240" w:lineRule="exact"/>
        <w:rPr>
          <w:rFonts w:ascii="Arial" w:cs="Arial" w:eastAsia="Arial" w:hAnsi="Arial"/>
          <w:sz w:val="18"/>
          <w:szCs w:val="18"/>
          <w:color w:val="auto"/>
        </w:rPr>
      </w:pPr>
    </w:p>
    <w:p>
      <w:pPr>
        <w:ind w:left="1460" w:hanging="535"/>
        <w:spacing w:after="0"/>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reduction by the Company in the Executive’s Base Salary in effect on the date preceding the Change in Control;</w:t>
      </w:r>
    </w:p>
    <w:p>
      <w:pPr>
        <w:spacing w:after="0" w:line="279" w:lineRule="exact"/>
        <w:rPr>
          <w:rFonts w:ascii="Arial" w:cs="Arial" w:eastAsia="Arial" w:hAnsi="Arial"/>
          <w:sz w:val="18"/>
          <w:szCs w:val="18"/>
          <w:color w:val="auto"/>
        </w:rPr>
      </w:pPr>
    </w:p>
    <w:p>
      <w:pPr>
        <w:ind w:left="1460" w:right="540" w:hanging="535"/>
        <w:spacing w:after="0" w:line="273" w:lineRule="auto"/>
        <w:tabs>
          <w:tab w:leader="none" w:pos="14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 material reduction in the Executive’s level of participation in any of the Company’s short- and/or long-term incentive compensation plans, or employee benefit or retirement plans, policies, practices, or arrangements in which the Executive participates from the levels in place during the fiscal year immediately preceding the Change in Control; provided, however, that reductions in the levels of participation in any such plans shall not be deemed to be “Good Reason” if the Executive’s reduced level of participation in each such program remains substantially consistent with the average level of participation of other executives who have positions commensurate with the Executive’s position; or</w:t>
      </w:r>
    </w:p>
    <w:p>
      <w:pPr>
        <w:spacing w:after="0" w:line="232" w:lineRule="exact"/>
        <w:rPr>
          <w:rFonts w:ascii="Arial" w:cs="Arial" w:eastAsia="Arial" w:hAnsi="Arial"/>
          <w:sz w:val="17"/>
          <w:szCs w:val="17"/>
          <w:color w:val="auto"/>
        </w:rPr>
      </w:pPr>
    </w:p>
    <w:p>
      <w:pPr>
        <w:ind w:left="1460" w:right="700" w:hanging="535"/>
        <w:spacing w:after="0" w:line="277"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the Company to assume and agree to perform its obligations under this Agreement.</w:t>
      </w:r>
    </w:p>
    <w:p>
      <w:pPr>
        <w:sectPr>
          <w:pgSz w:w="11900" w:h="16838" w:orient="portrait"/>
          <w:cols w:equalWidth="0" w:num="1">
            <w:col w:w="10940"/>
          </w:cols>
          <w:pgMar w:left="680" w:top="580" w:right="279" w:bottom="1440" w:gutter="0" w:footer="0" w:header="0"/>
        </w:sectPr>
      </w:pPr>
    </w:p>
    <w:bookmarkStart w:id="76" w:name="page77"/>
    <w:bookmarkEnd w:id="76"/>
    <w:p>
      <w:pPr>
        <w:ind w:left="413" w:hanging="413"/>
        <w:spacing w:after="0" w:line="290" w:lineRule="auto"/>
        <w:tabs>
          <w:tab w:leader="none" w:pos="413"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“Mutually Agreeable Termination” means a decision by the Company, in its sole discretion, to terminate the Executive’s employment with the Company as a result of circumstances described in this paragraph and the Executive’s acknowledgment and agreement that </w:t>
      </w:r>
      <w:r>
        <w:rPr>
          <w:rFonts w:ascii="Arial" w:cs="Arial" w:eastAsia="Arial" w:hAnsi="Arial"/>
          <w:sz w:val="16"/>
          <w:szCs w:val="16"/>
          <w:b w:val="1"/>
          <w:bCs w:val="1"/>
          <w:color w:val="auto"/>
        </w:rPr>
        <w:t>[his/her]</w:t>
      </w:r>
      <w:r>
        <w:rPr>
          <w:rFonts w:ascii="Arial" w:cs="Arial" w:eastAsia="Arial" w:hAnsi="Arial"/>
          <w:sz w:val="16"/>
          <w:szCs w:val="16"/>
          <w:color w:val="auto"/>
        </w:rPr>
        <w:t xml:space="preserve"> employment will end as a result of such circumstances. Circumstances that may result in a Mutually Agreeable Termination include management realignment, change in business conditions or priorities, the sale or elimination of the Executive’s business unit or any other change in business circumstances that materially and adversely affects the Executive’s role within the Company. Neither a unilateral voluntary resignation nor a termination for Cause will be considered a Mutually Agreeable Termination. Executives who became ELG members after December 1, 2005 and who have vested in the ELG retention grant will not be eligible for ELG standard separation benefits following a Mutually Agreeable Termination.</w:t>
      </w:r>
    </w:p>
    <w:p>
      <w:pPr>
        <w:spacing w:after="0" w:line="220" w:lineRule="exact"/>
        <w:rPr>
          <w:rFonts w:ascii="Arial" w:cs="Arial" w:eastAsia="Arial" w:hAnsi="Arial"/>
          <w:sz w:val="16"/>
          <w:szCs w:val="16"/>
          <w:color w:val="auto"/>
        </w:rPr>
      </w:pPr>
    </w:p>
    <w:p>
      <w:pPr>
        <w:ind w:left="413" w:hanging="413"/>
        <w:spacing w:after="0" w:line="289" w:lineRule="auto"/>
        <w:tabs>
          <w:tab w:leader="none" w:pos="413" w:val="left"/>
        </w:tabs>
        <w:numPr>
          <w:ilvl w:val="0"/>
          <w:numId w:val="23"/>
        </w:numPr>
        <w:rPr>
          <w:rFonts w:ascii="Arial" w:cs="Arial" w:eastAsia="Arial" w:hAnsi="Arial"/>
          <w:sz w:val="16"/>
          <w:szCs w:val="16"/>
          <w:color w:val="auto"/>
        </w:rPr>
      </w:pPr>
      <w:r>
        <w:rPr>
          <w:rFonts w:ascii="Arial" w:cs="Arial" w:eastAsia="Arial" w:hAnsi="Arial"/>
          <w:sz w:val="16"/>
          <w:szCs w:val="16"/>
          <w:color w:val="auto"/>
        </w:rPr>
        <w:t>“Qualified Separation from Service” means the Executive’s termination from employment with all UTC Companies, other than by reason of death or Disability that qualifies as a separation from service for purposes of Section 409A. A Qualified Separation from Service will be deemed to occur where the Executive and the Company reasonably anticipate that the bona fide level of services that the Executive will perform (whether as an employee or as an independent contractor) for the Company will be permanently reduced to a level that is less than thirty-seven and a half percent (37.5%) of the average level of bona fide services the Executive performed during the 36 months period immediately preceding termination (or the entire period the Executive has provided services if the Executive has been providing services to the Company for less than 36 months.) The Executive shall not be considered to have had a Qualified Separation from Service as a result of a transfer from one Company business unit to another Company business unit. A Change in Control Termination shall be treated as a Qualified Separation from Service.</w:t>
      </w:r>
    </w:p>
    <w:p>
      <w:pPr>
        <w:spacing w:after="0" w:line="301" w:lineRule="exact"/>
        <w:rPr>
          <w:rFonts w:ascii="Arial" w:cs="Arial" w:eastAsia="Arial" w:hAnsi="Arial"/>
          <w:sz w:val="16"/>
          <w:szCs w:val="16"/>
          <w:color w:val="auto"/>
        </w:rPr>
      </w:pPr>
    </w:p>
    <w:p>
      <w:pPr>
        <w:ind w:left="413" w:hanging="413"/>
        <w:spacing w:after="0" w:line="221" w:lineRule="auto"/>
        <w:tabs>
          <w:tab w:leader="none" w:pos="413"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 xml:space="preserve">“Termination for Cause” means a decision by the Company to terminate the Executive’s employment because the Executive: (i) is convicted of a crime related to </w:t>
      </w:r>
      <w:r>
        <w:rPr>
          <w:rFonts w:ascii="Arial" w:cs="Arial" w:eastAsia="Arial" w:hAnsi="Arial"/>
          <w:sz w:val="18"/>
          <w:szCs w:val="18"/>
          <w:b w:val="1"/>
          <w:bCs w:val="1"/>
          <w:color w:val="auto"/>
        </w:rPr>
        <w:t>[his/her]</w:t>
      </w:r>
      <w:r>
        <w:rPr>
          <w:rFonts w:ascii="Arial" w:cs="Arial" w:eastAsia="Arial" w:hAnsi="Arial"/>
          <w:sz w:val="18"/>
          <w:szCs w:val="18"/>
          <w:color w:val="auto"/>
        </w:rPr>
        <w:t xml:space="preserve"> employment, including but not limited to fraud, theft, or embezzlement, or any other action which results in or is intended to result in the Executive’s enrichment or benefit at the expense of the Company; (ii) commits an act of fraud upon the Company; (iii) misappropriates funds or property of the Company; (iv) materially violates the Company’s policy concerning conflicts of interest or business ethics; (v) materially violates the Company’s anti-discrimination, sexual harassment or related employment policies; or (vi) engages in one or more acts of gross negligence or dereliction in the performance of [his/her] job responsibilities.</w:t>
      </w:r>
    </w:p>
    <w:p>
      <w:pPr>
        <w:sectPr>
          <w:pgSz w:w="11900" w:h="16838" w:orient="portrait"/>
          <w:cols w:equalWidth="0" w:num="1">
            <w:col w:w="9933"/>
          </w:cols>
          <w:pgMar w:left="1187" w:top="746" w:right="779" w:bottom="1440" w:gutter="0" w:footer="0" w:header="0"/>
        </w:sectPr>
      </w:pPr>
    </w:p>
    <w:bookmarkStart w:id="77" w:name="page78"/>
    <w:bookmarkEnd w:id="77"/>
    <w:p>
      <w:pPr>
        <w:jc w:val="center"/>
        <w:ind w:right="-99"/>
        <w:spacing w:after="0"/>
        <w:rPr>
          <w:sz w:val="20"/>
          <w:szCs w:val="20"/>
          <w:color w:val="auto"/>
        </w:rPr>
      </w:pPr>
      <w:r>
        <w:rPr>
          <w:rFonts w:ascii="Arial" w:cs="Arial" w:eastAsia="Arial" w:hAnsi="Arial"/>
          <w:sz w:val="18"/>
          <w:szCs w:val="18"/>
          <w:b w:val="1"/>
          <w:bCs w:val="1"/>
          <w:color w:val="auto"/>
        </w:rPr>
        <w:t>Attachment B</w:t>
      </w:r>
    </w:p>
    <w:p>
      <w:pPr>
        <w:spacing w:after="0" w:line="175" w:lineRule="exact"/>
        <w:rPr>
          <w:sz w:val="20"/>
          <w:szCs w:val="20"/>
          <w:color w:val="auto"/>
        </w:rPr>
      </w:pPr>
    </w:p>
    <w:p>
      <w:pPr>
        <w:jc w:val="center"/>
        <w:ind w:left="340" w:right="180"/>
        <w:spacing w:after="0" w:line="342" w:lineRule="auto"/>
        <w:rPr>
          <w:sz w:val="20"/>
          <w:szCs w:val="20"/>
          <w:color w:val="auto"/>
        </w:rPr>
      </w:pPr>
      <w:r>
        <w:rPr>
          <w:rFonts w:ascii="Arial" w:cs="Arial" w:eastAsia="Arial" w:hAnsi="Arial"/>
          <w:sz w:val="16"/>
          <w:szCs w:val="16"/>
          <w:i w:val="1"/>
          <w:iCs w:val="1"/>
          <w:u w:val="single" w:color="auto"/>
          <w:color w:val="auto"/>
        </w:rPr>
        <w:t>Note: This model agreement contains certain alternative clauses applicable to different facts and circumstances such as age, reason for termination or applicability of Section 409A. The formula for determining the amount of the severance payment payments and benefits remain the same in all cases.</w:t>
      </w:r>
    </w:p>
    <w:p>
      <w:pPr>
        <w:spacing w:after="0" w:line="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ELG STANDARD SEPARATION AGREEMENT</w:t>
      </w:r>
    </w:p>
    <w:p>
      <w:pPr>
        <w:spacing w:after="0" w:line="175" w:lineRule="exact"/>
        <w:rPr>
          <w:sz w:val="20"/>
          <w:szCs w:val="20"/>
          <w:color w:val="auto"/>
        </w:rPr>
      </w:pPr>
    </w:p>
    <w:p>
      <w:pPr>
        <w:ind w:left="440"/>
        <w:spacing w:after="0"/>
        <w:tabs>
          <w:tab w:leader="none" w:pos="5220" w:val="left"/>
        </w:tabs>
        <w:rPr>
          <w:sz w:val="20"/>
          <w:szCs w:val="20"/>
          <w:color w:val="auto"/>
        </w:rPr>
      </w:pPr>
      <w:r>
        <w:rPr>
          <w:rFonts w:ascii="Arial" w:cs="Arial" w:eastAsia="Arial" w:hAnsi="Arial"/>
          <w:sz w:val="18"/>
          <w:szCs w:val="18"/>
          <w:color w:val="auto"/>
        </w:rPr>
        <w:t>SEPARATION AGREEMENT, entered into between</w:t>
      </w:r>
      <w:r>
        <w:rPr>
          <w:sz w:val="20"/>
          <w:szCs w:val="20"/>
          <w:color w:val="auto"/>
        </w:rPr>
        <w:tab/>
      </w:r>
      <w:r>
        <w:rPr>
          <w:rFonts w:ascii="Arial" w:cs="Arial" w:eastAsia="Arial" w:hAnsi="Arial"/>
          <w:sz w:val="16"/>
          <w:szCs w:val="16"/>
          <w:color w:val="auto"/>
        </w:rPr>
        <w:t>(hereinafter, the “Executive”), and UNITED TECHNOLOGIES CORPORATION,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2730500</wp:posOffset>
            </wp:positionH>
            <wp:positionV relativeFrom="paragraph">
              <wp:posOffset>-10160</wp:posOffset>
            </wp:positionV>
            <wp:extent cx="571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Delaware corporation, with an office and place of business at Hartford, Connecticut (United Technologies Corporation and all its subsidiaries, affiliates and divisions are hereinafter referred to as the “Company”).</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Executive and Company agree that the Executive’s employment with the Company will terminate; and</w:t>
      </w:r>
    </w:p>
    <w:p>
      <w:pPr>
        <w:spacing w:after="0" w:line="17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WHEREAS, parties wish to set forth their mutual understanding concerning the terms and conditions relative to the termination of the Executive’s employment with the Company; and</w:t>
      </w:r>
    </w:p>
    <w:p>
      <w:pPr>
        <w:spacing w:after="0" w:line="116"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WHEREAS, the Executive has committed to membership in the Company’s Executive Leadership Group (the “ELG”), which commitment signifies, among other things, the Executive’s acceptance of the terms and conditions of the ELG Standard Separation Arrangement;</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it is hereby mutually agreed as follows:</w:t>
      </w:r>
    </w:p>
    <w:p>
      <w:pPr>
        <w:spacing w:after="0" w:line="252" w:lineRule="exact"/>
        <w:rPr>
          <w:sz w:val="20"/>
          <w:szCs w:val="20"/>
          <w:color w:val="auto"/>
        </w:rPr>
      </w:pPr>
    </w:p>
    <w:p>
      <w:pPr>
        <w:ind w:left="520"/>
        <w:spacing w:after="0"/>
        <w:tabs>
          <w:tab w:leader="none" w:pos="920" w:val="left"/>
          <w:tab w:leader="none" w:pos="1340" w:val="left"/>
          <w:tab w:leader="none" w:pos="7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Executive’s employment with the Company will terminate effective</w:t>
      </w:r>
      <w:r>
        <w:rPr>
          <w:sz w:val="20"/>
          <w:szCs w:val="20"/>
          <w:color w:val="auto"/>
        </w:rPr>
        <w:tab/>
      </w:r>
      <w:r>
        <w:rPr>
          <w:rFonts w:ascii="Arial" w:cs="Arial" w:eastAsia="Arial" w:hAnsi="Arial"/>
          <w:sz w:val="16"/>
          <w:szCs w:val="16"/>
          <w:color w:val="auto"/>
        </w:rPr>
        <w:t>(the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-10160</wp:posOffset>
            </wp:positionV>
            <wp:extent cx="571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55" w:lineRule="exact"/>
        <w:rPr>
          <w:sz w:val="20"/>
          <w:szCs w:val="20"/>
          <w:color w:val="auto"/>
        </w:rPr>
      </w:pPr>
    </w:p>
    <w:p>
      <w:pPr>
        <w:ind w:left="1360" w:right="1440" w:hanging="413"/>
        <w:spacing w:after="0" w:line="313" w:lineRule="auto"/>
        <w:tabs>
          <w:tab w:leader="none" w:pos="13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The parties agree that the termination of the Executive’s employment is </w:t>
      </w:r>
      <w:r>
        <w:rPr>
          <w:rFonts w:ascii="Arial" w:cs="Arial" w:eastAsia="Arial" w:hAnsi="Arial"/>
          <w:sz w:val="17"/>
          <w:szCs w:val="17"/>
          <w:b w:val="1"/>
          <w:bCs w:val="1"/>
          <w:color w:val="auto"/>
        </w:rPr>
        <w:t>[Mutually Agreeable] [a Change in Control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Termination] </w:t>
      </w:r>
      <w:r>
        <w:rPr>
          <w:rFonts w:ascii="Arial" w:cs="Arial" w:eastAsia="Arial" w:hAnsi="Arial"/>
          <w:sz w:val="17"/>
          <w:szCs w:val="17"/>
          <w:color w:val="auto"/>
        </w:rPr>
        <w:t>entitling the Executive to ELG Standard Separation Arrangement severance benefits.</w:t>
      </w:r>
    </w:p>
    <w:p>
      <w:pPr>
        <w:spacing w:after="0" w:line="259" w:lineRule="exact"/>
        <w:rPr>
          <w:rFonts w:ascii="Arial" w:cs="Arial" w:eastAsia="Arial" w:hAnsi="Arial"/>
          <w:sz w:val="17"/>
          <w:szCs w:val="17"/>
          <w:color w:val="auto"/>
        </w:rPr>
      </w:pPr>
    </w:p>
    <w:p>
      <w:pPr>
        <w:ind w:left="940" w:hanging="412"/>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   The ELG severance benefit equals $ </w:t>
      </w:r>
      <w:r>
        <w:rPr>
          <w:rFonts w:ascii="Arial" w:cs="Arial" w:eastAsia="Arial" w:hAnsi="Arial"/>
          <w:sz w:val="18"/>
          <w:szCs w:val="18"/>
          <w:b w:val="1"/>
          <w:bCs w:val="1"/>
          <w:color w:val="auto"/>
        </w:rPr>
        <w:t>[2.5X base salary]</w:t>
      </w:r>
      <w:r>
        <w:rPr>
          <w:rFonts w:ascii="Arial" w:cs="Arial" w:eastAsia="Arial" w:hAnsi="Arial"/>
          <w:sz w:val="18"/>
          <w:szCs w:val="18"/>
          <w:color w:val="auto"/>
        </w:rPr>
        <w:t xml:space="preserve"> (the “Severance Benefit”).</w:t>
      </w:r>
    </w:p>
    <w:p>
      <w:pPr>
        <w:spacing w:after="0" w:line="266"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9240" w:type="dxa"/>
            <w:vAlign w:val="bottom"/>
            <w:gridSpan w:val="5"/>
          </w:tcPr>
          <w:p>
            <w:pPr>
              <w:spacing w:after="0"/>
              <w:rPr>
                <w:sz w:val="20"/>
                <w:szCs w:val="20"/>
                <w:color w:val="auto"/>
              </w:rPr>
            </w:pPr>
            <w:r>
              <w:rPr>
                <w:rFonts w:ascii="Arial" w:cs="Arial" w:eastAsia="Arial" w:hAnsi="Arial"/>
                <w:sz w:val="18"/>
                <w:szCs w:val="18"/>
                <w:color w:val="auto"/>
                <w:w w:val="92"/>
              </w:rPr>
              <w:t>b)   The Company will pay the Severance Benefit in a single lump sum equal to (less applicable tax withholdings) on or about</w:t>
            </w:r>
          </w:p>
        </w:tc>
        <w:tc>
          <w:tcPr>
            <w:tcW w:w="540" w:type="dxa"/>
            <w:vAlign w:val="bottom"/>
            <w:tcBorders>
              <w:bottom w:val="single" w:sz="8" w:color="auto"/>
            </w:tcBorders>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9780" w:type="dxa"/>
            <w:vAlign w:val="bottom"/>
            <w:gridSpan w:val="6"/>
          </w:tcPr>
          <w:p>
            <w:pPr>
              <w:ind w:left="420"/>
              <w:spacing w:after="0"/>
              <w:rPr>
                <w:sz w:val="20"/>
                <w:szCs w:val="20"/>
                <w:color w:val="auto"/>
              </w:rPr>
            </w:pPr>
            <w:r>
              <w:rPr>
                <w:rFonts w:ascii="Arial" w:cs="Arial" w:eastAsia="Arial" w:hAnsi="Arial"/>
                <w:sz w:val="18"/>
                <w:szCs w:val="18"/>
                <w:b w:val="1"/>
                <w:bCs w:val="1"/>
                <w:color w:val="auto"/>
                <w:w w:val="91"/>
              </w:rPr>
              <w:t>[For the purpose of complying with Internal Revenue Code Section 409A (“Section 409A”), this payment will be delayed</w:t>
            </w:r>
          </w:p>
        </w:tc>
        <w:tc>
          <w:tcPr>
            <w:tcW w:w="100" w:type="dxa"/>
            <w:vAlign w:val="bottom"/>
          </w:tcPr>
          <w:p>
            <w:pPr>
              <w:spacing w:after="0"/>
              <w:rPr>
                <w:sz w:val="18"/>
                <w:szCs w:val="18"/>
                <w:color w:val="auto"/>
              </w:rPr>
            </w:pPr>
          </w:p>
        </w:tc>
      </w:tr>
      <w:tr>
        <w:trPr>
          <w:trHeight w:val="194"/>
        </w:trPr>
        <w:tc>
          <w:tcPr>
            <w:tcW w:w="1760" w:type="dxa"/>
            <w:vAlign w:val="bottom"/>
          </w:tcPr>
          <w:p>
            <w:pPr>
              <w:ind w:left="420"/>
              <w:spacing w:after="0" w:line="194" w:lineRule="exact"/>
              <w:rPr>
                <w:sz w:val="20"/>
                <w:szCs w:val="20"/>
                <w:color w:val="auto"/>
              </w:rPr>
            </w:pPr>
            <w:r>
              <w:rPr>
                <w:rFonts w:ascii="Arial" w:cs="Arial" w:eastAsia="Arial" w:hAnsi="Arial"/>
                <w:sz w:val="18"/>
                <w:szCs w:val="18"/>
                <w:b w:val="1"/>
                <w:bCs w:val="1"/>
                <w:color w:val="auto"/>
                <w:w w:val="92"/>
              </w:rPr>
              <w:t>until on or about</w:t>
            </w:r>
          </w:p>
        </w:tc>
        <w:tc>
          <w:tcPr>
            <w:tcW w:w="540" w:type="dxa"/>
            <w:vAlign w:val="bottom"/>
            <w:tcBorders>
              <w:bottom w:val="single" w:sz="8" w:color="auto"/>
            </w:tcBorders>
          </w:tcPr>
          <w:p>
            <w:pPr>
              <w:spacing w:after="0"/>
              <w:rPr>
                <w:sz w:val="16"/>
                <w:szCs w:val="16"/>
                <w:color w:val="auto"/>
              </w:rPr>
            </w:pPr>
          </w:p>
        </w:tc>
        <w:tc>
          <w:tcPr>
            <w:tcW w:w="7480" w:type="dxa"/>
            <w:vAlign w:val="bottom"/>
            <w:gridSpan w:val="4"/>
          </w:tcPr>
          <w:p>
            <w:pPr>
              <w:ind w:left="60"/>
              <w:spacing w:after="0" w:line="194" w:lineRule="exact"/>
              <w:rPr>
                <w:sz w:val="20"/>
                <w:szCs w:val="20"/>
                <w:color w:val="auto"/>
              </w:rPr>
            </w:pPr>
            <w:r>
              <w:rPr>
                <w:rFonts w:ascii="Arial" w:cs="Arial" w:eastAsia="Arial" w:hAnsi="Arial"/>
                <w:sz w:val="18"/>
                <w:szCs w:val="18"/>
                <w:b w:val="1"/>
                <w:bCs w:val="1"/>
                <w:color w:val="auto"/>
                <w:w w:val="91"/>
              </w:rPr>
              <w:t>. The deferred Severance Benefit will be credited with interest in respect of the period from the</w:t>
            </w:r>
          </w:p>
        </w:tc>
        <w:tc>
          <w:tcPr>
            <w:tcW w:w="100" w:type="dxa"/>
            <w:vAlign w:val="bottom"/>
          </w:tcPr>
          <w:p>
            <w:pPr>
              <w:spacing w:after="0"/>
              <w:rPr>
                <w:sz w:val="16"/>
                <w:szCs w:val="16"/>
                <w:color w:val="auto"/>
              </w:rPr>
            </w:pPr>
          </w:p>
        </w:tc>
      </w:tr>
      <w:tr>
        <w:trPr>
          <w:trHeight w:val="196"/>
        </w:trPr>
        <w:tc>
          <w:tcPr>
            <w:tcW w:w="2500" w:type="dxa"/>
            <w:vAlign w:val="bottom"/>
            <w:gridSpan w:val="3"/>
          </w:tcPr>
          <w:p>
            <w:pPr>
              <w:ind w:left="420"/>
              <w:spacing w:after="0" w:line="196" w:lineRule="exact"/>
              <w:rPr>
                <w:sz w:val="20"/>
                <w:szCs w:val="20"/>
                <w:color w:val="auto"/>
              </w:rPr>
            </w:pPr>
            <w:r>
              <w:rPr>
                <w:rFonts w:ascii="Arial" w:cs="Arial" w:eastAsia="Arial" w:hAnsi="Arial"/>
                <w:sz w:val="18"/>
                <w:szCs w:val="18"/>
                <w:b w:val="1"/>
                <w:bCs w:val="1"/>
                <w:color w:val="auto"/>
                <w:w w:val="93"/>
              </w:rPr>
              <w:t>Termination Date through</w:t>
            </w:r>
          </w:p>
        </w:tc>
        <w:tc>
          <w:tcPr>
            <w:tcW w:w="540" w:type="dxa"/>
            <w:vAlign w:val="bottom"/>
            <w:tcBorders>
              <w:bottom w:val="single" w:sz="8" w:color="auto"/>
            </w:tcBorders>
          </w:tcPr>
          <w:p>
            <w:pPr>
              <w:spacing w:after="0"/>
              <w:rPr>
                <w:sz w:val="17"/>
                <w:szCs w:val="17"/>
                <w:color w:val="auto"/>
              </w:rPr>
            </w:pPr>
          </w:p>
        </w:tc>
        <w:tc>
          <w:tcPr>
            <w:tcW w:w="674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w w:val="96"/>
              </w:rPr>
              <w:t>at a rate equal to the rate credited on the fixed income account in the Company’s</w:t>
            </w:r>
          </w:p>
        </w:tc>
        <w:tc>
          <w:tcPr>
            <w:tcW w:w="100" w:type="dxa"/>
            <w:vAlign w:val="bottom"/>
          </w:tcPr>
          <w:p>
            <w:pPr>
              <w:spacing w:after="0"/>
              <w:rPr>
                <w:sz w:val="17"/>
                <w:szCs w:val="17"/>
                <w:color w:val="auto"/>
              </w:rPr>
            </w:pPr>
          </w:p>
        </w:tc>
      </w:tr>
      <w:tr>
        <w:trPr>
          <w:trHeight w:val="218"/>
        </w:trPr>
        <w:tc>
          <w:tcPr>
            <w:tcW w:w="9780" w:type="dxa"/>
            <w:vAlign w:val="bottom"/>
            <w:gridSpan w:val="6"/>
          </w:tcPr>
          <w:p>
            <w:pPr>
              <w:ind w:left="420"/>
              <w:spacing w:after="0"/>
              <w:rPr>
                <w:sz w:val="20"/>
                <w:szCs w:val="20"/>
                <w:color w:val="auto"/>
              </w:rPr>
            </w:pPr>
            <w:r>
              <w:rPr>
                <w:rFonts w:ascii="Arial" w:cs="Arial" w:eastAsia="Arial" w:hAnsi="Arial"/>
                <w:sz w:val="18"/>
                <w:szCs w:val="18"/>
                <w:b w:val="1"/>
                <w:bCs w:val="1"/>
                <w:color w:val="auto"/>
                <w:w w:val="94"/>
              </w:rPr>
              <w:t xml:space="preserve">Deferred Compensation Plan] </w:t>
            </w:r>
            <w:r>
              <w:rPr>
                <w:rFonts w:ascii="Arial" w:cs="Arial" w:eastAsia="Arial" w:hAnsi="Arial"/>
                <w:sz w:val="18"/>
                <w:szCs w:val="18"/>
                <w:color w:val="auto"/>
                <w:w w:val="94"/>
              </w:rPr>
              <w:t>. The Executive acknowledges</w:t>
            </w:r>
            <w:r>
              <w:rPr>
                <w:rFonts w:ascii="Arial" w:cs="Arial" w:eastAsia="Arial" w:hAnsi="Arial"/>
                <w:sz w:val="18"/>
                <w:szCs w:val="18"/>
                <w:b w:val="1"/>
                <w:bCs w:val="1"/>
                <w:color w:val="auto"/>
                <w:w w:val="94"/>
              </w:rPr>
              <w:t xml:space="preserve"> [his/her] </w:t>
            </w:r>
            <w:r>
              <w:rPr>
                <w:rFonts w:ascii="Arial" w:cs="Arial" w:eastAsia="Arial" w:hAnsi="Arial"/>
                <w:sz w:val="18"/>
                <w:szCs w:val="18"/>
                <w:color w:val="auto"/>
                <w:w w:val="94"/>
              </w:rPr>
              <w:t>understanding that these payments are provided in</w:t>
            </w:r>
          </w:p>
        </w:tc>
        <w:tc>
          <w:tcPr>
            <w:tcW w:w="100" w:type="dxa"/>
            <w:vAlign w:val="bottom"/>
          </w:tcPr>
          <w:p>
            <w:pPr>
              <w:spacing w:after="0"/>
              <w:rPr>
                <w:sz w:val="18"/>
                <w:szCs w:val="18"/>
                <w:color w:val="auto"/>
              </w:rPr>
            </w:pPr>
          </w:p>
        </w:tc>
      </w:tr>
      <w:tr>
        <w:trPr>
          <w:trHeight w:val="234"/>
        </w:trPr>
        <w:tc>
          <w:tcPr>
            <w:tcW w:w="9780" w:type="dxa"/>
            <w:vAlign w:val="bottom"/>
            <w:gridSpan w:val="6"/>
          </w:tcPr>
          <w:p>
            <w:pPr>
              <w:ind w:left="420"/>
              <w:spacing w:after="0"/>
              <w:rPr>
                <w:sz w:val="20"/>
                <w:szCs w:val="20"/>
                <w:color w:val="auto"/>
              </w:rPr>
            </w:pPr>
            <w:r>
              <w:rPr>
                <w:rFonts w:ascii="Arial" w:cs="Arial" w:eastAsia="Arial" w:hAnsi="Arial"/>
                <w:sz w:val="18"/>
                <w:szCs w:val="18"/>
                <w:color w:val="auto"/>
              </w:rPr>
              <w:t xml:space="preserve">consideration of </w:t>
            </w:r>
            <w:r>
              <w:rPr>
                <w:rFonts w:ascii="Arial" w:cs="Arial" w:eastAsia="Arial" w:hAnsi="Arial"/>
                <w:sz w:val="18"/>
                <w:szCs w:val="18"/>
                <w:b w:val="1"/>
                <w:bCs w:val="1"/>
                <w:color w:val="auto"/>
              </w:rPr>
              <w:t>[his/her]</w:t>
            </w:r>
            <w:r>
              <w:rPr>
                <w:rFonts w:ascii="Arial" w:cs="Arial" w:eastAsia="Arial" w:hAnsi="Arial"/>
                <w:sz w:val="18"/>
                <w:szCs w:val="18"/>
                <w:color w:val="auto"/>
              </w:rPr>
              <w:t xml:space="preserve"> obligations under this Agreement.</w:t>
            </w:r>
          </w:p>
        </w:tc>
        <w:tc>
          <w:tcPr>
            <w:tcW w:w="100" w:type="dxa"/>
            <w:vAlign w:val="bottom"/>
          </w:tcPr>
          <w:p>
            <w:pPr>
              <w:spacing w:after="0"/>
              <w:rPr>
                <w:sz w:val="20"/>
                <w:szCs w:val="20"/>
                <w:color w:val="auto"/>
              </w:rPr>
            </w:pPr>
          </w:p>
        </w:tc>
      </w:tr>
    </w:tbl>
    <w:p>
      <w:pPr>
        <w:spacing w:after="0" w:line="256" w:lineRule="exact"/>
        <w:rPr>
          <w:sz w:val="20"/>
          <w:szCs w:val="20"/>
          <w:color w:val="auto"/>
        </w:rPr>
      </w:pPr>
    </w:p>
    <w:p>
      <w:pPr>
        <w:ind w:left="1360" w:right="560" w:hanging="413"/>
        <w:spacing w:after="0" w:line="342" w:lineRule="auto"/>
        <w:tabs>
          <w:tab w:leader="none" w:pos="1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Executive understands and agrees that no part of the payments described in sub-section (b) above will be treated as compensation for any purpose under any of the retirement, savings or other employee benefit plans in which </w:t>
      </w:r>
      <w:r>
        <w:rPr>
          <w:rFonts w:ascii="Arial" w:cs="Arial" w:eastAsia="Arial" w:hAnsi="Arial"/>
          <w:sz w:val="16"/>
          <w:szCs w:val="16"/>
          <w:b w:val="1"/>
          <w:bCs w:val="1"/>
          <w:color w:val="auto"/>
        </w:rPr>
        <w:t>[he/she]</w:t>
      </w:r>
      <w:r>
        <w:rPr>
          <w:rFonts w:ascii="Arial" w:cs="Arial" w:eastAsia="Arial" w:hAnsi="Arial"/>
          <w:sz w:val="16"/>
          <w:szCs w:val="16"/>
          <w:color w:val="auto"/>
        </w:rPr>
        <w:t xml:space="preserve"> participated.</w:t>
      </w:r>
    </w:p>
    <w:p>
      <w:pPr>
        <w:spacing w:after="0" w:line="173" w:lineRule="exact"/>
        <w:rPr>
          <w:rFonts w:ascii="Arial" w:cs="Arial" w:eastAsia="Arial" w:hAnsi="Arial"/>
          <w:sz w:val="16"/>
          <w:szCs w:val="16"/>
          <w:color w:val="auto"/>
        </w:rPr>
      </w:pPr>
    </w:p>
    <w:p>
      <w:pPr>
        <w:ind w:left="1360" w:right="460" w:hanging="413"/>
        <w:spacing w:after="0" w:line="258" w:lineRule="auto"/>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Executive </w:t>
      </w:r>
      <w:r>
        <w:rPr>
          <w:rFonts w:ascii="Arial" w:cs="Arial" w:eastAsia="Arial" w:hAnsi="Arial"/>
          <w:sz w:val="18"/>
          <w:szCs w:val="18"/>
          <w:b w:val="1"/>
          <w:bCs w:val="1"/>
          <w:color w:val="auto"/>
        </w:rPr>
        <w:t>[has] [has not]</w:t>
      </w:r>
      <w:r>
        <w:rPr>
          <w:rFonts w:ascii="Arial" w:cs="Arial" w:eastAsia="Arial" w:hAnsi="Arial"/>
          <w:sz w:val="18"/>
          <w:szCs w:val="18"/>
          <w:color w:val="auto"/>
        </w:rPr>
        <w:t xml:space="preserve"> vested in </w:t>
      </w:r>
      <w:r>
        <w:rPr>
          <w:rFonts w:ascii="Arial" w:cs="Arial" w:eastAsia="Arial" w:hAnsi="Arial"/>
          <w:sz w:val="18"/>
          <w:szCs w:val="18"/>
          <w:b w:val="1"/>
          <w:bCs w:val="1"/>
          <w:color w:val="auto"/>
        </w:rPr>
        <w:t>[his/her]</w:t>
      </w:r>
      <w:r>
        <w:rPr>
          <w:rFonts w:ascii="Arial" w:cs="Arial" w:eastAsia="Arial" w:hAnsi="Arial"/>
          <w:sz w:val="18"/>
          <w:szCs w:val="18"/>
          <w:color w:val="auto"/>
        </w:rPr>
        <w:t xml:space="preserve"> ELG life insurance benefit and </w:t>
      </w:r>
      <w:r>
        <w:rPr>
          <w:rFonts w:ascii="Arial" w:cs="Arial" w:eastAsia="Arial" w:hAnsi="Arial"/>
          <w:sz w:val="18"/>
          <w:szCs w:val="18"/>
          <w:b w:val="1"/>
          <w:bCs w:val="1"/>
          <w:color w:val="auto"/>
        </w:rPr>
        <w:t>[will] [ will not]</w:t>
      </w:r>
      <w:r>
        <w:rPr>
          <w:rFonts w:ascii="Arial" w:cs="Arial" w:eastAsia="Arial" w:hAnsi="Arial"/>
          <w:sz w:val="18"/>
          <w:szCs w:val="18"/>
          <w:color w:val="auto"/>
        </w:rPr>
        <w:t xml:space="preserve"> be entitled to elect post retirement coverage benefits in accordance with the terms of the program. The Executive and </w:t>
      </w:r>
      <w:r>
        <w:rPr>
          <w:rFonts w:ascii="Arial" w:cs="Arial" w:eastAsia="Arial" w:hAnsi="Arial"/>
          <w:sz w:val="18"/>
          <w:szCs w:val="18"/>
          <w:b w:val="1"/>
          <w:bCs w:val="1"/>
          <w:color w:val="auto"/>
        </w:rPr>
        <w:t>[his/her]</w:t>
      </w:r>
      <w:r>
        <w:rPr>
          <w:rFonts w:ascii="Arial" w:cs="Arial" w:eastAsia="Arial" w:hAnsi="Arial"/>
          <w:sz w:val="18"/>
          <w:szCs w:val="18"/>
          <w:color w:val="auto"/>
        </w:rPr>
        <w:t xml:space="preserve"> eligible dependents will remain eligible to participate in the Company’s healthcare plan for 12 months following the Termination Date (or the date </w:t>
      </w:r>
      <w:r>
        <w:rPr>
          <w:rFonts w:ascii="Arial" w:cs="Arial" w:eastAsia="Arial" w:hAnsi="Arial"/>
          <w:sz w:val="18"/>
          <w:szCs w:val="18"/>
          <w:b w:val="1"/>
          <w:bCs w:val="1"/>
          <w:color w:val="auto"/>
        </w:rPr>
        <w:t>[he/she]</w:t>
      </w:r>
      <w:r>
        <w:rPr>
          <w:rFonts w:ascii="Arial" w:cs="Arial" w:eastAsia="Arial" w:hAnsi="Arial"/>
          <w:sz w:val="18"/>
          <w:szCs w:val="18"/>
          <w:color w:val="auto"/>
        </w:rPr>
        <w:t xml:space="preserve"> commences new employment, if sooner). Thereafter, </w:t>
      </w:r>
      <w:r>
        <w:rPr>
          <w:rFonts w:ascii="Arial" w:cs="Arial" w:eastAsia="Arial" w:hAnsi="Arial"/>
          <w:sz w:val="18"/>
          <w:szCs w:val="18"/>
          <w:b w:val="1"/>
          <w:bCs w:val="1"/>
          <w:color w:val="auto"/>
        </w:rPr>
        <w:t>[he/she]</w:t>
      </w:r>
      <w:r>
        <w:rPr>
          <w:rFonts w:ascii="Arial" w:cs="Arial" w:eastAsia="Arial" w:hAnsi="Arial"/>
          <w:sz w:val="18"/>
          <w:szCs w:val="18"/>
          <w:color w:val="auto"/>
        </w:rPr>
        <w:t xml:space="preserve"> may continue such coverage in accordance with the plan’s “COBRA” continuation provisions at </w:t>
      </w:r>
      <w:r>
        <w:rPr>
          <w:rFonts w:ascii="Arial" w:cs="Arial" w:eastAsia="Arial" w:hAnsi="Arial"/>
          <w:sz w:val="18"/>
          <w:szCs w:val="18"/>
          <w:b w:val="1"/>
          <w:bCs w:val="1"/>
          <w:color w:val="auto"/>
        </w:rPr>
        <w:t>[his/her]</w:t>
      </w:r>
      <w:r>
        <w:rPr>
          <w:rFonts w:ascii="Arial" w:cs="Arial" w:eastAsia="Arial" w:hAnsi="Arial"/>
          <w:sz w:val="18"/>
          <w:szCs w:val="18"/>
          <w:color w:val="auto"/>
        </w:rPr>
        <w:t xml:space="preserve"> expense.</w:t>
      </w:r>
    </w:p>
    <w:p>
      <w:pPr>
        <w:spacing w:after="0" w:line="323" w:lineRule="exact"/>
        <w:rPr>
          <w:rFonts w:ascii="Arial" w:cs="Arial" w:eastAsia="Arial" w:hAnsi="Arial"/>
          <w:sz w:val="18"/>
          <w:szCs w:val="18"/>
          <w:color w:val="auto"/>
        </w:rPr>
      </w:pPr>
    </w:p>
    <w:p>
      <w:pPr>
        <w:ind w:left="1360" w:right="480" w:hanging="413"/>
        <w:spacing w:after="0" w:line="237" w:lineRule="auto"/>
        <w:tabs>
          <w:tab w:leader="none" w:pos="1360" w:val="left"/>
        </w:tabs>
        <w:numPr>
          <w:ilvl w:val="0"/>
          <w:numId w:val="26"/>
        </w:numPr>
        <w:rPr>
          <w:rFonts w:ascii="Arial" w:cs="Arial" w:eastAsia="Arial" w:hAnsi="Arial"/>
          <w:sz w:val="34"/>
          <w:szCs w:val="34"/>
          <w:color w:val="auto"/>
          <w:vertAlign w:val="superscript"/>
        </w:rPr>
      </w:pPr>
      <w:r>
        <w:rPr>
          <w:rFonts w:ascii="Arial" w:cs="Arial" w:eastAsia="Arial" w:hAnsi="Arial"/>
          <w:sz w:val="17"/>
          <w:szCs w:val="17"/>
          <w:color w:val="auto"/>
        </w:rPr>
        <w:t xml:space="preserve">All stock options, stock appreciation rights, dividend equivalent awards, performance share units and other long-term incentive awards that have been held for less than </w:t>
      </w:r>
      <w:r>
        <w:rPr>
          <w:rFonts w:ascii="Arial" w:cs="Arial" w:eastAsia="Arial" w:hAnsi="Arial"/>
          <w:sz w:val="17"/>
          <w:szCs w:val="17"/>
          <w:b w:val="1"/>
          <w:bCs w:val="1"/>
          <w:color w:val="auto"/>
        </w:rPr>
        <w:t>[one year] [three years]</w:t>
      </w:r>
      <w:r>
        <w:rPr>
          <w:rFonts w:ascii="Arial" w:cs="Arial" w:eastAsia="Arial" w:hAnsi="Arial"/>
          <w:sz w:val="17"/>
          <w:szCs w:val="17"/>
          <w:color w:val="auto"/>
        </w:rPr>
        <w:t xml:space="preserve"> as of the Termination Date will be canceled without any payment or other consideration. Vested stock options and stock appreciation rights may be exercised for the period specified in award agreement following the Termination Date, provided however, that no award may be exercised after its expiration date. The treatment of long-term incentive awards is in all cases subject to and governed by the terms and conditions of the applicable long term incentive plan document and the schedule of terms applicable to each award. [Note: Long Term Incentive Plan provisions may provide for accelerated vesting in the event of a termination following a Change in Control or after eligibility for early retirement (i.e. age 55 with at least 10 years of service or qualifying for the “rule of 65”).</w:t>
      </w:r>
    </w:p>
    <w:p>
      <w:pPr>
        <w:sectPr>
          <w:pgSz w:w="11900" w:h="16838" w:orient="portrait"/>
          <w:cols w:equalWidth="0" w:num="1">
            <w:col w:w="11320"/>
          </w:cols>
          <w:pgMar w:left="240" w:top="580" w:right="339" w:bottom="1440" w:gutter="0" w:footer="0" w:header="0"/>
        </w:sectPr>
      </w:pPr>
    </w:p>
    <w:bookmarkStart w:id="78" w:name="page79"/>
    <w:bookmarkEnd w:id="78"/>
    <w:p>
      <w:pPr>
        <w:ind w:left="412"/>
        <w:spacing w:after="0"/>
        <w:tabs>
          <w:tab w:leader="none" w:pos="812" w:val="left"/>
          <w:tab w:leader="none" w:pos="7212" w:val="left"/>
          <w:tab w:leader="none" w:pos="8812"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8"/>
          <w:szCs w:val="18"/>
          <w:color w:val="auto"/>
        </w:rPr>
        <w:t xml:space="preserve">The Executive </w:t>
      </w:r>
      <w:r>
        <w:rPr>
          <w:rFonts w:ascii="Arial" w:cs="Arial" w:eastAsia="Arial" w:hAnsi="Arial"/>
          <w:sz w:val="18"/>
          <w:szCs w:val="18"/>
          <w:b w:val="1"/>
          <w:bCs w:val="1"/>
          <w:color w:val="auto"/>
        </w:rPr>
        <w:t>[will/will not]</w:t>
      </w:r>
      <w:r>
        <w:rPr>
          <w:rFonts w:ascii="Arial" w:cs="Arial" w:eastAsia="Arial" w:hAnsi="Arial"/>
          <w:sz w:val="18"/>
          <w:szCs w:val="18"/>
          <w:color w:val="auto"/>
        </w:rPr>
        <w:t xml:space="preserve"> be eligible for an incentive compensation award in 20 </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xml:space="preserve">] </w:t>
      </w:r>
      <w:r>
        <w:rPr>
          <w:rFonts w:ascii="Arial" w:cs="Arial" w:eastAsia="Arial" w:hAnsi="Arial"/>
          <w:sz w:val="18"/>
          <w:szCs w:val="18"/>
          <w:color w:val="auto"/>
        </w:rPr>
        <w:t>in respect of 20</w:t>
      </w:r>
      <w:r>
        <w:rPr>
          <w:rFonts w:ascii="Arial" w:cs="Arial" w:eastAsia="Arial" w:hAnsi="Arial"/>
          <w:sz w:val="18"/>
          <w:szCs w:val="18"/>
          <w:b w:val="1"/>
          <w:bCs w:val="1"/>
          <w:color w:val="auto"/>
        </w:rPr>
        <w:t xml:space="preserve"> [</w:t>
      </w:r>
      <w:r>
        <w:rPr>
          <w:sz w:val="20"/>
          <w:szCs w:val="20"/>
          <w:color w:val="auto"/>
        </w:rPr>
        <w:tab/>
      </w:r>
      <w:r>
        <w:rPr>
          <w:rFonts w:ascii="Arial" w:cs="Arial" w:eastAsia="Arial" w:hAnsi="Arial"/>
          <w:sz w:val="17"/>
          <w:szCs w:val="17"/>
          <w:b w:val="1"/>
          <w:bCs w:val="1"/>
          <w:color w:val="auto"/>
        </w:rPr>
        <w:t xml:space="preserve">] </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-7620</wp:posOffset>
            </wp:positionV>
            <wp:extent cx="1143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-7620</wp:posOffset>
            </wp:positionV>
            <wp:extent cx="1143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59" w:lineRule="exact"/>
        <w:rPr>
          <w:sz w:val="20"/>
          <w:szCs w:val="20"/>
          <w:color w:val="auto"/>
        </w:rPr>
      </w:pPr>
    </w:p>
    <w:p>
      <w:pPr>
        <w:ind w:left="832" w:right="20" w:hanging="413"/>
        <w:spacing w:after="0" w:line="266" w:lineRule="auto"/>
        <w:tabs>
          <w:tab w:leader="none" w:pos="832"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The Executive may purchase </w:t>
      </w:r>
      <w:r>
        <w:rPr>
          <w:rFonts w:ascii="Arial" w:cs="Arial" w:eastAsia="Arial" w:hAnsi="Arial"/>
          <w:sz w:val="18"/>
          <w:szCs w:val="18"/>
          <w:b w:val="1"/>
          <w:bCs w:val="1"/>
          <w:color w:val="auto"/>
        </w:rPr>
        <w:t>[his/her]</w:t>
      </w:r>
      <w:r>
        <w:rPr>
          <w:rFonts w:ascii="Arial" w:cs="Arial" w:eastAsia="Arial" w:hAnsi="Arial"/>
          <w:sz w:val="18"/>
          <w:szCs w:val="18"/>
          <w:color w:val="auto"/>
        </w:rPr>
        <w:t xml:space="preserve"> Company leased vehicle on or before the Termination Date in accordance with standard program procedures. The Executive will be responsible for any tax liability that may result from imputed income in connection with such purchase.</w:t>
      </w:r>
    </w:p>
    <w:p>
      <w:pPr>
        <w:spacing w:after="0" w:line="234" w:lineRule="exact"/>
        <w:rPr>
          <w:rFonts w:ascii="Arial" w:cs="Arial" w:eastAsia="Arial" w:hAnsi="Arial"/>
          <w:sz w:val="18"/>
          <w:szCs w:val="18"/>
          <w:color w:val="auto"/>
        </w:rPr>
      </w:pPr>
    </w:p>
    <w:p>
      <w:pPr>
        <w:ind w:left="832" w:right="340" w:hanging="413"/>
        <w:spacing w:after="0" w:line="277" w:lineRule="auto"/>
        <w:tabs>
          <w:tab w:leader="none" w:pos="83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amounts previously deferred under the ELG Perquisite Program will be distributed to the Executive in accordance with the Executive’s elections and Section 409A.</w:t>
      </w:r>
    </w:p>
    <w:p>
      <w:pPr>
        <w:spacing w:after="0" w:line="224" w:lineRule="exact"/>
        <w:rPr>
          <w:rFonts w:ascii="Arial" w:cs="Arial" w:eastAsia="Arial" w:hAnsi="Arial"/>
          <w:sz w:val="18"/>
          <w:szCs w:val="18"/>
          <w:color w:val="auto"/>
        </w:rPr>
      </w:pPr>
    </w:p>
    <w:p>
      <w:pPr>
        <w:ind w:left="832" w:hanging="832"/>
        <w:spacing w:after="0" w:line="270" w:lineRule="auto"/>
        <w:tabs>
          <w:tab w:leader="none" w:pos="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a) The Executive hereby agrees to release the Company, its subsidiaries, divisions, present or former employees, officers and directors from all claims or demands the Executive may have arising from or relating to </w:t>
      </w:r>
      <w:r>
        <w:rPr>
          <w:rFonts w:ascii="Arial" w:cs="Arial" w:eastAsia="Arial" w:hAnsi="Arial"/>
          <w:sz w:val="17"/>
          <w:szCs w:val="17"/>
          <w:b w:val="1"/>
          <w:bCs w:val="1"/>
          <w:color w:val="auto"/>
        </w:rPr>
        <w:t>[his/her]</w:t>
      </w:r>
      <w:r>
        <w:rPr>
          <w:rFonts w:ascii="Arial" w:cs="Arial" w:eastAsia="Arial" w:hAnsi="Arial"/>
          <w:sz w:val="17"/>
          <w:szCs w:val="17"/>
          <w:color w:val="auto"/>
        </w:rPr>
        <w:t xml:space="preserve"> employment with the Company or the termination of that employment. This includes a release of any rights or claims the Executive may have under the Age Discrimination in Employment Act of 1967, as amended, which prohibits age discrimination in employment; Title VII of the Civil Rights Act of 1964, as amended, which prohibits discrimination in employment based on race, color, national origin, religion or sex; the Equal Pay Act, which prohibits paying men and women unequal pay for equal work; the Americans with Disabilities Act which prohibits discrimination on the basis of handicap; the Employee Retirement Income Security Act of 1974, as amended, which prohibits discrimination on the basis of eligibility to receive benefits and any other federal, state or local laws or regulations prohibiting employment discrimination. This release also includes a release by the Executive of any claims or actions for wrongful discharge based on statute, regulation, contract, tort, common or civil law or otherwise.</w:t>
      </w:r>
    </w:p>
    <w:p>
      <w:pPr>
        <w:spacing w:after="0" w:line="299" w:lineRule="exact"/>
        <w:rPr>
          <w:rFonts w:ascii="Arial" w:cs="Arial" w:eastAsia="Arial" w:hAnsi="Arial"/>
          <w:sz w:val="17"/>
          <w:szCs w:val="17"/>
          <w:color w:val="auto"/>
        </w:rPr>
      </w:pPr>
    </w:p>
    <w:p>
      <w:pPr>
        <w:ind w:left="832" w:hanging="413"/>
        <w:spacing w:after="0" w:line="302" w:lineRule="auto"/>
        <w:tabs>
          <w:tab w:leader="none" w:pos="832"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This Release covers all claims based on any facts or events, whether known or unknown by the Executive that occurred on or before the effective date of this Agreement. The Executive will notify the Company of any claims that may arise after the effective date of this Agreement but before the Termination Date and ratify the release and waiver, effective as of the Termination Date, following resolution of any claims as a pre-condition to receiving the benefits provided for in Section 2 herein.</w:t>
      </w:r>
    </w:p>
    <w:p>
      <w:pPr>
        <w:spacing w:after="0" w:line="208" w:lineRule="exact"/>
        <w:rPr>
          <w:rFonts w:ascii="Arial" w:cs="Arial" w:eastAsia="Arial" w:hAnsi="Arial"/>
          <w:sz w:val="16"/>
          <w:szCs w:val="16"/>
          <w:color w:val="auto"/>
        </w:rPr>
      </w:pPr>
    </w:p>
    <w:p>
      <w:pPr>
        <w:ind w:left="832" w:right="100" w:hanging="413"/>
        <w:spacing w:after="0" w:line="264" w:lineRule="auto"/>
        <w:tabs>
          <w:tab w:leader="none" w:pos="8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This Release does not include, however, a release of the Executive’s rights to any vested pension, deferred compensation, health or similar benefits to which </w:t>
      </w:r>
      <w:r>
        <w:rPr>
          <w:rFonts w:ascii="Arial" w:cs="Arial" w:eastAsia="Arial" w:hAnsi="Arial"/>
          <w:sz w:val="18"/>
          <w:szCs w:val="18"/>
          <w:b w:val="1"/>
          <w:bCs w:val="1"/>
          <w:color w:val="auto"/>
        </w:rPr>
        <w:t>[he/she]</w:t>
      </w:r>
      <w:r>
        <w:rPr>
          <w:rFonts w:ascii="Arial" w:cs="Arial" w:eastAsia="Arial" w:hAnsi="Arial"/>
          <w:sz w:val="18"/>
          <w:szCs w:val="18"/>
          <w:color w:val="auto"/>
        </w:rPr>
        <w:t xml:space="preserve"> may be entitled in accordance with the terms of the Company employee benefit plans in which </w:t>
      </w:r>
      <w:r>
        <w:rPr>
          <w:rFonts w:ascii="Arial" w:cs="Arial" w:eastAsia="Arial" w:hAnsi="Arial"/>
          <w:sz w:val="18"/>
          <w:szCs w:val="18"/>
          <w:b w:val="1"/>
          <w:bCs w:val="1"/>
          <w:color w:val="auto"/>
        </w:rPr>
        <w:t xml:space="preserve">[he/she] </w:t>
      </w:r>
      <w:r>
        <w:rPr>
          <w:rFonts w:ascii="Arial" w:cs="Arial" w:eastAsia="Arial" w:hAnsi="Arial"/>
          <w:sz w:val="18"/>
          <w:szCs w:val="18"/>
          <w:color w:val="auto"/>
        </w:rPr>
        <w:t>participated.</w:t>
      </w:r>
    </w:p>
    <w:p>
      <w:pPr>
        <w:spacing w:after="0" w:line="235" w:lineRule="exact"/>
        <w:rPr>
          <w:rFonts w:ascii="Arial" w:cs="Arial" w:eastAsia="Arial" w:hAnsi="Arial"/>
          <w:sz w:val="18"/>
          <w:szCs w:val="18"/>
          <w:color w:val="auto"/>
        </w:rPr>
      </w:pPr>
    </w:p>
    <w:p>
      <w:pPr>
        <w:ind w:left="832" w:right="20" w:hanging="413"/>
        <w:spacing w:after="0" w:line="259" w:lineRule="auto"/>
        <w:tabs>
          <w:tab w:leader="none" w:pos="8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Nothing in this Agreement shall be construed to prohibit the Executive from filing a charge with, or participating in, any investigation or proceeding by the EEOC or comparable governmental agency. The Executive agrees, however, to waive the right to recover monetary damages in any charge, complaint or lawsuit filed by </w:t>
      </w:r>
      <w:r>
        <w:rPr>
          <w:rFonts w:ascii="Arial" w:cs="Arial" w:eastAsia="Arial" w:hAnsi="Arial"/>
          <w:sz w:val="18"/>
          <w:szCs w:val="18"/>
          <w:b w:val="1"/>
          <w:bCs w:val="1"/>
          <w:color w:val="auto"/>
        </w:rPr>
        <w:t>[him/her]</w:t>
      </w:r>
      <w:r>
        <w:rPr>
          <w:rFonts w:ascii="Arial" w:cs="Arial" w:eastAsia="Arial" w:hAnsi="Arial"/>
          <w:sz w:val="18"/>
          <w:szCs w:val="18"/>
          <w:color w:val="auto"/>
        </w:rPr>
        <w:t xml:space="preserve"> or on </w:t>
      </w:r>
      <w:r>
        <w:rPr>
          <w:rFonts w:ascii="Arial" w:cs="Arial" w:eastAsia="Arial" w:hAnsi="Arial"/>
          <w:sz w:val="18"/>
          <w:szCs w:val="18"/>
          <w:b w:val="1"/>
          <w:bCs w:val="1"/>
          <w:color w:val="auto"/>
        </w:rPr>
        <w:t>[his/her]</w:t>
      </w:r>
      <w:r>
        <w:rPr>
          <w:rFonts w:ascii="Arial" w:cs="Arial" w:eastAsia="Arial" w:hAnsi="Arial"/>
          <w:sz w:val="18"/>
          <w:szCs w:val="18"/>
          <w:color w:val="auto"/>
        </w:rPr>
        <w:t xml:space="preserve"> behalf with respect any claims released in Section 3 of this Agreement.</w:t>
      </w:r>
    </w:p>
    <w:p>
      <w:pPr>
        <w:spacing w:after="0" w:line="240" w:lineRule="exact"/>
        <w:rPr>
          <w:rFonts w:ascii="Arial" w:cs="Arial" w:eastAsia="Arial" w:hAnsi="Arial"/>
          <w:sz w:val="18"/>
          <w:szCs w:val="18"/>
          <w:color w:val="auto"/>
        </w:rPr>
      </w:pPr>
    </w:p>
    <w:p>
      <w:pPr>
        <w:ind w:left="832" w:right="20" w:hanging="413"/>
        <w:spacing w:after="0" w:line="279" w:lineRule="auto"/>
        <w:tabs>
          <w:tab w:leader="none" w:pos="832"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The Executive understands and agrees that the amounts paid pursuant to this Agreement are in full and complete satisfaction of all severance related amounts due </w:t>
      </w:r>
      <w:r>
        <w:rPr>
          <w:rFonts w:ascii="Arial" w:cs="Arial" w:eastAsia="Arial" w:hAnsi="Arial"/>
          <w:sz w:val="17"/>
          <w:szCs w:val="17"/>
          <w:b w:val="1"/>
          <w:bCs w:val="1"/>
          <w:color w:val="auto"/>
        </w:rPr>
        <w:t>[him/her]</w:t>
      </w:r>
      <w:r>
        <w:rPr>
          <w:rFonts w:ascii="Arial" w:cs="Arial" w:eastAsia="Arial" w:hAnsi="Arial"/>
          <w:sz w:val="17"/>
          <w:szCs w:val="17"/>
          <w:color w:val="auto"/>
        </w:rPr>
        <w:t xml:space="preserve"> by the Company and that no other payments of compensation are due </w:t>
      </w:r>
      <w:r>
        <w:rPr>
          <w:rFonts w:ascii="Arial" w:cs="Arial" w:eastAsia="Arial" w:hAnsi="Arial"/>
          <w:sz w:val="17"/>
          <w:szCs w:val="17"/>
          <w:b w:val="1"/>
          <w:bCs w:val="1"/>
          <w:color w:val="auto"/>
        </w:rPr>
        <w:t>[him/her]</w:t>
      </w:r>
      <w:r>
        <w:rPr>
          <w:rFonts w:ascii="Arial" w:cs="Arial" w:eastAsia="Arial" w:hAnsi="Arial"/>
          <w:sz w:val="17"/>
          <w:szCs w:val="17"/>
          <w:color w:val="auto"/>
        </w:rPr>
        <w:t xml:space="preserve"> under the ELG or otherwise. The Executive further understands and agrees that </w:t>
      </w:r>
      <w:r>
        <w:rPr>
          <w:rFonts w:ascii="Arial" w:cs="Arial" w:eastAsia="Arial" w:hAnsi="Arial"/>
          <w:sz w:val="17"/>
          <w:szCs w:val="17"/>
          <w:b w:val="1"/>
          <w:bCs w:val="1"/>
          <w:color w:val="auto"/>
        </w:rPr>
        <w:t>[he/she]</w:t>
      </w:r>
      <w:r>
        <w:rPr>
          <w:rFonts w:ascii="Arial" w:cs="Arial" w:eastAsia="Arial" w:hAnsi="Arial"/>
          <w:sz w:val="17"/>
          <w:szCs w:val="17"/>
          <w:color w:val="auto"/>
        </w:rPr>
        <w:t xml:space="preserve"> shall not be entitled to any additional severance payments or payments in lieu of vacation, holiday or other fringe benefits.</w:t>
      </w:r>
    </w:p>
    <w:p>
      <w:pPr>
        <w:spacing w:after="0" w:line="221" w:lineRule="exact"/>
        <w:rPr>
          <w:rFonts w:ascii="Arial" w:cs="Arial" w:eastAsia="Arial" w:hAnsi="Arial"/>
          <w:sz w:val="17"/>
          <w:szCs w:val="17"/>
          <w:color w:val="auto"/>
        </w:rPr>
      </w:pPr>
    </w:p>
    <w:p>
      <w:pPr>
        <w:ind w:left="832" w:right="160" w:hanging="413"/>
        <w:spacing w:after="0" w:line="282" w:lineRule="auto"/>
        <w:tabs>
          <w:tab w:leader="none" w:pos="8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After the Termination Date the Executive will cooperate with the Company with respect to matters that involved </w:t>
      </w:r>
      <w:r>
        <w:rPr>
          <w:rFonts w:ascii="Arial" w:cs="Arial" w:eastAsia="Arial" w:hAnsi="Arial"/>
          <w:sz w:val="18"/>
          <w:szCs w:val="18"/>
          <w:b w:val="1"/>
          <w:bCs w:val="1"/>
          <w:color w:val="auto"/>
        </w:rPr>
        <w:t>[him/her]</w:t>
      </w:r>
      <w:r>
        <w:rPr>
          <w:rFonts w:ascii="Arial" w:cs="Arial" w:eastAsia="Arial" w:hAnsi="Arial"/>
          <w:sz w:val="18"/>
          <w:szCs w:val="18"/>
          <w:color w:val="auto"/>
        </w:rPr>
        <w:t xml:space="preserve"> during the course of </w:t>
      </w:r>
      <w:r>
        <w:rPr>
          <w:rFonts w:ascii="Arial" w:cs="Arial" w:eastAsia="Arial" w:hAnsi="Arial"/>
          <w:sz w:val="18"/>
          <w:szCs w:val="18"/>
          <w:b w:val="1"/>
          <w:bCs w:val="1"/>
          <w:color w:val="auto"/>
        </w:rPr>
        <w:t>[his/her]</w:t>
      </w:r>
      <w:r>
        <w:rPr>
          <w:rFonts w:ascii="Arial" w:cs="Arial" w:eastAsia="Arial" w:hAnsi="Arial"/>
          <w:sz w:val="18"/>
          <w:szCs w:val="18"/>
          <w:color w:val="auto"/>
        </w:rPr>
        <w:t xml:space="preserve"> employment if such cooperation is necessary or appropriate.</w:t>
      </w:r>
    </w:p>
    <w:p>
      <w:pPr>
        <w:spacing w:after="0" w:line="287" w:lineRule="exact"/>
        <w:rPr>
          <w:rFonts w:ascii="Arial" w:cs="Arial" w:eastAsia="Arial" w:hAnsi="Arial"/>
          <w:sz w:val="18"/>
          <w:szCs w:val="18"/>
          <w:color w:val="auto"/>
        </w:rPr>
      </w:pPr>
    </w:p>
    <w:p>
      <w:pPr>
        <w:ind w:left="832" w:right="60" w:hanging="413"/>
        <w:spacing w:after="0" w:line="259" w:lineRule="auto"/>
        <w:tabs>
          <w:tab w:leader="none" w:pos="8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Executive agrees to resign from all committees, boards, associations and other organizations, both internal and external, to which the Executive currently belongs in </w:t>
      </w:r>
      <w:r>
        <w:rPr>
          <w:rFonts w:ascii="Arial" w:cs="Arial" w:eastAsia="Arial" w:hAnsi="Arial"/>
          <w:sz w:val="18"/>
          <w:szCs w:val="18"/>
          <w:b w:val="1"/>
          <w:bCs w:val="1"/>
          <w:color w:val="auto"/>
        </w:rPr>
        <w:t>[his/her]</w:t>
      </w:r>
      <w:r>
        <w:rPr>
          <w:rFonts w:ascii="Arial" w:cs="Arial" w:eastAsia="Arial" w:hAnsi="Arial"/>
          <w:sz w:val="18"/>
          <w:szCs w:val="18"/>
          <w:color w:val="auto"/>
        </w:rPr>
        <w:t xml:space="preserve"> capacity as a Company executive, except as mutually agreed with the Company. Following the Termination Date, the Executive will be free to join boards and affiliate with organizations provided that such affiliation will not violate any of the obligations set forth in Section 4 of this Agreement.</w:t>
      </w:r>
    </w:p>
    <w:p>
      <w:pPr>
        <w:spacing w:after="0" w:line="236" w:lineRule="exact"/>
        <w:rPr>
          <w:rFonts w:ascii="Arial" w:cs="Arial" w:eastAsia="Arial" w:hAnsi="Arial"/>
          <w:sz w:val="18"/>
          <w:szCs w:val="18"/>
          <w:color w:val="auto"/>
        </w:rPr>
      </w:pPr>
    </w:p>
    <w:p>
      <w:pPr>
        <w:ind w:left="832" w:right="1020" w:hanging="413"/>
        <w:spacing w:after="0" w:line="282" w:lineRule="auto"/>
        <w:tabs>
          <w:tab w:leader="none" w:pos="8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Executive is encouraged, at </w:t>
      </w:r>
      <w:r>
        <w:rPr>
          <w:rFonts w:ascii="Arial" w:cs="Arial" w:eastAsia="Arial" w:hAnsi="Arial"/>
          <w:sz w:val="18"/>
          <w:szCs w:val="18"/>
          <w:b w:val="1"/>
          <w:bCs w:val="1"/>
          <w:color w:val="auto"/>
        </w:rPr>
        <w:t>[his/her]</w:t>
      </w:r>
      <w:r>
        <w:rPr>
          <w:rFonts w:ascii="Arial" w:cs="Arial" w:eastAsia="Arial" w:hAnsi="Arial"/>
          <w:sz w:val="18"/>
          <w:szCs w:val="18"/>
          <w:color w:val="auto"/>
        </w:rPr>
        <w:t xml:space="preserve"> own expense, to consult with an attorney before signing this Agreement and acknowledges that </w:t>
      </w:r>
      <w:r>
        <w:rPr>
          <w:rFonts w:ascii="Arial" w:cs="Arial" w:eastAsia="Arial" w:hAnsi="Arial"/>
          <w:sz w:val="18"/>
          <w:szCs w:val="18"/>
          <w:b w:val="1"/>
          <w:bCs w:val="1"/>
          <w:color w:val="auto"/>
        </w:rPr>
        <w:t>[he/she]</w:t>
      </w:r>
      <w:r>
        <w:rPr>
          <w:rFonts w:ascii="Arial" w:cs="Arial" w:eastAsia="Arial" w:hAnsi="Arial"/>
          <w:sz w:val="18"/>
          <w:szCs w:val="18"/>
          <w:color w:val="auto"/>
        </w:rPr>
        <w:t xml:space="preserve"> was offered sufficient time to consider it.</w:t>
      </w:r>
    </w:p>
    <w:p>
      <w:pPr>
        <w:sectPr>
          <w:pgSz w:w="11900" w:h="16838" w:orient="portrait"/>
          <w:cols w:equalWidth="0" w:num="1">
            <w:col w:w="10372"/>
          </w:cols>
          <w:pgMar w:left="768" w:top="823" w:right="759" w:bottom="1440" w:gutter="0" w:footer="0" w:header="0"/>
        </w:sectPr>
      </w:pPr>
    </w:p>
    <w:bookmarkStart w:id="79" w:name="page80"/>
    <w:bookmarkEnd w:id="79"/>
    <w:p>
      <w:pPr>
        <w:ind w:left="832" w:hanging="413"/>
        <w:spacing w:after="0"/>
        <w:tabs>
          <w:tab w:leader="none" w:pos="8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Executive may revoke this Agreement within seven (7) days of the date of the Executive’s signature. Revocation can be made</w:t>
      </w:r>
    </w:p>
    <w:p>
      <w:pPr>
        <w:spacing w:after="0" w:line="15" w:lineRule="exact"/>
        <w:rPr>
          <w:sz w:val="20"/>
          <w:szCs w:val="20"/>
          <w:color w:val="auto"/>
        </w:rPr>
      </w:pPr>
    </w:p>
    <w:tbl>
      <w:tblPr>
        <w:tblLayout w:type="fixed"/>
        <w:tblInd w:w="832" w:type="dxa"/>
        <w:tblCellMar>
          <w:top w:w="0" w:type="dxa"/>
          <w:left w:w="0" w:type="dxa"/>
          <w:bottom w:w="0" w:type="dxa"/>
          <w:right w:w="0" w:type="dxa"/>
        </w:tblCellMar>
      </w:tblPr>
      <w:tr>
        <w:trPr>
          <w:trHeight w:val="207"/>
        </w:trPr>
        <w:tc>
          <w:tcPr>
            <w:tcW w:w="3460" w:type="dxa"/>
            <w:vAlign w:val="bottom"/>
          </w:tcPr>
          <w:p>
            <w:pPr>
              <w:spacing w:after="0"/>
              <w:rPr>
                <w:sz w:val="20"/>
                <w:szCs w:val="20"/>
                <w:color w:val="auto"/>
              </w:rPr>
            </w:pPr>
            <w:r>
              <w:rPr>
                <w:rFonts w:ascii="Arial" w:cs="Arial" w:eastAsia="Arial" w:hAnsi="Arial"/>
                <w:sz w:val="18"/>
                <w:szCs w:val="18"/>
                <w:color w:val="auto"/>
                <w:w w:val="93"/>
              </w:rPr>
              <w:t xml:space="preserve">by delivering a written notice of revocation to </w:t>
            </w:r>
            <w:r>
              <w:rPr>
                <w:rFonts w:ascii="Arial" w:cs="Arial" w:eastAsia="Arial" w:hAnsi="Arial"/>
                <w:sz w:val="18"/>
                <w:szCs w:val="18"/>
                <w:b w:val="1"/>
                <w:bCs w:val="1"/>
                <w:color w:val="auto"/>
                <w:w w:val="93"/>
              </w:rPr>
              <w:t>[</w:t>
            </w:r>
          </w:p>
        </w:tc>
        <w:tc>
          <w:tcPr>
            <w:tcW w:w="540" w:type="dxa"/>
            <w:vAlign w:val="bottom"/>
            <w:tcBorders>
              <w:bottom w:val="single" w:sz="8" w:color="auto"/>
            </w:tcBorders>
          </w:tcPr>
          <w:p>
            <w:pPr>
              <w:spacing w:after="0"/>
              <w:rPr>
                <w:sz w:val="17"/>
                <w:szCs w:val="17"/>
                <w:color w:val="auto"/>
              </w:rPr>
            </w:pPr>
          </w:p>
        </w:tc>
        <w:tc>
          <w:tcPr>
            <w:tcW w:w="536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 xml:space="preserve">] </w:t>
            </w:r>
            <w:r>
              <w:rPr>
                <w:rFonts w:ascii="Arial" w:cs="Arial" w:eastAsia="Arial" w:hAnsi="Arial"/>
                <w:sz w:val="18"/>
                <w:szCs w:val="18"/>
                <w:color w:val="auto"/>
                <w:w w:val="95"/>
              </w:rPr>
              <w:t>, Senior Vice President, Human Resources and Organization, United</w:t>
            </w:r>
          </w:p>
        </w:tc>
      </w:tr>
      <w:tr>
        <w:trPr>
          <w:trHeight w:val="196"/>
        </w:trPr>
        <w:tc>
          <w:tcPr>
            <w:tcW w:w="7200" w:type="dxa"/>
            <w:vAlign w:val="bottom"/>
            <w:gridSpan w:val="3"/>
          </w:tcPr>
          <w:p>
            <w:pPr>
              <w:spacing w:after="0" w:line="196" w:lineRule="exact"/>
              <w:rPr>
                <w:sz w:val="20"/>
                <w:szCs w:val="20"/>
                <w:color w:val="auto"/>
              </w:rPr>
            </w:pPr>
            <w:r>
              <w:rPr>
                <w:rFonts w:ascii="Arial" w:cs="Arial" w:eastAsia="Arial" w:hAnsi="Arial"/>
                <w:sz w:val="18"/>
                <w:szCs w:val="18"/>
                <w:color w:val="auto"/>
                <w:w w:val="91"/>
              </w:rPr>
              <w:t xml:space="preserve">Technologies Corp., One Financial Plaza, Hartford, CT 06101. For this revocation to be effective, </w:t>
            </w:r>
            <w:r>
              <w:rPr>
                <w:rFonts w:ascii="Arial" w:cs="Arial" w:eastAsia="Arial" w:hAnsi="Arial"/>
                <w:sz w:val="18"/>
                <w:szCs w:val="18"/>
                <w:b w:val="1"/>
                <w:bCs w:val="1"/>
                <w:color w:val="auto"/>
                <w:w w:val="91"/>
              </w:rPr>
              <w:t>[</w:t>
            </w:r>
          </w:p>
        </w:tc>
        <w:tc>
          <w:tcPr>
            <w:tcW w:w="540" w:type="dxa"/>
            <w:vAlign w:val="bottom"/>
            <w:tcBorders>
              <w:bottom w:val="single" w:sz="8" w:color="auto"/>
            </w:tcBorders>
          </w:tcPr>
          <w:p>
            <w:pPr>
              <w:spacing w:after="0"/>
              <w:rPr>
                <w:sz w:val="17"/>
                <w:szCs w:val="17"/>
                <w:color w:val="auto"/>
              </w:rPr>
            </w:pPr>
          </w:p>
        </w:tc>
        <w:tc>
          <w:tcPr>
            <w:tcW w:w="1620" w:type="dxa"/>
            <w:vAlign w:val="bottom"/>
          </w:tcPr>
          <w:p>
            <w:pPr>
              <w:ind w:left="40"/>
              <w:spacing w:after="0" w:line="196" w:lineRule="exact"/>
              <w:rPr>
                <w:sz w:val="20"/>
                <w:szCs w:val="20"/>
                <w:color w:val="auto"/>
              </w:rPr>
            </w:pPr>
            <w:r>
              <w:rPr>
                <w:rFonts w:ascii="Arial" w:cs="Arial" w:eastAsia="Arial" w:hAnsi="Arial"/>
                <w:sz w:val="18"/>
                <w:szCs w:val="18"/>
                <w:b w:val="1"/>
                <w:bCs w:val="1"/>
                <w:color w:val="auto"/>
                <w:w w:val="91"/>
              </w:rPr>
              <w:t xml:space="preserve">] </w:t>
            </w:r>
            <w:r>
              <w:rPr>
                <w:rFonts w:ascii="Arial" w:cs="Arial" w:eastAsia="Arial" w:hAnsi="Arial"/>
                <w:sz w:val="18"/>
                <w:szCs w:val="18"/>
                <w:color w:val="auto"/>
                <w:w w:val="91"/>
              </w:rPr>
              <w:t>must receive written</w:t>
            </w:r>
          </w:p>
        </w:tc>
      </w:tr>
    </w:tbl>
    <w:p>
      <w:pPr>
        <w:spacing w:after="0" w:line="13" w:lineRule="exact"/>
        <w:rPr>
          <w:sz w:val="20"/>
          <w:szCs w:val="20"/>
          <w:color w:val="auto"/>
        </w:rPr>
      </w:pPr>
    </w:p>
    <w:p>
      <w:pPr>
        <w:jc w:val="both"/>
        <w:ind w:left="832" w:right="280"/>
        <w:spacing w:after="0" w:line="312" w:lineRule="auto"/>
        <w:rPr>
          <w:sz w:val="20"/>
          <w:szCs w:val="20"/>
          <w:color w:val="auto"/>
        </w:rPr>
      </w:pPr>
      <w:r>
        <w:rPr>
          <w:rFonts w:ascii="Arial" w:cs="Arial" w:eastAsia="Arial" w:hAnsi="Arial"/>
          <w:sz w:val="16"/>
          <w:szCs w:val="16"/>
          <w:color w:val="auto"/>
        </w:rPr>
        <w:t>notice no later than close of business on the seventh (7th) day after the Executive signs this Agreement. If the Executive revokes this Agreement, it shall not be effective or enforceable and the Executive will not receive the payment and/or benefits described herein and agrees to immediately repay to the Company the value of any benefits provided prior to revocation.</w:t>
      </w:r>
    </w:p>
    <w:p>
      <w:pPr>
        <w:spacing w:after="0" w:line="201" w:lineRule="exact"/>
        <w:rPr>
          <w:sz w:val="20"/>
          <w:szCs w:val="20"/>
          <w:color w:val="auto"/>
        </w:rPr>
      </w:pPr>
    </w:p>
    <w:p>
      <w:pPr>
        <w:ind w:left="412" w:hanging="412"/>
        <w:spacing w:after="0"/>
        <w:tabs>
          <w:tab w:leader="none" w:pos="4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Executive makes the following representations to and agreements with the Company;</w:t>
      </w:r>
    </w:p>
    <w:p>
      <w:pPr>
        <w:spacing w:after="0" w:line="279" w:lineRule="exact"/>
        <w:rPr>
          <w:rFonts w:ascii="Arial" w:cs="Arial" w:eastAsia="Arial" w:hAnsi="Arial"/>
          <w:sz w:val="18"/>
          <w:szCs w:val="18"/>
          <w:color w:val="auto"/>
        </w:rPr>
      </w:pPr>
    </w:p>
    <w:p>
      <w:pPr>
        <w:jc w:val="both"/>
        <w:ind w:left="832" w:right="100" w:hanging="413"/>
        <w:spacing w:after="0" w:line="312" w:lineRule="auto"/>
        <w:tabs>
          <w:tab w:leader="none" w:pos="832"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During a period beginning on the date hereof and extending for three years after the Termination Date, the Executive will not make any statements or disclose any items of information which are or may reasonably be considered to be adverse to the interests of the Company. The Executive agrees that </w:t>
      </w:r>
      <w:r>
        <w:rPr>
          <w:rFonts w:ascii="Arial" w:cs="Arial" w:eastAsia="Arial" w:hAnsi="Arial"/>
          <w:sz w:val="16"/>
          <w:szCs w:val="16"/>
          <w:b w:val="1"/>
          <w:bCs w:val="1"/>
          <w:color w:val="auto"/>
        </w:rPr>
        <w:t>[he/she]</w:t>
      </w:r>
      <w:r>
        <w:rPr>
          <w:rFonts w:ascii="Arial" w:cs="Arial" w:eastAsia="Arial" w:hAnsi="Arial"/>
          <w:sz w:val="16"/>
          <w:szCs w:val="16"/>
          <w:color w:val="auto"/>
        </w:rPr>
        <w:t xml:space="preserve"> will not disparage the Company, its executives, directors or products.</w:t>
      </w:r>
    </w:p>
    <w:p>
      <w:pPr>
        <w:spacing w:after="0" w:line="268" w:lineRule="exact"/>
        <w:rPr>
          <w:rFonts w:ascii="Arial" w:cs="Arial" w:eastAsia="Arial" w:hAnsi="Arial"/>
          <w:sz w:val="16"/>
          <w:szCs w:val="16"/>
          <w:color w:val="auto"/>
        </w:rPr>
      </w:pPr>
    </w:p>
    <w:p>
      <w:pPr>
        <w:ind w:left="832" w:right="40" w:hanging="413"/>
        <w:spacing w:after="0" w:line="290" w:lineRule="auto"/>
        <w:tabs>
          <w:tab w:leader="none" w:pos="832"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On or before the Termination Date, or such other date as the parties shall mutually agree to, the Executive will return to the Company all Company Information (as defined herein), Company related reports, files, memoranda, records, credit cards, cardkey passes, garage key cards, door and file keys, computer access codes, software and other property which he received or prepared or helped to prepare in connection with </w:t>
      </w:r>
      <w:r>
        <w:rPr>
          <w:rFonts w:ascii="Arial" w:cs="Arial" w:eastAsia="Arial" w:hAnsi="Arial"/>
          <w:sz w:val="16"/>
          <w:szCs w:val="16"/>
          <w:b w:val="1"/>
          <w:bCs w:val="1"/>
          <w:color w:val="auto"/>
        </w:rPr>
        <w:t>[his/her]</w:t>
      </w:r>
      <w:r>
        <w:rPr>
          <w:rFonts w:ascii="Arial" w:cs="Arial" w:eastAsia="Arial" w:hAnsi="Arial"/>
          <w:sz w:val="16"/>
          <w:szCs w:val="16"/>
          <w:color w:val="auto"/>
        </w:rPr>
        <w:t xml:space="preserve"> employment. The Executive has not and will not retain any copies, duplicates, reproductions or excerpts thereof. The term “Company Information,” as used in this Agreement, means (i) confidential or proprietary information including without limitation information received from third parties under confidential or proprietary conditions; (ii) information subject to the Company’s attorney-client or work-product privilege; and (iii) other technical, business or financial information, the use or disclosure of which might reasonably be construed to be contrary to the Company’s interests.</w:t>
      </w:r>
    </w:p>
    <w:p>
      <w:pPr>
        <w:spacing w:after="0" w:line="216" w:lineRule="exact"/>
        <w:rPr>
          <w:rFonts w:ascii="Arial" w:cs="Arial" w:eastAsia="Arial" w:hAnsi="Arial"/>
          <w:sz w:val="16"/>
          <w:szCs w:val="16"/>
          <w:color w:val="auto"/>
        </w:rPr>
      </w:pPr>
    </w:p>
    <w:p>
      <w:pPr>
        <w:ind w:left="832" w:hanging="413"/>
        <w:spacing w:after="0" w:line="269" w:lineRule="auto"/>
        <w:tabs>
          <w:tab w:leader="none" w:pos="832"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The Executive acknowledges that in the course of </w:t>
      </w:r>
      <w:r>
        <w:rPr>
          <w:rFonts w:ascii="Arial" w:cs="Arial" w:eastAsia="Arial" w:hAnsi="Arial"/>
          <w:sz w:val="17"/>
          <w:szCs w:val="17"/>
          <w:b w:val="1"/>
          <w:bCs w:val="1"/>
          <w:color w:val="auto"/>
        </w:rPr>
        <w:t>[his/her]</w:t>
      </w:r>
      <w:r>
        <w:rPr>
          <w:rFonts w:ascii="Arial" w:cs="Arial" w:eastAsia="Arial" w:hAnsi="Arial"/>
          <w:sz w:val="17"/>
          <w:szCs w:val="17"/>
          <w:color w:val="auto"/>
        </w:rPr>
        <w:t xml:space="preserve"> employment with the Company </w:t>
      </w:r>
      <w:r>
        <w:rPr>
          <w:rFonts w:ascii="Arial" w:cs="Arial" w:eastAsia="Arial" w:hAnsi="Arial"/>
          <w:sz w:val="17"/>
          <w:szCs w:val="17"/>
          <w:b w:val="1"/>
          <w:bCs w:val="1"/>
          <w:color w:val="auto"/>
        </w:rPr>
        <w:t>[he/she]</w:t>
      </w:r>
      <w:r>
        <w:rPr>
          <w:rFonts w:ascii="Arial" w:cs="Arial" w:eastAsia="Arial" w:hAnsi="Arial"/>
          <w:sz w:val="17"/>
          <w:szCs w:val="17"/>
          <w:color w:val="auto"/>
        </w:rPr>
        <w:t xml:space="preserve"> has acquired Company Information and that such Company Information has been disclosed to </w:t>
      </w:r>
      <w:r>
        <w:rPr>
          <w:rFonts w:ascii="Arial" w:cs="Arial" w:eastAsia="Arial" w:hAnsi="Arial"/>
          <w:sz w:val="17"/>
          <w:szCs w:val="17"/>
          <w:b w:val="1"/>
          <w:bCs w:val="1"/>
          <w:color w:val="auto"/>
        </w:rPr>
        <w:t>[him/her]</w:t>
      </w:r>
      <w:r>
        <w:rPr>
          <w:rFonts w:ascii="Arial" w:cs="Arial" w:eastAsia="Arial" w:hAnsi="Arial"/>
          <w:sz w:val="17"/>
          <w:szCs w:val="17"/>
          <w:color w:val="auto"/>
        </w:rPr>
        <w:t xml:space="preserve"> in confidence and for the Company’s use only. The Executive agrees that, except as </w:t>
      </w:r>
      <w:r>
        <w:rPr>
          <w:rFonts w:ascii="Arial" w:cs="Arial" w:eastAsia="Arial" w:hAnsi="Arial"/>
          <w:sz w:val="17"/>
          <w:szCs w:val="17"/>
          <w:b w:val="1"/>
          <w:bCs w:val="1"/>
          <w:color w:val="auto"/>
        </w:rPr>
        <w:t>[he/she]</w:t>
      </w:r>
      <w:r>
        <w:rPr>
          <w:rFonts w:ascii="Arial" w:cs="Arial" w:eastAsia="Arial" w:hAnsi="Arial"/>
          <w:sz w:val="17"/>
          <w:szCs w:val="17"/>
          <w:color w:val="auto"/>
        </w:rPr>
        <w:t xml:space="preserve"> may otherwise be directed under this Agreement or as required by law, regulation or legal proceeding, </w:t>
      </w:r>
      <w:r>
        <w:rPr>
          <w:rFonts w:ascii="Arial" w:cs="Arial" w:eastAsia="Arial" w:hAnsi="Arial"/>
          <w:sz w:val="17"/>
          <w:szCs w:val="17"/>
          <w:b w:val="1"/>
          <w:bCs w:val="1"/>
          <w:color w:val="auto"/>
        </w:rPr>
        <w:t>[he/she]</w:t>
      </w:r>
      <w:r>
        <w:rPr>
          <w:rFonts w:ascii="Arial" w:cs="Arial" w:eastAsia="Arial" w:hAnsi="Arial"/>
          <w:sz w:val="17"/>
          <w:szCs w:val="17"/>
          <w:color w:val="auto"/>
        </w:rPr>
        <w:t xml:space="preserve"> (i) will keep such Company Information confidential at all times, (ii) will not disclose or communicate Company Information to any third party and (iii) will not make use of Company Information on his own behalf or on behalf of any third party. In the event that the Executive becomes legally compelled to disclose any Company Information, it is agreed that the Executive will provide the Company with prompt written notice of such request(s) so that the Company may seek a protective order or other appropriate legal remedy to which it may be entitled. The Executive acknowledges that any unauthorized disclosure to third parties of Company Information or other violation, or threatened violation, of this Agreement would cause irreparable damage to the trade secret, confidential or proprietary status of Company Information and to the Company. Therefore, in such event the Company shall be entitled to an injunction prohibiting the Executive from any such disclosure, attempted disclosure, violation or threatened violation. When Company Information becomes generally available to the public other than by the Executive’s acts or omissions, it is no longer subject to the restrictions in this paragraph.</w:t>
      </w:r>
    </w:p>
    <w:p>
      <w:pPr>
        <w:spacing w:after="0" w:line="298" w:lineRule="exact"/>
        <w:rPr>
          <w:rFonts w:ascii="Arial" w:cs="Arial" w:eastAsia="Arial" w:hAnsi="Arial"/>
          <w:sz w:val="17"/>
          <w:szCs w:val="17"/>
          <w:color w:val="auto"/>
        </w:rPr>
      </w:pPr>
    </w:p>
    <w:p>
      <w:pPr>
        <w:ind w:left="832" w:right="60" w:hanging="413"/>
        <w:spacing w:after="0" w:line="289" w:lineRule="auto"/>
        <w:tabs>
          <w:tab w:leader="none" w:pos="832"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To further ensure the protection of Company Information, the Executive agrees that for a period of three years </w:t>
      </w:r>
      <w:r>
        <w:rPr>
          <w:rFonts w:ascii="Arial" w:cs="Arial" w:eastAsia="Arial" w:hAnsi="Arial"/>
          <w:sz w:val="16"/>
          <w:szCs w:val="16"/>
          <w:b w:val="1"/>
          <w:bCs w:val="1"/>
          <w:color w:val="auto"/>
        </w:rPr>
        <w:t>[Alternative clause: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one year in the event of a Change in Control Termination] </w:t>
      </w:r>
      <w:r>
        <w:rPr>
          <w:rFonts w:ascii="Arial" w:cs="Arial" w:eastAsia="Arial" w:hAnsi="Arial"/>
          <w:sz w:val="16"/>
          <w:szCs w:val="16"/>
          <w:color w:val="auto"/>
        </w:rPr>
        <w:t>after</w:t>
      </w:r>
      <w:r>
        <w:rPr>
          <w:rFonts w:ascii="Arial" w:cs="Arial" w:eastAsia="Arial" w:hAnsi="Arial"/>
          <w:sz w:val="16"/>
          <w:szCs w:val="16"/>
          <w:b w:val="1"/>
          <w:bCs w:val="1"/>
          <w:color w:val="auto"/>
        </w:rPr>
        <w:t xml:space="preserve"> [his/her] </w:t>
      </w:r>
      <w:r>
        <w:rPr>
          <w:rFonts w:ascii="Arial" w:cs="Arial" w:eastAsia="Arial" w:hAnsi="Arial"/>
          <w:sz w:val="16"/>
          <w:szCs w:val="16"/>
          <w:color w:val="auto"/>
        </w:rPr>
        <w:t>Termination Date,</w:t>
      </w:r>
      <w:r>
        <w:rPr>
          <w:rFonts w:ascii="Arial" w:cs="Arial" w:eastAsia="Arial" w:hAnsi="Arial"/>
          <w:sz w:val="16"/>
          <w:szCs w:val="16"/>
          <w:b w:val="1"/>
          <w:bCs w:val="1"/>
          <w:color w:val="auto"/>
        </w:rPr>
        <w:t xml:space="preserve"> [he/she] </w:t>
      </w:r>
      <w:r>
        <w:rPr>
          <w:rFonts w:ascii="Arial" w:cs="Arial" w:eastAsia="Arial" w:hAnsi="Arial"/>
          <w:sz w:val="16"/>
          <w:szCs w:val="16"/>
          <w:color w:val="auto"/>
        </w:rPr>
        <w:t>will not accept</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in any form (including entering into consulting relationships or similar arrangements) with a business which:</w:t>
      </w:r>
    </w:p>
    <w:p>
      <w:pPr>
        <w:spacing w:after="0" w:line="2" w:lineRule="exact"/>
        <w:rPr>
          <w:sz w:val="20"/>
          <w:szCs w:val="20"/>
          <w:color w:val="auto"/>
        </w:rPr>
      </w:pPr>
    </w:p>
    <w:p>
      <w:pPr>
        <w:ind w:left="832" w:right="400" w:firstLine="5"/>
        <w:spacing w:after="0" w:line="281" w:lineRule="auto"/>
        <w:tabs>
          <w:tab w:leader="none" w:pos="1047"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competes directly or indirectly with </w:t>
      </w:r>
      <w:r>
        <w:rPr>
          <w:rFonts w:ascii="Arial" w:cs="Arial" w:eastAsia="Arial" w:hAnsi="Arial"/>
          <w:sz w:val="16"/>
          <w:szCs w:val="16"/>
          <w:b w:val="1"/>
          <w:bCs w:val="1"/>
          <w:color w:val="auto"/>
        </w:rPr>
        <w:t>[any of the Company’s businesses (applies to corporate officers)] [the Executive’s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business unit] </w:t>
      </w:r>
      <w:r>
        <w:rPr>
          <w:rFonts w:ascii="Arial" w:cs="Arial" w:eastAsia="Arial" w:hAnsi="Arial"/>
          <w:sz w:val="16"/>
          <w:szCs w:val="16"/>
          <w:color w:val="auto"/>
        </w:rPr>
        <w:t>; or (ii) is a material customer of or a material supplier to</w:t>
      </w:r>
      <w:r>
        <w:rPr>
          <w:rFonts w:ascii="Arial" w:cs="Arial" w:eastAsia="Arial" w:hAnsi="Arial"/>
          <w:sz w:val="16"/>
          <w:szCs w:val="16"/>
          <w:b w:val="1"/>
          <w:bCs w:val="1"/>
          <w:color w:val="auto"/>
        </w:rPr>
        <w:t xml:space="preserve"> [any of the Company’s businesses] [the Executive’s</w:t>
      </w:r>
    </w:p>
    <w:p>
      <w:pPr>
        <w:spacing w:after="0" w:line="1" w:lineRule="exact"/>
        <w:rPr>
          <w:sz w:val="20"/>
          <w:szCs w:val="20"/>
          <w:color w:val="auto"/>
        </w:rPr>
      </w:pPr>
    </w:p>
    <w:p>
      <w:pPr>
        <w:ind w:left="832"/>
        <w:spacing w:after="0"/>
        <w:tabs>
          <w:tab w:leader="none" w:pos="6732" w:val="left"/>
        </w:tabs>
        <w:rPr>
          <w:sz w:val="20"/>
          <w:szCs w:val="20"/>
          <w:color w:val="auto"/>
        </w:rPr>
      </w:pPr>
      <w:r>
        <w:rPr>
          <w:rFonts w:ascii="Arial" w:cs="Arial" w:eastAsia="Arial" w:hAnsi="Arial"/>
          <w:sz w:val="18"/>
          <w:szCs w:val="18"/>
          <w:b w:val="1"/>
          <w:bCs w:val="1"/>
          <w:color w:val="auto"/>
        </w:rPr>
        <w:t xml:space="preserve">business unit], </w:t>
      </w:r>
      <w:r>
        <w:rPr>
          <w:rFonts w:ascii="Arial" w:cs="Arial" w:eastAsia="Arial" w:hAnsi="Arial"/>
          <w:sz w:val="18"/>
          <w:szCs w:val="18"/>
          <w:color w:val="auto"/>
        </w:rPr>
        <w:t>unless the Executive has obtained the written consent of</w:t>
      </w:r>
      <w:r>
        <w:rPr>
          <w:rFonts w:ascii="Arial" w:cs="Arial" w:eastAsia="Arial" w:hAnsi="Arial"/>
          <w:sz w:val="18"/>
          <w:szCs w:val="18"/>
          <w:b w:val="1"/>
          <w:bCs w:val="1"/>
          <w:color w:val="auto"/>
        </w:rPr>
        <w:t xml:space="preserve"> [</w:t>
      </w:r>
      <w:r>
        <w:rPr>
          <w:sz w:val="20"/>
          <w:szCs w:val="20"/>
          <w:color w:val="auto"/>
        </w:rPr>
        <w:tab/>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 his/her ] </w:t>
      </w:r>
      <w:r>
        <w:rPr>
          <w:rFonts w:ascii="Arial" w:cs="Arial" w:eastAsia="Arial" w:hAnsi="Arial"/>
          <w:sz w:val="16"/>
          <w:szCs w:val="16"/>
          <w:color w:val="auto"/>
        </w:rPr>
        <w:t>successor, which consent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-19050</wp:posOffset>
            </wp:positionV>
            <wp:extent cx="3429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jc w:val="both"/>
        <w:ind w:left="832" w:right="80"/>
        <w:spacing w:after="0" w:line="302" w:lineRule="auto"/>
        <w:rPr>
          <w:sz w:val="20"/>
          <w:szCs w:val="20"/>
          <w:color w:val="auto"/>
        </w:rPr>
      </w:pPr>
      <w:r>
        <w:rPr>
          <w:rFonts w:ascii="Arial" w:cs="Arial" w:eastAsia="Arial" w:hAnsi="Arial"/>
          <w:sz w:val="16"/>
          <w:szCs w:val="16"/>
          <w:color w:val="auto"/>
        </w:rPr>
        <w:t>granted or withheld in his sole discretion. The parties agree that the terms of this paragraph are reasonable. However, if any portion of this paragraph is held by competent authority to be unenforceable, this paragraph shall be deemed amended to limit its scope to the broadest scope that such authority determines is enforceable, and as so amended shall continue in effect.</w:t>
      </w:r>
    </w:p>
    <w:p>
      <w:pPr>
        <w:spacing w:after="0" w:line="205" w:lineRule="exact"/>
        <w:rPr>
          <w:sz w:val="20"/>
          <w:szCs w:val="20"/>
          <w:color w:val="auto"/>
        </w:rPr>
      </w:pPr>
    </w:p>
    <w:p>
      <w:pPr>
        <w:ind w:left="832" w:right="100" w:hanging="413"/>
        <w:spacing w:after="0" w:line="295" w:lineRule="auto"/>
        <w:tabs>
          <w:tab w:leader="none" w:pos="8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For a period of three years following the Termination Date, </w:t>
      </w:r>
      <w:r>
        <w:rPr>
          <w:rFonts w:ascii="Arial" w:cs="Arial" w:eastAsia="Arial" w:hAnsi="Arial"/>
          <w:sz w:val="16"/>
          <w:szCs w:val="16"/>
          <w:b w:val="1"/>
          <w:bCs w:val="1"/>
          <w:color w:val="auto"/>
        </w:rPr>
        <w:t>[ Alternative clause: one year following a Change in Control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Termination] </w:t>
      </w:r>
      <w:r>
        <w:rPr>
          <w:rFonts w:ascii="Arial" w:cs="Arial" w:eastAsia="Arial" w:hAnsi="Arial"/>
          <w:sz w:val="16"/>
          <w:szCs w:val="16"/>
          <w:color w:val="auto"/>
        </w:rPr>
        <w:t>the Executive will not initiate, cause or allow to be initiated (under those conditions which</w:t>
      </w:r>
      <w:r>
        <w:rPr>
          <w:rFonts w:ascii="Arial" w:cs="Arial" w:eastAsia="Arial" w:hAnsi="Arial"/>
          <w:sz w:val="16"/>
          <w:szCs w:val="16"/>
          <w:b w:val="1"/>
          <w:bCs w:val="1"/>
          <w:color w:val="auto"/>
        </w:rPr>
        <w:t xml:space="preserve"> [he/she] </w:t>
      </w:r>
      <w:r>
        <w:rPr>
          <w:rFonts w:ascii="Arial" w:cs="Arial" w:eastAsia="Arial" w:hAnsi="Arial"/>
          <w:sz w:val="16"/>
          <w:szCs w:val="16"/>
          <w:color w:val="auto"/>
        </w:rPr>
        <w:t>controls)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action which would reasonably be expected to encourage or to induce any employee of the Company or any of its affiliated entities to leave the employ of the Company or its affiliated entities. In this regard, the Executive agrees that </w:t>
      </w:r>
      <w:r>
        <w:rPr>
          <w:rFonts w:ascii="Arial" w:cs="Arial" w:eastAsia="Arial" w:hAnsi="Arial"/>
          <w:sz w:val="16"/>
          <w:szCs w:val="16"/>
          <w:b w:val="1"/>
          <w:bCs w:val="1"/>
          <w:color w:val="auto"/>
        </w:rPr>
        <w:t>[he/she]</w:t>
      </w:r>
      <w:r>
        <w:rPr>
          <w:rFonts w:ascii="Arial" w:cs="Arial" w:eastAsia="Arial" w:hAnsi="Arial"/>
          <w:sz w:val="16"/>
          <w:szCs w:val="16"/>
          <w:color w:val="auto"/>
        </w:rPr>
        <w:t xml:space="preserve"> will not directly or indirectly recruit any Company executive or other employee or provide any information or make referrals to personnel recruitment agencies or other third parties in connection with Company executives and other employees.</w:t>
      </w:r>
    </w:p>
    <w:p>
      <w:pPr>
        <w:sectPr>
          <w:pgSz w:w="11900" w:h="16838" w:orient="portrait"/>
          <w:cols w:equalWidth="0" w:num="1">
            <w:col w:w="10372"/>
          </w:cols>
          <w:pgMar w:left="768" w:top="746" w:right="759" w:bottom="1440" w:gutter="0" w:footer="0" w:header="0"/>
        </w:sectPr>
      </w:pPr>
    </w:p>
    <w:bookmarkStart w:id="80" w:name="page81"/>
    <w:bookmarkEnd w:id="80"/>
    <w:p>
      <w:pPr>
        <w:ind w:left="920" w:right="300" w:hanging="413"/>
        <w:spacing w:after="0" w:line="282"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The Executive acknowledges that the Intellectual Property Agreement between </w:t>
      </w:r>
      <w:r>
        <w:rPr>
          <w:rFonts w:ascii="Arial" w:cs="Arial" w:eastAsia="Arial" w:hAnsi="Arial"/>
          <w:sz w:val="18"/>
          <w:szCs w:val="18"/>
          <w:b w:val="1"/>
          <w:bCs w:val="1"/>
          <w:color w:val="auto"/>
        </w:rPr>
        <w:t>[him/her]</w:t>
      </w:r>
      <w:r>
        <w:rPr>
          <w:rFonts w:ascii="Arial" w:cs="Arial" w:eastAsia="Arial" w:hAnsi="Arial"/>
          <w:sz w:val="18"/>
          <w:szCs w:val="18"/>
          <w:color w:val="auto"/>
        </w:rPr>
        <w:t xml:space="preserve"> and the Company will continue in full force and effect following the Termination Date.</w:t>
      </w:r>
    </w:p>
    <w:p>
      <w:pPr>
        <w:spacing w:after="0" w:line="219" w:lineRule="exact"/>
        <w:rPr>
          <w:rFonts w:ascii="Arial" w:cs="Arial" w:eastAsia="Arial" w:hAnsi="Arial"/>
          <w:sz w:val="18"/>
          <w:szCs w:val="18"/>
          <w:color w:val="auto"/>
        </w:rPr>
      </w:pPr>
    </w:p>
    <w:p>
      <w:pPr>
        <w:jc w:val="both"/>
        <w:ind w:left="580" w:right="620" w:hanging="533"/>
        <w:spacing w:after="0" w:line="264"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represents to the Executive that it is fully authorized and empowered to enter into this Agreement, and that it will safeguard this Agreement and its terms from public disclosure with the same degree of care with which the Company protects its proprietary information.</w:t>
      </w:r>
    </w:p>
    <w:p>
      <w:pPr>
        <w:spacing w:after="0" w:line="235" w:lineRule="exact"/>
        <w:rPr>
          <w:rFonts w:ascii="Arial" w:cs="Arial" w:eastAsia="Arial" w:hAnsi="Arial"/>
          <w:sz w:val="18"/>
          <w:szCs w:val="18"/>
          <w:color w:val="auto"/>
        </w:rPr>
      </w:pPr>
    </w:p>
    <w:p>
      <w:pPr>
        <w:ind w:left="580" w:right="500" w:hanging="533"/>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obligations of the parties hereto are severable and divisible. In the event any provision hereunder is determined to be illegal or unenforceable, the remainder of this Agreement shall continue in full force and effect.</w:t>
      </w:r>
    </w:p>
    <w:p>
      <w:pPr>
        <w:spacing w:after="0" w:line="224" w:lineRule="exact"/>
        <w:rPr>
          <w:rFonts w:ascii="Arial" w:cs="Arial" w:eastAsia="Arial" w:hAnsi="Arial"/>
          <w:sz w:val="18"/>
          <w:szCs w:val="18"/>
          <w:color w:val="auto"/>
        </w:rPr>
      </w:pPr>
    </w:p>
    <w:p>
      <w:pPr>
        <w:ind w:left="580" w:right="160" w:hanging="533"/>
        <w:spacing w:after="0" w:line="312"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addition to any other rights the Company may have, should the Executive breach any of the terms of this Agreement, the Company will have the right to recover all payments and benefits provided hereunder and to cease any and all future payments and benefits. Such action by the Company will not be taken capriciously and will have no effect on the Release and Waiver contained in this Agreement.</w:t>
      </w:r>
    </w:p>
    <w:p>
      <w:pPr>
        <w:spacing w:after="0" w:line="200" w:lineRule="exact"/>
        <w:rPr>
          <w:rFonts w:ascii="Arial" w:cs="Arial" w:eastAsia="Arial" w:hAnsi="Arial"/>
          <w:sz w:val="16"/>
          <w:szCs w:val="16"/>
          <w:color w:val="auto"/>
        </w:rPr>
      </w:pPr>
    </w:p>
    <w:p>
      <w:pPr>
        <w:ind w:left="580" w:hanging="533"/>
        <w:spacing w:after="0" w:line="255"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dispute arising between the Company and the Executive with respect to the validity, performance or interpretation of this Agreement shall be submitted to and determined in binding arbitration in Hartford, Connecticut, for resolution in accordance with the rules of the American Arbitration Association, modified to provide that the decision by the arbitrator shall be binding on the parties; shall be furnished in writing, separately and specifically stating the findings of fact and conclusions of law on which the decision is based; shall be kept confidential by the arbitrator and the parties; and shall be rendered within 60 days following impanelment of the arbitrator. Costs of the arbitration shall be borne by the party that does not prevail. The arbitrator shall be selected in accordance with the rules of the American Arbitration Association.</w:t>
      </w:r>
    </w:p>
    <w:p>
      <w:pPr>
        <w:spacing w:after="0" w:line="243" w:lineRule="exact"/>
        <w:rPr>
          <w:rFonts w:ascii="Arial" w:cs="Arial" w:eastAsia="Arial" w:hAnsi="Arial"/>
          <w:sz w:val="18"/>
          <w:szCs w:val="18"/>
          <w:color w:val="auto"/>
        </w:rPr>
      </w:pPr>
    </w:p>
    <w:p>
      <w:pPr>
        <w:ind w:left="580" w:hanging="533"/>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Agreement shall be subject to and governed by the laws of the State of Connecticut.</w:t>
      </w:r>
    </w:p>
    <w:p>
      <w:pPr>
        <w:spacing w:after="0" w:line="279" w:lineRule="exact"/>
        <w:rPr>
          <w:rFonts w:ascii="Arial" w:cs="Arial" w:eastAsia="Arial" w:hAnsi="Arial"/>
          <w:sz w:val="18"/>
          <w:szCs w:val="18"/>
          <w:color w:val="auto"/>
        </w:rPr>
      </w:pPr>
    </w:p>
    <w:p>
      <w:pPr>
        <w:ind w:left="580" w:right="280" w:hanging="533"/>
        <w:spacing w:after="0" w:line="264"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and supersedes all previous communications between the parties with respect to the subject matter of this Agreement. No amendment to this Agreement shall be binding upon either party unless in writing and signed by or on behalf of such party.</w:t>
      </w:r>
    </w:p>
    <w:p>
      <w:pPr>
        <w:spacing w:after="0" w:line="302" w:lineRule="exact"/>
        <w:rPr>
          <w:rFonts w:ascii="Arial" w:cs="Arial" w:eastAsia="Arial" w:hAnsi="Arial"/>
          <w:sz w:val="18"/>
          <w:szCs w:val="18"/>
          <w:color w:val="auto"/>
        </w:rPr>
      </w:pPr>
    </w:p>
    <w:p>
      <w:pPr>
        <w:ind w:left="580" w:hanging="533"/>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notice under this agreement shall be in writing and addressed to the Executive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-10160</wp:posOffset>
            </wp:positionV>
            <wp:extent cx="6858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 addressed to the Company as follows: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United Technologies Corporation</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One Financial Plaza</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Hartford, CT 06101</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Senior Vice President,</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Human Resources and Organization.</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Either party may change its address for notices by giving the other party notice of the change.</w:t>
      </w:r>
    </w:p>
    <w:p>
      <w:pPr>
        <w:spacing w:after="0" w:line="252" w:lineRule="exact"/>
        <w:rPr>
          <w:sz w:val="20"/>
          <w:szCs w:val="20"/>
          <w:color w:val="auto"/>
        </w:rPr>
      </w:pPr>
    </w:p>
    <w:p>
      <w:pPr>
        <w:ind w:left="580" w:right="20" w:hanging="533"/>
        <w:spacing w:after="0" w:line="342"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Company reserves the right to withhold applicable taxes from any amounts paid pursuant to this Agreement to the extent required by law. The Executive, or </w:t>
      </w:r>
      <w:r>
        <w:rPr>
          <w:rFonts w:ascii="Arial" w:cs="Arial" w:eastAsia="Arial" w:hAnsi="Arial"/>
          <w:sz w:val="16"/>
          <w:szCs w:val="16"/>
          <w:b w:val="1"/>
          <w:bCs w:val="1"/>
          <w:color w:val="auto"/>
        </w:rPr>
        <w:t>[his/her]</w:t>
      </w:r>
      <w:r>
        <w:rPr>
          <w:rFonts w:ascii="Arial" w:cs="Arial" w:eastAsia="Arial" w:hAnsi="Arial"/>
          <w:sz w:val="16"/>
          <w:szCs w:val="16"/>
          <w:color w:val="auto"/>
        </w:rPr>
        <w:t xml:space="preserve"> estate, shall be responsible for any and all tax liability imposed on amounts paid hereunder.</w:t>
      </w:r>
    </w:p>
    <w:p>
      <w:pPr>
        <w:spacing w:after="0" w:line="177" w:lineRule="exact"/>
        <w:rPr>
          <w:rFonts w:ascii="Arial" w:cs="Arial" w:eastAsia="Arial" w:hAnsi="Arial"/>
          <w:sz w:val="16"/>
          <w:szCs w:val="16"/>
          <w:color w:val="auto"/>
        </w:rPr>
      </w:pPr>
    </w:p>
    <w:p>
      <w:pPr>
        <w:ind w:left="580" w:right="920" w:hanging="533"/>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and to the extent any payment or benefit provided herein is determined to be deferred compensation within the meaning of Section 409A, such payment or benefit will provided in a manner that complies with Section 409A.</w:t>
      </w:r>
    </w:p>
    <w:p>
      <w:pPr>
        <w:spacing w:after="0" w:line="220" w:lineRule="exact"/>
        <w:rPr>
          <w:rFonts w:ascii="Arial" w:cs="Arial" w:eastAsia="Arial" w:hAnsi="Arial"/>
          <w:sz w:val="18"/>
          <w:szCs w:val="18"/>
          <w:color w:val="auto"/>
        </w:rPr>
      </w:pPr>
    </w:p>
    <w:p>
      <w:pPr>
        <w:ind w:left="580" w:right="380" w:hanging="533"/>
        <w:spacing w:after="0" w:line="282"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Executive states that </w:t>
      </w:r>
      <w:r>
        <w:rPr>
          <w:rFonts w:ascii="Arial" w:cs="Arial" w:eastAsia="Arial" w:hAnsi="Arial"/>
          <w:sz w:val="18"/>
          <w:szCs w:val="18"/>
          <w:b w:val="1"/>
          <w:bCs w:val="1"/>
          <w:color w:val="auto"/>
        </w:rPr>
        <w:t>[he/she]</w:t>
      </w:r>
      <w:r>
        <w:rPr>
          <w:rFonts w:ascii="Arial" w:cs="Arial" w:eastAsia="Arial" w:hAnsi="Arial"/>
          <w:sz w:val="18"/>
          <w:szCs w:val="18"/>
          <w:color w:val="auto"/>
        </w:rPr>
        <w:t xml:space="preserve"> has read this Agreement, including the Release and Waiver contained herein, fully understands its content and effect, and without duress or coercion, knowingly and voluntarily assents to its terms.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or caused to be executed this Agreement on the day and year first above written.</w:t>
      </w:r>
    </w:p>
    <w:p>
      <w:pPr>
        <w:sectPr>
          <w:pgSz w:w="11900" w:h="16838" w:orient="portrait"/>
          <w:cols w:equalWidth="0" w:num="1">
            <w:col w:w="10480"/>
          </w:cols>
          <w:pgMar w:left="680" w:top="742" w:right="739" w:bottom="1440" w:gutter="0" w:footer="0" w:header="0"/>
        </w:sectPr>
      </w:pPr>
    </w:p>
    <w:bookmarkStart w:id="81" w:name="page82"/>
    <w:bookmarkEnd w:id="81"/>
    <w:p>
      <w:pPr>
        <w:ind w:left="6180"/>
        <w:spacing w:after="0"/>
        <w:rPr>
          <w:sz w:val="20"/>
          <w:szCs w:val="20"/>
          <w:color w:val="auto"/>
        </w:rPr>
      </w:pPr>
      <w:r>
        <w:rPr>
          <w:rFonts w:ascii="Arial" w:cs="Arial" w:eastAsia="Arial" w:hAnsi="Arial"/>
          <w:sz w:val="18"/>
          <w:szCs w:val="18"/>
          <w:b w:val="1"/>
          <w:bCs w:val="1"/>
          <w:color w:val="auto"/>
        </w:rPr>
        <w:t>UNITED TECHNOLOGIES</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CORPORATION</w:t>
      </w:r>
    </w:p>
    <w:p>
      <w:pPr>
        <w:spacing w:after="0" w:line="3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31750</wp:posOffset>
            </wp:positionV>
            <wp:extent cx="1981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Senior Vice President, Human Resources</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and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502920</wp:posOffset>
            </wp:positionV>
            <wp:extent cx="23069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375285</wp:posOffset>
            </wp:positionV>
            <wp:extent cx="23069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375285</wp:posOffset>
            </wp:positionV>
            <wp:extent cx="23069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9660"/>
          </w:cols>
          <w:pgMar w:left="1440" w:top="742" w:right="79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This exhibit is divided into two sections. The first section (Exhibit 10.12, Section 1) is applicable to Executive Leadership Group (“ELG”) members receiving an ELG Restricted Stock Unit Retention Award on or after October 15, 2013. Such members will not be eligible for the 2.5 times base salary ELG separation benefit. The second section (Exhibit 10.12, Section 2) is applicable to ELG members who received an ELG Restricted Stock Unit Award prior to October 15, 2013.</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10.12, Section 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1E1F"/>
        </w:rPr>
        <w:t>United Technologies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1E1F"/>
        </w:rPr>
        <w:t>Long-Term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1E1F"/>
        </w:rPr>
        <w:t>Executive Leadership Group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1E1F"/>
        </w:rPr>
        <w:t>Restricted Stock Unit Retention Award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211E1F"/>
        </w:rPr>
        <w:t>Schedule of Terms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11E1F"/>
        </w:rPr>
        <w:t>(Rev. October 15, 2013)</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United Technologies Corporation (the “Corporation”) hereby awards to the executive designated in the Award Statement (the “Recipient” or the “Executive”), who has accepted membership in the Corporation’s Executive Leadership Group (the “ELG”), Restricted Stock Units (an “Award”) pursuant to the United Technologies Corporation 2005 Long-Term Incentive Plan as amended and restated on April 13, 2011, including subsequent amendments (the “LTIP”). The Award is subject to this Schedule of Terms, the terms, definitions, and provisions of the LTIP, and the terms and conditions of the ELG Program.</w:t>
      </w:r>
    </w:p>
    <w:p>
      <w:pPr>
        <w:sectPr>
          <w:pgSz w:w="11900" w:h="16838" w:orient="portrait"/>
          <w:cols w:equalWidth="0" w:num="1">
            <w:col w:w="11420"/>
          </w:cols>
          <w:pgMar w:left="240" w:top="58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Restricted Stock Unit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1E1F"/>
        </w:rPr>
        <w:t>A Restricted Stock Unit (an “RSU”) is equal in value to one share of Common Stock of the Corporation (“Common Stock”). RSUs are convertible into shares of Common Stock if the Recipient remains a member of the ELG and experiences a Qualifying Separation from the Company with at least three years of ELG service (see “Vesting”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Acknowledgement and Acceptance of Award</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211E1F"/>
        </w:rPr>
        <w:t>The number of RSUs is set forth in the Award Statement. The Recipient must acknowledge and accept the terms and conditions of the RSU Award by signing and returning the appropriate portion of the Award Statement to the Stock Plan Administrator, or the RSU Award will be forfeited.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11E1F"/>
        </w:rPr>
        <w:t>Vesting</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11E1F"/>
        </w:rPr>
        <w:t>RSUs vest upon Qualifying Separation from the Company with completion of at least three years of service as a member of the ELG (the “Vesting Date”). A “Qualifying Separation” means and includes a Mutually Agreeable Termination, a Change-in-Control Termination or retirement at age 62 or later, as defined below. Vesting is subject to entering into the ELG RSU Retention Award Vesting Agreement set forth in Attachment A of this Schedule of Terms and continued compliance with ELG covenants.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event of certain types of misconduct, Awards may be forfeited, including vested Awards and gains realized from prior Awards. See “Forfeiture of Award.”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11E1F"/>
        </w:rPr>
        <w:t>No shareowner rights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211E1F"/>
        </w:rPr>
        <w:t>An RSU is the right to receive a share of Common Stock in the future, subject to continued employment and membership in the ELG. The holder of an RSU has no voting, dividend or other rights accorded to owners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11E1F"/>
        </w:rPr>
        <w:t>Conversion of RSUs/Distribution of Shares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211E1F"/>
        </w:rPr>
        <w:t>RSUs will be converted into shares of Common Stock, effective as of the Vesting Date. The converted shares will be unrestricted and freely transferable.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211E1F"/>
        </w:rPr>
        <w:t>Dividend Equivalents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211E1F"/>
        </w:rPr>
        <w:t>Although the Recipient will not receive dividend payments in respect of RSUs, each RSU will be credited with an amount equal to the dividend paid on a share of Common Stock, resulting in additional RSUs credited to the Recipient equal in value to the number of RSUs held multiplied by the dividend paid on a share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11E1F"/>
        </w:rPr>
        <w:t>Adjustments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11E1F"/>
        </w:rPr>
        <w:t>If the Corporation effects a subdivision or consolidation of shares of Common Stock or other capital adjust-ment, the number of RSUs (and the number of shares of Common Stock that will be issued upon conversion) shall be adjusted in the same manner and to the same extent as all other shares of Common Stock of the Corporation. In the event of material changes in the capital structure of the Corporation resulting from: the payment of a special dividend (other than regular quarterly dividends) or other distributions to shareowners without receiving consideration therefore; the spin-off of a subsidiary; the sale of a substantial portion of the Corporation’s assets; a merger or consolidation in which the Corporation is not the surviving entity; or other extraordinary non-recurring events affecting the Corporation’s capital structure and the value of Common Stock, equitable adjustments shall be made in the terms of outstanding Awards, including the number of RSUs and underlying shares of Common Stock as the Committee on Compensation and Executive Development of the Corporation’s Board of Directors (the “Committee”), in its sole discretion, determines are necessary or appropriate to prevent an increase or decrease in the value of RSUs relative to Common Stock or the dilution or enlargement of the rights of recipients.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ELG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Acceptance of the ELG RSU Award constitutes agreement and acceptance by the Recipient of the following ELG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Pre-Vesting Date Covenants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During the period of the Recipient’s employment, and following termination of employment, the Recipient agrees to</w:t>
      </w:r>
    </w:p>
    <w:p>
      <w:pPr>
        <w:sectPr>
          <w:pgSz w:w="11900" w:h="16838" w:orient="portrait"/>
          <w:cols w:equalWidth="0" w:num="1">
            <w:col w:w="11420"/>
          </w:cols>
          <w:pgMar w:left="240" w:top="580" w:right="239" w:bottom="1440" w:gutter="0" w:footer="0" w:header="0"/>
        </w:sectPr>
      </w:pPr>
    </w:p>
    <w:bookmarkStart w:id="85" w:name="page86"/>
    <w:bookmarkEnd w:id="85"/>
    <w:p>
      <w:pPr>
        <w:ind w:left="660" w:right="120"/>
        <w:spacing w:after="0" w:line="324" w:lineRule="auto"/>
        <w:rPr>
          <w:sz w:val="20"/>
          <w:szCs w:val="20"/>
          <w:color w:val="auto"/>
        </w:rPr>
      </w:pPr>
      <w:r>
        <w:rPr>
          <w:rFonts w:ascii="Arial" w:cs="Arial" w:eastAsia="Arial" w:hAnsi="Arial"/>
          <w:sz w:val="18"/>
          <w:szCs w:val="18"/>
          <w:color w:val="auto"/>
        </w:rPr>
        <w:t>protect and to not disclose “Company Information” until the information has become public (through no action on the part of the Recipient) or is no longer material or relevant to the Company.</w:t>
      </w:r>
    </w:p>
    <w:p>
      <w:pPr>
        <w:spacing w:after="0" w:line="143" w:lineRule="exact"/>
        <w:rPr>
          <w:sz w:val="20"/>
          <w:szCs w:val="20"/>
          <w:color w:val="auto"/>
        </w:rPr>
      </w:pPr>
    </w:p>
    <w:p>
      <w:pPr>
        <w:jc w:val="both"/>
        <w:ind w:left="660" w:right="80"/>
        <w:spacing w:after="0" w:line="312" w:lineRule="auto"/>
        <w:rPr>
          <w:sz w:val="20"/>
          <w:szCs w:val="20"/>
          <w:color w:val="auto"/>
        </w:rPr>
      </w:pPr>
      <w:r>
        <w:rPr>
          <w:rFonts w:ascii="Arial" w:cs="Arial" w:eastAsia="Arial" w:hAnsi="Arial"/>
          <w:sz w:val="16"/>
          <w:szCs w:val="16"/>
          <w:color w:val="auto"/>
        </w:rPr>
        <w:t>"Company Information" means (i) confidential or proprietary information including without limitation information received from third parties under confidential or proprietary conditions; (ii) information subject to the Company’s attorney-client or work-product privilege; and (iii) other technical, business or financial information, the use or disclosure of which might reasonably be construed to be contrary to the Company’s interests.</w:t>
      </w:r>
    </w:p>
    <w:p>
      <w:pPr>
        <w:spacing w:after="0" w:line="147" w:lineRule="exact"/>
        <w:rPr>
          <w:sz w:val="20"/>
          <w:szCs w:val="20"/>
          <w:color w:val="auto"/>
        </w:rPr>
      </w:pPr>
    </w:p>
    <w:p>
      <w:pPr>
        <w:ind w:left="660" w:right="40" w:hanging="328"/>
        <w:spacing w:after="0" w:line="297"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the period of the Recipient’s employment, and for a period of two years following termination of employment, the Recipient agrees to not initiate, cause or allow to be initiated (under those conditions which he or she controls) any action which would reasonably be expected to encourage or to induce any employee of the Company or any of its affiliated entities to leave the employ of the Company or its affiliated entities. In this regard, the Recipient agrees that he or she will not directly or indirectly recruit any executive or other employee of the Company or provide any information or make referrals to personnel recruitment agencies or other third parties in connection with executives of the Company and other employees.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Post-Vesting Date Covenants</w:t>
      </w:r>
    </w:p>
    <w:p>
      <w:pPr>
        <w:spacing w:after="0" w:line="200" w:lineRule="exact"/>
        <w:rPr>
          <w:sz w:val="20"/>
          <w:szCs w:val="20"/>
          <w:color w:val="auto"/>
        </w:rPr>
      </w:pPr>
    </w:p>
    <w:p>
      <w:pPr>
        <w:spacing w:after="0" w:line="241" w:lineRule="exact"/>
        <w:rPr>
          <w:sz w:val="20"/>
          <w:szCs w:val="20"/>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Pre-Vesting Date Covenant described in (a) above remains in full effect and the Pre-Vesting Date Covenant described in (b) above will remain in effect for two years following the Vesting Date.</w:t>
      </w:r>
    </w:p>
    <w:p>
      <w:pPr>
        <w:spacing w:after="0" w:line="170" w:lineRule="exact"/>
        <w:rPr>
          <w:rFonts w:ascii="Arial" w:cs="Arial" w:eastAsia="Arial" w:hAnsi="Arial"/>
          <w:sz w:val="18"/>
          <w:szCs w:val="18"/>
          <w:color w:val="auto"/>
        </w:rPr>
      </w:pPr>
    </w:p>
    <w:p>
      <w:pPr>
        <w:ind w:left="660" w:right="60" w:hanging="328"/>
        <w:spacing w:after="0" w:line="29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further ensure the protection of Company Information, the Recipient agrees not to accept employment in any form (including entering into consulting relationships or similar arrangements) for a period of three years following the Vesting Date with any business that: (i) competes directly or indirectly with any of the Company’s businesses; or (ii) is a material customer of or a material supplier to any of the Company’s businesses unless the Recipient has obtained the written consent from the Senior Vice President, Human Resources &amp; Organization (or the successor to such position), which consent shall be granted or withheld in his or her sole discretion. The Recipient agrees that the terms of this paragraph are reasonable. However, if any portion of this paragraph is held by competent authority to be unenforceable, this paragraph shall be deemed amended to limit its scope to the broadest scope that such authority determines is enforceable, and as so amended shall continue in effect.</w:t>
      </w:r>
    </w:p>
    <w:p>
      <w:pPr>
        <w:spacing w:after="0" w:line="167" w:lineRule="exact"/>
        <w:rPr>
          <w:rFonts w:ascii="Arial" w:cs="Arial" w:eastAsia="Arial" w:hAnsi="Arial"/>
          <w:sz w:val="16"/>
          <w:szCs w:val="16"/>
          <w:color w:val="auto"/>
        </w:rPr>
      </w:pPr>
    </w:p>
    <w:p>
      <w:pPr>
        <w:ind w:left="660" w:hanging="328"/>
        <w:spacing w:after="0" w:line="30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a period of three years following the Vesting Date, the Recipient will not directly or indirectly, in any capacity or manner, make any statements of any kind (or cause, further, assist, solicit, encourage, support or participate in the foregoing), whether verbal, in writing, electronically transferred or otherwise, or disclose any items of information which, in either case are or may reasonably be construed to be derogatory, critical or adverse to the interests of the Company. The Recipient agrees that he or she will not disparage the Company, its executives, directors or products.</w:t>
      </w:r>
    </w:p>
    <w:p>
      <w:pPr>
        <w:spacing w:after="0" w:line="15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ELG covenants set forth in this Schedule of Terms are in addition to other obligations and commitments of the ELG program, the terms and conditions of the LTIP and the Recipient’s intellectual property agreement with the Company (and as each may be amended from time to time).</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shall have the following meanings for purposes of the Executive Leadership Group RSU Retention Award:</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“Company” means United Technologies Corporation and its subsidiaries, divisions and affiliates.</w:t>
      </w:r>
    </w:p>
    <w:p>
      <w:pPr>
        <w:spacing w:after="0" w:line="23" w:lineRule="exact"/>
        <w:rPr>
          <w:rFonts w:ascii="Arial" w:cs="Arial" w:eastAsia="Arial" w:hAnsi="Arial"/>
          <w:sz w:val="18"/>
          <w:szCs w:val="18"/>
          <w:color w:val="auto"/>
        </w:rPr>
      </w:pPr>
    </w:p>
    <w:p>
      <w:pPr>
        <w:ind w:left="660" w:right="80" w:hanging="652"/>
        <w:spacing w:after="0" w:line="28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"Company Information" means (i) confidential or proprietary information including without limitation information received from third parties under confidential or proprietary conditions; (ii) information subject to the Company’s attorney-client or work-product privilege; and (iii) other technical, business or financial information, the use or disclosure of which might reasonably be construed to be contrary to the Company’s interests.</w:t>
      </w:r>
    </w:p>
    <w:p>
      <w:pPr>
        <w:spacing w:after="0" w:line="2" w:lineRule="exact"/>
        <w:rPr>
          <w:rFonts w:ascii="Arial" w:cs="Arial" w:eastAsia="Arial" w:hAnsi="Arial"/>
          <w:sz w:val="16"/>
          <w:szCs w:val="16"/>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“Qualifying Separation” means and includes a Mutually Agreeable Termination, a Change-in-Control Termination, or retirement at age 62 or later.</w:t>
      </w:r>
    </w:p>
    <w:p>
      <w:pPr>
        <w:spacing w:after="0" w:line="23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“Mutually Agreeable Termination” means a decision by the Company, in its sole discretion, to terminate the Executive’s employment with the Company as a result of circumstances described in this paragraph and the</w:t>
      </w:r>
    </w:p>
    <w:p>
      <w:pPr>
        <w:sectPr>
          <w:pgSz w:w="11900" w:h="16838" w:orient="portrait"/>
          <w:cols w:equalWidth="0" w:num="1">
            <w:col w:w="11420"/>
          </w:cols>
          <w:pgMar w:left="240" w:top="611" w:right="239" w:bottom="1440" w:gutter="0" w:footer="0" w:header="0"/>
        </w:sectPr>
      </w:pPr>
    </w:p>
    <w:bookmarkStart w:id="86" w:name="page87"/>
    <w:bookmarkEnd w:id="86"/>
    <w:p>
      <w:pPr>
        <w:ind w:left="644" w:right="140"/>
        <w:spacing w:after="0" w:line="302" w:lineRule="auto"/>
        <w:rPr>
          <w:sz w:val="20"/>
          <w:szCs w:val="20"/>
          <w:color w:val="auto"/>
        </w:rPr>
      </w:pPr>
      <w:r>
        <w:rPr>
          <w:rFonts w:ascii="Arial" w:cs="Arial" w:eastAsia="Arial" w:hAnsi="Arial"/>
          <w:sz w:val="18"/>
          <w:szCs w:val="18"/>
          <w:color w:val="auto"/>
        </w:rPr>
        <w:t>Executive’s acknowledgment and agreement that his/her employment will end as a result of such circumstances. Circumstances that may result in a Mutually Agreeable Termination include management realignment, change in business conditions or priorities, the sale or elimination of the Executive’s business unit or any other change in business circumstances that materially and adversely affects the Executive’s role within the Company or such circumstances that preclude continued employment at the ELG level, in all cases as determined by the Senior Vice President, Human Resources and Organization. Neither a unilateral voluntary resignation nor a Termination for Cause will constitute a Mutually Agreeable Termination.</w:t>
      </w:r>
    </w:p>
    <w:p>
      <w:pPr>
        <w:spacing w:after="0" w:line="382" w:lineRule="exact"/>
        <w:rPr>
          <w:sz w:val="20"/>
          <w:szCs w:val="20"/>
          <w:color w:val="auto"/>
        </w:rPr>
      </w:pPr>
    </w:p>
    <w:p>
      <w:pPr>
        <w:jc w:val="both"/>
        <w:ind w:left="644" w:right="220" w:hanging="644"/>
        <w:spacing w:after="0" w:line="342" w:lineRule="auto"/>
        <w:tabs>
          <w:tab w:leader="none" w:pos="644"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“Change-in-Control Termination” means either the involuntary termination of the Executive’s employment by the Company (other than a Termination for Cause) or the voluntary resignation by the Executive for Good Reason within 24 months following a Change-in-Control.</w:t>
      </w:r>
    </w:p>
    <w:p>
      <w:pPr>
        <w:spacing w:after="0" w:line="15" w:lineRule="exact"/>
        <w:rPr>
          <w:rFonts w:ascii="Arial" w:cs="Arial" w:eastAsia="Arial" w:hAnsi="Arial"/>
          <w:sz w:val="16"/>
          <w:szCs w:val="16"/>
          <w:color w:val="auto"/>
        </w:rPr>
      </w:pPr>
    </w:p>
    <w:p>
      <w:pPr>
        <w:ind w:left="1304" w:hanging="655"/>
        <w:spacing w:after="0"/>
        <w:tabs>
          <w:tab w:leader="none" w:pos="13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“Change-in-Control” shall mean any of the following events:</w:t>
      </w:r>
    </w:p>
    <w:p>
      <w:pPr>
        <w:spacing w:after="0" w:line="117" w:lineRule="exact"/>
        <w:rPr>
          <w:rFonts w:ascii="Arial" w:cs="Arial" w:eastAsia="Arial" w:hAnsi="Arial"/>
          <w:sz w:val="18"/>
          <w:szCs w:val="18"/>
          <w:color w:val="auto"/>
        </w:rPr>
      </w:pPr>
    </w:p>
    <w:p>
      <w:pPr>
        <w:ind w:left="1624" w:hanging="327"/>
        <w:spacing w:after="0" w:line="276" w:lineRule="auto"/>
        <w:tabs>
          <w:tab w:leader="none" w:pos="1624" w:val="left"/>
        </w:tabs>
        <w:numPr>
          <w:ilvl w:val="2"/>
          <w:numId w:val="39"/>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“Person”)) of beneficial ownership (within the meaning of Rule 13d-3 promulgated under the Exchange Act) of 20% or more of the then-outstanding Shares of Common Stock plus any other outstanding shares of stock of the Corporation entitled to vote in the election of directors (the “Outstanding Corporation Voting Securities”); provided, however, that the Corporation and any employee benefit plan (or related trust) sponsored by it shall not be deemed to be a Person; or</w:t>
      </w:r>
    </w:p>
    <w:p>
      <w:pPr>
        <w:spacing w:after="0" w:line="64" w:lineRule="exact"/>
        <w:rPr>
          <w:rFonts w:ascii="Arial" w:cs="Arial" w:eastAsia="Arial" w:hAnsi="Arial"/>
          <w:sz w:val="17"/>
          <w:szCs w:val="17"/>
          <w:color w:val="auto"/>
        </w:rPr>
      </w:pPr>
    </w:p>
    <w:p>
      <w:pPr>
        <w:ind w:left="1624" w:right="100" w:hanging="327"/>
        <w:spacing w:after="0" w:line="279" w:lineRule="auto"/>
        <w:tabs>
          <w:tab w:leader="none" w:pos="1624" w:val="left"/>
        </w:tabs>
        <w:numPr>
          <w:ilvl w:val="2"/>
          <w:numId w:val="39"/>
        </w:numPr>
        <w:rPr>
          <w:rFonts w:ascii="Arial" w:cs="Arial" w:eastAsia="Arial" w:hAnsi="Arial"/>
          <w:sz w:val="17"/>
          <w:szCs w:val="17"/>
          <w:color w:val="auto"/>
        </w:rPr>
      </w:pPr>
      <w:r>
        <w:rPr>
          <w:rFonts w:ascii="Arial" w:cs="Arial" w:eastAsia="Arial" w:hAnsi="Arial"/>
          <w:sz w:val="17"/>
          <w:szCs w:val="17"/>
          <w:color w:val="auto"/>
        </w:rPr>
        <w:t>A change in the composition of the Board such that the individuals who constitute the Board (the “Incumbent Board”) cease for any reason to constitute at least a majority of the Board. For this purpose, any individual whose election or nomination for election by the Corporation’s shareowners was approved by a vote of at least two-thirds of the directors then comprising the Incumbent Board shall be considered a member of the Incumbent Board; or</w:t>
      </w:r>
    </w:p>
    <w:p>
      <w:pPr>
        <w:spacing w:after="0" w:line="63" w:lineRule="exact"/>
        <w:rPr>
          <w:rFonts w:ascii="Arial" w:cs="Arial" w:eastAsia="Arial" w:hAnsi="Arial"/>
          <w:sz w:val="17"/>
          <w:szCs w:val="17"/>
          <w:color w:val="auto"/>
        </w:rPr>
      </w:pPr>
    </w:p>
    <w:p>
      <w:pPr>
        <w:ind w:left="1624" w:right="80" w:hanging="327"/>
        <w:spacing w:after="0" w:line="259" w:lineRule="auto"/>
        <w:tabs>
          <w:tab w:leader="none" w:pos="16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consummation of a reorganization, merger, statutory share exchange or consolidation or similar corporate transaction involving the Corporation or any of its Subsidiaries or a sale or other disposition of substantially all of the assets of the Corporation or a material acquisition of assets or stock of another entity by the Corporation or any of its Subsidiaries, (each, a “Business Combination”) if:</w:t>
      </w:r>
    </w:p>
    <w:p>
      <w:pPr>
        <w:spacing w:after="0" w:line="78" w:lineRule="exact"/>
        <w:rPr>
          <w:rFonts w:ascii="Arial" w:cs="Arial" w:eastAsia="Arial" w:hAnsi="Arial"/>
          <w:sz w:val="18"/>
          <w:szCs w:val="18"/>
          <w:color w:val="auto"/>
        </w:rPr>
      </w:pPr>
    </w:p>
    <w:p>
      <w:pPr>
        <w:jc w:val="both"/>
        <w:ind w:left="1944" w:right="20" w:hanging="323"/>
        <w:spacing w:after="0" w:line="259" w:lineRule="auto"/>
        <w:tabs>
          <w:tab w:leader="none" w:pos="1944" w:val="left"/>
        </w:tabs>
        <w:numPr>
          <w:ilvl w:val="3"/>
          <w:numId w:val="39"/>
        </w:numPr>
        <w:rPr>
          <w:rFonts w:ascii="Arial" w:cs="Arial" w:eastAsia="Arial" w:hAnsi="Arial"/>
          <w:sz w:val="18"/>
          <w:szCs w:val="18"/>
          <w:color w:val="auto"/>
        </w:rPr>
      </w:pPr>
      <w:r>
        <w:rPr>
          <w:rFonts w:ascii="Arial" w:cs="Arial" w:eastAsia="Arial" w:hAnsi="Arial"/>
          <w:sz w:val="18"/>
          <w:szCs w:val="18"/>
          <w:color w:val="auto"/>
        </w:rPr>
        <w:t>the individuals and entities that were the beneficial owners of the Outstanding Corporation Voting Securities immediately prior to such Business Combination do not beneficially own, directly or indirectly, more than 50% of the then-outstanding shares of stock and the combined voting power of the then-outstanding voting securities of the corporation resulting from such Business Combination; or</w:t>
      </w:r>
    </w:p>
    <w:p>
      <w:pPr>
        <w:spacing w:after="0" w:line="78" w:lineRule="exact"/>
        <w:rPr>
          <w:rFonts w:ascii="Arial" w:cs="Arial" w:eastAsia="Arial" w:hAnsi="Arial"/>
          <w:sz w:val="18"/>
          <w:szCs w:val="18"/>
          <w:color w:val="auto"/>
        </w:rPr>
      </w:pPr>
    </w:p>
    <w:p>
      <w:pPr>
        <w:ind w:left="1944" w:right="140" w:hanging="323"/>
        <w:spacing w:after="0" w:line="277" w:lineRule="auto"/>
        <w:tabs>
          <w:tab w:leader="none" w:pos="1944" w:val="left"/>
        </w:tabs>
        <w:numPr>
          <w:ilvl w:val="3"/>
          <w:numId w:val="39"/>
        </w:numPr>
        <w:rPr>
          <w:rFonts w:ascii="Arial" w:cs="Arial" w:eastAsia="Arial" w:hAnsi="Arial"/>
          <w:sz w:val="18"/>
          <w:szCs w:val="18"/>
          <w:color w:val="auto"/>
        </w:rPr>
      </w:pPr>
      <w:r>
        <w:rPr>
          <w:rFonts w:ascii="Arial" w:cs="Arial" w:eastAsia="Arial" w:hAnsi="Arial"/>
          <w:sz w:val="18"/>
          <w:szCs w:val="18"/>
          <w:color w:val="auto"/>
        </w:rPr>
        <w:t>a Person beneficially owns, directly or indirectly, 20% or more of the then-outstanding shares of stock of the corporation resulting from such Business Combination; or</w:t>
      </w:r>
    </w:p>
    <w:p>
      <w:pPr>
        <w:spacing w:after="0" w:line="62" w:lineRule="exact"/>
        <w:rPr>
          <w:rFonts w:ascii="Arial" w:cs="Arial" w:eastAsia="Arial" w:hAnsi="Arial"/>
          <w:sz w:val="18"/>
          <w:szCs w:val="18"/>
          <w:color w:val="auto"/>
        </w:rPr>
      </w:pPr>
    </w:p>
    <w:p>
      <w:pPr>
        <w:ind w:left="1944" w:right="460" w:hanging="323"/>
        <w:spacing w:after="0" w:line="277" w:lineRule="auto"/>
        <w:tabs>
          <w:tab w:leader="none" w:pos="1944" w:val="left"/>
        </w:tabs>
        <w:numPr>
          <w:ilvl w:val="3"/>
          <w:numId w:val="39"/>
        </w:numPr>
        <w:rPr>
          <w:rFonts w:ascii="Arial" w:cs="Arial" w:eastAsia="Arial" w:hAnsi="Arial"/>
          <w:sz w:val="18"/>
          <w:szCs w:val="18"/>
          <w:color w:val="auto"/>
        </w:rPr>
      </w:pPr>
      <w:r>
        <w:rPr>
          <w:rFonts w:ascii="Arial" w:cs="Arial" w:eastAsia="Arial" w:hAnsi="Arial"/>
          <w:sz w:val="18"/>
          <w:szCs w:val="18"/>
          <w:color w:val="auto"/>
        </w:rPr>
        <w:t>members of the Incumbent Board do not comprise at least a majority of the members of the board of directors of the corporation resulting from such Business Combination; or</w:t>
      </w:r>
    </w:p>
    <w:p>
      <w:pPr>
        <w:spacing w:after="0" w:line="62" w:lineRule="exact"/>
        <w:rPr>
          <w:rFonts w:ascii="Arial" w:cs="Arial" w:eastAsia="Arial" w:hAnsi="Arial"/>
          <w:sz w:val="18"/>
          <w:szCs w:val="18"/>
          <w:color w:val="auto"/>
        </w:rPr>
      </w:pPr>
    </w:p>
    <w:p>
      <w:pPr>
        <w:ind w:left="1624" w:hanging="327"/>
        <w:spacing w:after="0"/>
        <w:tabs>
          <w:tab w:leader="none" w:pos="16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A complete liquidation or dissolution of the Corporation.</w:t>
      </w:r>
    </w:p>
    <w:p>
      <w:pPr>
        <w:spacing w:after="0" w:line="117" w:lineRule="exact"/>
        <w:rPr>
          <w:sz w:val="20"/>
          <w:szCs w:val="20"/>
          <w:color w:val="auto"/>
        </w:rPr>
      </w:pPr>
    </w:p>
    <w:p>
      <w:pPr>
        <w:ind w:left="1304" w:right="60"/>
        <w:spacing w:after="0" w:line="273" w:lineRule="auto"/>
        <w:rPr>
          <w:sz w:val="20"/>
          <w:szCs w:val="20"/>
          <w:color w:val="auto"/>
        </w:rPr>
      </w:pPr>
      <w:r>
        <w:rPr>
          <w:rFonts w:ascii="Arial" w:cs="Arial" w:eastAsia="Arial" w:hAnsi="Arial"/>
          <w:sz w:val="17"/>
          <w:szCs w:val="17"/>
          <w:color w:val="auto"/>
        </w:rPr>
        <w:t>If an Award is determined to be subject to Section 409A of the Code, the payment or settlement of the Award shall accelerate upon a Change-in-Control only if the event also constitutes a “change in ownership,” “change in effective control,” or “change in the ownership of a substantial portion of the Corporation’s assets” as defined under Section 409A of the Code. Any adjustment to the Award that does not affect the Award’s status under Section 409A (including, but not limited to, accelerated vesting or adjustment of the amount of the Award) may occur upon a Change-in-Control as defined herein without regard to this paragraph, even if the event does not constitute a Change-in-Control under Section 409A.</w:t>
      </w:r>
    </w:p>
    <w:p>
      <w:pPr>
        <w:spacing w:after="0" w:line="178" w:lineRule="exact"/>
        <w:rPr>
          <w:sz w:val="20"/>
          <w:szCs w:val="20"/>
          <w:color w:val="auto"/>
        </w:rPr>
      </w:pPr>
    </w:p>
    <w:p>
      <w:pPr>
        <w:ind w:left="1304" w:right="440" w:hanging="655"/>
        <w:spacing w:after="0" w:line="277" w:lineRule="auto"/>
        <w:tabs>
          <w:tab w:leader="none" w:pos="13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“Good Reason” means voluntary termination of the Executive’s employment within twenty-four (24) months of a Change-in-Control </w:t>
      </w:r>
      <w:r>
        <w:rPr>
          <w:rFonts w:ascii="Arial" w:cs="Arial" w:eastAsia="Arial" w:hAnsi="Arial"/>
          <w:sz w:val="18"/>
          <w:szCs w:val="18"/>
          <w:i w:val="1"/>
          <w:iCs w:val="1"/>
          <w:color w:val="auto"/>
        </w:rPr>
        <w:t>and</w:t>
      </w:r>
      <w:r>
        <w:rPr>
          <w:rFonts w:ascii="Arial" w:cs="Arial" w:eastAsia="Arial" w:hAnsi="Arial"/>
          <w:sz w:val="18"/>
          <w:szCs w:val="18"/>
          <w:color w:val="auto"/>
        </w:rPr>
        <w:t xml:space="preserve"> the occurrence of any one or more of the following:</w:t>
      </w:r>
    </w:p>
    <w:p>
      <w:pPr>
        <w:sectPr>
          <w:pgSz w:w="11900" w:h="16838" w:orient="portrait"/>
          <w:cols w:equalWidth="0" w:num="1">
            <w:col w:w="10764"/>
          </w:cols>
          <w:pgMar w:left="896" w:top="611" w:right="239" w:bottom="1440" w:gutter="0" w:footer="0" w:header="0"/>
        </w:sectPr>
      </w:pPr>
    </w:p>
    <w:bookmarkStart w:id="87" w:name="page88"/>
    <w:bookmarkEnd w:id="87"/>
    <w:p>
      <w:pPr>
        <w:ind w:left="2280" w:right="420" w:hanging="327"/>
        <w:spacing w:after="0" w:line="259" w:lineRule="auto"/>
        <w:tabs>
          <w:tab w:leader="none" w:pos="2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assignment of the Executive to a position that is materially inconsistent with the Executive’s authorities, duties, responsibilities, and status (including reporting relationships) as an employee of the Company, or a material reduction or change in the nature or status of the Executive’s authorities, duties, or responsibilities from those in effect immediately preceding a Change-in-Control;</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280" w:right="160" w:hanging="327"/>
        <w:spacing w:after="0" w:line="259" w:lineRule="auto"/>
        <w:tabs>
          <w:tab w:leader="none" w:pos="2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requires the Executive to be based at a location which is at least fifty (50) miles further from the Executive’s current primary residence than such residence is from the Executive’s current job location, except for required travel on Company business to an extent substantially consistent with the Executive’s business obligations immediately preceding the Change-in-Control;</w:t>
      </w:r>
    </w:p>
    <w:p>
      <w:pPr>
        <w:spacing w:after="0" w:line="186" w:lineRule="exact"/>
        <w:rPr>
          <w:rFonts w:ascii="Arial" w:cs="Arial" w:eastAsia="Arial" w:hAnsi="Arial"/>
          <w:sz w:val="18"/>
          <w:szCs w:val="18"/>
          <w:color w:val="auto"/>
        </w:rPr>
      </w:pPr>
    </w:p>
    <w:p>
      <w:pPr>
        <w:ind w:left="2280" w:hanging="327"/>
        <w:spacing w:after="0"/>
        <w:tabs>
          <w:tab w:leader="none" w:pos="2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reduction by the Company in the Executive’s Base Salary in effect on the date preceding the Change-in-Control;</w:t>
      </w:r>
    </w:p>
    <w:p>
      <w:pPr>
        <w:spacing w:after="0" w:line="225" w:lineRule="exact"/>
        <w:rPr>
          <w:rFonts w:ascii="Arial" w:cs="Arial" w:eastAsia="Arial" w:hAnsi="Arial"/>
          <w:sz w:val="18"/>
          <w:szCs w:val="18"/>
          <w:color w:val="auto"/>
        </w:rPr>
      </w:pPr>
    </w:p>
    <w:p>
      <w:pPr>
        <w:ind w:left="2280" w:right="100" w:hanging="327"/>
        <w:spacing w:after="0" w:line="273" w:lineRule="auto"/>
        <w:tabs>
          <w:tab w:leader="none" w:pos="22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 material reduction in the Executive’s level of participation in any of the Company’s short- and/or long-term incentive compensation plans, employee benefit or retirement plans, policies, practices, or arrangements in which the Executive participates from the levels in place during the fiscal year immediately preceding the Change-in-Control; provided, however, that reductions in the levels of participation in any such plans shall not be deemed to be “Good Reason” if the Executive’s reduced level of participation in each such program remains substantially consistent with the average level of participation of other executives who have positions commensurate with the Executive’s position; or</w:t>
      </w:r>
    </w:p>
    <w:p>
      <w:pPr>
        <w:spacing w:after="0" w:line="178" w:lineRule="exact"/>
        <w:rPr>
          <w:rFonts w:ascii="Arial" w:cs="Arial" w:eastAsia="Arial" w:hAnsi="Arial"/>
          <w:sz w:val="17"/>
          <w:szCs w:val="17"/>
          <w:color w:val="auto"/>
        </w:rPr>
      </w:pPr>
    </w:p>
    <w:p>
      <w:pPr>
        <w:ind w:left="2280" w:right="320" w:hanging="327"/>
        <w:spacing w:after="0" w:line="277" w:lineRule="auto"/>
        <w:tabs>
          <w:tab w:leader="none" w:pos="2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the Company to assume and agree to perform its obligations under this Agreement.</w:t>
      </w:r>
    </w:p>
    <w:p>
      <w:pPr>
        <w:spacing w:after="0" w:line="386" w:lineRule="exact"/>
        <w:rPr>
          <w:rFonts w:ascii="Arial" w:cs="Arial" w:eastAsia="Arial" w:hAnsi="Arial"/>
          <w:sz w:val="18"/>
          <w:szCs w:val="18"/>
          <w:color w:val="auto"/>
        </w:rPr>
      </w:pPr>
    </w:p>
    <w:p>
      <w:pPr>
        <w:ind w:left="660" w:right="240" w:hanging="652"/>
        <w:spacing w:after="0" w:line="25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“Termination for Cause” means a decision by the Company to terminate the Executive’s employment for (i) violation of an ELG covenant, (ii) conduct involving a felony criminal offense under U.S. federal or state law or an equivalent violation of the laws of any other country, (iii) dishonesty, fraud, self-dealing, or material violations of civil law in the course of fulfilling the Executive’s employment duties; (iv) breach of the Executive’s intellectual property agreement or other written agreement with the Company; or (v) willful misconduct injurious to the Company, as determined by the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11E1F"/>
        </w:rPr>
        <w:t>Change-in-Control</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211E1F"/>
        </w:rPr>
        <w:t xml:space="preserve">In the event of a Change-in-Control or restructuring of the Corporation, the Committee may, in its sole discretion, take certain actions with respect to outstanding Awards to assure fair and equitable treatment of LTIP Award Recipients. </w:t>
      </w:r>
      <w:r>
        <w:rPr>
          <w:rFonts w:ascii="Arial" w:cs="Arial" w:eastAsia="Arial" w:hAnsi="Arial"/>
          <w:sz w:val="18"/>
          <w:szCs w:val="18"/>
          <w:color w:val="211F1F"/>
        </w:rPr>
        <w:t>Such actions may include the acceleration of the Vesting Date; offering</w:t>
      </w:r>
      <w:r>
        <w:rPr>
          <w:rFonts w:ascii="Arial" w:cs="Arial" w:eastAsia="Arial" w:hAnsi="Arial"/>
          <w:sz w:val="18"/>
          <w:szCs w:val="18"/>
          <w:color w:val="211E1F"/>
        </w:rPr>
        <w:t xml:space="preserve"> </w:t>
      </w:r>
      <w:r>
        <w:rPr>
          <w:rFonts w:ascii="Arial" w:cs="Arial" w:eastAsia="Arial" w:hAnsi="Arial"/>
          <w:sz w:val="18"/>
          <w:szCs w:val="18"/>
          <w:color w:val="211F1F"/>
        </w:rPr>
        <w:t>to purchase an outstanding Award from the holder for its equivalent cash value (as determined by the Committee); or providing for other adjustments or modifications to outstanding Awards as the Committee may deem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11E1F"/>
        </w:rPr>
        <w:t>Nonassignability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Unless otherwise prescribed by the Committee, no assignment or transfer of any right or interest of a Recipient in any RSU, whether voluntary or involuntary, by operation of law or otherwise, shall be permitted except by will or the laws of descent and distribution. Any attempt to assign such rights or interest shall be void and without force or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11E1F"/>
        </w:rPr>
        <w:t>Administration</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211E1F"/>
        </w:rPr>
        <w:t>Awards granted pursuant to the LTIP shall be interpreted and administered by the Committee. The Committee shall establish such procedures as it deems necessary and appropriate to administer Awards in a manner that is consistent with the terms of the LTIP. The Committee’s decision on any matter related to an Award shall be binding and conclusive.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LTIP, subject to certain limitations, the Committee has delegated to the Chief Executive Officer the authority to grant RSU Awards, and has further delegated the authority to administer and interpret such Awards to the Senior Vice President, Human Resources and Organization, and to such subordinates as he or she may further delegate. Awards to employees of the</w:t>
      </w:r>
    </w:p>
    <w:p>
      <w:pPr>
        <w:sectPr>
          <w:pgSz w:w="11900" w:h="16838" w:orient="portrait"/>
          <w:cols w:equalWidth="0" w:num="1">
            <w:col w:w="11380"/>
          </w:cols>
          <w:pgMar w:left="240" w:top="584" w:right="279" w:bottom="1440" w:gutter="0" w:footer="0" w:header="0"/>
        </w:sectPr>
      </w:pPr>
    </w:p>
    <w:bookmarkStart w:id="88" w:name="page89"/>
    <w:bookmarkEnd w:id="88"/>
    <w:p>
      <w:pPr>
        <w:ind w:right="120"/>
        <w:spacing w:after="0" w:line="277" w:lineRule="auto"/>
        <w:rPr>
          <w:sz w:val="20"/>
          <w:szCs w:val="20"/>
          <w:color w:val="auto"/>
        </w:rPr>
      </w:pPr>
      <w:r>
        <w:rPr>
          <w:rFonts w:ascii="Arial" w:cs="Arial" w:eastAsia="Arial" w:hAnsi="Arial"/>
          <w:sz w:val="18"/>
          <w:szCs w:val="18"/>
          <w:color w:val="auto"/>
        </w:rPr>
        <w:t>Company who are either reporting persons under Section 16 of the Securities Exchange Act of 1934 (“Insiders”) or members of the Corporation’s Executive Leadership Group will be granted, administered, and interpreted exclusively by the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11E1F"/>
        </w:rPr>
        <w:t>Awards Not to Affect or Be Affected by Certain Transactions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211E1F"/>
        </w:rPr>
        <w:t>RSU Awards shall not in any way affect the right or power of the Corporation or its shareowners to effect: (a) any or all adjustments, recapitalizations, reorganizations or other changes in the Corporation’s capital structure or its business; (b) any merger or consolidation of the Corporation; (c) any issue of bonds, debentures, shares of stock preferred to, or otherwise affecting the Common Stock of the Corporation or the rights of the holders of such Common Stock; (d) the dissolution or liquidation of the Corporation; (e) any sale or transfer of all or any part of its assets or business; or (f) any other corporate act or proceeding.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11E1F"/>
        </w:rPr>
        <w:t>Taxes/Withholding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11E1F"/>
        </w:rPr>
        <w:t>The value of the Award as of the Vesting Date will be subject to FICA withholding in that same calendar year.</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11F1F"/>
        </w:rPr>
        <w:t>Award recipients are responsible for all income tax (including U.S. federal, state and local tax, and/or any non-U.S. tax), social insurance, payroll tax, payment on account or other tax-related items attributable to any Award (“Tax-Related Items”). The closing price of Common Stock on the New York Stock Exchange on the vesting date will be used to calculate income realized from the vesting of RSUs. The Company shall take such steps as are appropriate to satisfy the obligations with regard to Tax-Related Items. The Company shall have the right to deduct directly from any payment or delivery of shares due to a recipient or from the recipient’s regular compensation to effect compliance with all Tax-Related Items including withholding and reporting with respect to the vesting of any RSU. Acceptance of an Award constitutes consent by the recipient to such withholding. Recipient acknowledges that the ultimate liability for all Tax-Related Items is and remains the Recipient’s responsibility and may exceed the amount actually withheld by the Company. In those countries where there is no withholding on account of such Tax-Related Items, recipients must pay the appropriate taxes as required by any country where they are subject to tax. A discussion of U.S. federal tax treatment of RSUs may be found in the LTIP prospectus.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11E1F"/>
        </w:rPr>
        <w:t>Right of Discharge Reserved</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211E1F"/>
        </w:rPr>
        <w:t>Nothing in the LTIP or in any RSU Award shall confer upon any Recipient the right to continue in the employment or service of the Company for any period of time, or affect any right that the Company may have to terminate the employment or service of such Recipient at any time for any reason.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 of 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ELG RSU Retention Award will be forfeited if any of the following apply:</w:t>
      </w:r>
    </w:p>
    <w:p>
      <w:pPr>
        <w:spacing w:after="0" w:line="32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Membership in the ELG ceases. </w:t>
      </w:r>
      <w:r>
        <w:rPr>
          <w:rFonts w:ascii="Arial" w:cs="Arial" w:eastAsia="Arial" w:hAnsi="Arial"/>
          <w:sz w:val="18"/>
          <w:szCs w:val="18"/>
          <w:color w:val="auto"/>
        </w:rPr>
        <w:t>While an employee of the Company, your membership in the ELG ceases for any reason.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Non-mutual termination. </w:t>
      </w:r>
      <w:r>
        <w:rPr>
          <w:rFonts w:ascii="Arial" w:cs="Arial" w:eastAsia="Arial" w:hAnsi="Arial"/>
          <w:sz w:val="18"/>
          <w:szCs w:val="18"/>
          <w:color w:val="auto"/>
        </w:rPr>
        <w:t>You terminate employment and the Company wants to retain your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Violation of ELG Covenants. </w:t>
      </w:r>
      <w:r>
        <w:rPr>
          <w:rFonts w:ascii="Arial" w:cs="Arial" w:eastAsia="Arial" w:hAnsi="Arial"/>
          <w:sz w:val="18"/>
          <w:szCs w:val="18"/>
          <w:color w:val="auto"/>
        </w:rPr>
        <w:t>You violate any of the ELG Covenants.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Self-dealing. </w:t>
      </w:r>
      <w:r>
        <w:rPr>
          <w:rFonts w:ascii="Arial" w:cs="Arial" w:eastAsia="Arial" w:hAnsi="Arial"/>
          <w:sz w:val="18"/>
          <w:szCs w:val="18"/>
          <w:color w:val="auto"/>
        </w:rPr>
        <w:t>You engage in conduct which serves your own personal interests at the expense of the Company, or permit others to do so.</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Financial restatement. </w:t>
      </w:r>
      <w:r>
        <w:rPr>
          <w:rFonts w:ascii="Arial" w:cs="Arial" w:eastAsia="Arial" w:hAnsi="Arial"/>
          <w:sz w:val="18"/>
          <w:szCs w:val="18"/>
          <w:color w:val="auto"/>
        </w:rPr>
        <w:t>A restatement of financial results attributable to your actions, whether intentional or negligent.</w:t>
      </w:r>
    </w:p>
    <w:p>
      <w:pPr>
        <w:spacing w:after="0" w:line="117"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Improper or criminal conduct. </w:t>
      </w:r>
      <w:r>
        <w:rPr>
          <w:rFonts w:ascii="Arial" w:cs="Arial" w:eastAsia="Arial" w:hAnsi="Arial"/>
          <w:sz w:val="18"/>
          <w:szCs w:val="18"/>
          <w:color w:val="auto"/>
        </w:rPr>
        <w:t>Your discharge results from actions (or omissions) which you did not reasonably believe to be in the best interests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You must not engage in conduct that is fraudulent, dishonest, or violates federal, state or local law.</w:t>
      </w:r>
    </w:p>
    <w:p>
      <w:pPr>
        <w:spacing w:after="0" w:line="53" w:lineRule="exact"/>
        <w:rPr>
          <w:rFonts w:ascii="Arial" w:cs="Arial" w:eastAsia="Arial" w:hAnsi="Arial"/>
          <w:sz w:val="18"/>
          <w:szCs w:val="18"/>
          <w:color w:val="auto"/>
        </w:rPr>
      </w:pPr>
    </w:p>
    <w:p>
      <w:pPr>
        <w:jc w:val="both"/>
        <w:ind w:left="340" w:right="160" w:hanging="332"/>
        <w:spacing w:after="0" w:line="347"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Your termination results from facts or circumstances that constitute a Termination for Cause as defined herein; or if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the Company determines within three years that you engaged in conduct that would have constituted the basis for a Termination for Cause.</w:t>
      </w:r>
    </w:p>
    <w:p>
      <w:pPr>
        <w:spacing w:after="0" w:line="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LTIP also provides for the recoupment of gains previously realized from LTIP awards (including the ELG RSU Retention Award) in the event of certain types of misconduct.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Payments</w:t>
      </w:r>
    </w:p>
    <w:p>
      <w:pPr>
        <w:sectPr>
          <w:pgSz w:w="11900" w:h="16838" w:orient="portrait"/>
          <w:cols w:equalWidth="0" w:num="1">
            <w:col w:w="11400"/>
          </w:cols>
          <w:pgMar w:left="240" w:top="584" w:right="259" w:bottom="1440" w:gutter="0" w:footer="0" w:header="0"/>
        </w:sectPr>
      </w:pPr>
    </w:p>
    <w:bookmarkStart w:id="89" w:name="page90"/>
    <w:bookmarkEnd w:id="89"/>
    <w:p>
      <w:pPr>
        <w:ind w:right="140"/>
        <w:spacing w:after="0" w:line="259" w:lineRule="auto"/>
        <w:rPr>
          <w:sz w:val="20"/>
          <w:szCs w:val="20"/>
          <w:color w:val="auto"/>
        </w:rPr>
      </w:pPr>
      <w:r>
        <w:rPr>
          <w:rFonts w:ascii="Arial" w:cs="Arial" w:eastAsia="Arial" w:hAnsi="Arial"/>
          <w:sz w:val="18"/>
          <w:szCs w:val="18"/>
          <w:color w:val="auto"/>
        </w:rPr>
        <w:t>All Awards made pursuant to the LTIP are in consideration of services performed for the Company. Any gains realized pursuant to such Awards constitute a special incentive payment to the Recipient and shall not be taken into account as compensation for purposes of any of the employee benefit plans of the Company. RSUs will not be funded by the Corporation. In this regard, a Recipient’s rights to RSUs are those of a general unsecured creditor of the Corporation.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recipient to the collection, use, processing, transmission, and holding of personal data, in electronic or other form, as required for the implementation, administration, and management of this Award and the LTIP by the Corporation or its third party administrators within or outside the country in which the recipient resides or works. All such collection, use, processing, transmission, and holding of data will comply with applicable privacy protection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11E1F"/>
        </w:rPr>
        <w:t>Government Contract Compliance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211E1F"/>
        </w:rPr>
        <w:t>The Company’s Policy on “Business Ethics and Conduct in Contracting with the United States Gov-ernment” calls for compliance with the letter and spirit of government contracting laws and regulations. In the event of a violation of government contracting laws or regulations, the Committee reserves the right to revoke any outstanding Award.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11E1F"/>
        </w:rPr>
        <w:t>Interpretations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This Schedule of Terms and each Award Statement are subject in all respects to the terms of the LTIP and ELG Program materials. In the event that any provision of this Schedule of Terms or any Award Statement is inconsistent with the terms of the LTIP or ELG Program materials, the terms of the LTIP and ELG Program materials shall govern. The ELG Program materials may impose additional obligations or restrictions beyond the terms of the LTIP. Any question of administration or interpretation arising under the Schedule of Terms or any Award Statement shall be determined by the Committee or its delegate, and such determination shall be final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LTIP, this Schedule of Terms and the Award Statement shall be governed by and construed in accordance with the laws of the State of Delaware.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221E1F"/>
        </w:rPr>
        <w:t>Additional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Questions concerning the LTIP or Awards and requests for Plan documents shall be directed to:</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Plan Administrator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Technologies Corporation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Financial Plaza, MS 525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Hartford, CT 06101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stockoptionplans@utc.com</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Corporation and/or its approved Stock Plan Administrator will send any Award-related communications to the Recipient’s email address or physical address on record. It is the responsibility of the Recipient to ensure that both the e-mail and physical address on record are up-to-date and accurate at all times to ensure delivery of Award-related communications.</w:t>
      </w:r>
    </w:p>
    <w:p>
      <w:pPr>
        <w:sectPr>
          <w:pgSz w:w="11900" w:h="16838" w:orient="portrait"/>
          <w:cols w:equalWidth="0" w:num="1">
            <w:col w:w="11380"/>
          </w:cols>
          <w:pgMar w:left="240" w:top="800" w:right="27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ELG RSU Retention Award Schedule of Terms</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Attachment A</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(New October 2013)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ELG RSU RETENTION AWARD VESTING AGREEMENT</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VESTING AGREEMENT, is entered into between _______________ (hereinafter, the "Executive"), and UNITED TECHNOLOGIES</w:t>
      </w:r>
    </w:p>
    <w:p>
      <w:pPr>
        <w:spacing w:after="0" w:line="115" w:lineRule="exact"/>
        <w:rPr>
          <w:sz w:val="20"/>
          <w:szCs w:val="20"/>
          <w:color w:val="auto"/>
        </w:rPr>
      </w:pPr>
    </w:p>
    <w:p>
      <w:pPr>
        <w:ind w:right="660"/>
        <w:spacing w:after="0" w:line="387" w:lineRule="auto"/>
        <w:rPr>
          <w:sz w:val="20"/>
          <w:szCs w:val="20"/>
          <w:color w:val="auto"/>
        </w:rPr>
      </w:pPr>
      <w:r>
        <w:rPr>
          <w:rFonts w:ascii="Arial" w:cs="Arial" w:eastAsia="Arial" w:hAnsi="Arial"/>
          <w:sz w:val="18"/>
          <w:szCs w:val="18"/>
          <w:color w:val="auto"/>
        </w:rPr>
        <w:t>CORPORATION, a Delaware corporation, with an office and place of business at Hartford, Connecticut (United Technologies Corporation and all its subsidiaries, divisions and affiliates are hereinafter referred to as the "Company").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and the Company agree that the Executive’s employment with the Company will terminate; and</w:t>
      </w:r>
    </w:p>
    <w:p>
      <w:pPr>
        <w:spacing w:after="0" w:line="279"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WHEREAS, the parties wish to set forth their mutual understanding concerning the terms and conditions relative to the termination of the Executive's employment with the Company; and</w:t>
      </w:r>
    </w:p>
    <w:p>
      <w:pPr>
        <w:spacing w:after="0" w:line="22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WHEREAS, the Executive has committed to membership in the Company's Executive Leadership Group (the "ELG"), which commitment signifies, among other things, the Executive's acceptance of the terms and conditions of the ELG Program;</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hereby mutually agreed as follows:</w:t>
      </w:r>
    </w:p>
    <w:p>
      <w:pPr>
        <w:spacing w:after="0" w:line="117" w:lineRule="exact"/>
        <w:rPr>
          <w:sz w:val="20"/>
          <w:szCs w:val="20"/>
          <w:color w:val="auto"/>
        </w:rPr>
      </w:pPr>
    </w:p>
    <w:p>
      <w:pPr>
        <w:ind w:left="740" w:hanging="732"/>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The Executive's employment with the Company will terminate effective ___________ (the "Termination Date").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740" w:right="240" w:firstLine="646"/>
        <w:spacing w:after="0" w:line="369" w:lineRule="auto"/>
        <w:tabs>
          <w:tab w:leader="none" w:pos="1775"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parties agree that the termination of the Executive's employment is a Qualifying Separation, with completion of at least three years of service as an ELG member, entitling the Executive to vest in the ELG Restricted Stock Unit Retention Award (the “ELG RSU Retention Award”) as of the later of the Executive’s Termination Date or the date of this Agreement (the “Vesting Date”). Vesting is subject to continued compliance with the obligations set forth in Section 4 of this Agreement.</w:t>
      </w:r>
    </w:p>
    <w:p>
      <w:pPr>
        <w:spacing w:after="0" w:line="280" w:lineRule="exact"/>
        <w:rPr>
          <w:rFonts w:ascii="Arial" w:cs="Arial" w:eastAsia="Arial" w:hAnsi="Arial"/>
          <w:sz w:val="18"/>
          <w:szCs w:val="18"/>
          <w:color w:val="auto"/>
        </w:rPr>
      </w:pPr>
    </w:p>
    <w:p>
      <w:pPr>
        <w:ind w:left="740" w:hanging="718"/>
        <w:spacing w:after="0"/>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The number of Restricted Stock Units (RSUs) that will vest subject to this Vesting Agreement is set forth in the Award Statement.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740" w:right="100" w:firstLine="646"/>
        <w:spacing w:after="0" w:line="387" w:lineRule="auto"/>
        <w:tabs>
          <w:tab w:leader="none" w:pos="1778" w:val="left"/>
        </w:tabs>
        <w:numPr>
          <w:ilvl w:val="2"/>
          <w:numId w:val="44"/>
        </w:numPr>
        <w:rPr>
          <w:rFonts w:ascii="Arial" w:cs="Arial" w:eastAsia="Arial" w:hAnsi="Arial"/>
          <w:sz w:val="18"/>
          <w:szCs w:val="18"/>
          <w:color w:val="auto"/>
        </w:rPr>
      </w:pPr>
      <w:r>
        <w:rPr>
          <w:rFonts w:ascii="Arial" w:cs="Arial" w:eastAsia="Arial" w:hAnsi="Arial"/>
          <w:sz w:val="18"/>
          <w:szCs w:val="18"/>
          <w:color w:val="auto"/>
        </w:rPr>
        <w:t>RSUs will be converted into shares of Common Stock effective as of the Vesting Date. The converted shares will be unrestricted and freely transferable.</w:t>
      </w:r>
    </w:p>
    <w:p>
      <w:pPr>
        <w:spacing w:after="0" w:line="264" w:lineRule="exact"/>
        <w:rPr>
          <w:rFonts w:ascii="Arial" w:cs="Arial" w:eastAsia="Arial" w:hAnsi="Arial"/>
          <w:sz w:val="18"/>
          <w:szCs w:val="18"/>
          <w:color w:val="auto"/>
        </w:rPr>
      </w:pPr>
    </w:p>
    <w:p>
      <w:pPr>
        <w:ind w:left="740" w:right="60" w:hanging="718"/>
        <w:spacing w:after="0" w:line="364" w:lineRule="auto"/>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(a) The Executive hereby agrees to release the Company, present or former employees, officers and directors from all claims or demands the Executive may have arising from or relating to </w:t>
      </w:r>
      <w:r>
        <w:rPr>
          <w:rFonts w:ascii="Arial" w:cs="Arial" w:eastAsia="Arial" w:hAnsi="Arial"/>
          <w:sz w:val="18"/>
          <w:szCs w:val="18"/>
          <w:b w:val="1"/>
          <w:bCs w:val="1"/>
          <w:color w:val="auto"/>
        </w:rPr>
        <w:t>[his/her]</w:t>
      </w:r>
      <w:r>
        <w:rPr>
          <w:rFonts w:ascii="Arial" w:cs="Arial" w:eastAsia="Arial" w:hAnsi="Arial"/>
          <w:sz w:val="18"/>
          <w:szCs w:val="18"/>
          <w:color w:val="auto"/>
        </w:rPr>
        <w:t xml:space="preserve"> employment with the Company or the termination of that employment. This includes a release of any rights or claims the Executive may have under the Age Discrimination in Employment Act of 1967, as amended, which prohibits age discrimination in employment; Title VII of the Civil Rights Act of 1964, as amended, which prohibits discrimination in employment based on race, color, national origin, religion or sex; the Equal Pay Act, which prohibits paying men and women unequal pay for equal work; the Americans with Disabilities Act which prohibits discrimination on the basis of handicap; the Employee Retirement Income Security Act of 1974, as amended, which prohibits discrimination on the</w:t>
      </w:r>
    </w:p>
    <w:p>
      <w:pPr>
        <w:sectPr>
          <w:pgSz w:w="11900" w:h="16838" w:orient="portrait"/>
          <w:cols w:equalWidth="0" w:num="1">
            <w:col w:w="11420"/>
          </w:cols>
          <w:pgMar w:left="240" w:top="634" w:right="239" w:bottom="1440" w:gutter="0" w:footer="0" w:header="0"/>
        </w:sectPr>
      </w:pPr>
    </w:p>
    <w:bookmarkStart w:id="91" w:name="page92"/>
    <w:bookmarkEnd w:id="91"/>
    <w:p>
      <w:pPr>
        <w:ind w:left="16" w:right="60"/>
        <w:spacing w:after="0" w:line="436" w:lineRule="auto"/>
        <w:rPr>
          <w:sz w:val="20"/>
          <w:szCs w:val="20"/>
          <w:color w:val="auto"/>
        </w:rPr>
      </w:pPr>
      <w:r>
        <w:rPr>
          <w:rFonts w:ascii="Arial" w:cs="Arial" w:eastAsia="Arial" w:hAnsi="Arial"/>
          <w:sz w:val="18"/>
          <w:szCs w:val="18"/>
          <w:color w:val="auto"/>
        </w:rPr>
        <w:t>basis of eligibility to receive benefits and any other federal, state or local laws or regulations prohibiting employment discrimination. This release also includes a release by the Executive of any claims or actions for wrongful discharge based on statute, regulation, contract, tort, common or civil law or otherwise.</w:t>
      </w:r>
    </w:p>
    <w:p>
      <w:pPr>
        <w:spacing w:after="0" w:line="249" w:lineRule="exact"/>
        <w:rPr>
          <w:sz w:val="20"/>
          <w:szCs w:val="20"/>
          <w:color w:val="auto"/>
        </w:rPr>
      </w:pPr>
    </w:p>
    <w:p>
      <w:pPr>
        <w:jc w:val="both"/>
        <w:ind w:left="16" w:right="80" w:firstLine="646"/>
        <w:spacing w:after="0" w:line="369" w:lineRule="auto"/>
        <w:tabs>
          <w:tab w:leader="none" w:pos="1051"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This Release covers all claims based on any facts or events, whether known or unknown by the Executive that occurred on or before the effective date of this Agreement. The Executive will notify the Company of any claims that may arise after the effective date of this Agreement but before the Termination Date and ratify the release and waiver, effective as of the Termination Date, following resolution of any claims as a pre-condition to receiving the benefits provided for in Section 2 herein.</w:t>
      </w:r>
    </w:p>
    <w:p>
      <w:pPr>
        <w:spacing w:after="0" w:line="280" w:lineRule="exact"/>
        <w:rPr>
          <w:rFonts w:ascii="Arial" w:cs="Arial" w:eastAsia="Arial" w:hAnsi="Arial"/>
          <w:sz w:val="18"/>
          <w:szCs w:val="18"/>
          <w:color w:val="auto"/>
        </w:rPr>
      </w:pPr>
    </w:p>
    <w:p>
      <w:pPr>
        <w:ind w:left="16" w:right="260" w:firstLine="646"/>
        <w:spacing w:after="0" w:line="373" w:lineRule="auto"/>
        <w:tabs>
          <w:tab w:leader="none" w:pos="1041"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This Release does not include, however, a release of the Executive's rights to any vested pension, deferred compensation, health or similar benefits to which </w:t>
      </w:r>
      <w:r>
        <w:rPr>
          <w:rFonts w:ascii="Arial" w:cs="Arial" w:eastAsia="Arial" w:hAnsi="Arial"/>
          <w:sz w:val="18"/>
          <w:szCs w:val="18"/>
          <w:b w:val="1"/>
          <w:bCs w:val="1"/>
          <w:color w:val="auto"/>
        </w:rPr>
        <w:t>[he/she]</w:t>
      </w:r>
      <w:r>
        <w:rPr>
          <w:rFonts w:ascii="Arial" w:cs="Arial" w:eastAsia="Arial" w:hAnsi="Arial"/>
          <w:sz w:val="18"/>
          <w:szCs w:val="18"/>
          <w:color w:val="auto"/>
        </w:rPr>
        <w:t xml:space="preserve"> may be entitled in accordance with the terms of the Company employee benefit plans in which </w:t>
      </w:r>
      <w:r>
        <w:rPr>
          <w:rFonts w:ascii="Arial" w:cs="Arial" w:eastAsia="Arial" w:hAnsi="Arial"/>
          <w:sz w:val="18"/>
          <w:szCs w:val="18"/>
          <w:b w:val="1"/>
          <w:bCs w:val="1"/>
          <w:color w:val="auto"/>
        </w:rPr>
        <w:t>[he/she]</w:t>
      </w:r>
      <w:r>
        <w:rPr>
          <w:rFonts w:ascii="Arial" w:cs="Arial" w:eastAsia="Arial" w:hAnsi="Arial"/>
          <w:sz w:val="18"/>
          <w:szCs w:val="18"/>
          <w:color w:val="auto"/>
        </w:rPr>
        <w:t xml:space="preserve"> participated.</w:t>
      </w:r>
    </w:p>
    <w:p>
      <w:pPr>
        <w:spacing w:after="0" w:line="277" w:lineRule="exact"/>
        <w:rPr>
          <w:rFonts w:ascii="Arial" w:cs="Arial" w:eastAsia="Arial" w:hAnsi="Arial"/>
          <w:sz w:val="18"/>
          <w:szCs w:val="18"/>
          <w:color w:val="auto"/>
        </w:rPr>
      </w:pPr>
    </w:p>
    <w:p>
      <w:pPr>
        <w:ind w:left="16" w:firstLine="646"/>
        <w:spacing w:after="0" w:line="435" w:lineRule="auto"/>
        <w:tabs>
          <w:tab w:leader="none" w:pos="1054"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Nothing in this Agreement shall be construed to prohibit the Executive from filing a charge with, or participating in, any investigation or proceeding by the EEOC or comparable governmental agency. The Executive agrees, however, to waive the right to recover monetary damages in any charge, complaint or lawsuit filed by </w:t>
      </w:r>
      <w:r>
        <w:rPr>
          <w:rFonts w:ascii="Arial" w:cs="Arial" w:eastAsia="Arial" w:hAnsi="Arial"/>
          <w:sz w:val="16"/>
          <w:szCs w:val="16"/>
          <w:b w:val="1"/>
          <w:bCs w:val="1"/>
          <w:color w:val="auto"/>
        </w:rPr>
        <w:t>[him/her]</w:t>
      </w:r>
      <w:r>
        <w:rPr>
          <w:rFonts w:ascii="Arial" w:cs="Arial" w:eastAsia="Arial" w:hAnsi="Arial"/>
          <w:sz w:val="16"/>
          <w:szCs w:val="16"/>
          <w:color w:val="auto"/>
        </w:rPr>
        <w:t xml:space="preserve"> or on </w:t>
      </w:r>
      <w:r>
        <w:rPr>
          <w:rFonts w:ascii="Arial" w:cs="Arial" w:eastAsia="Arial" w:hAnsi="Arial"/>
          <w:sz w:val="16"/>
          <w:szCs w:val="16"/>
          <w:b w:val="1"/>
          <w:bCs w:val="1"/>
          <w:color w:val="auto"/>
        </w:rPr>
        <w:t>[his/her]</w:t>
      </w:r>
      <w:r>
        <w:rPr>
          <w:rFonts w:ascii="Arial" w:cs="Arial" w:eastAsia="Arial" w:hAnsi="Arial"/>
          <w:sz w:val="16"/>
          <w:szCs w:val="16"/>
          <w:color w:val="auto"/>
        </w:rPr>
        <w:t xml:space="preserve"> behalf with respect any claims released in Section 3 of this Agreement.</w:t>
      </w:r>
    </w:p>
    <w:p>
      <w:pPr>
        <w:spacing w:after="0" w:line="242" w:lineRule="exact"/>
        <w:rPr>
          <w:rFonts w:ascii="Arial" w:cs="Arial" w:eastAsia="Arial" w:hAnsi="Arial"/>
          <w:sz w:val="16"/>
          <w:szCs w:val="16"/>
          <w:color w:val="auto"/>
        </w:rPr>
      </w:pPr>
    </w:p>
    <w:p>
      <w:pPr>
        <w:ind w:left="16" w:right="40" w:firstLine="646"/>
        <w:spacing w:after="0" w:line="373" w:lineRule="auto"/>
        <w:tabs>
          <w:tab w:leader="none" w:pos="1041"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The Executive understands and agrees that the ELG RSU Retention Award distributed pursuant to this Agreement is in full and complete satisfaction of all obligations due </w:t>
      </w:r>
      <w:r>
        <w:rPr>
          <w:rFonts w:ascii="Arial" w:cs="Arial" w:eastAsia="Arial" w:hAnsi="Arial"/>
          <w:sz w:val="18"/>
          <w:szCs w:val="18"/>
          <w:b w:val="1"/>
          <w:bCs w:val="1"/>
          <w:color w:val="auto"/>
        </w:rPr>
        <w:t>[him/her]</w:t>
      </w:r>
      <w:r>
        <w:rPr>
          <w:rFonts w:ascii="Arial" w:cs="Arial" w:eastAsia="Arial" w:hAnsi="Arial"/>
          <w:sz w:val="18"/>
          <w:szCs w:val="18"/>
          <w:color w:val="auto"/>
        </w:rPr>
        <w:t xml:space="preserve"> under the ELG Program. The Executive further understands and agrees that </w:t>
      </w:r>
      <w:r>
        <w:rPr>
          <w:rFonts w:ascii="Arial" w:cs="Arial" w:eastAsia="Arial" w:hAnsi="Arial"/>
          <w:sz w:val="18"/>
          <w:szCs w:val="18"/>
          <w:b w:val="1"/>
          <w:bCs w:val="1"/>
          <w:color w:val="auto"/>
        </w:rPr>
        <w:t>[he/she]</w:t>
      </w:r>
      <w:r>
        <w:rPr>
          <w:rFonts w:ascii="Arial" w:cs="Arial" w:eastAsia="Arial" w:hAnsi="Arial"/>
          <w:sz w:val="18"/>
          <w:szCs w:val="18"/>
          <w:color w:val="auto"/>
        </w:rPr>
        <w:t xml:space="preserve"> shall not be entitled to any severance payments, payments in lieu of vacation, holiday or other fringe benefits.</w:t>
      </w:r>
    </w:p>
    <w:p>
      <w:pPr>
        <w:spacing w:after="0" w:line="273" w:lineRule="exact"/>
        <w:rPr>
          <w:rFonts w:ascii="Arial" w:cs="Arial" w:eastAsia="Arial" w:hAnsi="Arial"/>
          <w:sz w:val="18"/>
          <w:szCs w:val="18"/>
          <w:color w:val="auto"/>
        </w:rPr>
      </w:pPr>
    </w:p>
    <w:p>
      <w:pPr>
        <w:ind w:left="-4" w:right="180" w:firstLine="4"/>
        <w:spacing w:after="0" w:line="391" w:lineRule="auto"/>
        <w:tabs>
          <w:tab w:leader="none" w:pos="3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Following the Termination Date, the Executive agrees to cooperate with the Company with respect to matters that involved </w:t>
      </w:r>
      <w:r>
        <w:rPr>
          <w:rFonts w:ascii="Arial" w:cs="Arial" w:eastAsia="Arial" w:hAnsi="Arial"/>
          <w:sz w:val="18"/>
          <w:szCs w:val="18"/>
          <w:b w:val="1"/>
          <w:bCs w:val="1"/>
          <w:color w:val="auto"/>
        </w:rPr>
        <w:t>[him/her]</w:t>
      </w:r>
      <w:r>
        <w:rPr>
          <w:rFonts w:ascii="Arial" w:cs="Arial" w:eastAsia="Arial" w:hAnsi="Arial"/>
          <w:sz w:val="18"/>
          <w:szCs w:val="18"/>
          <w:color w:val="auto"/>
        </w:rPr>
        <w:t xml:space="preserve"> during the course of </w:t>
      </w:r>
      <w:r>
        <w:rPr>
          <w:rFonts w:ascii="Arial" w:cs="Arial" w:eastAsia="Arial" w:hAnsi="Arial"/>
          <w:sz w:val="18"/>
          <w:szCs w:val="18"/>
          <w:b w:val="1"/>
          <w:bCs w:val="1"/>
          <w:color w:val="auto"/>
        </w:rPr>
        <w:t>[his/her]</w:t>
      </w:r>
      <w:r>
        <w:rPr>
          <w:rFonts w:ascii="Arial" w:cs="Arial" w:eastAsia="Arial" w:hAnsi="Arial"/>
          <w:sz w:val="18"/>
          <w:szCs w:val="18"/>
          <w:color w:val="auto"/>
        </w:rPr>
        <w:t xml:space="preserve"> employment if such cooperation is deemed necessary or appropriate by the Company.</w:t>
      </w:r>
    </w:p>
    <w:p>
      <w:pPr>
        <w:spacing w:after="0" w:line="261" w:lineRule="exact"/>
        <w:rPr>
          <w:rFonts w:ascii="Arial" w:cs="Arial" w:eastAsia="Arial" w:hAnsi="Arial"/>
          <w:sz w:val="18"/>
          <w:szCs w:val="18"/>
          <w:color w:val="auto"/>
        </w:rPr>
      </w:pPr>
    </w:p>
    <w:p>
      <w:pPr>
        <w:ind w:left="16" w:right="20" w:firstLine="646"/>
        <w:spacing w:after="0" w:line="369" w:lineRule="auto"/>
        <w:tabs>
          <w:tab w:leader="none" w:pos="1051"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The Executive agrees to resign from all committees, boards, associations and other organizations, both internal and external, to which the Executive currently belongs in </w:t>
      </w:r>
      <w:r>
        <w:rPr>
          <w:rFonts w:ascii="Arial" w:cs="Arial" w:eastAsia="Arial" w:hAnsi="Arial"/>
          <w:sz w:val="18"/>
          <w:szCs w:val="18"/>
          <w:b w:val="1"/>
          <w:bCs w:val="1"/>
          <w:color w:val="auto"/>
        </w:rPr>
        <w:t>[his/her]</w:t>
      </w:r>
      <w:r>
        <w:rPr>
          <w:rFonts w:ascii="Arial" w:cs="Arial" w:eastAsia="Arial" w:hAnsi="Arial"/>
          <w:sz w:val="18"/>
          <w:szCs w:val="18"/>
          <w:color w:val="auto"/>
        </w:rPr>
        <w:t xml:space="preserve"> capacity as a Company executive, except as mutually agreed with the Company. Following the Termination Date, the Executive will be free to join boards and affiliate with organizations provided that such affiliation will not violate any of the obligations set forth in Section 4 of this Agreement.</w:t>
      </w:r>
    </w:p>
    <w:p>
      <w:pPr>
        <w:spacing w:after="0" w:line="276" w:lineRule="exact"/>
        <w:rPr>
          <w:rFonts w:ascii="Arial" w:cs="Arial" w:eastAsia="Arial" w:hAnsi="Arial"/>
          <w:sz w:val="18"/>
          <w:szCs w:val="18"/>
          <w:color w:val="auto"/>
        </w:rPr>
      </w:pPr>
    </w:p>
    <w:p>
      <w:pPr>
        <w:ind w:left="16" w:right="20" w:firstLine="646"/>
        <w:spacing w:after="0" w:line="391" w:lineRule="auto"/>
        <w:tabs>
          <w:tab w:leader="none" w:pos="1096"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The Executive is encouraged, at </w:t>
      </w:r>
      <w:r>
        <w:rPr>
          <w:rFonts w:ascii="Arial" w:cs="Arial" w:eastAsia="Arial" w:hAnsi="Arial"/>
          <w:sz w:val="18"/>
          <w:szCs w:val="18"/>
          <w:b w:val="1"/>
          <w:bCs w:val="1"/>
          <w:color w:val="auto"/>
        </w:rPr>
        <w:t>[his/her]</w:t>
      </w:r>
      <w:r>
        <w:rPr>
          <w:rFonts w:ascii="Arial" w:cs="Arial" w:eastAsia="Arial" w:hAnsi="Arial"/>
          <w:sz w:val="18"/>
          <w:szCs w:val="18"/>
          <w:color w:val="auto"/>
        </w:rPr>
        <w:t xml:space="preserve"> own expense, to consult with an attorney before signing this Agreement and acknowledges that </w:t>
      </w:r>
      <w:r>
        <w:rPr>
          <w:rFonts w:ascii="Arial" w:cs="Arial" w:eastAsia="Arial" w:hAnsi="Arial"/>
          <w:sz w:val="18"/>
          <w:szCs w:val="18"/>
          <w:b w:val="1"/>
          <w:bCs w:val="1"/>
          <w:color w:val="auto"/>
        </w:rPr>
        <w:t>[he/she]</w:t>
      </w:r>
      <w:r>
        <w:rPr>
          <w:rFonts w:ascii="Arial" w:cs="Arial" w:eastAsia="Arial" w:hAnsi="Arial"/>
          <w:sz w:val="18"/>
          <w:szCs w:val="18"/>
          <w:color w:val="auto"/>
        </w:rPr>
        <w:t xml:space="preserve"> was offered sufficient time to consider it.</w:t>
      </w:r>
    </w:p>
    <w:p>
      <w:pPr>
        <w:spacing w:after="0" w:line="261" w:lineRule="exact"/>
        <w:rPr>
          <w:sz w:val="20"/>
          <w:szCs w:val="20"/>
          <w:color w:val="auto"/>
        </w:rPr>
      </w:pPr>
    </w:p>
    <w:p>
      <w:pPr>
        <w:ind w:left="-4" w:right="240" w:firstLine="4"/>
        <w:spacing w:after="0" w:line="369" w:lineRule="auto"/>
        <w:tabs>
          <w:tab w:leader="none" w:pos="3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Executive may revoke this Agreement within seven (7) days of the date of the Executive's signature. Revocation can be made by delivering a written notice of revocation to </w:t>
      </w:r>
      <w:r>
        <w:rPr>
          <w:rFonts w:ascii="Arial" w:cs="Arial" w:eastAsia="Arial" w:hAnsi="Arial"/>
          <w:sz w:val="18"/>
          <w:szCs w:val="18"/>
          <w:b w:val="1"/>
          <w:bCs w:val="1"/>
          <w:color w:val="auto"/>
        </w:rPr>
        <w:t>[ ____ ]</w:t>
      </w:r>
      <w:r>
        <w:rPr>
          <w:rFonts w:ascii="Arial" w:cs="Arial" w:eastAsia="Arial" w:hAnsi="Arial"/>
          <w:sz w:val="18"/>
          <w:szCs w:val="18"/>
          <w:color w:val="auto"/>
        </w:rPr>
        <w:t xml:space="preserve">, Senior Vice President, Human Resources and Organization, United Technologies Corp., One Financial Plaza, Hartford, CT 06101. For this revocation to be effective, </w:t>
      </w:r>
      <w:r>
        <w:rPr>
          <w:rFonts w:ascii="Arial" w:cs="Arial" w:eastAsia="Arial" w:hAnsi="Arial"/>
          <w:sz w:val="18"/>
          <w:szCs w:val="18"/>
          <w:b w:val="1"/>
          <w:bCs w:val="1"/>
          <w:color w:val="auto"/>
        </w:rPr>
        <w:t>[____]</w:t>
      </w:r>
      <w:r>
        <w:rPr>
          <w:rFonts w:ascii="Arial" w:cs="Arial" w:eastAsia="Arial" w:hAnsi="Arial"/>
          <w:sz w:val="18"/>
          <w:szCs w:val="18"/>
          <w:color w:val="auto"/>
        </w:rPr>
        <w:t xml:space="preserve"> must receive written notice no later than close of business on the seventh (7th) day</w:t>
      </w:r>
    </w:p>
    <w:p>
      <w:pPr>
        <w:sectPr>
          <w:pgSz w:w="11900" w:h="16838" w:orient="portrait"/>
          <w:cols w:equalWidth="0" w:num="1">
            <w:col w:w="10696"/>
          </w:cols>
          <w:pgMar w:left="964" w:top="665" w:right="239" w:bottom="1440" w:gutter="0" w:footer="0" w:header="0"/>
        </w:sectPr>
      </w:pPr>
    </w:p>
    <w:bookmarkStart w:id="92" w:name="page93"/>
    <w:bookmarkEnd w:id="92"/>
    <w:p>
      <w:pPr>
        <w:ind w:left="712" w:right="20"/>
        <w:spacing w:after="0" w:line="373" w:lineRule="auto"/>
        <w:rPr>
          <w:sz w:val="20"/>
          <w:szCs w:val="20"/>
          <w:color w:val="auto"/>
        </w:rPr>
      </w:pPr>
      <w:r>
        <w:rPr>
          <w:rFonts w:ascii="Arial" w:cs="Arial" w:eastAsia="Arial" w:hAnsi="Arial"/>
          <w:sz w:val="18"/>
          <w:szCs w:val="18"/>
          <w:color w:val="auto"/>
        </w:rPr>
        <w:t>after the Executive signs this Agreement. If the Executive revokes this Agreement, it shall not be effective or enforceable and the Executive will not receive the payment and/or benefits described herein and agrees to immediately repay to the Company the value of any benefits provided prior to revocation.</w:t>
      </w:r>
    </w:p>
    <w:p>
      <w:pPr>
        <w:spacing w:after="0" w:line="277" w:lineRule="exact"/>
        <w:rPr>
          <w:sz w:val="20"/>
          <w:szCs w:val="20"/>
          <w:color w:val="auto"/>
        </w:rPr>
      </w:pPr>
    </w:p>
    <w:p>
      <w:pPr>
        <w:ind w:left="652" w:hanging="652"/>
        <w:spacing w:after="0"/>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Executive makes the following representations to and agreements with the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92" w:right="80" w:firstLine="653"/>
        <w:spacing w:after="0" w:line="392" w:lineRule="auto"/>
        <w:tabs>
          <w:tab w:leader="none" w:pos="23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 xml:space="preserve">During a period beginning on the date hereof and extending for three years after the Termination Date, the Executive will not directly or indirectly, in any capacity or manner, make any statements of any kind (or cause, further, assist, solicit, encourage, support or participate in the foregoing), whether verbal, in writing, electronically transferred or otherwise, or disclose any items of information which are or may reasonably be construed to be derogatory, critical of, or adverse to the interests of the Company. The Executive agrees that </w:t>
      </w:r>
      <w:r>
        <w:rPr>
          <w:rFonts w:ascii="Arial" w:cs="Arial" w:eastAsia="Arial" w:hAnsi="Arial"/>
          <w:sz w:val="17"/>
          <w:szCs w:val="17"/>
          <w:b w:val="1"/>
          <w:bCs w:val="1"/>
          <w:color w:val="auto"/>
        </w:rPr>
        <w:t xml:space="preserve">[he/she] </w:t>
      </w:r>
      <w:r>
        <w:rPr>
          <w:rFonts w:ascii="Arial" w:cs="Arial" w:eastAsia="Arial" w:hAnsi="Arial"/>
          <w:sz w:val="17"/>
          <w:szCs w:val="17"/>
          <w:color w:val="auto"/>
        </w:rPr>
        <w:t>will not disparage the Company, its executives, directors or products.</w:t>
      </w:r>
    </w:p>
    <w:p>
      <w:pPr>
        <w:spacing w:after="0" w:line="263" w:lineRule="exact"/>
        <w:rPr>
          <w:rFonts w:ascii="Arial" w:cs="Arial" w:eastAsia="Arial" w:hAnsi="Arial"/>
          <w:sz w:val="17"/>
          <w:szCs w:val="17"/>
          <w:color w:val="auto"/>
        </w:rPr>
      </w:pPr>
    </w:p>
    <w:p>
      <w:pPr>
        <w:ind w:left="1292" w:firstLine="653"/>
        <w:spacing w:after="0" w:line="411" w:lineRule="auto"/>
        <w:tabs>
          <w:tab w:leader="none" w:pos="2327"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The Executive acknowledges that in the course of </w:t>
      </w:r>
      <w:r>
        <w:rPr>
          <w:rFonts w:ascii="Arial" w:cs="Arial" w:eastAsia="Arial" w:hAnsi="Arial"/>
          <w:sz w:val="16"/>
          <w:szCs w:val="16"/>
          <w:b w:val="1"/>
          <w:bCs w:val="1"/>
          <w:color w:val="auto"/>
        </w:rPr>
        <w:t>[his/her]</w:t>
      </w:r>
      <w:r>
        <w:rPr>
          <w:rFonts w:ascii="Arial" w:cs="Arial" w:eastAsia="Arial" w:hAnsi="Arial"/>
          <w:sz w:val="16"/>
          <w:szCs w:val="16"/>
          <w:color w:val="auto"/>
        </w:rPr>
        <w:t xml:space="preserve"> employment with the Company </w:t>
      </w:r>
      <w:r>
        <w:rPr>
          <w:rFonts w:ascii="Arial" w:cs="Arial" w:eastAsia="Arial" w:hAnsi="Arial"/>
          <w:sz w:val="16"/>
          <w:szCs w:val="16"/>
          <w:b w:val="1"/>
          <w:bCs w:val="1"/>
          <w:color w:val="auto"/>
        </w:rPr>
        <w:t>[he/she]</w:t>
      </w:r>
      <w:r>
        <w:rPr>
          <w:rFonts w:ascii="Arial" w:cs="Arial" w:eastAsia="Arial" w:hAnsi="Arial"/>
          <w:sz w:val="16"/>
          <w:szCs w:val="16"/>
          <w:color w:val="auto"/>
        </w:rPr>
        <w:t xml:space="preserve"> has acquired Company Information and that such Company Information has been disclosed to </w:t>
      </w:r>
      <w:r>
        <w:rPr>
          <w:rFonts w:ascii="Arial" w:cs="Arial" w:eastAsia="Arial" w:hAnsi="Arial"/>
          <w:sz w:val="16"/>
          <w:szCs w:val="16"/>
          <w:b w:val="1"/>
          <w:bCs w:val="1"/>
          <w:color w:val="auto"/>
        </w:rPr>
        <w:t>[him/her]</w:t>
      </w:r>
      <w:r>
        <w:rPr>
          <w:rFonts w:ascii="Arial" w:cs="Arial" w:eastAsia="Arial" w:hAnsi="Arial"/>
          <w:sz w:val="16"/>
          <w:szCs w:val="16"/>
          <w:color w:val="auto"/>
        </w:rPr>
        <w:t xml:space="preserve"> in confidence and for the Company's use only. The Executive agrees that, except as </w:t>
      </w:r>
      <w:r>
        <w:rPr>
          <w:rFonts w:ascii="Arial" w:cs="Arial" w:eastAsia="Arial" w:hAnsi="Arial"/>
          <w:sz w:val="16"/>
          <w:szCs w:val="16"/>
          <w:b w:val="1"/>
          <w:bCs w:val="1"/>
          <w:color w:val="auto"/>
        </w:rPr>
        <w:t>[he/she]</w:t>
      </w:r>
      <w:r>
        <w:rPr>
          <w:rFonts w:ascii="Arial" w:cs="Arial" w:eastAsia="Arial" w:hAnsi="Arial"/>
          <w:sz w:val="16"/>
          <w:szCs w:val="16"/>
          <w:color w:val="auto"/>
        </w:rPr>
        <w:t xml:space="preserve"> may otherwise be directed under this Agreement or as required by law, regulation or legal proceeding, </w:t>
      </w:r>
      <w:r>
        <w:rPr>
          <w:rFonts w:ascii="Arial" w:cs="Arial" w:eastAsia="Arial" w:hAnsi="Arial"/>
          <w:sz w:val="16"/>
          <w:szCs w:val="16"/>
          <w:b w:val="1"/>
          <w:bCs w:val="1"/>
          <w:color w:val="auto"/>
        </w:rPr>
        <w:t>[he/she]</w:t>
      </w:r>
      <w:r>
        <w:rPr>
          <w:rFonts w:ascii="Arial" w:cs="Arial" w:eastAsia="Arial" w:hAnsi="Arial"/>
          <w:sz w:val="16"/>
          <w:szCs w:val="16"/>
          <w:color w:val="auto"/>
        </w:rPr>
        <w:t xml:space="preserve"> (i) will keep such Company Information confidential at all times, (ii) will not disclose or communicate Company Information to any third party and (iii) will not make use of Company Information on his own behalf or on behalf of any third party. In the event that the Executive becomes legally compelled to disclose any Company Information, it is agreed that the Executive will provide the Company with prompt written notice of such request(s) so that the Company may seek a protective order or other appropriate legal remedy to which it may be entitled. The Executive acknowledges that any unauthorized disclosure to third parties of Company Information or other violation, or threatened violation, of this Agreement would cause irreparable damage to the trade secret, confidential or proprietary status of Company Information and to the Company. Therefore, in such event the Company shall be entitled to an injunction prohibiting the Executive from any such disclosure, attempted disclosure, violation or threatened violation. When Company Information becomes generally available to the public other than by the Executive's acts or omissions, it is no longer subject to the restrictions in this paragraph.</w:t>
      </w:r>
    </w:p>
    <w:p>
      <w:pPr>
        <w:spacing w:after="0" w:line="257" w:lineRule="exact"/>
        <w:rPr>
          <w:rFonts w:ascii="Arial" w:cs="Arial" w:eastAsia="Arial" w:hAnsi="Arial"/>
          <w:sz w:val="16"/>
          <w:szCs w:val="16"/>
          <w:color w:val="auto"/>
        </w:rPr>
      </w:pPr>
    </w:p>
    <w:p>
      <w:pPr>
        <w:ind w:left="1292" w:right="40" w:firstLine="653"/>
        <w:spacing w:after="0" w:line="405" w:lineRule="auto"/>
        <w:tabs>
          <w:tab w:leader="none" w:pos="2317"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To further ensure the protection of Company Information, the Executive agrees that for a period of three years </w:t>
      </w:r>
      <w:r>
        <w:rPr>
          <w:rFonts w:ascii="Arial" w:cs="Arial" w:eastAsia="Arial" w:hAnsi="Arial"/>
          <w:sz w:val="16"/>
          <w:szCs w:val="16"/>
          <w:b w:val="1"/>
          <w:bCs w:val="1"/>
          <w:color w:val="auto"/>
        </w:rPr>
        <w:t>[Alternative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clause: one year in the event of a Change in Control Termination] </w:t>
      </w:r>
      <w:r>
        <w:rPr>
          <w:rFonts w:ascii="Arial" w:cs="Arial" w:eastAsia="Arial" w:hAnsi="Arial"/>
          <w:sz w:val="16"/>
          <w:szCs w:val="16"/>
          <w:color w:val="auto"/>
        </w:rPr>
        <w:t>after</w:t>
      </w:r>
      <w:r>
        <w:rPr>
          <w:rFonts w:ascii="Arial" w:cs="Arial" w:eastAsia="Arial" w:hAnsi="Arial"/>
          <w:sz w:val="16"/>
          <w:szCs w:val="16"/>
          <w:b w:val="1"/>
          <w:bCs w:val="1"/>
          <w:color w:val="auto"/>
        </w:rPr>
        <w:t xml:space="preserve"> [his/her] </w:t>
      </w:r>
      <w:r>
        <w:rPr>
          <w:rFonts w:ascii="Arial" w:cs="Arial" w:eastAsia="Arial" w:hAnsi="Arial"/>
          <w:sz w:val="16"/>
          <w:szCs w:val="16"/>
          <w:color w:val="auto"/>
        </w:rPr>
        <w:t>Termination Date,</w:t>
      </w:r>
      <w:r>
        <w:rPr>
          <w:rFonts w:ascii="Arial" w:cs="Arial" w:eastAsia="Arial" w:hAnsi="Arial"/>
          <w:sz w:val="16"/>
          <w:szCs w:val="16"/>
          <w:b w:val="1"/>
          <w:bCs w:val="1"/>
          <w:color w:val="auto"/>
        </w:rPr>
        <w:t xml:space="preserve"> [he/she] </w:t>
      </w:r>
      <w:r>
        <w:rPr>
          <w:rFonts w:ascii="Arial" w:cs="Arial" w:eastAsia="Arial" w:hAnsi="Arial"/>
          <w:sz w:val="16"/>
          <w:szCs w:val="16"/>
          <w:color w:val="auto"/>
        </w:rPr>
        <w:t>will not accept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employment in any form (including entering into consulting relationships or similar arrangements) with a business which: (i) competes directly or indirectly with </w:t>
      </w:r>
      <w:r>
        <w:rPr>
          <w:rFonts w:ascii="Arial" w:cs="Arial" w:eastAsia="Arial" w:hAnsi="Arial"/>
          <w:sz w:val="16"/>
          <w:szCs w:val="16"/>
          <w:b w:val="1"/>
          <w:bCs w:val="1"/>
          <w:color w:val="auto"/>
        </w:rPr>
        <w:t>[any of the Company’s businesses (applies to corporate executives)] [the Executive’s business unit (includes</w:t>
      </w:r>
      <w:r>
        <w:rPr>
          <w:rFonts w:ascii="Arial" w:cs="Arial" w:eastAsia="Arial" w:hAnsi="Arial"/>
          <w:sz w:val="16"/>
          <w:szCs w:val="16"/>
          <w:color w:val="auto"/>
        </w:rPr>
        <w:t xml:space="preserve"> </w:t>
      </w:r>
      <w:r>
        <w:rPr>
          <w:rFonts w:ascii="Arial" w:cs="Arial" w:eastAsia="Arial" w:hAnsi="Arial"/>
          <w:sz w:val="16"/>
          <w:szCs w:val="16"/>
          <w:b w:val="1"/>
          <w:bCs w:val="1"/>
          <w:color w:val="auto"/>
        </w:rPr>
        <w:t>current and past business units)]</w:t>
      </w:r>
      <w:r>
        <w:rPr>
          <w:rFonts w:ascii="Arial" w:cs="Arial" w:eastAsia="Arial" w:hAnsi="Arial"/>
          <w:sz w:val="16"/>
          <w:szCs w:val="16"/>
          <w:color w:val="auto"/>
        </w:rPr>
        <w:t>; or (ii) is a material customer of or a material supplier to</w:t>
      </w:r>
      <w:r>
        <w:rPr>
          <w:rFonts w:ascii="Arial" w:cs="Arial" w:eastAsia="Arial" w:hAnsi="Arial"/>
          <w:sz w:val="16"/>
          <w:szCs w:val="16"/>
          <w:b w:val="1"/>
          <w:bCs w:val="1"/>
          <w:color w:val="auto"/>
        </w:rPr>
        <w:t xml:space="preserve"> [any of the Company’s businesses] [the Executive’s business unit], </w:t>
      </w:r>
      <w:r>
        <w:rPr>
          <w:rFonts w:ascii="Arial" w:cs="Arial" w:eastAsia="Arial" w:hAnsi="Arial"/>
          <w:sz w:val="16"/>
          <w:szCs w:val="16"/>
          <w:color w:val="auto"/>
        </w:rPr>
        <w:t>unless the Executive has obtained the written consent of the Senior Vice President, Human Resources &amp;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Organization or </w:t>
      </w:r>
      <w:r>
        <w:rPr>
          <w:rFonts w:ascii="Arial" w:cs="Arial" w:eastAsia="Arial" w:hAnsi="Arial"/>
          <w:sz w:val="16"/>
          <w:szCs w:val="16"/>
          <w:b w:val="1"/>
          <w:bCs w:val="1"/>
          <w:color w:val="auto"/>
        </w:rPr>
        <w:t>[his/her]</w:t>
      </w:r>
      <w:r>
        <w:rPr>
          <w:rFonts w:ascii="Arial" w:cs="Arial" w:eastAsia="Arial" w:hAnsi="Arial"/>
          <w:sz w:val="16"/>
          <w:szCs w:val="16"/>
          <w:color w:val="auto"/>
        </w:rPr>
        <w:t xml:space="preserve"> successor, which consent shall be granted or withheld in his sole discretion. The Executive acknowledges that the ELG RSU Retention Award vested and distributed pursuant to this Agreement constitutes compensation in satisfaction of this paragraph (4)</w:t>
      </w:r>
    </w:p>
    <w:p>
      <w:pPr>
        <w:spacing w:after="0" w:line="5" w:lineRule="exact"/>
        <w:rPr>
          <w:rFonts w:ascii="Arial" w:cs="Arial" w:eastAsia="Arial" w:hAnsi="Arial"/>
          <w:sz w:val="16"/>
          <w:szCs w:val="16"/>
          <w:color w:val="auto"/>
        </w:rPr>
      </w:pPr>
    </w:p>
    <w:p>
      <w:pPr>
        <w:ind w:left="1292"/>
        <w:spacing w:after="0"/>
        <w:rPr>
          <w:rFonts w:ascii="Arial" w:cs="Arial" w:eastAsia="Arial" w:hAnsi="Arial"/>
          <w:sz w:val="16"/>
          <w:szCs w:val="16"/>
          <w:color w:val="auto"/>
        </w:rPr>
      </w:pPr>
      <w:r>
        <w:rPr>
          <w:rFonts w:ascii="Arial" w:cs="Arial" w:eastAsia="Arial" w:hAnsi="Arial"/>
          <w:sz w:val="18"/>
          <w:szCs w:val="18"/>
          <w:color w:val="auto"/>
        </w:rPr>
        <w:t>(d). The parties agree that the terms of this paragraph are reasonable. However, if any</w:t>
      </w:r>
    </w:p>
    <w:p>
      <w:pPr>
        <w:sectPr>
          <w:pgSz w:w="11900" w:h="16838" w:orient="portrait"/>
          <w:cols w:equalWidth="0" w:num="1">
            <w:col w:w="11412"/>
          </w:cols>
          <w:pgMar w:left="248" w:top="638" w:right="239" w:bottom="1440" w:gutter="0" w:footer="0" w:header="0"/>
        </w:sectPr>
      </w:pPr>
    </w:p>
    <w:bookmarkStart w:id="93" w:name="page94"/>
    <w:bookmarkEnd w:id="93"/>
    <w:p>
      <w:pPr>
        <w:ind w:left="1292" w:right="160"/>
        <w:spacing w:after="0" w:line="424" w:lineRule="auto"/>
        <w:rPr>
          <w:sz w:val="20"/>
          <w:szCs w:val="20"/>
          <w:color w:val="auto"/>
        </w:rPr>
      </w:pPr>
      <w:r>
        <w:rPr>
          <w:rFonts w:ascii="Arial" w:cs="Arial" w:eastAsia="Arial" w:hAnsi="Arial"/>
          <w:sz w:val="17"/>
          <w:szCs w:val="17"/>
          <w:color w:val="auto"/>
        </w:rPr>
        <w:t>portion of this paragraph is held by competent authority to be unenforceable, this paragraph shall be deemed amended to limit its scope to the broadest scope that such authority determines is enforceable, and as so amended shall continue in effect.</w:t>
      </w:r>
    </w:p>
    <w:p>
      <w:pPr>
        <w:spacing w:after="0" w:line="237" w:lineRule="exact"/>
        <w:rPr>
          <w:sz w:val="20"/>
          <w:szCs w:val="20"/>
          <w:color w:val="auto"/>
        </w:rPr>
      </w:pPr>
    </w:p>
    <w:p>
      <w:pPr>
        <w:ind w:left="1292" w:right="40" w:firstLine="653"/>
        <w:spacing w:after="0" w:line="390" w:lineRule="auto"/>
        <w:tabs>
          <w:tab w:leader="none" w:pos="2330" w:val="left"/>
        </w:tabs>
        <w:numPr>
          <w:ilvl w:val="1"/>
          <w:numId w:val="49"/>
        </w:numPr>
        <w:rPr>
          <w:rFonts w:ascii="Arial" w:cs="Arial" w:eastAsia="Arial" w:hAnsi="Arial"/>
          <w:sz w:val="17"/>
          <w:szCs w:val="17"/>
          <w:color w:val="auto"/>
        </w:rPr>
      </w:pPr>
      <w:r>
        <w:rPr>
          <w:rFonts w:ascii="Arial" w:cs="Arial" w:eastAsia="Arial" w:hAnsi="Arial"/>
          <w:sz w:val="17"/>
          <w:szCs w:val="17"/>
          <w:color w:val="auto"/>
        </w:rPr>
        <w:t>For a period of two years following the Termination Date, [</w:t>
      </w:r>
      <w:r>
        <w:rPr>
          <w:rFonts w:ascii="Arial" w:cs="Arial" w:eastAsia="Arial" w:hAnsi="Arial"/>
          <w:sz w:val="17"/>
          <w:szCs w:val="17"/>
          <w:b w:val="1"/>
          <w:bCs w:val="1"/>
          <w:color w:val="auto"/>
        </w:rPr>
        <w:t>Alternative clause: one year following a Change in Control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Termination] </w:t>
      </w:r>
      <w:r>
        <w:rPr>
          <w:rFonts w:ascii="Arial" w:cs="Arial" w:eastAsia="Arial" w:hAnsi="Arial"/>
          <w:sz w:val="17"/>
          <w:szCs w:val="17"/>
          <w:color w:val="auto"/>
        </w:rPr>
        <w:t>the Executive will not initiate, cause or allow to be initiated (under those conditions which</w:t>
      </w:r>
      <w:r>
        <w:rPr>
          <w:rFonts w:ascii="Arial" w:cs="Arial" w:eastAsia="Arial" w:hAnsi="Arial"/>
          <w:sz w:val="17"/>
          <w:szCs w:val="17"/>
          <w:b w:val="1"/>
          <w:bCs w:val="1"/>
          <w:color w:val="auto"/>
        </w:rPr>
        <w:t xml:space="preserve"> [he/she] </w:t>
      </w:r>
      <w:r>
        <w:rPr>
          <w:rFonts w:ascii="Arial" w:cs="Arial" w:eastAsia="Arial" w:hAnsi="Arial"/>
          <w:sz w:val="17"/>
          <w:szCs w:val="17"/>
          <w:color w:val="auto"/>
        </w:rPr>
        <w:t>controls) any action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would reasonably be expected to encourage or to induce any employee of the Company or any of its affiliated entities to leave the employ of the Company or its affiliated entities. In this regard, the Executive agrees that </w:t>
      </w:r>
      <w:r>
        <w:rPr>
          <w:rFonts w:ascii="Arial" w:cs="Arial" w:eastAsia="Arial" w:hAnsi="Arial"/>
          <w:sz w:val="17"/>
          <w:szCs w:val="17"/>
          <w:b w:val="1"/>
          <w:bCs w:val="1"/>
          <w:color w:val="auto"/>
        </w:rPr>
        <w:t>[he/she]</w:t>
      </w:r>
      <w:r>
        <w:rPr>
          <w:rFonts w:ascii="Arial" w:cs="Arial" w:eastAsia="Arial" w:hAnsi="Arial"/>
          <w:sz w:val="17"/>
          <w:szCs w:val="17"/>
          <w:color w:val="auto"/>
        </w:rPr>
        <w:t xml:space="preserve"> will not directly or indirectly recruit any Company executive or other employee or provide any information or make referrals to personnel recruitment agencies or other third parties in connection with Company executives and other employees.</w:t>
      </w:r>
    </w:p>
    <w:p>
      <w:pPr>
        <w:spacing w:after="0" w:line="268" w:lineRule="exact"/>
        <w:rPr>
          <w:rFonts w:ascii="Arial" w:cs="Arial" w:eastAsia="Arial" w:hAnsi="Arial"/>
          <w:sz w:val="17"/>
          <w:szCs w:val="17"/>
          <w:color w:val="auto"/>
        </w:rPr>
      </w:pPr>
    </w:p>
    <w:p>
      <w:pPr>
        <w:ind w:left="1292" w:right="80" w:firstLine="653"/>
        <w:spacing w:after="0" w:line="391" w:lineRule="auto"/>
        <w:tabs>
          <w:tab w:leader="none" w:pos="2317"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The Executive acknowledges that the Intellectual Property Agreement between </w:t>
      </w:r>
      <w:r>
        <w:rPr>
          <w:rFonts w:ascii="Arial" w:cs="Arial" w:eastAsia="Arial" w:hAnsi="Arial"/>
          <w:sz w:val="18"/>
          <w:szCs w:val="18"/>
          <w:b w:val="1"/>
          <w:bCs w:val="1"/>
          <w:color w:val="auto"/>
        </w:rPr>
        <w:t>[him/her]</w:t>
      </w:r>
      <w:r>
        <w:rPr>
          <w:rFonts w:ascii="Arial" w:cs="Arial" w:eastAsia="Arial" w:hAnsi="Arial"/>
          <w:sz w:val="18"/>
          <w:szCs w:val="18"/>
          <w:color w:val="auto"/>
        </w:rPr>
        <w:t xml:space="preserve"> and the Company will continue in full force and effect following the Termination Date.</w:t>
      </w:r>
    </w:p>
    <w:p>
      <w:pPr>
        <w:spacing w:after="0" w:line="261" w:lineRule="exact"/>
        <w:rPr>
          <w:rFonts w:ascii="Arial" w:cs="Arial" w:eastAsia="Arial" w:hAnsi="Arial"/>
          <w:sz w:val="18"/>
          <w:szCs w:val="18"/>
          <w:color w:val="auto"/>
        </w:rPr>
      </w:pPr>
    </w:p>
    <w:p>
      <w:pPr>
        <w:ind w:left="652" w:right="460" w:hanging="652"/>
        <w:spacing w:after="0" w:line="465" w:lineRule="auto"/>
        <w:tabs>
          <w:tab w:leader="none" w:pos="6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represents to the Executive that it is fully authorized and empowered to enter into this Agreement, and that it will safeguard this Agreement and its terms from public disclosure with the same degree of care with which the Company protects its proprietary information.</w:t>
      </w:r>
    </w:p>
    <w:p>
      <w:pPr>
        <w:spacing w:after="0" w:line="218" w:lineRule="exact"/>
        <w:rPr>
          <w:rFonts w:ascii="Arial" w:cs="Arial" w:eastAsia="Arial" w:hAnsi="Arial"/>
          <w:sz w:val="16"/>
          <w:szCs w:val="16"/>
          <w:color w:val="auto"/>
        </w:rPr>
      </w:pPr>
    </w:p>
    <w:p>
      <w:pPr>
        <w:ind w:left="652" w:right="200" w:hanging="652"/>
        <w:spacing w:after="0" w:line="387"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obligations of the parties hereto are severable and divisible. In the event any provision hereunder is determined to be illegal or unenforceable, the remainder of this Agreement shall continue in full force and effect.</w:t>
      </w:r>
    </w:p>
    <w:p>
      <w:pPr>
        <w:spacing w:after="0" w:line="264" w:lineRule="exact"/>
        <w:rPr>
          <w:rFonts w:ascii="Arial" w:cs="Arial" w:eastAsia="Arial" w:hAnsi="Arial"/>
          <w:sz w:val="18"/>
          <w:szCs w:val="18"/>
          <w:color w:val="auto"/>
        </w:rPr>
      </w:pPr>
    </w:p>
    <w:p>
      <w:pPr>
        <w:jc w:val="both"/>
        <w:ind w:left="652" w:right="300" w:hanging="652"/>
        <w:spacing w:after="0" w:line="373"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addition to any other rights the Company may have, should the Executive breach any of the terms of this Agreement, the ELG RSU Retention Award will be forfeited and subject to recoupment by the Company. Such action by the Company will not be taken capriciously and will have no effect on the Release and Waiver contained in this Agreement.</w:t>
      </w:r>
    </w:p>
    <w:p>
      <w:pPr>
        <w:spacing w:after="0" w:line="277" w:lineRule="exact"/>
        <w:rPr>
          <w:rFonts w:ascii="Arial" w:cs="Arial" w:eastAsia="Arial" w:hAnsi="Arial"/>
          <w:sz w:val="18"/>
          <w:szCs w:val="18"/>
          <w:color w:val="auto"/>
        </w:rPr>
      </w:pPr>
    </w:p>
    <w:p>
      <w:pPr>
        <w:ind w:left="652" w:right="100" w:hanging="652"/>
        <w:spacing w:after="0" w:line="389" w:lineRule="auto"/>
        <w:tabs>
          <w:tab w:leader="none" w:pos="652"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dispute arising between the Company and the Executive with respect to the validity, performance or interpretation of this Agreement shall be submitted to and determined in binding arbitration in Hartford, Connecticut, for resolution in accordance with the rules of the American Arbitration Association, modified to provide that the decision by the arbitrator shall be binding on the parties; shall be furnished in writing, separately and specifically stating the findings of fact and conclusions of law on which the decision is based; shall be kept confidential by the arbitrator and the parties; and shall be rendered within 60 days following impanelment of the arbitrator. Costs of the arbitration shall be borne by the party that does not prevail. The arbitrator shall be selected in accordance with the rules of the American Arbitration Association.</w:t>
      </w:r>
    </w:p>
    <w:p>
      <w:pPr>
        <w:spacing w:after="0" w:line="273" w:lineRule="exact"/>
        <w:rPr>
          <w:rFonts w:ascii="Arial" w:cs="Arial" w:eastAsia="Arial" w:hAnsi="Arial"/>
          <w:sz w:val="17"/>
          <w:szCs w:val="17"/>
          <w:color w:val="auto"/>
        </w:rPr>
      </w:pPr>
    </w:p>
    <w:p>
      <w:pPr>
        <w:ind w:left="652" w:hanging="652"/>
        <w:spacing w:after="0"/>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Agreement shall be subject to and governed by the laws of the State of Connecticut.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52" w:hanging="652"/>
        <w:spacing w:after="0" w:line="373"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and supersedes all previous communications between the parties with respect to the subject matter of this Agreement. No amendment to this Agreement shall be binding upon either party unless in writing and signed by or on behalf of such party.</w:t>
      </w:r>
    </w:p>
    <w:p>
      <w:pPr>
        <w:sectPr>
          <w:pgSz w:w="11900" w:h="16838" w:orient="portrait"/>
          <w:cols w:equalWidth="0" w:num="1">
            <w:col w:w="11372"/>
          </w:cols>
          <w:pgMar w:left="248" w:top="638" w:right="279" w:bottom="1440" w:gutter="0" w:footer="0" w:header="0"/>
        </w:sectPr>
      </w:pPr>
    </w:p>
    <w:bookmarkStart w:id="94" w:name="page95"/>
    <w:bookmarkEnd w:id="94"/>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notice under this agreement shall be in writing and addressed to the Executive as follows: _______________</w:t>
      </w:r>
    </w:p>
    <w:p>
      <w:pPr>
        <w:spacing w:after="0" w:line="200" w:lineRule="exact"/>
        <w:rPr>
          <w:sz w:val="20"/>
          <w:szCs w:val="20"/>
          <w:color w:val="auto"/>
        </w:rPr>
      </w:pP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addressed to the Company as follows:</w:t>
      </w:r>
    </w:p>
    <w:p>
      <w:pPr>
        <w:spacing w:after="0" w:line="36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United Technologies Corporation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Financial Plaza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Hartford, CT 06101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Senior Vice President,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Human Resources and Organization.</w:t>
      </w: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Either party may change its address for notices by giving the other party notice of the change.</w:t>
      </w:r>
    </w:p>
    <w:p>
      <w:pPr>
        <w:spacing w:after="0" w:line="200" w:lineRule="exact"/>
        <w:rPr>
          <w:sz w:val="20"/>
          <w:szCs w:val="20"/>
          <w:color w:val="auto"/>
        </w:rPr>
      </w:pPr>
    </w:p>
    <w:p>
      <w:pPr>
        <w:spacing w:after="0" w:line="214" w:lineRule="exact"/>
        <w:rPr>
          <w:sz w:val="20"/>
          <w:szCs w:val="20"/>
          <w:color w:val="auto"/>
        </w:rPr>
      </w:pPr>
    </w:p>
    <w:p>
      <w:pPr>
        <w:ind w:left="660" w:hanging="584"/>
        <w:spacing w:after="0" w:line="424"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Company reserves the right to withhold applicable taxes from any amounts paid pursuant to this Agreement to the extent required by law. The Executive, or </w:t>
      </w:r>
      <w:r>
        <w:rPr>
          <w:rFonts w:ascii="Arial" w:cs="Arial" w:eastAsia="Arial" w:hAnsi="Arial"/>
          <w:sz w:val="17"/>
          <w:szCs w:val="17"/>
          <w:b w:val="1"/>
          <w:bCs w:val="1"/>
          <w:color w:val="auto"/>
        </w:rPr>
        <w:t>[his/her]</w:t>
      </w:r>
      <w:r>
        <w:rPr>
          <w:rFonts w:ascii="Arial" w:cs="Arial" w:eastAsia="Arial" w:hAnsi="Arial"/>
          <w:sz w:val="17"/>
          <w:szCs w:val="17"/>
          <w:color w:val="auto"/>
        </w:rPr>
        <w:t xml:space="preserve"> estate, shall be responsible for any and all tax liability imposed on amounts paid hereunder.</w:t>
      </w:r>
    </w:p>
    <w:p>
      <w:pPr>
        <w:spacing w:after="0" w:line="241" w:lineRule="exact"/>
        <w:rPr>
          <w:rFonts w:ascii="Arial" w:cs="Arial" w:eastAsia="Arial" w:hAnsi="Arial"/>
          <w:sz w:val="17"/>
          <w:szCs w:val="17"/>
          <w:color w:val="auto"/>
        </w:rPr>
      </w:pPr>
    </w:p>
    <w:p>
      <w:pPr>
        <w:ind w:left="660" w:hanging="584"/>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Capitalized terms in this Agreement are defined in the Schedule of Terms applicable to this ELG RSU Retention Award.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60" w:right="120" w:hanging="584"/>
        <w:spacing w:after="0" w:line="38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and to the extent any payment or benefit provided herein is determined to be deferred compensation within the meaning of Section 409A, such payment or benefit will provided in a manner that complies with Section 409A.</w:t>
      </w:r>
    </w:p>
    <w:p>
      <w:pPr>
        <w:spacing w:after="0" w:line="165" w:lineRule="exact"/>
        <w:rPr>
          <w:rFonts w:ascii="Arial" w:cs="Arial" w:eastAsia="Arial" w:hAnsi="Arial"/>
          <w:sz w:val="18"/>
          <w:szCs w:val="18"/>
          <w:color w:val="auto"/>
        </w:rPr>
      </w:pPr>
    </w:p>
    <w:p>
      <w:pPr>
        <w:ind w:left="660" w:right="160" w:hanging="584"/>
        <w:spacing w:after="0" w:line="391"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Executive states that </w:t>
      </w:r>
      <w:r>
        <w:rPr>
          <w:rFonts w:ascii="Arial" w:cs="Arial" w:eastAsia="Arial" w:hAnsi="Arial"/>
          <w:sz w:val="18"/>
          <w:szCs w:val="18"/>
          <w:b w:val="1"/>
          <w:bCs w:val="1"/>
          <w:color w:val="auto"/>
        </w:rPr>
        <w:t>[he/she]</w:t>
      </w:r>
      <w:r>
        <w:rPr>
          <w:rFonts w:ascii="Arial" w:cs="Arial" w:eastAsia="Arial" w:hAnsi="Arial"/>
          <w:sz w:val="18"/>
          <w:szCs w:val="18"/>
          <w:color w:val="auto"/>
        </w:rPr>
        <w:t xml:space="preserve"> has read this Agreement, including the Release and Waiver contained herein, fully understands its content and effect, and without duress or coercion, knowingly and voluntarily assents to its terms.</w:t>
      </w:r>
    </w:p>
    <w:p>
      <w:pPr>
        <w:spacing w:after="0" w:line="26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IN WITNESS WHEREOF, the parties hereto have executed or caused to be executed this Agreement on the day and year first above written.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CORPORATION</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760" w:type="dxa"/>
            <w:vAlign w:val="bottom"/>
            <w:tcBorders>
              <w:bottom w:val="single" w:sz="8" w:color="auto"/>
            </w:tcBorders>
          </w:tcPr>
          <w:p>
            <w:pPr>
              <w:spacing w:after="0"/>
              <w:rPr>
                <w:sz w:val="18"/>
                <w:szCs w:val="18"/>
                <w:color w:val="auto"/>
              </w:rPr>
            </w:pPr>
          </w:p>
        </w:tc>
        <w:tc>
          <w:tcPr>
            <w:tcW w:w="880" w:type="dxa"/>
            <w:vAlign w:val="bottom"/>
          </w:tcPr>
          <w:p>
            <w:pPr>
              <w:ind w:left="400"/>
              <w:spacing w:after="0"/>
              <w:rPr>
                <w:sz w:val="20"/>
                <w:szCs w:val="20"/>
                <w:color w:val="auto"/>
              </w:rPr>
            </w:pPr>
            <w:r>
              <w:rPr>
                <w:rFonts w:ascii="Arial" w:cs="Arial" w:eastAsia="Arial" w:hAnsi="Arial"/>
                <w:sz w:val="18"/>
                <w:szCs w:val="18"/>
                <w:color w:val="auto"/>
              </w:rPr>
              <w:t>By:</w:t>
            </w:r>
          </w:p>
        </w:tc>
        <w:tc>
          <w:tcPr>
            <w:tcW w:w="7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r>
      <w:tr>
        <w:trPr>
          <w:trHeight w:val="237"/>
        </w:trPr>
        <w:tc>
          <w:tcPr>
            <w:tcW w:w="1260" w:type="dxa"/>
            <w:vAlign w:val="bottom"/>
            <w:gridSpan w:val="2"/>
          </w:tcPr>
          <w:p>
            <w:pPr>
              <w:spacing w:after="0"/>
              <w:rPr>
                <w:sz w:val="20"/>
                <w:szCs w:val="20"/>
                <w:color w:val="auto"/>
              </w:rPr>
            </w:pPr>
            <w:r>
              <w:rPr>
                <w:rFonts w:ascii="Arial" w:cs="Arial" w:eastAsia="Arial" w:hAnsi="Arial"/>
                <w:sz w:val="18"/>
                <w:szCs w:val="18"/>
                <w:color w:val="auto"/>
              </w:rPr>
              <w:t>[Name]</w:t>
            </w:r>
          </w:p>
        </w:tc>
        <w:tc>
          <w:tcPr>
            <w:tcW w:w="2060" w:type="dxa"/>
            <w:vAlign w:val="bottom"/>
            <w:gridSpan w:val="3"/>
          </w:tcPr>
          <w:p>
            <w:pPr>
              <w:ind w:left="560"/>
              <w:spacing w:after="0"/>
              <w:rPr>
                <w:sz w:val="20"/>
                <w:szCs w:val="20"/>
                <w:color w:val="auto"/>
              </w:rPr>
            </w:pPr>
            <w:r>
              <w:rPr>
                <w:rFonts w:ascii="Arial" w:cs="Arial" w:eastAsia="Arial" w:hAnsi="Arial"/>
                <w:sz w:val="18"/>
                <w:szCs w:val="18"/>
                <w:color w:val="auto"/>
                <w:w w:val="91"/>
              </w:rPr>
              <w:t>[Name of Executive]</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Vice President, Human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Resources and Organization</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-10160</wp:posOffset>
            </wp:positionV>
            <wp:extent cx="4572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-10160</wp:posOffset>
            </wp:positionV>
            <wp:extent cx="3429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1220"/>
          </w:cols>
          <w:pgMar w:left="240" w:top="949" w:right="4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10.12, Section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Incentive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Leadership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Retention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Schedule of Terms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United Technologies Corporation (the “Corporation”) hereby awards to the executive designated in the Statement of Award (the “Recipient”), who has accepted membership in the Corporation’s Executive Leadership Group (the “ELG”), Restricted Share Units (an “Award”) pursuant to the United Technologies Corporation 2005 Long Term Incentive Plan (the “LTIP”). This Award is subject to this Schedule of Terms and the terms and provisions of the LTIP.</w:t>
      </w:r>
    </w:p>
    <w:p>
      <w:pPr>
        <w:sectPr>
          <w:pgSz w:w="11900" w:h="16838" w:orient="portrait"/>
          <w:cols w:equalWidth="0" w:num="1">
            <w:col w:w="11420"/>
          </w:cols>
          <w:pgMar w:left="240" w:top="580"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Restricted Stock Unit</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Restricted Share Unit (an “RSU”) is equal in value to one share of Common Stock of the Corporation (“Common Stock”). RSUs are convertible into shares of Common Stock if the Recipient remains a member of the ELG and retires from the Corporation on or after age 62 with at least three years of ELG service (see “Vesting” below). The number of RSUs is set forth in the Statement of Award. The Recipient must acknowledge and accept the terms and conditions of the RSU Award by signing and returning the appropriate portion of the Statement of Award to the Stock Plan Administrator.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9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RSUs vest upon retirement from the Corporation on or after age 62 with completion of at least three years of service as a member of the ELG (the “Vesting Date”). All RSU’s will be forfeited in the event of termination from employment before age 62 for any reason, including death, total and permanent disability and retirement before age 62. All RSU’s will also be forfeited if the Recipient’s membership in the ELG ceases for any reason.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shareowner rights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 RSU is the right to receive a share of Common Stock in the future, subject to continued employment and membership in the ELG. The holder of an RSU has no voting, dividend or other rights accorded to owners of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RSUs to Shares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RSUs will be converted into shares of Common Stock, effective as of the Vesting Date. The converted shares will be unrestricted and freely transferable.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Equivalents</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Although the Recipient will not receive dividend payments in respect of RSUs, each RSU will be credited with an amount equal to the dividend paid on a share of Common Stock, resulting in additional RSUs credited to the Recipient equal in value to the number of RSUs held multiplied by the dividend paid on a share of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the Corporation effects a subdivision or consolidation of shares of Common Stock or other capital adjustment, the number of RSUs (and the number of shares of Common Stock that will be issued upon conversion) shall be adjusted in the same manner and to the same extent as all other shares of Common Stock of the Corporation. In the event of material changes in the capital structure of the Corporation resulting from: the payment of a special dividend (other than regular quarterly dividends) or other distributions to shareowners without receiving consideration therefore; the spin-off of a subsidiary; the sale of a substantial portion of the Corporation’s assets; a merger or consolidation in which the Corporation is not the surviving entity; or other extraordinary non-recurring events affecting the Corporation’s capital structure and the value of Common Stock, equitable adjustments shall be made in the terms of outstanding Awards, including the number of RSUs and underlying shares of Common Stock as the Committee on Compensation and Executive Development of the Corporation’s Board of Directors (the “Committee”) , in its sole discretion, determines are necessary or appropriate to prevent the dilution or enlargement of the rights of Award Recipients.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ELG Covenants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Acceptance of the ELG RSU Award constitutes agreement and acceptance by the Recipient of the following ELG covenants:</w:t>
      </w:r>
    </w:p>
    <w:p>
      <w:pPr>
        <w:spacing w:after="0" w:line="90" w:lineRule="exact"/>
        <w:rPr>
          <w:sz w:val="20"/>
          <w:szCs w:val="20"/>
          <w:color w:val="auto"/>
        </w:rPr>
      </w:pPr>
    </w:p>
    <w:p>
      <w:pPr>
        <w:ind w:left="740" w:hanging="327"/>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Pre-Vesting Covenants</w:t>
      </w:r>
    </w:p>
    <w:p>
      <w:pPr>
        <w:spacing w:after="0" w:line="90" w:lineRule="exact"/>
        <w:rPr>
          <w:rFonts w:ascii="Arial" w:cs="Arial" w:eastAsia="Arial" w:hAnsi="Arial"/>
          <w:sz w:val="18"/>
          <w:szCs w:val="18"/>
          <w:color w:val="auto"/>
        </w:rPr>
      </w:pPr>
    </w:p>
    <w:p>
      <w:pPr>
        <w:ind w:left="880" w:right="60" w:hanging="8"/>
        <w:spacing w:after="0" w:line="257" w:lineRule="auto"/>
        <w:tabs>
          <w:tab w:leader="none" w:pos="112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During the period of the Recipient’s employment, and for a period of two years following termination of employment, the Recipient will not disclose “Company Information”. “Company Information” as used in this Agreement means (i) confidential or proprietary information including without limitation information received from third parties under confidential or proprietary conditions; (ii) information subject to the Corporation’s attorney-client or work-product privilege; and (iii) other technical, business or financial information, the use or disclosure of which might reasonably be construed to be contrary to the Corporation’s interests.</w:t>
      </w:r>
    </w:p>
    <w:p>
      <w:pPr>
        <w:spacing w:after="0" w:line="53" w:lineRule="exact"/>
        <w:rPr>
          <w:rFonts w:ascii="Arial" w:cs="Arial" w:eastAsia="Arial" w:hAnsi="Arial"/>
          <w:sz w:val="18"/>
          <w:szCs w:val="18"/>
          <w:color w:val="auto"/>
        </w:rPr>
      </w:pPr>
    </w:p>
    <w:p>
      <w:pPr>
        <w:ind w:left="880" w:right="140" w:hanging="8"/>
        <w:spacing w:after="0" w:line="302" w:lineRule="auto"/>
        <w:tabs>
          <w:tab w:leader="none" w:pos="1135" w:val="left"/>
        </w:tabs>
        <w:numPr>
          <w:ilvl w:val="1"/>
          <w:numId w:val="53"/>
        </w:numPr>
        <w:rPr>
          <w:rFonts w:ascii="Arial" w:cs="Arial" w:eastAsia="Arial" w:hAnsi="Arial"/>
          <w:sz w:val="16"/>
          <w:szCs w:val="16"/>
          <w:color w:val="auto"/>
        </w:rPr>
      </w:pPr>
      <w:r>
        <w:rPr>
          <w:rFonts w:ascii="Arial" w:cs="Arial" w:eastAsia="Arial" w:hAnsi="Arial"/>
          <w:sz w:val="16"/>
          <w:szCs w:val="16"/>
          <w:color w:val="auto"/>
        </w:rPr>
        <w:t>During the Period of the Recipient’s employment, and for a period of two years following termination of employment, the Recipient will not initiate, cause or allow to be initiated (under those conditions which he or she controls) any action which would reasonably be expected to encourage or to induce any employee of the Corporation or any of its affiliated entities to leave the employ of the Corporation or its affiliated entities. In this regard, the Recipient agrees that he or she will not directly or indirectly recruit any executive or other employee of</w:t>
      </w:r>
    </w:p>
    <w:p>
      <w:pPr>
        <w:sectPr>
          <w:pgSz w:w="11900" w:h="16838" w:orient="portrait"/>
          <w:cols w:equalWidth="0" w:num="1">
            <w:col w:w="11400"/>
          </w:cols>
          <w:pgMar w:left="240" w:top="580" w:right="259" w:bottom="1440" w:gutter="0" w:footer="0" w:header="0"/>
        </w:sectPr>
      </w:pPr>
    </w:p>
    <w:bookmarkStart w:id="97" w:name="page98"/>
    <w:bookmarkEnd w:id="97"/>
    <w:p>
      <w:pPr>
        <w:ind w:left="880" w:right="740"/>
        <w:spacing w:after="0" w:line="277" w:lineRule="auto"/>
        <w:rPr>
          <w:sz w:val="20"/>
          <w:szCs w:val="20"/>
          <w:color w:val="auto"/>
        </w:rPr>
      </w:pPr>
      <w:r>
        <w:rPr>
          <w:rFonts w:ascii="Arial" w:cs="Arial" w:eastAsia="Arial" w:hAnsi="Arial"/>
          <w:sz w:val="18"/>
          <w:szCs w:val="18"/>
          <w:color w:val="auto"/>
        </w:rPr>
        <w:t>the Corporation or provide any information or make referrals to personnel recruitment agencies or other third parties in connection with executives of the Corporation and other employees.</w:t>
      </w:r>
    </w:p>
    <w:p>
      <w:pPr>
        <w:spacing w:after="0" w:line="143" w:lineRule="exact"/>
        <w:rPr>
          <w:sz w:val="20"/>
          <w:szCs w:val="20"/>
          <w:color w:val="auto"/>
        </w:rPr>
      </w:pPr>
    </w:p>
    <w:p>
      <w:pPr>
        <w:ind w:left="740" w:hanging="327"/>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Post-Vesting Covenants</w:t>
      </w:r>
    </w:p>
    <w:p>
      <w:pPr>
        <w:spacing w:after="0" w:line="90" w:lineRule="exact"/>
        <w:rPr>
          <w:rFonts w:ascii="Arial" w:cs="Arial" w:eastAsia="Arial" w:hAnsi="Arial"/>
          <w:sz w:val="18"/>
          <w:szCs w:val="18"/>
          <w:color w:val="auto"/>
        </w:rPr>
      </w:pPr>
    </w:p>
    <w:p>
      <w:pPr>
        <w:ind w:left="1120" w:hanging="248"/>
        <w:spacing w:after="0"/>
        <w:tabs>
          <w:tab w:leader="none" w:pos="1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pre-Vesting Date covenants described in (a) and (b) above will remain in effect for three years following the Vesting Date.</w:t>
      </w:r>
    </w:p>
    <w:p>
      <w:pPr>
        <w:spacing w:after="0" w:line="90" w:lineRule="exact"/>
        <w:rPr>
          <w:rFonts w:ascii="Arial" w:cs="Arial" w:eastAsia="Arial" w:hAnsi="Arial"/>
          <w:sz w:val="18"/>
          <w:szCs w:val="18"/>
          <w:color w:val="auto"/>
        </w:rPr>
      </w:pPr>
    </w:p>
    <w:p>
      <w:pPr>
        <w:ind w:left="880" w:right="40" w:hanging="8"/>
        <w:spacing w:after="0" w:line="291" w:lineRule="auto"/>
        <w:tabs>
          <w:tab w:leader="none" w:pos="1135" w:val="left"/>
        </w:tabs>
        <w:numPr>
          <w:ilvl w:val="1"/>
          <w:numId w:val="54"/>
        </w:numPr>
        <w:rPr>
          <w:rFonts w:ascii="Arial" w:cs="Arial" w:eastAsia="Arial" w:hAnsi="Arial"/>
          <w:sz w:val="16"/>
          <w:szCs w:val="16"/>
          <w:color w:val="auto"/>
        </w:rPr>
      </w:pPr>
      <w:r>
        <w:rPr>
          <w:rFonts w:ascii="Arial" w:cs="Arial" w:eastAsia="Arial" w:hAnsi="Arial"/>
          <w:sz w:val="16"/>
          <w:szCs w:val="16"/>
          <w:color w:val="auto"/>
        </w:rPr>
        <w:t>To further ensure the protection of Company Information, the Recipient agrees not to accept employment in any form (including entering into consulting relationships or similar arrangements) for a period of three years after the Vesting Date with any business that: (i) competes directly or indirectly with any of the Corporation’s businesses; or (ii) is a material customer of or a material supplier to any of the Corporation’s businesses unless the Recipient has obtained the written consent from the Senior Vice President, Human Resources &amp; Organization (or the successor to such position), which consent shall be granted or withheld in his or her sole discretion. The Recipient agrees that the terms of this paragraph are reasonable. However, if any portion of this paragraph is held by competent authority to be unenforceable, this paragraph shall be deemed amended to limit its scope to the broadest scope that such authority determines is enforceable, and as so amended shall continue in effect.</w:t>
      </w:r>
    </w:p>
    <w:p>
      <w:pPr>
        <w:spacing w:after="0" w:line="32" w:lineRule="exact"/>
        <w:rPr>
          <w:rFonts w:ascii="Arial" w:cs="Arial" w:eastAsia="Arial" w:hAnsi="Arial"/>
          <w:sz w:val="16"/>
          <w:szCs w:val="16"/>
          <w:color w:val="auto"/>
        </w:rPr>
      </w:pPr>
    </w:p>
    <w:p>
      <w:pPr>
        <w:jc w:val="both"/>
        <w:ind w:left="880" w:right="200" w:hanging="8"/>
        <w:spacing w:after="0" w:line="264" w:lineRule="auto"/>
        <w:tabs>
          <w:tab w:leader="none" w:pos="1125" w:val="left"/>
        </w:tabs>
        <w:numPr>
          <w:ilvl w:val="1"/>
          <w:numId w:val="54"/>
        </w:numPr>
        <w:rPr>
          <w:rFonts w:ascii="Arial" w:cs="Arial" w:eastAsia="Arial" w:hAnsi="Arial"/>
          <w:sz w:val="18"/>
          <w:szCs w:val="18"/>
          <w:color w:val="auto"/>
        </w:rPr>
      </w:pPr>
      <w:r>
        <w:rPr>
          <w:rFonts w:ascii="Arial" w:cs="Arial" w:eastAsia="Arial" w:hAnsi="Arial"/>
          <w:sz w:val="18"/>
          <w:szCs w:val="18"/>
          <w:color w:val="auto"/>
        </w:rPr>
        <w:t>For three years after the Vesting Date, the Recipient will not make any statements or disclose any items of information which, in either case are or may reasonably be considered to be adverse to the interests of the Corporation. The Recipient agrees that he or she will not disparage the Corporation, its executives, directors or products.</w:t>
      </w:r>
    </w:p>
    <w:p>
      <w:pPr>
        <w:spacing w:after="0" w:line="12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ELG covenants set forth in this Schedule of Terms are in addition to other obligations and commitments of the ELG program, the terms and conditions of the LTIP and the Recipient’s intellectual property agreement with the Corporation (and as each may be amended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event of a change of control or restructuring of the Corporation, the Committee may, in its discretion, take certain actions with respect to outstanding Awards to assure fair and equitable treatment of LTIP Award Recipients. Such actions may include: acceleration of the Vesting Date; offering to purchase an outstanding Award from the holder for its equivalent cash value (as determined by the Committee); or providing for other adjustments or modifications to outstanding Awards as the Committee may deem appropriate.</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However, there will be no accelerated vesting, cash payment or other adjustment in respect of this RSU Award if the Recipient receives benefits under the Senior Executive Severance Plan as a result of a change in control.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For purposes of the LTIP, a “change of control” means: (i) the acquisition of 20% of the Corporation’s outstanding voting shares by a person, entity or group (as defined in Section 13(d)(3) of the Securities Exchange Act of 1934); (ii) a change in the majority of the Board of Directors such that the members of the new majority are not approved by two-thirds of the incumbent members; (iii) a merger, reorganization, or consolidation or similar transaction resulting in a business combination where shareowners before the transaction own less then 50% of the new entity, or a person, entity or group owns 20% or more of the shares of the new entity; or (iv) a dissolution or liquidation of the Corporation.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Nonassignability</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Unless otherwise prescribed by the Committee, no assignment or transfer of any right or interest of a Recipient in any RSU, whether voluntary or involuntary, by operation of law or otherwise, shall be permitted except by will or the laws of descent and distribution. Any attempt to assign such rights or interest shall be void and without force or effect.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Every notice or other communication relating to the LTIP, this Award or this Schedule of Terms shall be delivered electronically or mailed to or delivered to the party for whom it is intended at such address as may from time to time be designated by such party. Notices by the Recipient to the Corporation shall be mailed to or delivered to the Corporation at its office at United Technologies Building, MS504, Hartford, CT 06101, Attention: Stock Plan Administrator, or emailed to stockoptionplans@utc.com. All notices by the Corporation to the Recipient shall be transmitted to the Recipient’s email address or mailed to his or her address as shown on the records of the Corporation.</w:t>
      </w:r>
    </w:p>
    <w:p>
      <w:pPr>
        <w:sectPr>
          <w:pgSz w:w="11900" w:h="16838" w:orient="portrait"/>
          <w:cols w:equalWidth="0" w:num="1">
            <w:col w:w="11380"/>
          </w:cols>
          <w:pgMar w:left="240" w:top="665" w:right="2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Administration</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Awards granted pursuant to the LTIP shall be interpreted and administered by the Committee. The Committee shall establish such procedures as it deems necessary and appropriate to administer Awards in a manner that is consistent with the terms of the LTIP. The Committee’s decision on any matter related to an Award shall be binding and conclusive.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Not to Affect or Be Affected by Certain Transactions</w:t>
      </w:r>
    </w:p>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RSU Awards shall not in any way affect the right or power of the Corporation or its shareowners to effect: (a) any or all adjustments, recapitalizations, reorganizations or other changes in the Corporation’s capital structure or its business; (b) any merger or consolidation of the Corporation; (c) any issue of bonds, debentures, shares of stock preferred to, or otherwise affecting the Common Stock of the Corporation or the rights of the holders of such Common Stock; (d) the dissolution or liquidation of the Corporation; (e) any sale or transfer of all or any part of its assets or business; or (f) any other corporate act or proceeding.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Taxes/Withholding</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Recipients are responsible for any income or other tax liability attributable to an Award. The closing price of Common Stock on the New York Stock Exchange on the Vesting Date will be used to calculate income realized from the vesting of RSUs. The Corporation shall take such steps as are appropriate to assure compliance with applicable federal, state and local tax withholding requirements. The Corporation shall, to the extent required by law, have the right to deduct directly from any payment or delivery of shares due to a Recipient or from a Recipient’s regular compensation, all federal, state and local taxes of any kind required by law to be withheld with respect to the vesting of an RSU. Recipients not based in the United States and foreign nationals who are not permanent residents of the United States must pay the appropriate taxes as required by any country where they are subject to tax. A discussion of U.S. Federal tax treatment of RSUs may be found in the LTIP prospectus.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Deferral of Gain (U.S. based executives)</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Recipient who is resident in the U.S. and subject to U.S. income tax may irrevocably elect to defer the conversion of vested RSUs into shares of Common Stock to a date that is at least five years after the date the Recipient will reach age 62. The election to defer the conversion of RSUs into shares must be made no later than the day before the date the Recipient reaches age 61. RSUs subject to a deferral election will be converted into shares of Common Stock on the distribution date designated in the deferral election. Deferred RSUs will continue to be credited with dividend equivalents. Under U.S. tax law, a Recipient will generally not be taxed on RSUs subject to a valid deferral election until the resulting deferred share units are converted to shares of Common Stock. Details of the deferral of the conversion of RSUs into shares will be provided with the election materials. The opportunity to make such an election is subject to changes in Federal tax law. The Committee reserves the right to discontinue offering RSU deferral elections at any time for any reason it deems appropriate in its sole discretion.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Discharge Reserved</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Nothing in the LTIP or in any RSU Award shall confer upon any Recipient the right to continue in the employment or service of the Corporation or any affiliate thereof for any period of time, or affect any right that the Corporation or any subsidiary or division may have to terminate the employment or service of such Recipient at any time for any reason.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 of Interests and Gains</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RSUs shall be forfeited if a Recipient is terminated for “cause”. Termination for cause means termination related to a violation of the ELG covenants, criminal conduct involving a felony in the U.S. or the equivalent of a felony under the laws of other countries, material violations of civil law related to the Recipient’s job responsibilities, fraud, dishonesty, self-dealing, breach of the Recipient’s intellectual property agreement or willful misconduct that the Committee determines to be injurious to the Corporation. A Recipient will be obligated to repay the value realized from the conversion of RSUs into shares of unrestricted Common Stock if the Recipient violates any of the ELG covenants, or, if following termination, the Corporation determines that the Recipient engaged in conduct that would have constituted the basis for termination for cause. The foregoing provisions shall be applicable to Recipients who remain employed after age 62 and to RSUs that have been deferred beyond the Vesting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Payments</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Awards made pursuant to the LTIP are in consideration of services performed for the Corporation or the business unit employing the Recipient. Any gains realized pursuant to such Awards constitute a special incentive payment to the Recipient and shall not be taken into account as compensation for purposes of any of the employee benefit plans of the Corporation or</w:t>
      </w:r>
    </w:p>
    <w:p>
      <w:pPr>
        <w:sectPr>
          <w:pgSz w:w="11900" w:h="16838" w:orient="portrait"/>
          <w:cols w:equalWidth="0" w:num="1">
            <w:col w:w="11420"/>
          </w:cols>
          <w:pgMar w:left="240" w:top="823" w:right="239" w:bottom="1440" w:gutter="0" w:footer="0" w:header="0"/>
        </w:sectPr>
      </w:pPr>
    </w:p>
    <w:bookmarkStart w:id="99" w:name="page100"/>
    <w:bookmarkEnd w:id="99"/>
    <w:p>
      <w:pPr>
        <w:ind w:right="280"/>
        <w:spacing w:after="0" w:line="277" w:lineRule="auto"/>
        <w:rPr>
          <w:sz w:val="20"/>
          <w:szCs w:val="20"/>
          <w:color w:val="auto"/>
        </w:rPr>
      </w:pPr>
      <w:r>
        <w:rPr>
          <w:rFonts w:ascii="Arial" w:cs="Arial" w:eastAsia="Arial" w:hAnsi="Arial"/>
          <w:sz w:val="18"/>
          <w:szCs w:val="18"/>
          <w:color w:val="auto"/>
        </w:rPr>
        <w:t>any business unit. RSUs will not be funded by the Corporation. In this regard, a Recipient’s rights to RSUs are those of a general unsecured creditor of the Corporation.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 Compliance</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“UTC Policy Statement on Business Ethics and Conduct in Contracting with the United States Government” calls for compliance with the letter and spirit of government contracting laws and regulations. In the event of a violation of government contracting laws or regulations, the Committee reserves the right to revoke any outstanding Award.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Schedule of Terms and each Statement of Award are subject in all respects to the terms of the LTIP. In the event that any provision of this Schedule of Terms or any Statement of Award is inconsistent with the terms of the LTIP, the terms of the LTIP shall govern. Any question of administration or interpretation arising under the Schedule of Terms or any Statement of Award shall be determined by the Committee or its delegate, and such determination to be final and conclusive upon all parties in interest.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LTIP, this Schedule of Terms and the Statement of Award shall be governed by and construed in accordance with the laws of the State of Delaware.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CT 06101</w:t>
      </w:r>
    </w:p>
    <w:p>
      <w:pPr>
        <w:sectPr>
          <w:pgSz w:w="11900" w:h="16838" w:orient="portrait"/>
          <w:cols w:equalWidth="0" w:num="1">
            <w:col w:w="11400"/>
          </w:cols>
          <w:pgMar w:left="240" w:top="665" w:right="259" w:bottom="1440" w:gutter="0" w:footer="0" w:header="0"/>
        </w:sectPr>
      </w:pPr>
    </w:p>
    <w:bookmarkStart w:id="100" w:name="page101"/>
    <w:bookmarkEnd w:id="100"/>
    <w:p>
      <w:pPr>
        <w:ind w:left="10400"/>
        <w:spacing w:after="0"/>
        <w:rPr>
          <w:sz w:val="20"/>
          <w:szCs w:val="20"/>
          <w:color w:val="auto"/>
        </w:rPr>
      </w:pPr>
      <w:r>
        <w:rPr>
          <w:rFonts w:ascii="Arial" w:cs="Arial" w:eastAsia="Arial" w:hAnsi="Arial"/>
          <w:sz w:val="16"/>
          <w:szCs w:val="16"/>
          <w:b w:val="1"/>
          <w:bCs w:val="1"/>
          <w:color w:val="auto"/>
        </w:rPr>
        <w:t>Exhibit 10.13</w:t>
      </w:r>
    </w:p>
    <w:p>
      <w:pPr>
        <w:spacing w:after="0" w:line="24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This exhibit is divided into two sections. The first section (Exhibit 10.13, Section 1) is applicable to Executive Leadership Group (“ELG”) members receiving an ELG Restricted Stock Unit Retention Award on or after October 15, 2013. Such ELG members will not be eligible for the 2.5 times base salary ELG separation benefit. The second section (Exhibit 10.13, Section 2) is applicable to ELG members who received an ELG Restricted Stock Unit Award prior to October 15, 2013.</w:t>
      </w:r>
    </w:p>
    <w:p>
      <w:pPr>
        <w:sectPr>
          <w:pgSz w:w="11900" w:h="16838" w:orient="portrait"/>
          <w:cols w:equalWidth="0" w:num="1">
            <w:col w:w="11420"/>
          </w:cols>
          <w:pgMar w:left="240" w:top="121"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800" w:type="dxa"/>
            <w:vAlign w:val="bottom"/>
          </w:tcPr>
          <w:p>
            <w:pPr>
              <w:ind w:left="3000"/>
              <w:spacing w:after="0"/>
              <w:rPr>
                <w:sz w:val="20"/>
                <w:szCs w:val="20"/>
                <w:color w:val="auto"/>
              </w:rPr>
            </w:pPr>
            <w:r>
              <w:rPr>
                <w:rFonts w:ascii="Arial" w:cs="Arial" w:eastAsia="Arial" w:hAnsi="Arial"/>
                <w:sz w:val="18"/>
                <w:szCs w:val="18"/>
                <w:b w:val="1"/>
                <w:bCs w:val="1"/>
                <w:color w:val="auto"/>
                <w:w w:val="88"/>
              </w:rPr>
              <w:t>Exhibit 10.13, Section 1</w:t>
            </w:r>
          </w:p>
        </w:tc>
      </w:tr>
      <w:tr>
        <w:trPr>
          <w:trHeight w:val="702"/>
        </w:trPr>
        <w:tc>
          <w:tcPr>
            <w:tcW w:w="18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800" w:type="dxa"/>
            <w:vAlign w:val="bottom"/>
          </w:tcPr>
          <w:p>
            <w:pPr>
              <w:ind w:left="1340"/>
              <w:spacing w:after="0"/>
              <w:rPr>
                <w:sz w:val="20"/>
                <w:szCs w:val="20"/>
                <w:color w:val="auto"/>
              </w:rPr>
            </w:pPr>
            <w:r>
              <w:rPr>
                <w:rFonts w:ascii="Arial" w:cs="Arial" w:eastAsia="Arial" w:hAnsi="Arial"/>
                <w:sz w:val="18"/>
                <w:szCs w:val="18"/>
                <w:b w:val="1"/>
                <w:bCs w:val="1"/>
                <w:color w:val="auto"/>
              </w:rPr>
              <w:t>LONG-TERM INCENTIVE PLAN AWARD</w:t>
            </w:r>
          </w:p>
        </w:tc>
      </w:tr>
      <w:tr>
        <w:trPr>
          <w:trHeight w:val="27"/>
        </w:trPr>
        <w:tc>
          <w:tcPr>
            <w:tcW w:w="1860" w:type="dxa"/>
            <w:vAlign w:val="bottom"/>
            <w:tcBorders>
              <w:bottom w:val="single" w:sz="8" w:color="auto"/>
            </w:tcBorders>
          </w:tcPr>
          <w:p>
            <w:pPr>
              <w:spacing w:after="0"/>
              <w:rPr>
                <w:sz w:val="2"/>
                <w:szCs w:val="2"/>
                <w:color w:val="auto"/>
              </w:rPr>
            </w:pPr>
          </w:p>
        </w:tc>
        <w:tc>
          <w:tcPr>
            <w:tcW w:w="9560" w:type="dxa"/>
            <w:vAlign w:val="bottom"/>
            <w:tcBorders>
              <w:bottom w:val="single" w:sz="8" w:color="auto"/>
            </w:tcBorders>
            <w:gridSpan w:val="2"/>
          </w:tcPr>
          <w:p>
            <w:pPr>
              <w:spacing w:after="0"/>
              <w:rPr>
                <w:sz w:val="2"/>
                <w:szCs w:val="2"/>
                <w:color w:val="auto"/>
              </w:rPr>
            </w:pPr>
          </w:p>
        </w:tc>
      </w:tr>
      <w:tr>
        <w:trPr>
          <w:trHeight w:val="237"/>
        </w:trPr>
        <w:tc>
          <w:tcPr>
            <w:tcW w:w="1860" w:type="dxa"/>
            <w:vAlign w:val="bottom"/>
          </w:tcPr>
          <w:p>
            <w:pPr>
              <w:spacing w:after="0"/>
              <w:rPr>
                <w:sz w:val="20"/>
                <w:szCs w:val="20"/>
                <w:color w:val="auto"/>
              </w:rPr>
            </w:pPr>
          </w:p>
        </w:tc>
        <w:tc>
          <w:tcPr>
            <w:tcW w:w="9560" w:type="dxa"/>
            <w:vAlign w:val="bottom"/>
            <w:gridSpan w:val="2"/>
          </w:tcPr>
          <w:p>
            <w:pPr>
              <w:ind w:left="260"/>
              <w:spacing w:after="0"/>
              <w:rPr>
                <w:sz w:val="20"/>
                <w:szCs w:val="20"/>
                <w:color w:val="auto"/>
              </w:rPr>
            </w:pPr>
            <w:r>
              <w:rPr>
                <w:rFonts w:ascii="Arial" w:cs="Arial" w:eastAsia="Arial" w:hAnsi="Arial"/>
                <w:sz w:val="18"/>
                <w:szCs w:val="18"/>
                <w:b w:val="1"/>
                <w:bCs w:val="1"/>
                <w:color w:val="auto"/>
              </w:rPr>
              <w:t>EXECUTIVE LEADERSHIP GROUP RESTRICTED STOCK UNIT RETENTION AWARD</w:t>
            </w:r>
          </w:p>
        </w:tc>
      </w:tr>
      <w:tr>
        <w:trPr>
          <w:trHeight w:val="391"/>
        </w:trPr>
        <w:tc>
          <w:tcPr>
            <w:tcW w:w="1860" w:type="dxa"/>
            <w:vAlign w:val="bottom"/>
          </w:tcPr>
          <w:p>
            <w:pPr>
              <w:ind w:left="40"/>
              <w:spacing w:after="0"/>
              <w:rPr>
                <w:sz w:val="20"/>
                <w:szCs w:val="20"/>
                <w:color w:val="auto"/>
              </w:rPr>
            </w:pPr>
            <w:r>
              <w:rPr>
                <w:rFonts w:ascii="Arial" w:cs="Arial" w:eastAsia="Arial" w:hAnsi="Arial"/>
                <w:sz w:val="18"/>
                <w:szCs w:val="18"/>
                <w:color w:val="auto"/>
              </w:rPr>
              <w:t>Date of Grant:</w:t>
            </w:r>
          </w:p>
        </w:tc>
        <w:tc>
          <w:tcPr>
            <w:tcW w:w="4760" w:type="dxa"/>
            <w:vAlign w:val="bottom"/>
          </w:tcPr>
          <w:p>
            <w:pPr>
              <w:ind w:left="3100"/>
              <w:spacing w:after="0"/>
              <w:rPr>
                <w:sz w:val="20"/>
                <w:szCs w:val="20"/>
                <w:color w:val="auto"/>
              </w:rPr>
            </w:pPr>
            <w:r>
              <w:rPr>
                <w:rFonts w:ascii="Arial" w:cs="Arial" w:eastAsia="Arial" w:hAnsi="Arial"/>
                <w:sz w:val="18"/>
                <w:szCs w:val="18"/>
                <w:color w:val="auto"/>
              </w:rPr>
              <w:t>Vesting Date:</w:t>
            </w:r>
          </w:p>
        </w:tc>
        <w:tc>
          <w:tcPr>
            <w:tcW w:w="4800" w:type="dxa"/>
            <w:vAlign w:val="bottom"/>
          </w:tcPr>
          <w:p>
            <w:pPr>
              <w:ind w:left="620"/>
              <w:spacing w:after="0"/>
              <w:rPr>
                <w:sz w:val="20"/>
                <w:szCs w:val="20"/>
                <w:color w:val="auto"/>
              </w:rPr>
            </w:pPr>
            <w:r>
              <w:rPr>
                <w:rFonts w:ascii="Arial" w:cs="Arial" w:eastAsia="Arial" w:hAnsi="Arial"/>
                <w:sz w:val="18"/>
                <w:szCs w:val="18"/>
                <w:color w:val="auto"/>
                <w:w w:val="91"/>
              </w:rPr>
              <w:t>Satisfaction of criteria specified in the Schedule of Terms</w:t>
            </w:r>
          </w:p>
        </w:tc>
      </w:tr>
      <w:tr>
        <w:trPr>
          <w:trHeight w:val="230"/>
        </w:trPr>
        <w:tc>
          <w:tcPr>
            <w:tcW w:w="18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800" w:type="dxa"/>
            <w:vAlign w:val="bottom"/>
          </w:tcPr>
          <w:p>
            <w:pPr>
              <w:ind w:left="620"/>
              <w:spacing w:after="0"/>
              <w:rPr>
                <w:sz w:val="20"/>
                <w:szCs w:val="20"/>
                <w:color w:val="auto"/>
              </w:rPr>
            </w:pPr>
            <w:r>
              <w:rPr>
                <w:rFonts w:ascii="Arial" w:cs="Arial" w:eastAsia="Arial" w:hAnsi="Arial"/>
                <w:sz w:val="18"/>
                <w:szCs w:val="18"/>
                <w:color w:val="auto"/>
              </w:rPr>
              <w:t>following a minimum of 3 years of ELG service.</w:t>
            </w:r>
          </w:p>
        </w:tc>
      </w:tr>
      <w:tr>
        <w:trPr>
          <w:trHeight w:val="270"/>
        </w:trPr>
        <w:tc>
          <w:tcPr>
            <w:tcW w:w="1860" w:type="dxa"/>
            <w:vAlign w:val="bottom"/>
          </w:tcPr>
          <w:p>
            <w:pPr>
              <w:ind w:left="40"/>
              <w:spacing w:after="0"/>
              <w:rPr>
                <w:sz w:val="20"/>
                <w:szCs w:val="20"/>
                <w:color w:val="auto"/>
              </w:rPr>
            </w:pPr>
            <w:r>
              <w:rPr>
                <w:rFonts w:ascii="Arial" w:cs="Arial" w:eastAsia="Arial" w:hAnsi="Arial"/>
                <w:sz w:val="18"/>
                <w:szCs w:val="18"/>
                <w:color w:val="auto"/>
              </w:rPr>
              <w:t>Stock Units Awarded:</w:t>
            </w:r>
          </w:p>
        </w:tc>
        <w:tc>
          <w:tcPr>
            <w:tcW w:w="4760" w:type="dxa"/>
            <w:vAlign w:val="bottom"/>
          </w:tcPr>
          <w:p>
            <w:pPr>
              <w:ind w:left="3100"/>
              <w:spacing w:after="0"/>
              <w:rPr>
                <w:sz w:val="20"/>
                <w:szCs w:val="20"/>
                <w:color w:val="auto"/>
              </w:rPr>
            </w:pPr>
            <w:r>
              <w:rPr>
                <w:rFonts w:ascii="Arial" w:cs="Arial" w:eastAsia="Arial" w:hAnsi="Arial"/>
                <w:sz w:val="18"/>
                <w:szCs w:val="18"/>
                <w:color w:val="auto"/>
              </w:rPr>
              <w:t>Price at Grant:</w:t>
            </w:r>
          </w:p>
        </w:tc>
        <w:tc>
          <w:tcPr>
            <w:tcW w:w="4800" w:type="dxa"/>
            <w:vAlign w:val="bottom"/>
          </w:tcPr>
          <w:p>
            <w:pPr>
              <w:spacing w:after="0"/>
              <w:rPr>
                <w:sz w:val="23"/>
                <w:szCs w:val="23"/>
                <w:color w:val="auto"/>
              </w:rPr>
            </w:pPr>
          </w:p>
        </w:tc>
      </w:tr>
      <w:tr>
        <w:trPr>
          <w:trHeight w:val="256"/>
        </w:trPr>
        <w:tc>
          <w:tcPr>
            <w:tcW w:w="186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4800" w:type="dxa"/>
            <w:vAlign w:val="bottom"/>
          </w:tcPr>
          <w:p>
            <w:pPr>
              <w:ind w:left="620"/>
              <w:spacing w:after="0"/>
              <w:rPr>
                <w:sz w:val="20"/>
                <w:szCs w:val="20"/>
                <w:color w:val="auto"/>
              </w:rPr>
            </w:pPr>
            <w:r>
              <w:rPr>
                <w:rFonts w:ascii="Arial" w:cs="Arial" w:eastAsia="Arial" w:hAnsi="Arial"/>
                <w:sz w:val="18"/>
                <w:szCs w:val="18"/>
                <w:color w:val="auto"/>
                <w:w w:val="90"/>
              </w:rPr>
              <w:t>The award shown in this statement is nontransferable and</w:t>
            </w:r>
          </w:p>
        </w:tc>
      </w:tr>
      <w:tr>
        <w:trPr>
          <w:trHeight w:val="216"/>
        </w:trPr>
        <w:tc>
          <w:tcPr>
            <w:tcW w:w="18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800" w:type="dxa"/>
            <w:vAlign w:val="bottom"/>
          </w:tcPr>
          <w:p>
            <w:pPr>
              <w:ind w:left="620"/>
              <w:spacing w:after="0"/>
              <w:rPr>
                <w:sz w:val="20"/>
                <w:szCs w:val="20"/>
                <w:color w:val="auto"/>
              </w:rPr>
            </w:pPr>
            <w:r>
              <w:rPr>
                <w:rFonts w:ascii="Arial" w:cs="Arial" w:eastAsia="Arial" w:hAnsi="Arial"/>
                <w:sz w:val="18"/>
                <w:szCs w:val="18"/>
                <w:color w:val="auto"/>
                <w:w w:val="92"/>
              </w:rPr>
              <w:t>is subject to the terms and conditions of the 2005 United</w:t>
            </w:r>
          </w:p>
        </w:tc>
      </w:tr>
      <w:tr>
        <w:trPr>
          <w:trHeight w:val="216"/>
        </w:trPr>
        <w:tc>
          <w:tcPr>
            <w:tcW w:w="18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800" w:type="dxa"/>
            <w:vAlign w:val="bottom"/>
          </w:tcPr>
          <w:p>
            <w:pPr>
              <w:ind w:left="620"/>
              <w:spacing w:after="0"/>
              <w:rPr>
                <w:sz w:val="20"/>
                <w:szCs w:val="20"/>
                <w:color w:val="auto"/>
              </w:rPr>
            </w:pPr>
            <w:r>
              <w:rPr>
                <w:rFonts w:ascii="Arial" w:cs="Arial" w:eastAsia="Arial" w:hAnsi="Arial"/>
                <w:sz w:val="18"/>
                <w:szCs w:val="18"/>
                <w:color w:val="auto"/>
                <w:w w:val="93"/>
              </w:rPr>
              <w:t>Technologies Corporation Long-Term Incentive Plan, as</w:t>
            </w:r>
          </w:p>
        </w:tc>
      </w:tr>
      <w:tr>
        <w:trPr>
          <w:trHeight w:val="230"/>
        </w:trPr>
        <w:tc>
          <w:tcPr>
            <w:tcW w:w="18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800" w:type="dxa"/>
            <w:vAlign w:val="bottom"/>
          </w:tcPr>
          <w:p>
            <w:pPr>
              <w:ind w:left="620"/>
              <w:spacing w:after="0"/>
              <w:rPr>
                <w:sz w:val="20"/>
                <w:szCs w:val="20"/>
                <w:color w:val="auto"/>
              </w:rPr>
            </w:pPr>
            <w:r>
              <w:rPr>
                <w:rFonts w:ascii="Arial" w:cs="Arial" w:eastAsia="Arial" w:hAnsi="Arial"/>
                <w:sz w:val="18"/>
                <w:szCs w:val="18"/>
                <w:color w:val="auto"/>
              </w:rPr>
              <w:t>amended and restated on April 13,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-1671320</wp:posOffset>
            </wp:positionV>
            <wp:extent cx="1440815"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815" cy="34290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SIGN AND DATE PORTION BELOW THE PERFORATION AND RETURN IT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51435</wp:posOffset>
            </wp:positionV>
            <wp:extent cx="22288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51435</wp:posOffset>
            </wp:positionV>
            <wp:extent cx="171450"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25717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532130</wp:posOffset>
            </wp:positionV>
            <wp:extent cx="1423670"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2367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920" w:type="dxa"/>
            <w:vAlign w:val="bottom"/>
          </w:tcPr>
          <w:p>
            <w:pPr>
              <w:ind w:left="1460"/>
              <w:spacing w:after="0"/>
              <w:rPr>
                <w:sz w:val="20"/>
                <w:szCs w:val="20"/>
                <w:color w:val="auto"/>
              </w:rPr>
            </w:pPr>
            <w:r>
              <w:rPr>
                <w:rFonts w:ascii="Arial" w:cs="Arial" w:eastAsia="Arial" w:hAnsi="Arial"/>
                <w:sz w:val="18"/>
                <w:szCs w:val="18"/>
                <w:b w:val="1"/>
                <w:bCs w:val="1"/>
                <w:color w:val="auto"/>
              </w:rPr>
              <w:t>LONG-TERM INCENTIVE PLAN AWARD</w:t>
            </w:r>
          </w:p>
        </w:tc>
      </w:tr>
      <w:tr>
        <w:trPr>
          <w:trHeight w:val="27"/>
        </w:trPr>
        <w:tc>
          <w:tcPr>
            <w:tcW w:w="1900" w:type="dxa"/>
            <w:vAlign w:val="bottom"/>
            <w:tcBorders>
              <w:bottom w:val="single" w:sz="8" w:color="auto"/>
            </w:tcBorders>
          </w:tcPr>
          <w:p>
            <w:pPr>
              <w:spacing w:after="0"/>
              <w:rPr>
                <w:sz w:val="2"/>
                <w:szCs w:val="2"/>
                <w:color w:val="auto"/>
              </w:rPr>
            </w:pPr>
          </w:p>
        </w:tc>
        <w:tc>
          <w:tcPr>
            <w:tcW w:w="9520" w:type="dxa"/>
            <w:vAlign w:val="bottom"/>
            <w:tcBorders>
              <w:bottom w:val="single" w:sz="8" w:color="auto"/>
            </w:tcBorders>
            <w:gridSpan w:val="2"/>
          </w:tcPr>
          <w:p>
            <w:pPr>
              <w:spacing w:after="0"/>
              <w:rPr>
                <w:sz w:val="2"/>
                <w:szCs w:val="2"/>
                <w:color w:val="auto"/>
              </w:rPr>
            </w:pPr>
          </w:p>
        </w:tc>
      </w:tr>
      <w:tr>
        <w:trPr>
          <w:trHeight w:val="237"/>
        </w:trPr>
        <w:tc>
          <w:tcPr>
            <w:tcW w:w="1900" w:type="dxa"/>
            <w:vAlign w:val="bottom"/>
          </w:tcPr>
          <w:p>
            <w:pPr>
              <w:spacing w:after="0"/>
              <w:rPr>
                <w:sz w:val="20"/>
                <w:szCs w:val="20"/>
                <w:color w:val="auto"/>
              </w:rPr>
            </w:pPr>
          </w:p>
        </w:tc>
        <w:tc>
          <w:tcPr>
            <w:tcW w:w="9520" w:type="dxa"/>
            <w:vAlign w:val="bottom"/>
            <w:gridSpan w:val="2"/>
          </w:tcPr>
          <w:p>
            <w:pPr>
              <w:ind w:left="220"/>
              <w:spacing w:after="0"/>
              <w:rPr>
                <w:sz w:val="20"/>
                <w:szCs w:val="20"/>
                <w:color w:val="auto"/>
              </w:rPr>
            </w:pPr>
            <w:r>
              <w:rPr>
                <w:rFonts w:ascii="Arial" w:cs="Arial" w:eastAsia="Arial" w:hAnsi="Arial"/>
                <w:sz w:val="18"/>
                <w:szCs w:val="18"/>
                <w:b w:val="1"/>
                <w:bCs w:val="1"/>
                <w:color w:val="auto"/>
              </w:rPr>
              <w:t>EXECUTIVE LEADERSHIP GROUP RESTRICTED STOCK UNIT RETENTION AWARD</w:t>
            </w:r>
          </w:p>
        </w:tc>
      </w:tr>
      <w:tr>
        <w:trPr>
          <w:trHeight w:val="391"/>
        </w:trPr>
        <w:tc>
          <w:tcPr>
            <w:tcW w:w="1900" w:type="dxa"/>
            <w:vAlign w:val="bottom"/>
          </w:tcPr>
          <w:p>
            <w:pPr>
              <w:ind w:left="100"/>
              <w:spacing w:after="0"/>
              <w:rPr>
                <w:sz w:val="20"/>
                <w:szCs w:val="20"/>
                <w:color w:val="auto"/>
              </w:rPr>
            </w:pPr>
            <w:r>
              <w:rPr>
                <w:rFonts w:ascii="Arial" w:cs="Arial" w:eastAsia="Arial" w:hAnsi="Arial"/>
                <w:sz w:val="18"/>
                <w:szCs w:val="18"/>
                <w:color w:val="auto"/>
              </w:rPr>
              <w:t>Date of Grant:</w:t>
            </w:r>
          </w:p>
        </w:tc>
        <w:tc>
          <w:tcPr>
            <w:tcW w:w="4600" w:type="dxa"/>
            <w:vAlign w:val="bottom"/>
          </w:tcPr>
          <w:p>
            <w:pPr>
              <w:ind w:left="2940"/>
              <w:spacing w:after="0"/>
              <w:rPr>
                <w:sz w:val="20"/>
                <w:szCs w:val="20"/>
                <w:color w:val="auto"/>
              </w:rPr>
            </w:pPr>
            <w:r>
              <w:rPr>
                <w:rFonts w:ascii="Arial" w:cs="Arial" w:eastAsia="Arial" w:hAnsi="Arial"/>
                <w:sz w:val="18"/>
                <w:szCs w:val="18"/>
                <w:color w:val="auto"/>
              </w:rPr>
              <w:t>Vesting Date:</w:t>
            </w:r>
          </w:p>
        </w:tc>
        <w:tc>
          <w:tcPr>
            <w:tcW w:w="4920" w:type="dxa"/>
            <w:vAlign w:val="bottom"/>
          </w:tcPr>
          <w:p>
            <w:pPr>
              <w:ind w:left="600"/>
              <w:spacing w:after="0"/>
              <w:rPr>
                <w:sz w:val="20"/>
                <w:szCs w:val="20"/>
                <w:color w:val="auto"/>
              </w:rPr>
            </w:pPr>
            <w:r>
              <w:rPr>
                <w:rFonts w:ascii="Arial" w:cs="Arial" w:eastAsia="Arial" w:hAnsi="Arial"/>
                <w:sz w:val="18"/>
                <w:szCs w:val="18"/>
                <w:color w:val="auto"/>
                <w:w w:val="94"/>
              </w:rPr>
              <w:t>Satisfaction of criteria specified in the Schedule of Terms</w:t>
            </w:r>
          </w:p>
        </w:tc>
      </w:tr>
      <w:tr>
        <w:trPr>
          <w:trHeight w:val="230"/>
        </w:trPr>
        <w:tc>
          <w:tcPr>
            <w:tcW w:w="19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920" w:type="dxa"/>
            <w:vAlign w:val="bottom"/>
          </w:tcPr>
          <w:p>
            <w:pPr>
              <w:ind w:left="600"/>
              <w:spacing w:after="0"/>
              <w:rPr>
                <w:sz w:val="20"/>
                <w:szCs w:val="20"/>
                <w:color w:val="auto"/>
              </w:rPr>
            </w:pPr>
            <w:r>
              <w:rPr>
                <w:rFonts w:ascii="Arial" w:cs="Arial" w:eastAsia="Arial" w:hAnsi="Arial"/>
                <w:sz w:val="18"/>
                <w:szCs w:val="18"/>
                <w:color w:val="auto"/>
              </w:rPr>
              <w:t>following a minimum of 3 years of ELG service.</w:t>
            </w:r>
          </w:p>
        </w:tc>
      </w:tr>
      <w:tr>
        <w:trPr>
          <w:trHeight w:val="270"/>
        </w:trPr>
        <w:tc>
          <w:tcPr>
            <w:tcW w:w="1900" w:type="dxa"/>
            <w:vAlign w:val="bottom"/>
          </w:tcPr>
          <w:p>
            <w:pPr>
              <w:ind w:left="100"/>
              <w:spacing w:after="0"/>
              <w:rPr>
                <w:sz w:val="20"/>
                <w:szCs w:val="20"/>
                <w:color w:val="auto"/>
              </w:rPr>
            </w:pPr>
            <w:r>
              <w:rPr>
                <w:rFonts w:ascii="Arial" w:cs="Arial" w:eastAsia="Arial" w:hAnsi="Arial"/>
                <w:sz w:val="18"/>
                <w:szCs w:val="18"/>
                <w:color w:val="auto"/>
              </w:rPr>
              <w:t>Stock Units Awarded:</w:t>
            </w:r>
          </w:p>
        </w:tc>
        <w:tc>
          <w:tcPr>
            <w:tcW w:w="4600" w:type="dxa"/>
            <w:vAlign w:val="bottom"/>
          </w:tcPr>
          <w:p>
            <w:pPr>
              <w:ind w:left="2940"/>
              <w:spacing w:after="0"/>
              <w:rPr>
                <w:sz w:val="20"/>
                <w:szCs w:val="20"/>
                <w:color w:val="auto"/>
              </w:rPr>
            </w:pPr>
            <w:r>
              <w:rPr>
                <w:rFonts w:ascii="Arial" w:cs="Arial" w:eastAsia="Arial" w:hAnsi="Arial"/>
                <w:sz w:val="18"/>
                <w:szCs w:val="18"/>
                <w:color w:val="auto"/>
              </w:rPr>
              <w:t>Price at Grant:</w:t>
            </w:r>
          </w:p>
        </w:tc>
        <w:tc>
          <w:tcPr>
            <w:tcW w:w="4920" w:type="dxa"/>
            <w:vAlign w:val="bottom"/>
          </w:tcPr>
          <w:p>
            <w:pPr>
              <w:spacing w:after="0"/>
              <w:rPr>
                <w:sz w:val="23"/>
                <w:szCs w:val="23"/>
                <w:color w:val="auto"/>
              </w:rPr>
            </w:pPr>
          </w:p>
        </w:tc>
      </w:tr>
    </w:tbl>
    <w:p>
      <w:pPr>
        <w:spacing w:after="0" w:line="40" w:lineRule="exact"/>
        <w:rPr>
          <w:sz w:val="20"/>
          <w:szCs w:val="20"/>
          <w:color w:val="auto"/>
        </w:rPr>
      </w:pPr>
    </w:p>
    <w:p>
      <w:pPr>
        <w:ind w:left="100" w:right="280"/>
        <w:spacing w:after="0" w:line="277" w:lineRule="auto"/>
        <w:rPr>
          <w:sz w:val="20"/>
          <w:szCs w:val="20"/>
          <w:color w:val="auto"/>
        </w:rPr>
      </w:pPr>
      <w:r>
        <w:rPr>
          <w:rFonts w:ascii="Arial" w:cs="Arial" w:eastAsia="Arial" w:hAnsi="Arial"/>
          <w:sz w:val="18"/>
          <w:szCs w:val="18"/>
          <w:color w:val="auto"/>
        </w:rPr>
        <w:t>The award shown in this statement is nontransferable and is subject to the terms and conditions of the 2005 United Technologies Corporation Long-Term Incentive Plan, as amended and restated on April 13, 2011.</w:t>
      </w:r>
    </w:p>
    <w:p>
      <w:pPr>
        <w:spacing w:after="0" w:line="170" w:lineRule="exact"/>
        <w:rPr>
          <w:sz w:val="20"/>
          <w:szCs w:val="20"/>
          <w:color w:val="auto"/>
        </w:rPr>
      </w:pPr>
    </w:p>
    <w:p>
      <w:pPr>
        <w:jc w:val="both"/>
        <w:ind w:left="100" w:right="200"/>
        <w:spacing w:after="0" w:line="259" w:lineRule="auto"/>
        <w:rPr>
          <w:sz w:val="20"/>
          <w:szCs w:val="20"/>
          <w:color w:val="auto"/>
        </w:rPr>
      </w:pPr>
      <w:r>
        <w:rPr>
          <w:rFonts w:ascii="Arial" w:cs="Arial" w:eastAsia="Arial" w:hAnsi="Arial"/>
          <w:sz w:val="18"/>
          <w:szCs w:val="18"/>
          <w:color w:val="auto"/>
        </w:rPr>
        <w:t>I acknowledge receipt of this ELG Restricted Stock Unit Retention Award and the Schedule of Terms describing my Award. I accept this Award subject to such Schedule of Terms, the 2005 United Technologies Corporation Long-Term Incentive Plan, as amended and restated on April 13, 2011, and the terms and conditions of the Executive Leadership Group (“ELG”) Program, including all covenants set forth in the Schedule of Terms, the ELG Agreement and ELG program materials.</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Please sign this statement and return it in the envelope provided to:</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STOCK PLAN ADMINISTRATOR</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UNITED TECHNOLOGIES CORPORATION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UNITED TECHNOLOGIES BUILDING, MS 525</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HARTFORD, CONNECTICUT 06101</w:t>
      </w:r>
    </w:p>
    <w:p>
      <w:pPr>
        <w:spacing w:after="0" w:line="184"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31750</wp:posOffset>
            </wp:positionV>
            <wp:extent cx="65862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ind w:left="7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191770</wp:posOffset>
            </wp:positionV>
            <wp:extent cx="144907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449070" cy="342900"/>
                    </a:xfrm>
                    <a:prstGeom prst="rect">
                      <a:avLst/>
                    </a:prstGeom>
                    <a:noFill/>
                  </pic:spPr>
                </pic:pic>
              </a:graphicData>
            </a:graphic>
          </wp:anchor>
        </w:drawing>
        <w:t>LONG-TERM INCENTIVE PLAN AWARD</w:t>
      </w:r>
    </w:p>
    <w:p>
      <w:pPr>
        <w:spacing w:after="0" w:line="63"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EXECUTIVE LEADERSHIP GROUP RESTRICTED STOCK UNIT RETENTION AWARD</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AMENDMENT 1</w:t>
      </w:r>
    </w:p>
    <w:p>
      <w:pPr>
        <w:sectPr>
          <w:pgSz w:w="11900" w:h="16838" w:orient="portrait"/>
          <w:cols w:equalWidth="0" w:num="1">
            <w:col w:w="11360"/>
          </w:cols>
          <w:pgMar w:left="280" w:top="607" w:right="25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 of Original Grant:</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Vesting Date:</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Satisfaction of criteria as specified in the revised October 2013 Schedule of Terms.</w:t>
      </w:r>
    </w:p>
    <w:p>
      <w:pPr>
        <w:spacing w:after="0" w:line="200" w:lineRule="exact"/>
        <w:rPr>
          <w:sz w:val="20"/>
          <w:szCs w:val="20"/>
          <w:color w:val="auto"/>
        </w:rPr>
      </w:pPr>
    </w:p>
    <w:p>
      <w:pPr>
        <w:sectPr>
          <w:pgSz w:w="11900" w:h="16838" w:orient="portrait"/>
          <w:cols w:equalWidth="0" w:num="3">
            <w:col w:w="1740" w:space="700"/>
            <w:col w:w="2100" w:space="720"/>
            <w:col w:w="6100"/>
          </w:cols>
          <w:pgMar w:left="280" w:top="607" w:right="259" w:bottom="1440" w:gutter="0" w:footer="0" w:header="0"/>
          <w:type w:val="continuous"/>
        </w:sect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Stock Units Awarded: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Price at Original Grant:</w:t>
      </w:r>
    </w:p>
    <w:p>
      <w:pPr>
        <w:spacing w:after="0" w:line="200" w:lineRule="exact"/>
        <w:rPr>
          <w:sz w:val="20"/>
          <w:szCs w:val="20"/>
          <w:color w:val="auto"/>
        </w:rPr>
      </w:pPr>
    </w:p>
    <w:p>
      <w:pPr>
        <w:sectPr>
          <w:pgSz w:w="11900" w:h="16838" w:orient="portrait"/>
          <w:cols w:equalWidth="0" w:num="2">
            <w:col w:w="1720" w:space="720"/>
            <w:col w:w="8920"/>
          </w:cols>
          <w:pgMar w:left="280" w:top="607" w:right="259" w:bottom="1440" w:gutter="0" w:footer="0" w:header="0"/>
          <w:type w:val="continuous"/>
        </w:sectPr>
      </w:pPr>
    </w:p>
    <w:p>
      <w:pPr>
        <w:spacing w:after="0" w:line="210" w:lineRule="exact"/>
        <w:rPr>
          <w:sz w:val="20"/>
          <w:szCs w:val="20"/>
          <w:color w:val="auto"/>
        </w:rPr>
      </w:pPr>
    </w:p>
    <w:p>
      <w:pPr>
        <w:ind w:left="60" w:right="260"/>
        <w:spacing w:after="0" w:line="277" w:lineRule="auto"/>
        <w:rPr>
          <w:sz w:val="20"/>
          <w:szCs w:val="20"/>
          <w:color w:val="auto"/>
        </w:rPr>
      </w:pPr>
      <w:r>
        <w:rPr>
          <w:rFonts w:ascii="Arial" w:cs="Arial" w:eastAsia="Arial" w:hAnsi="Arial"/>
          <w:sz w:val="18"/>
          <w:szCs w:val="18"/>
          <w:color w:val="auto"/>
        </w:rPr>
        <w:t>The award shown in this statement is nontransferable and is subject to the terms and conditions of the 2005 United Technologies Corporation Long-Term Incentive Plan, as amended and restated on April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340360</wp:posOffset>
            </wp:positionV>
            <wp:extent cx="7160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right="400"/>
        <w:spacing w:after="0" w:line="264" w:lineRule="auto"/>
        <w:rPr>
          <w:sz w:val="20"/>
          <w:szCs w:val="20"/>
          <w:color w:val="auto"/>
        </w:rPr>
      </w:pPr>
      <w:r>
        <w:rPr>
          <w:rFonts w:ascii="Arial" w:cs="Arial" w:eastAsia="Arial" w:hAnsi="Arial"/>
          <w:sz w:val="18"/>
          <w:szCs w:val="18"/>
          <w:color w:val="auto"/>
        </w:rPr>
        <w:t xml:space="preserve">I hereby accept and agree to the amendment of the terms and conditions of the Executive Leadership Group (“ELG”) Restricted Stock Unit Retention Award (“Award”) originally granted on </w:t>
      </w:r>
      <w:r>
        <w:rPr>
          <w:rFonts w:ascii="Arial" w:cs="Arial" w:eastAsia="Arial" w:hAnsi="Arial"/>
          <w:sz w:val="18"/>
          <w:szCs w:val="18"/>
          <w:b w:val="1"/>
          <w:bCs w:val="1"/>
          <w:color w:val="auto"/>
        </w:rPr>
        <w:t>DATE]</w:t>
      </w:r>
      <w:r>
        <w:rPr>
          <w:rFonts w:ascii="Arial" w:cs="Arial" w:eastAsia="Arial" w:hAnsi="Arial"/>
          <w:sz w:val="18"/>
          <w:szCs w:val="18"/>
          <w:color w:val="auto"/>
        </w:rPr>
        <w:t xml:space="preserve"> as set forth in the revised October 2013 Schedule of Terms (the “Amended Schedule of Terms”), which modifies the vesting of the Award to provide that:</w:t>
      </w:r>
    </w:p>
    <w:p>
      <w:pPr>
        <w:spacing w:after="0" w:line="370" w:lineRule="exact"/>
        <w:rPr>
          <w:sz w:val="20"/>
          <w:szCs w:val="20"/>
          <w:color w:val="auto"/>
        </w:rPr>
      </w:pPr>
    </w:p>
    <w:p>
      <w:pPr>
        <w:ind w:left="2440" w:right="100" w:hanging="185"/>
        <w:spacing w:after="0" w:line="305" w:lineRule="auto"/>
        <w:tabs>
          <w:tab w:leader="none" w:pos="2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Restricted Stock Units (“RSUs”) vest upon Qualifying Separation from the Company with completion of at least three years of service as a member of the ELG. “Qualifying Separation” means and includes a Mutually Agreeable Termination, a Change-in-Control Termination or retirement at age 62 or later, as further defined in the Amended Schedule of Terms.</w:t>
      </w:r>
    </w:p>
    <w:p>
      <w:pPr>
        <w:ind w:left="2440" w:hanging="185"/>
        <w:spacing w:after="0"/>
        <w:tabs>
          <w:tab w:leader="none" w:pos="2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RSUs will no longer be subject to forfeiture in the event of death or total and permanent disability.</w:t>
      </w:r>
    </w:p>
    <w:p>
      <w:pPr>
        <w:spacing w:after="0" w:line="200" w:lineRule="exact"/>
        <w:rPr>
          <w:sz w:val="20"/>
          <w:szCs w:val="20"/>
          <w:color w:val="auto"/>
        </w:rPr>
      </w:pPr>
    </w:p>
    <w:p>
      <w:pPr>
        <w:spacing w:after="0" w:line="214" w:lineRule="exact"/>
        <w:rPr>
          <w:sz w:val="20"/>
          <w:szCs w:val="20"/>
          <w:color w:val="auto"/>
        </w:rPr>
      </w:pPr>
    </w:p>
    <w:p>
      <w:pPr>
        <w:jc w:val="both"/>
        <w:ind w:left="60" w:right="240"/>
        <w:spacing w:after="0" w:line="264" w:lineRule="auto"/>
        <w:rPr>
          <w:sz w:val="20"/>
          <w:szCs w:val="20"/>
          <w:color w:val="auto"/>
        </w:rPr>
      </w:pPr>
      <w:r>
        <w:rPr>
          <w:rFonts w:ascii="Arial" w:cs="Arial" w:eastAsia="Arial" w:hAnsi="Arial"/>
          <w:sz w:val="18"/>
          <w:szCs w:val="18"/>
          <w:color w:val="auto"/>
        </w:rPr>
        <w:t>I acknowledge and accept this Award subject to the 2005 United Technologies Corporation Long-Term Incentive Plan, as amended and restated on April 13, 2011, and the terms and conditions of the Executive Leadership Group Program, including all covenants set forth in the Amended Schedule of Terms, the ELG Agreement and ELG program materials (as amended from time to time).</w:t>
      </w:r>
    </w:p>
    <w:p>
      <w:pPr>
        <w:spacing w:after="0" w:line="3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Please sign this statement and return it in the envelope provided to:</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PLAN ADMINISTRATOR</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UNITED TECHNOLOGIES CORPORATION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UNITED TECHNOLOGIES BUILDING, MS 525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HARTFORD, CONNECTICUT 06101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31750</wp:posOffset>
            </wp:positionV>
            <wp:extent cx="6586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60"/>
          </w:cols>
          <w:pgMar w:left="280" w:top="607" w:right="25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10.13,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1440815" cy="342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0815" cy="3429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LONG-TERM INCENTIVE PLAN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EXECUTIVE LEADERSHIP GROUP RESTRICTED STOCK UNIT RETENTION AWARD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Date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right="80"/>
        <w:spacing w:after="0" w:line="317" w:lineRule="auto"/>
        <w:rPr>
          <w:sz w:val="20"/>
          <w:szCs w:val="20"/>
          <w:color w:val="auto"/>
        </w:rPr>
      </w:pPr>
      <w:r>
        <w:rPr>
          <w:rFonts w:ascii="Arial" w:cs="Arial" w:eastAsia="Arial" w:hAnsi="Arial"/>
          <w:sz w:val="16"/>
          <w:szCs w:val="16"/>
          <w:b w:val="1"/>
          <w:bCs w:val="1"/>
          <w:color w:val="auto"/>
        </w:rPr>
        <w:t>The retirement date from the Corporation on or after age 62 with a minimum of 3 years of ELG service.</w:t>
      </w:r>
    </w:p>
    <w:p>
      <w:pPr>
        <w:spacing w:after="0" w:line="1" w:lineRule="exact"/>
        <w:rPr>
          <w:sz w:val="20"/>
          <w:szCs w:val="20"/>
          <w:color w:val="auto"/>
        </w:rPr>
      </w:pPr>
    </w:p>
    <w:p>
      <w:pPr>
        <w:sectPr>
          <w:pgSz w:w="11900" w:h="16838" w:orient="portrait"/>
          <w:cols w:equalWidth="0" w:num="3">
            <w:col w:w="4240" w:space="720"/>
            <w:col w:w="1560" w:space="720"/>
            <w:col w:w="41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Restricted Share Units Awarded: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Grant Price:</w:t>
      </w:r>
    </w:p>
    <w:p>
      <w:pPr>
        <w:spacing w:after="0" w:line="86" w:lineRule="exact"/>
        <w:rPr>
          <w:sz w:val="20"/>
          <w:szCs w:val="20"/>
          <w:color w:val="auto"/>
        </w:rPr>
      </w:pPr>
    </w:p>
    <w:p>
      <w:pPr>
        <w:sectPr>
          <w:pgSz w:w="11900" w:h="16838" w:orient="portrait"/>
          <w:cols w:equalWidth="0" w:num="2">
            <w:col w:w="4240" w:space="720"/>
            <w:col w:w="6460"/>
          </w:cols>
          <w:pgMar w:left="240" w:top="121" w:right="239" w:bottom="1440" w:gutter="0" w:footer="0" w:header="0"/>
          <w:type w:val="continuous"/>
        </w:sectPr>
      </w:pPr>
    </w:p>
    <w:p>
      <w:pPr>
        <w:ind w:left="4960"/>
        <w:spacing w:after="0"/>
        <w:rPr>
          <w:sz w:val="20"/>
          <w:szCs w:val="20"/>
          <w:color w:val="auto"/>
        </w:rPr>
      </w:pPr>
      <w:r>
        <w:rPr>
          <w:rFonts w:ascii="Arial" w:cs="Arial" w:eastAsia="Arial" w:hAnsi="Arial"/>
          <w:sz w:val="16"/>
          <w:szCs w:val="16"/>
          <w:b w:val="1"/>
          <w:bCs w:val="1"/>
          <w:color w:val="auto"/>
        </w:rPr>
        <w:t>The award shown in this statement is nontransferable and is subject to the terms</w:t>
      </w:r>
    </w:p>
    <w:p>
      <w:pPr>
        <w:sectPr>
          <w:pgSz w:w="11900" w:h="16838" w:orient="portrait"/>
          <w:cols w:equalWidth="0" w:num="1">
            <w:col w:w="11420"/>
          </w:cols>
          <w:pgMar w:left="240" w:top="121" w:right="239" w:bottom="1440" w:gutter="0" w:footer="0" w:header="0"/>
          <w:type w:val="continuous"/>
        </w:sectPr>
      </w:pPr>
    </w:p>
    <w:p>
      <w:pPr>
        <w:spacing w:after="0" w:line="50" w:lineRule="exact"/>
        <w:rPr>
          <w:sz w:val="20"/>
          <w:szCs w:val="20"/>
          <w:color w:val="auto"/>
        </w:rPr>
      </w:pPr>
    </w:p>
    <w:p>
      <w:pPr>
        <w:ind w:left="4960" w:right="200"/>
        <w:spacing w:after="0" w:line="261" w:lineRule="auto"/>
        <w:rPr>
          <w:sz w:val="20"/>
          <w:szCs w:val="20"/>
          <w:color w:val="auto"/>
        </w:rPr>
      </w:pPr>
      <w:r>
        <w:rPr>
          <w:rFonts w:ascii="Arial" w:cs="Arial" w:eastAsia="Arial" w:hAnsi="Arial"/>
          <w:sz w:val="18"/>
          <w:szCs w:val="18"/>
          <w:b w:val="1"/>
          <w:bCs w:val="1"/>
          <w:color w:val="auto"/>
        </w:rPr>
        <w:t>and conditions of the 2005 United Technologies Corporation Long Term Incentive Plan.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SIGN AND DATE PORTION BELOW THE PERFORATION AND RETURN IT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283210</wp:posOffset>
            </wp:positionV>
            <wp:extent cx="1440815"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08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820" w:type="dxa"/>
            <w:vAlign w:val="bottom"/>
          </w:tcPr>
          <w:p>
            <w:pPr>
              <w:ind w:left="1360"/>
              <w:spacing w:after="0"/>
              <w:rPr>
                <w:sz w:val="20"/>
                <w:szCs w:val="20"/>
                <w:color w:val="auto"/>
              </w:rPr>
            </w:pPr>
            <w:r>
              <w:rPr>
                <w:rFonts w:ascii="Arial" w:cs="Arial" w:eastAsia="Arial" w:hAnsi="Arial"/>
                <w:sz w:val="18"/>
                <w:szCs w:val="18"/>
                <w:b w:val="1"/>
                <w:bCs w:val="1"/>
                <w:color w:val="auto"/>
              </w:rPr>
              <w:t>LONG-TERM INCENTIVE PLAN AWARD</w:t>
            </w:r>
          </w:p>
        </w:tc>
      </w:tr>
      <w:tr>
        <w:trPr>
          <w:trHeight w:val="27"/>
        </w:trPr>
        <w:tc>
          <w:tcPr>
            <w:tcW w:w="11420" w:type="dxa"/>
            <w:vAlign w:val="bottom"/>
            <w:tcBorders>
              <w:bottom w:val="single" w:sz="8" w:color="auto"/>
            </w:tcBorders>
            <w:gridSpan w:val="3"/>
          </w:tcPr>
          <w:p>
            <w:pPr>
              <w:spacing w:after="0"/>
              <w:rPr>
                <w:sz w:val="2"/>
                <w:szCs w:val="2"/>
                <w:color w:val="auto"/>
              </w:rPr>
            </w:pPr>
          </w:p>
        </w:tc>
      </w:tr>
      <w:tr>
        <w:trPr>
          <w:trHeight w:val="237"/>
        </w:trPr>
        <w:tc>
          <w:tcPr>
            <w:tcW w:w="11420" w:type="dxa"/>
            <w:vAlign w:val="bottom"/>
            <w:gridSpan w:val="3"/>
          </w:tcPr>
          <w:p>
            <w:pPr>
              <w:ind w:left="2120"/>
              <w:spacing w:after="0"/>
              <w:rPr>
                <w:sz w:val="20"/>
                <w:szCs w:val="20"/>
                <w:color w:val="auto"/>
              </w:rPr>
            </w:pPr>
            <w:r>
              <w:rPr>
                <w:rFonts w:ascii="Arial" w:cs="Arial" w:eastAsia="Arial" w:hAnsi="Arial"/>
                <w:sz w:val="18"/>
                <w:szCs w:val="18"/>
                <w:b w:val="1"/>
                <w:bCs w:val="1"/>
                <w:color w:val="auto"/>
              </w:rPr>
              <w:t>EXECUTIVE LEADERSHIP GROUP RESTRICTED STOCK UNIT RETENTION AWARD</w:t>
            </w:r>
          </w:p>
        </w:tc>
      </w:tr>
      <w:tr>
        <w:trPr>
          <w:trHeight w:val="603"/>
        </w:trPr>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Date of Grant:</w:t>
            </w:r>
          </w:p>
        </w:tc>
        <w:tc>
          <w:tcPr>
            <w:tcW w:w="2840" w:type="dxa"/>
            <w:vAlign w:val="bottom"/>
          </w:tcPr>
          <w:p>
            <w:pPr>
              <w:ind w:left="1200"/>
              <w:spacing w:after="0"/>
              <w:rPr>
                <w:sz w:val="20"/>
                <w:szCs w:val="20"/>
                <w:color w:val="auto"/>
              </w:rPr>
            </w:pPr>
            <w:r>
              <w:rPr>
                <w:rFonts w:ascii="Arial" w:cs="Arial" w:eastAsia="Arial" w:hAnsi="Arial"/>
                <w:sz w:val="18"/>
                <w:szCs w:val="18"/>
                <w:b w:val="1"/>
                <w:bCs w:val="1"/>
                <w:color w:val="auto"/>
              </w:rPr>
              <w:t>Vesting Date:</w:t>
            </w:r>
          </w:p>
        </w:tc>
        <w:tc>
          <w:tcPr>
            <w:tcW w:w="4820" w:type="dxa"/>
            <w:vAlign w:val="bottom"/>
          </w:tcPr>
          <w:p>
            <w:pPr>
              <w:ind w:left="640"/>
              <w:spacing w:after="0"/>
              <w:rPr>
                <w:sz w:val="20"/>
                <w:szCs w:val="20"/>
                <w:color w:val="auto"/>
              </w:rPr>
            </w:pPr>
            <w:r>
              <w:rPr>
                <w:rFonts w:ascii="Arial" w:cs="Arial" w:eastAsia="Arial" w:hAnsi="Arial"/>
                <w:sz w:val="18"/>
                <w:szCs w:val="18"/>
                <w:b w:val="1"/>
                <w:bCs w:val="1"/>
                <w:color w:val="auto"/>
                <w:w w:val="93"/>
              </w:rPr>
              <w:t>The retirement date from the Corporation on or after</w:t>
            </w:r>
          </w:p>
        </w:tc>
      </w:tr>
      <w:tr>
        <w:trPr>
          <w:trHeight w:val="234"/>
        </w:trPr>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820" w:type="dxa"/>
            <w:vAlign w:val="bottom"/>
          </w:tcPr>
          <w:p>
            <w:pPr>
              <w:ind w:left="640"/>
              <w:spacing w:after="0"/>
              <w:rPr>
                <w:sz w:val="20"/>
                <w:szCs w:val="20"/>
                <w:color w:val="auto"/>
              </w:rPr>
            </w:pPr>
            <w:r>
              <w:rPr>
                <w:rFonts w:ascii="Arial" w:cs="Arial" w:eastAsia="Arial" w:hAnsi="Arial"/>
                <w:sz w:val="18"/>
                <w:szCs w:val="18"/>
                <w:b w:val="1"/>
                <w:bCs w:val="1"/>
                <w:color w:val="auto"/>
                <w:w w:val="98"/>
              </w:rPr>
              <w:t>age 62 with a minimum of 3 years of ELG service.</w:t>
            </w:r>
          </w:p>
        </w:tc>
      </w:tr>
      <w:tr>
        <w:trPr>
          <w:trHeight w:val="270"/>
        </w:trPr>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Restricted Share Units Awarded:</w:t>
            </w:r>
          </w:p>
        </w:tc>
        <w:tc>
          <w:tcPr>
            <w:tcW w:w="2840" w:type="dxa"/>
            <w:vAlign w:val="bottom"/>
          </w:tcPr>
          <w:p>
            <w:pPr>
              <w:ind w:left="1200"/>
              <w:spacing w:after="0"/>
              <w:rPr>
                <w:sz w:val="20"/>
                <w:szCs w:val="20"/>
                <w:color w:val="auto"/>
              </w:rPr>
            </w:pPr>
            <w:r>
              <w:rPr>
                <w:rFonts w:ascii="Arial" w:cs="Arial" w:eastAsia="Arial" w:hAnsi="Arial"/>
                <w:sz w:val="18"/>
                <w:szCs w:val="18"/>
                <w:b w:val="1"/>
                <w:bCs w:val="1"/>
                <w:color w:val="auto"/>
              </w:rPr>
              <w:t>Grant Price:</w:t>
            </w:r>
          </w:p>
        </w:tc>
        <w:tc>
          <w:tcPr>
            <w:tcW w:w="4820" w:type="dxa"/>
            <w:vAlign w:val="bottom"/>
          </w:tcPr>
          <w:p>
            <w:pPr>
              <w:spacing w:after="0"/>
              <w:rPr>
                <w:sz w:val="23"/>
                <w:szCs w:val="23"/>
                <w:color w:val="auto"/>
              </w:rPr>
            </w:pPr>
          </w:p>
        </w:tc>
      </w:tr>
      <w:tr>
        <w:trPr>
          <w:trHeight w:val="252"/>
        </w:trPr>
        <w:tc>
          <w:tcPr>
            <w:tcW w:w="3760" w:type="dxa"/>
            <w:vAlign w:val="bottom"/>
          </w:tcPr>
          <w:p>
            <w:pPr>
              <w:spacing w:after="0"/>
              <w:rPr>
                <w:sz w:val="21"/>
                <w:szCs w:val="21"/>
                <w:color w:val="auto"/>
              </w:rPr>
            </w:pPr>
          </w:p>
        </w:tc>
        <w:tc>
          <w:tcPr>
            <w:tcW w:w="7660" w:type="dxa"/>
            <w:vAlign w:val="bottom"/>
            <w:gridSpan w:val="2"/>
          </w:tcPr>
          <w:p>
            <w:pPr>
              <w:ind w:left="1200"/>
              <w:spacing w:after="0"/>
              <w:rPr>
                <w:sz w:val="20"/>
                <w:szCs w:val="20"/>
                <w:color w:val="auto"/>
              </w:rPr>
            </w:pPr>
            <w:r>
              <w:rPr>
                <w:rFonts w:ascii="Arial" w:cs="Arial" w:eastAsia="Arial" w:hAnsi="Arial"/>
                <w:sz w:val="18"/>
                <w:szCs w:val="18"/>
                <w:b w:val="1"/>
                <w:bCs w:val="1"/>
                <w:color w:val="auto"/>
                <w:w w:val="92"/>
              </w:rPr>
              <w:t>The award shown in this statement is nontransferable and is subject to the terms</w:t>
            </w:r>
          </w:p>
        </w:tc>
      </w:tr>
      <w:tr>
        <w:trPr>
          <w:trHeight w:val="216"/>
        </w:trPr>
        <w:tc>
          <w:tcPr>
            <w:tcW w:w="3760" w:type="dxa"/>
            <w:vAlign w:val="bottom"/>
          </w:tcPr>
          <w:p>
            <w:pPr>
              <w:spacing w:after="0"/>
              <w:rPr>
                <w:sz w:val="18"/>
                <w:szCs w:val="18"/>
                <w:color w:val="auto"/>
              </w:rPr>
            </w:pPr>
          </w:p>
        </w:tc>
        <w:tc>
          <w:tcPr>
            <w:tcW w:w="7660" w:type="dxa"/>
            <w:vAlign w:val="bottom"/>
            <w:gridSpan w:val="2"/>
          </w:tcPr>
          <w:p>
            <w:pPr>
              <w:ind w:left="1200"/>
              <w:spacing w:after="0"/>
              <w:rPr>
                <w:sz w:val="20"/>
                <w:szCs w:val="20"/>
                <w:color w:val="auto"/>
              </w:rPr>
            </w:pPr>
            <w:r>
              <w:rPr>
                <w:rFonts w:ascii="Arial" w:cs="Arial" w:eastAsia="Arial" w:hAnsi="Arial"/>
                <w:sz w:val="18"/>
                <w:szCs w:val="18"/>
                <w:b w:val="1"/>
                <w:bCs w:val="1"/>
                <w:color w:val="auto"/>
                <w:w w:val="92"/>
              </w:rPr>
              <w:t>and conditions of the 2005 United Technologies Corporation Long Term Incentive</w:t>
            </w:r>
          </w:p>
        </w:tc>
      </w:tr>
      <w:tr>
        <w:trPr>
          <w:trHeight w:val="234"/>
        </w:trPr>
        <w:tc>
          <w:tcPr>
            <w:tcW w:w="3760" w:type="dxa"/>
            <w:vAlign w:val="bottom"/>
          </w:tcPr>
          <w:p>
            <w:pPr>
              <w:spacing w:after="0"/>
              <w:rPr>
                <w:sz w:val="20"/>
                <w:szCs w:val="20"/>
                <w:color w:val="auto"/>
              </w:rPr>
            </w:pPr>
          </w:p>
        </w:tc>
        <w:tc>
          <w:tcPr>
            <w:tcW w:w="2840" w:type="dxa"/>
            <w:vAlign w:val="bottom"/>
          </w:tcPr>
          <w:p>
            <w:pPr>
              <w:ind w:left="1200"/>
              <w:spacing w:after="0"/>
              <w:rPr>
                <w:sz w:val="20"/>
                <w:szCs w:val="20"/>
                <w:color w:val="auto"/>
              </w:rPr>
            </w:pPr>
            <w:r>
              <w:rPr>
                <w:rFonts w:ascii="Arial" w:cs="Arial" w:eastAsia="Arial" w:hAnsi="Arial"/>
                <w:sz w:val="18"/>
                <w:szCs w:val="18"/>
                <w:b w:val="1"/>
                <w:bCs w:val="1"/>
                <w:color w:val="auto"/>
              </w:rPr>
              <w:t>Plan.</w:t>
            </w:r>
          </w:p>
        </w:tc>
        <w:tc>
          <w:tcPr>
            <w:tcW w:w="4820" w:type="dxa"/>
            <w:vAlign w:val="bottom"/>
          </w:tcPr>
          <w:p>
            <w:pPr>
              <w:spacing w:after="0"/>
              <w:rPr>
                <w:sz w:val="20"/>
                <w:szCs w:val="20"/>
                <w:color w:val="auto"/>
              </w:rPr>
            </w:pPr>
          </w:p>
        </w:tc>
      </w:tr>
    </w:tbl>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Please sign this form and return it in the enclosed envelope to: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PROGRAM ADMINISTRATOR - STOCK OPTIONS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UNITED TECHNOLOGIES CORPORATION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UNITED TECHNOLOGIES BUILDING, MS 504</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HARTFORD, CONNECTICUT 06101</w:t>
      </w:r>
    </w:p>
    <w:p>
      <w:pPr>
        <w:spacing w:after="0" w:line="45" w:lineRule="exact"/>
        <w:rPr>
          <w:sz w:val="20"/>
          <w:szCs w:val="20"/>
          <w:color w:val="auto"/>
        </w:rPr>
      </w:pPr>
    </w:p>
    <w:p>
      <w:pPr>
        <w:ind w:left="40" w:right="80"/>
        <w:spacing w:after="0" w:line="289" w:lineRule="auto"/>
        <w:rPr>
          <w:sz w:val="20"/>
          <w:szCs w:val="20"/>
          <w:color w:val="auto"/>
        </w:rPr>
      </w:pPr>
      <w:r>
        <w:rPr>
          <w:rFonts w:ascii="Arial" w:cs="Arial" w:eastAsia="Arial" w:hAnsi="Arial"/>
          <w:sz w:val="17"/>
          <w:szCs w:val="17"/>
          <w:b w:val="1"/>
          <w:bCs w:val="1"/>
          <w:color w:val="auto"/>
        </w:rPr>
        <w:t>I acknowledge receipt of this ELG Restricted Share Unit Retention Award and the attached Schedule of Terms describing my Award. I accept this Award subject to such Schedule of Terms, the 2005 United Technologies Corporation Long Term Incentive Plan and the terms and conditions of the Executive Leadership Group Program, including the covenants set forth in the Schedule of Terms.</w:t>
      </w:r>
    </w:p>
    <w:p>
      <w:pPr>
        <w:spacing w:after="0" w:line="131" w:lineRule="exact"/>
        <w:rPr>
          <w:sz w:val="20"/>
          <w:szCs w:val="20"/>
          <w:color w:val="auto"/>
        </w:rPr>
      </w:pPr>
    </w:p>
    <w:p>
      <w:pPr>
        <w:ind w:left="1520"/>
        <w:spacing w:after="0"/>
        <w:tabs>
          <w:tab w:leader="none" w:pos="6140" w:val="left"/>
        </w:tabs>
        <w:rPr>
          <w:sz w:val="20"/>
          <w:szCs w:val="20"/>
          <w:color w:val="auto"/>
        </w:rPr>
      </w:pPr>
      <w:r>
        <w:rPr>
          <w:rFonts w:ascii="Arial" w:cs="Arial" w:eastAsia="Arial" w:hAnsi="Arial"/>
          <w:sz w:val="18"/>
          <w:szCs w:val="18"/>
          <w:b w:val="1"/>
          <w:bCs w:val="1"/>
          <w:color w:val="auto"/>
        </w:rPr>
        <w:t>Signed</w:t>
      </w:r>
      <w:r>
        <w:rPr>
          <w:sz w:val="20"/>
          <w:szCs w:val="20"/>
          <w:color w:val="auto"/>
        </w:rPr>
        <w:tab/>
      </w: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34290</wp:posOffset>
            </wp:positionV>
            <wp:extent cx="48621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6219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4" w:name="page105"/>
    <w:bookmarkEnd w:id="104"/>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Interest expense</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One-third of rents</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Total earnings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7,092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7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Ratio of earnings to 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0" w:hanging="332"/>
        <w:spacing w:after="0" w:line="262" w:lineRule="auto"/>
        <w:tabs>
          <w:tab w:leader="none" w:pos="34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Pursuant to the guidance in the Income Taxes Topic of the FASB ASC, interest related to unrecognized tax benefits recorded was approximately $29 million and $31 million for the each of the nine months ended September 30, 2013 and 2012, respectively. The ratio of earnings to fixed charges would have been 8.14 and 8.62 for the nine months ended September 30, 2013 and 2012, respectively, if such interest were excluded from the calculation.</w:t>
      </w:r>
    </w:p>
    <w:p>
      <w:pPr>
        <w:ind w:left="340" w:hanging="332"/>
        <w:spacing w:after="0" w:line="212" w:lineRule="auto"/>
        <w:tabs>
          <w:tab w:leader="none" w:pos="34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October 25,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160"/>
        <w:spacing w:after="0" w:line="219" w:lineRule="exact"/>
        <w:rPr>
          <w:sz w:val="20"/>
          <w:szCs w:val="20"/>
          <w:color w:val="auto"/>
        </w:rPr>
      </w:pPr>
      <w:r>
        <w:rPr>
          <w:rFonts w:ascii="Arial" w:cs="Arial" w:eastAsia="Arial" w:hAnsi="Arial"/>
          <w:sz w:val="18"/>
          <w:szCs w:val="18"/>
          <w:color w:val="auto"/>
        </w:rPr>
        <w:t>We are aware that our report dated October 25, 2013 on our review of interim financial information of United Technologies Corporation (the "Corporation") for the three-month and nine-month periods ending September 30, 2013 and 2012 and included in the Corporation's quarterly report on Form 10-Q for the quarter ended September 30, 2013 is incorporated by reference in its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(No. 333-188957) and in the Registration Statements on Form S-8 (Nos. 333-183123, 333-177520, 333-177517, 333-175781, 333-150643, 333-125293, 333-110020, 333-100724, 333-100723, 333-100718, 333-77817 and 033-51385).</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17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Louis R. Chênevert</w:t>
      </w:r>
    </w:p>
    <w:p>
      <w:pPr>
        <w:spacing w:after="0" w:line="63" w:lineRule="exact"/>
        <w:rPr>
          <w:sz w:val="20"/>
          <w:szCs w:val="20"/>
          <w:color w:val="auto"/>
        </w:rPr>
      </w:pPr>
    </w:p>
    <w:p>
      <w:pPr>
        <w:ind w:left="40"/>
        <w:spacing w:after="0"/>
        <w:tabs>
          <w:tab w:leader="none" w:pos="70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25, 2013</w:t>
      </w:r>
      <w:r>
        <w:rPr>
          <w:sz w:val="20"/>
          <w:szCs w:val="20"/>
          <w:color w:val="auto"/>
        </w:rPr>
        <w:tab/>
      </w:r>
      <w:r>
        <w:rPr>
          <w:rFonts w:ascii="Arial" w:cs="Arial" w:eastAsia="Arial" w:hAnsi="Arial"/>
          <w:sz w:val="16"/>
          <w:szCs w:val="16"/>
          <w:color w:val="auto"/>
        </w:rPr>
        <w:t>Chairman &amp; Chief Executive Officer</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40"/>
        <w:spacing w:after="0"/>
        <w:tabs>
          <w:tab w:leader="none" w:pos="600" w:val="left"/>
          <w:tab w:leader="none" w:pos="6760" w:val="left"/>
        </w:tabs>
        <w:rPr>
          <w:sz w:val="20"/>
          <w:szCs w:val="20"/>
          <w:color w:val="auto"/>
        </w:rPr>
      </w:pPr>
      <w:r>
        <w:rPr>
          <w:rFonts w:ascii="Arial" w:cs="Arial" w:eastAsia="Arial" w:hAnsi="Arial"/>
          <w:sz w:val="18"/>
          <w:szCs w:val="18"/>
          <w:color w:val="auto"/>
        </w:rPr>
        <w:t>Date:</w:t>
        <w:tab/>
        <w:t>October 25, 2013</w:t>
      </w:r>
      <w:r>
        <w:rPr>
          <w:sz w:val="20"/>
          <w:szCs w:val="20"/>
          <w:color w:val="auto"/>
        </w:rPr>
        <w:tab/>
      </w:r>
      <w:r>
        <w:rPr>
          <w:rFonts w:ascii="Arial" w:cs="Arial" w:eastAsia="Arial" w:hAnsi="Arial"/>
          <w:sz w:val="16"/>
          <w:szCs w:val="16"/>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E. Stantial, certify that:</w:t>
      </w:r>
    </w:p>
    <w:p>
      <w:pPr>
        <w:spacing w:after="0" w:line="171"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E. S</w:t>
      </w:r>
      <w:r>
        <w:rPr>
          <w:rFonts w:ascii="Arial" w:cs="Arial" w:eastAsia="Arial" w:hAnsi="Arial"/>
          <w:sz w:val="14"/>
          <w:szCs w:val="14"/>
          <w:color w:val="auto"/>
        </w:rPr>
        <w:t>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John E. Stantial</w:t>
      </w:r>
    </w:p>
    <w:p>
      <w:pPr>
        <w:spacing w:after="0" w:line="63" w:lineRule="exact"/>
        <w:rPr>
          <w:sz w:val="20"/>
          <w:szCs w:val="20"/>
          <w:color w:val="auto"/>
        </w:rPr>
      </w:pPr>
    </w:p>
    <w:p>
      <w:pPr>
        <w:ind w:left="40"/>
        <w:spacing w:after="0"/>
        <w:tabs>
          <w:tab w:leader="none" w:pos="600" w:val="left"/>
          <w:tab w:leader="none" w:pos="5500" w:val="left"/>
        </w:tabs>
        <w:rPr>
          <w:sz w:val="20"/>
          <w:szCs w:val="20"/>
          <w:color w:val="auto"/>
        </w:rPr>
      </w:pPr>
      <w:r>
        <w:rPr>
          <w:rFonts w:ascii="Arial" w:cs="Arial" w:eastAsia="Arial" w:hAnsi="Arial"/>
          <w:sz w:val="18"/>
          <w:szCs w:val="18"/>
          <w:color w:val="auto"/>
        </w:rPr>
        <w:t>Date:</w:t>
        <w:tab/>
        <w:t>October 25, 2013</w:t>
      </w:r>
      <w:r>
        <w:rPr>
          <w:sz w:val="20"/>
          <w:szCs w:val="20"/>
          <w:color w:val="auto"/>
        </w:rPr>
        <w:tab/>
      </w:r>
      <w:r>
        <w:rPr>
          <w:rFonts w:ascii="Arial" w:cs="Arial" w:eastAsia="Arial" w:hAnsi="Arial"/>
          <w:sz w:val="16"/>
          <w:szCs w:val="16"/>
          <w:color w:val="auto"/>
        </w:rPr>
        <w:t>Acting Controller and Assistant Controller, Financial Reporting</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93"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The Quarterly Report on Form 10-Q for the quarter ended September 30, 2013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ectPr>
          <w:pgSz w:w="11900" w:h="16838" w:orient="portrait"/>
          <w:cols w:equalWidth="0" w:num="1">
            <w:col w:w="11420"/>
          </w:cols>
          <w:pgMar w:left="240" w:top="580" w:right="239" w:bottom="1440" w:gutter="0" w:footer="0" w:header="0"/>
        </w:sectPr>
      </w:pPr>
    </w:p>
    <w:p>
      <w:pPr>
        <w:spacing w:after="0" w:line="31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6"/>
          <w:szCs w:val="16"/>
          <w:color w:val="auto"/>
        </w:rPr>
        <w:t>Date:</w:t>
        <w:tab/>
        <w:t>October 25,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6"/>
          <w:szCs w:val="16"/>
          <w:color w:val="auto"/>
        </w:rPr>
        <w:t>Date:</w:t>
        <w:tab/>
        <w:t>October 25,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6"/>
          <w:szCs w:val="16"/>
          <w:color w:val="auto"/>
        </w:rPr>
        <w:t>Date:</w:t>
        <w:tab/>
        <w:t>October 25, 2013</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39103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Louis R. Chênevert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Chairman &amp; Chief Executive Officer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3910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 JOHN E. STANTIAL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3910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John E. Stantial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Acting Controller and Assistant Controller, Financial Reporting</w:t>
      </w:r>
    </w:p>
    <w:sectPr>
      <w:pgSz w:w="11900" w:h="16838" w:orient="portrait"/>
      <w:cols w:equalWidth="0" w:num="2">
        <w:col w:w="4560" w:space="720"/>
        <w:col w:w="614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decimal"/>
      <w:start w:val="3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decimal"/>
      <w:start w:val="3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lvl w:ilvl="4">
      <w:lvlJc w:val="left"/>
      <w:lvlText w:val="%5."/>
      <w:numFmt w:val="lowerLetter"/>
      <w:start w:val="1"/>
    </w:lvl>
  </w:abstractNum>
  <w:abstractNum w:abstractNumId="17">
    <w:nsid w:val="5E884ADC"/>
    <w:multiLevelType w:val="hybridMultilevel"/>
    <w:lvl w:ilvl="0">
      <w:lvlJc w:val="left"/>
      <w:lvlText w:val="%1."/>
      <w:numFmt w:val="lowerLetter"/>
      <w:start w:val="2"/>
    </w:lvl>
  </w:abstractNum>
  <w:abstractNum w:abstractNumId="18">
    <w:nsid w:val="51EAD36B"/>
    <w:multiLevelType w:val="hybridMultilevel"/>
    <w:lvl w:ilvl="0">
      <w:lvlJc w:val="left"/>
      <w:lvlText w:val="%1."/>
      <w:numFmt w:val="decimal"/>
      <w:start w:val="4"/>
    </w:lvl>
  </w:abstractNum>
  <w:abstractNum w:abstractNumId="19">
    <w:nsid w:val="2D517796"/>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abstractNum>
  <w:abstractNum w:abstractNumId="20">
    <w:nsid w:val="580BD78F"/>
    <w:multiLevelType w:val="hybridMultilevel"/>
    <w:lvl w:ilvl="0">
      <w:lvlJc w:val="left"/>
      <w:lvlText w:val="(%1)"/>
      <w:numFmt w:val="lowerLetter"/>
      <w:start w:val="4"/>
    </w:lvl>
    <w:lvl w:ilvl="1">
      <w:lvlJc w:val="left"/>
      <w:lvlText w:val="%2"/>
      <w:numFmt w:val="upperLetter"/>
      <w:start w:val="1"/>
    </w:lvl>
    <w:lvl w:ilvl="2">
      <w:lvlJc w:val="left"/>
      <w:lvlText w:val="%3"/>
      <w:numFmt w:val="decimal"/>
      <w:start w:val="1"/>
    </w:lvl>
  </w:abstractNum>
  <w:abstractNum w:abstractNumId="21">
    <w:nsid w:val="153EA438"/>
    <w:multiLevelType w:val="hybridMultilevel"/>
    <w:lvl w:ilvl="0">
      <w:lvlJc w:val="left"/>
      <w:lvlText w:val="%1)"/>
      <w:numFmt w:val="lowerLetter"/>
      <w:start w:val="1"/>
    </w:lvl>
    <w:lvl w:ilvl="1">
      <w:lvlJc w:val="left"/>
      <w:lvlText w:val="(%2)"/>
      <w:numFmt w:val="lowerRoman"/>
      <w:start w:val="1"/>
    </w:lvl>
  </w:abstractNum>
  <w:abstractNum w:abstractNumId="22">
    <w:nsid w:val="3855585C"/>
    <w:multiLevelType w:val="hybridMultilevel"/>
    <w:lvl w:ilvl="0">
      <w:lvlJc w:val="left"/>
      <w:lvlText w:val="%1)"/>
      <w:numFmt w:val="lowerLetter"/>
      <w:start w:val="4"/>
    </w:lvl>
  </w:abstractNum>
  <w:abstractNum w:abstractNumId="23">
    <w:nsid w:val="70A64E2A"/>
    <w:multiLevelType w:val="hybridMultilevel"/>
    <w:lvl w:ilvl="0">
      <w:lvlJc w:val="left"/>
      <w:lvlText w:val="%1"/>
      <w:numFmt w:val="decimal"/>
      <w:start w:val="1"/>
    </w:lvl>
    <w:lvl w:ilvl="1">
      <w:lvlJc w:val="left"/>
      <w:lvlText w:val="%2)"/>
      <w:numFmt w:val="lowerLetter"/>
      <w:start w:val="2"/>
    </w:lvl>
  </w:abstractNum>
  <w:abstractNum w:abstractNumId="24">
    <w:nsid w:val="6A2342EC"/>
    <w:multiLevelType w:val="hybridMultilevel"/>
    <w:lvl w:ilvl="0">
      <w:lvlJc w:val="left"/>
      <w:lvlText w:val="%1."/>
      <w:numFmt w:val="decimal"/>
      <w:start w:val="2"/>
    </w:lvl>
    <w:lvl w:ilvl="1">
      <w:lvlJc w:val="left"/>
      <w:lvlText w:val="%2"/>
      <w:numFmt w:val="lowerLetter"/>
      <w:start w:val="1"/>
    </w:lvl>
  </w:abstractNum>
  <w:abstractNum w:abstractNumId="25">
    <w:nsid w:val="2A487CB0"/>
    <w:multiLevelType w:val="hybridMultilevel"/>
    <w:lvl w:ilvl="0">
      <w:lvlJc w:val="left"/>
      <w:lvlText w:val="%1)"/>
      <w:numFmt w:val="lowerLetter"/>
      <w:start w:val="3"/>
    </w:lvl>
  </w:abstractNum>
  <w:abstractNum w:abstractNumId="26">
    <w:nsid w:val="1D4ED43B"/>
    <w:multiLevelType w:val="hybridMultilevel"/>
    <w:lvl w:ilvl="0">
      <w:lvlJc w:val="left"/>
      <w:lvlText w:val="%1"/>
      <w:numFmt w:val="decimal"/>
      <w:start w:val="1"/>
    </w:lvl>
    <w:lvl w:ilvl="1">
      <w:lvlJc w:val="left"/>
      <w:lvlText w:val="%2)"/>
      <w:numFmt w:val="lowerLetter"/>
      <w:start w:val="7"/>
    </w:lvl>
  </w:abstractNum>
  <w:abstractNum w:abstractNumId="27">
    <w:nsid w:val="725A06FB"/>
    <w:multiLevelType w:val="hybridMultilevel"/>
    <w:lvl w:ilvl="0">
      <w:lvlJc w:val="left"/>
      <w:lvlText w:val="%1."/>
      <w:numFmt w:val="decimal"/>
      <w:start w:val="3"/>
    </w:lvl>
    <w:lvl w:ilvl="1">
      <w:lvlJc w:val="left"/>
      <w:lvlText w:val="%2)"/>
      <w:numFmt w:val="lowerLetter"/>
      <w:start w:val="2"/>
    </w:lvl>
  </w:abstractNum>
  <w:abstractNum w:abstractNumId="28">
    <w:nsid w:val="2CD89A32"/>
    <w:multiLevelType w:val="hybridMultilevel"/>
    <w:lvl w:ilvl="0">
      <w:lvlJc w:val="left"/>
      <w:lvlText w:val="%1)"/>
      <w:numFmt w:val="lowerRoman"/>
      <w:start w:val="1"/>
    </w:lvl>
  </w:abstractNum>
  <w:abstractNum w:abstractNumId="29">
    <w:nsid w:val="57E4CCAF"/>
    <w:multiLevelType w:val="hybridMultilevel"/>
    <w:lvl w:ilvl="0">
      <w:lvlJc w:val="left"/>
      <w:lvlText w:val="%1."/>
      <w:numFmt w:val="decimal"/>
      <w:start w:val="4"/>
    </w:lvl>
    <w:lvl w:ilvl="1">
      <w:lvlJc w:val="left"/>
      <w:lvlText w:val="%2)"/>
      <w:numFmt w:val="lowerLetter"/>
      <w:start w:val="1"/>
    </w:lvl>
  </w:abstractNum>
  <w:abstractNum w:abstractNumId="30">
    <w:nsid w:val="7A6D8D3C"/>
    <w:multiLevelType w:val="hybridMultilevel"/>
    <w:lvl w:ilvl="0">
      <w:lvlJc w:val="left"/>
      <w:lvlText w:val="(%1)"/>
      <w:numFmt w:val="lowerRoman"/>
      <w:start w:val="1"/>
    </w:lvl>
  </w:abstractNum>
  <w:abstractNum w:abstractNumId="31">
    <w:nsid w:val="4B588F54"/>
    <w:multiLevelType w:val="hybridMultilevel"/>
    <w:lvl w:ilvl="0">
      <w:lvlJc w:val="left"/>
      <w:lvlText w:val="%1)"/>
      <w:numFmt w:val="lowerLetter"/>
      <w:start w:val="5"/>
    </w:lvl>
  </w:abstractNum>
  <w:abstractNum w:abstractNumId="32">
    <w:nsid w:val="542289EC"/>
    <w:multiLevelType w:val="hybridMultilevel"/>
    <w:lvl w:ilvl="0">
      <w:lvlJc w:val="left"/>
      <w:lvlText w:val="%1"/>
      <w:numFmt w:val="decimal"/>
      <w:start w:val="1"/>
    </w:lvl>
    <w:lvl w:ilvl="1">
      <w:lvlJc w:val="left"/>
      <w:lvlText w:val="%2)"/>
      <w:numFmt w:val="lowerLetter"/>
      <w:start w:val="6"/>
    </w:lvl>
  </w:abstractNum>
  <w:abstractNum w:abstractNumId="33">
    <w:nsid w:val="6DE91B18"/>
    <w:multiLevelType w:val="hybridMultilevel"/>
    <w:lvl w:ilvl="0">
      <w:lvlJc w:val="left"/>
      <w:lvlText w:val="%1."/>
      <w:numFmt w:val="decimal"/>
      <w:start w:val="5"/>
    </w:lvl>
    <w:lvl w:ilvl="1">
      <w:lvlJc w:val="left"/>
      <w:lvlText w:val="%2"/>
      <w:numFmt w:val="lowerLetter"/>
      <w:start w:val="1"/>
    </w:lvl>
  </w:abstractNum>
  <w:abstractNum w:abstractNumId="34">
    <w:nsid w:val="38437FDB"/>
    <w:multiLevelType w:val="hybridMultilevel"/>
    <w:lvl w:ilvl="0">
      <w:lvlJc w:val="left"/>
      <w:lvlText w:val="%1."/>
      <w:numFmt w:val="decimal"/>
      <w:start w:val="12"/>
    </w:lvl>
  </w:abstractNum>
  <w:abstractNum w:abstractNumId="35">
    <w:nsid w:val="7644A45C"/>
    <w:multiLevelType w:val="hybridMultilevel"/>
    <w:lvl w:ilvl="0">
      <w:lvlJc w:val="left"/>
      <w:lvlText w:val="(%1)"/>
      <w:numFmt w:val="lowerLetter"/>
      <w:start w:val="2"/>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lowerLetter"/>
      <w:start w:val="1"/>
    </w:lvl>
    <w:lvl w:ilvl="1">
      <w:lvlJc w:val="left"/>
      <w:lvlText w:val="(%2)"/>
      <w:numFmt w:val="lowerRoman"/>
      <w:start w:val="1"/>
    </w:lvl>
  </w:abstractNum>
  <w:abstractNum w:abstractNumId="38">
    <w:nsid w:val="579478F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39">
    <w:nsid w:val="749ABB43"/>
    <w:multiLevelType w:val="hybridMultilevel"/>
    <w:lvl w:ilvl="0">
      <w:lvlJc w:val="left"/>
      <w:lvlText w:val="(%1)"/>
      <w:numFmt w:val="upperLetter"/>
      <w:start w:val="2"/>
    </w:lvl>
  </w:abstractNum>
  <w:abstractNum w:abstractNumId="40">
    <w:nsid w:val="3DC240FB"/>
    <w:multiLevelType w:val="hybridMultilevel"/>
    <w:lvl w:ilvl="0">
      <w:lvlJc w:val="left"/>
      <w:lvlText w:val="%1"/>
      <w:numFmt w:val="lowerLetter"/>
      <w:start w:val="1"/>
    </w:lvl>
    <w:lvl w:ilvl="1">
      <w:lvlJc w:val="left"/>
      <w:lvlText w:val="%2."/>
      <w:numFmt w:val="decimal"/>
      <w:start w:val="1"/>
    </w:lvl>
  </w:abstractNum>
  <w:abstractNum w:abstractNumId="41">
    <w:nsid w:val="1BA026FA"/>
    <w:multiLevelType w:val="hybridMultilevel"/>
    <w:lvl w:ilvl="0">
      <w:lvlJc w:val="left"/>
      <w:lvlText w:val="(%1)"/>
      <w:numFmt w:val="lowerLetter"/>
      <w:start w:val="4"/>
    </w:lvl>
    <w:lvl w:ilvl="1">
      <w:lvlJc w:val="left"/>
      <w:lvlText w:val="%2"/>
      <w:numFmt w:val="decimal"/>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4">
    <w:nsid w:val="12E685FB"/>
    <w:multiLevelType w:val="hybridMultilevel"/>
    <w:lvl w:ilvl="0">
      <w:lvlJc w:val="left"/>
      <w:lvlText w:val="%1"/>
      <w:numFmt w:val="lowerLetter"/>
      <w:start w:val="1"/>
    </w:lvl>
    <w:lvl w:ilvl="1">
      <w:lvlJc w:val="left"/>
      <w:lvlText w:val="(%2)"/>
      <w:numFmt w:val="lowerLetter"/>
      <w:start w:val="2"/>
    </w:lvl>
  </w:abstractNum>
  <w:abstractNum w:abstractNumId="45">
    <w:nsid w:val="70C6A529"/>
    <w:multiLevelType w:val="hybridMultilevel"/>
    <w:lvl w:ilvl="0">
      <w:lvlJc w:val="left"/>
      <w:lvlText w:val="(%1)"/>
      <w:numFmt w:val="lowerLetter"/>
      <w:start w:val="6"/>
    </w:lvl>
    <w:lvl w:ilvl="1">
      <w:lvlJc w:val="left"/>
      <w:lvlText w:val="(%2)"/>
      <w:numFmt w:val="lowerLetter"/>
      <w:start w:val="7"/>
    </w:lvl>
  </w:abstractNum>
  <w:abstractNum w:abstractNumId="46">
    <w:nsid w:val="520EEDD1"/>
    <w:multiLevelType w:val="hybridMultilevel"/>
    <w:lvl w:ilvl="0">
      <w:lvlJc w:val="left"/>
      <w:lvlText w:val="(%1)"/>
      <w:numFmt w:val="lowerRoman"/>
      <w:start w:val="1"/>
    </w:lvl>
  </w:abstractNum>
  <w:abstractNum w:abstractNumId="47">
    <w:nsid w:val="374A3FE6"/>
    <w:multiLevelType w:val="hybridMultilevel"/>
    <w:lvl w:ilvl="0">
      <w:lvlJc w:val="left"/>
      <w:lvlText w:val="%1."/>
      <w:numFmt w:val="decimal"/>
      <w:start w:val="4"/>
    </w:lvl>
    <w:lvl w:ilvl="1">
      <w:lvlJc w:val="left"/>
      <w:lvlText w:val="(%2)"/>
      <w:numFmt w:val="lowerLetter"/>
      <w:start w:val="1"/>
    </w:lvl>
  </w:abstractNum>
  <w:abstractNum w:abstractNumId="48">
    <w:nsid w:val="4F4EF005"/>
    <w:multiLevelType w:val="hybridMultilevel"/>
    <w:lvl w:ilvl="0">
      <w:lvlJc w:val="left"/>
      <w:lvlText w:val="%1"/>
      <w:numFmt w:val="decimal"/>
      <w:start w:val="1"/>
    </w:lvl>
    <w:lvl w:ilvl="1">
      <w:lvlJc w:val="left"/>
      <w:lvlText w:val="(%2)"/>
      <w:numFmt w:val="lowerLetter"/>
      <w:start w:val="4"/>
    </w:lvl>
  </w:abstractNum>
  <w:abstractNum w:abstractNumId="49">
    <w:nsid w:val="23F9C13C"/>
    <w:multiLevelType w:val="hybridMultilevel"/>
    <w:lvl w:ilvl="0">
      <w:lvlJc w:val="left"/>
      <w:lvlText w:val="%1."/>
      <w:numFmt w:val="decimal"/>
      <w:start w:val="5"/>
    </w:lvl>
    <w:lvl w:ilvl="1">
      <w:lvlJc w:val="left"/>
      <w:lvlText w:val="%2"/>
      <w:numFmt w:val="lowerLetter"/>
      <w:start w:val="1"/>
    </w:lvl>
  </w:abstractNum>
  <w:abstractNum w:abstractNumId="50">
    <w:nsid w:val="649BB77C"/>
    <w:multiLevelType w:val="hybridMultilevel"/>
    <w:lvl w:ilvl="0">
      <w:lvlJc w:val="left"/>
      <w:lvlText w:val="%1."/>
      <w:numFmt w:val="decimal"/>
      <w:start w:val="11"/>
    </w:lvl>
  </w:abstractNum>
  <w:abstractNum w:abstractNumId="51">
    <w:nsid w:val="275AC794"/>
    <w:multiLevelType w:val="hybridMultilevel"/>
    <w:lvl w:ilvl="0">
      <w:lvlJc w:val="left"/>
      <w:lvlText w:val="%1."/>
      <w:numFmt w:val="decimal"/>
      <w:start w:val="12"/>
    </w:lvl>
  </w:abstractNum>
  <w:abstractNum w:abstractNumId="52">
    <w:nsid w:val="39386575"/>
    <w:multiLevelType w:val="hybridMultilevel"/>
    <w:lvl w:ilvl="0">
      <w:lvlJc w:val="left"/>
      <w:lvlText w:val="•"/>
      <w:numFmt w:val="bullet"/>
      <w:start w:val="1"/>
    </w:lvl>
    <w:lvl w:ilvl="1">
      <w:lvlJc w:val="left"/>
      <w:lvlText w:val="(%2)"/>
      <w:numFmt w:val="lowerLetter"/>
      <w:start w:val="1"/>
    </w:lvl>
  </w:abstractNum>
  <w:abstractNum w:abstractNumId="53">
    <w:nsid w:val="1CF10FD8"/>
    <w:multiLevelType w:val="hybridMultilevel"/>
    <w:lvl w:ilvl="0">
      <w:lvlJc w:val="left"/>
      <w:lvlText w:val="•"/>
      <w:numFmt w:val="bullet"/>
      <w:start w:val="1"/>
    </w:lvl>
    <w:lvl w:ilvl="1">
      <w:lvlJc w:val="left"/>
      <w:lvlText w:val="(%2)"/>
      <w:numFmt w:val="lowerLetter"/>
      <w:start w:val="3"/>
    </w:lvl>
  </w:abstractNum>
  <w:abstractNum w:abstractNumId="54">
    <w:nsid w:val="180115BE"/>
    <w:multiLevelType w:val="hybridMultilevel"/>
    <w:lvl w:ilvl="0">
      <w:lvlJc w:val="left"/>
      <w:lvlText w:val="Ÿ"/>
      <w:numFmt w:val="bullet"/>
      <w:start w:val="1"/>
    </w:lvl>
  </w:abstractNum>
  <w:abstractNum w:abstractNumId="55">
    <w:nsid w:val="235BA861"/>
    <w:multiLevelType w:val="hybridMultilevel"/>
    <w:lvl w:ilvl="0">
      <w:lvlJc w:val="left"/>
      <w:lvlText w:val="1"/>
      <w:numFmt w:val="bullet"/>
      <w:start w:val="1"/>
    </w:lvl>
  </w:abstractNum>
  <w:abstractNum w:abstractNumId="56">
    <w:nsid w:val="47398C89"/>
    <w:multiLevelType w:val="hybridMultilevel"/>
    <w:lvl w:ilvl="0">
      <w:lvlJc w:val="left"/>
      <w:lvlText w:val="2"/>
      <w:numFmt w:val="bullet"/>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2019-12-05T16:56:00Z</dcterms:created>
  <dcterms:modified xsi:type="dcterms:W3CDTF">2019-12-05T16:56:00Z</dcterms:modified>
</cp:coreProperties>
</file>