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October 20, 2026</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001-00812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06-0570975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650" w:type="dxa"/>
        <w:jc w:val="center"/>
        <w:tblInd w:w="0" w:type="dxa"/>
        <w:tblLayout w:type="fixed"/>
        <w:tblCellMar>
          <w:top w:w="28" w:type="dxa"/>
          <w:left w:w="28" w:type="dxa"/>
          <w:bottom w:w="28" w:type="dxa"/>
          <w:right w:w="28" w:type="dxa"/>
        </w:tblCellMar>
      </w:tblPr>
      <w:tblGrid>
        <w:gridCol w:w="788"/>
        <w:gridCol w:w="692"/>
        <w:gridCol w:w="694"/>
        <w:gridCol w:w="324"/>
        <w:gridCol w:w="324"/>
        <w:gridCol w:w="326"/>
        <w:gridCol w:w="275"/>
        <w:gridCol w:w="275"/>
        <w:gridCol w:w="276"/>
        <w:gridCol w:w="198"/>
        <w:gridCol w:w="198"/>
        <w:gridCol w:w="28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1000 Wilson Boulevard,</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Arlington,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22209</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522-3000</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14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86" w:type="dxa"/>
        <w:jc w:val="center"/>
        <w:tblInd w:w="0" w:type="dxa"/>
        <w:tblLayout w:type="fixed"/>
        <w:tblCellMar>
          <w:top w:w="28" w:type="dxa"/>
          <w:left w:w="28" w:type="dxa"/>
          <w:bottom w:w="28" w:type="dxa"/>
          <w:right w:w="28" w:type="dxa"/>
        </w:tblCellMar>
      </w:tblPr>
      <w:tblGrid>
        <w:gridCol w:w="954"/>
        <w:gridCol w:w="838"/>
        <w:gridCol w:w="848"/>
        <w:gridCol w:w="564"/>
        <w:gridCol w:w="564"/>
        <w:gridCol w:w="566"/>
        <w:gridCol w:w="109"/>
        <w:gridCol w:w="109"/>
        <w:gridCol w:w="109"/>
        <w:gridCol w:w="1118"/>
        <w:gridCol w:w="1118"/>
        <w:gridCol w:w="1589"/>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101)</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2.150% Notes due 2030</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AB7)</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Emerging growth company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Section 2—Financial Information</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ind w:left="0" w:right="0" w:firstLine="495"/>
        <w:jc w:val="left"/>
        <w:rPr/>
      </w:pPr>
      <w:r>
        <w:rPr>
          <w:rFonts w:ascii="Times New Roman;serif" w:hAnsi="Times New Roman;serif"/>
          <w:b w:val="false"/>
          <w:color w:val="000000"/>
          <w:sz w:val="20"/>
        </w:rPr>
        <w:t>On October 20, 2026, RTX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issued a press release announcing its third quarter 2026 results.</w:t>
      </w:r>
    </w:p>
    <w:p>
      <w:pPr>
        <w:pStyle w:val="TextBody"/>
        <w:bidi w:val="0"/>
        <w:spacing w:lineRule="auto" w:line="288" w:before="180" w:after="283"/>
        <w:ind w:left="0" w:right="0" w:firstLine="495"/>
        <w:jc w:val="left"/>
        <w:rPr/>
      </w:pPr>
      <w:r>
        <w:rPr>
          <w:rFonts w:ascii="Times New Roman;serif" w:hAnsi="Times New Roman;serif"/>
          <w:b w:val="false"/>
          <w:color w:val="000000"/>
          <w:sz w:val="20"/>
        </w:rPr>
        <w:t>The press release issued October 20, 2026 is furnished herewith as Exhibit No. 99 to this Report, and shall not be deemed filed for the purposes of Section 18 of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or otherwise subject to the liabilities of that Section and shall not be deemed to be incorporated by reference into any filing by the Company under the Securities Act of 1933, as amended, or the Exchange Act, except as shall be expressly set forth by specific reference in such a filing.</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Section 9—Financial Statements and Exhibits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795" w:type="dxa"/>
        <w:jc w:val="left"/>
        <w:tblInd w:w="0" w:type="dxa"/>
        <w:tblLayout w:type="fixed"/>
        <w:tblCellMar>
          <w:top w:w="28" w:type="dxa"/>
          <w:left w:w="28" w:type="dxa"/>
          <w:bottom w:w="28" w:type="dxa"/>
          <w:right w:w="28" w:type="dxa"/>
        </w:tblCellMar>
      </w:tblPr>
      <w:tblGrid>
        <w:gridCol w:w="255"/>
        <w:gridCol w:w="225"/>
        <w:gridCol w:w="226"/>
        <w:gridCol w:w="2653"/>
        <w:gridCol w:w="2653"/>
        <w:gridCol w:w="378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10x208xkerexhibit99.htm">
              <w:r>
                <w:rPr>
                  <w:rStyle w:val="InternetLink"/>
                  <w:rFonts w:ascii="Times New Roman;serif" w:hAnsi="Times New Roman;serif"/>
                  <w:b w:val="false"/>
                  <w:color w:val="0000FF"/>
                  <w:sz w:val="20"/>
                  <w:u w:val="single"/>
                </w:rPr>
                <w:t>99</w:t>
              </w:r>
            </w:hyperlink>
          </w:p>
        </w:tc>
        <w:tc>
          <w:tcPr>
            <w:tcW w:w="9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10x208xkerexhibit99.htm">
              <w:r>
                <w:rPr>
                  <w:rStyle w:val="InternetLink"/>
                  <w:rFonts w:ascii="Times New Roman;serif" w:hAnsi="Times New Roman;serif"/>
                  <w:b w:val="false"/>
                  <w:color w:val="000080"/>
                  <w:sz w:val="20"/>
                  <w:u w:val="single"/>
                </w:rPr>
                <w:t xml:space="preserve">Press release, dated </w:t>
              </w:r>
            </w:hyperlink>
            <w:hyperlink w:anchor="a2026-10x208xkerexhibit99.htm">
              <w:r>
                <w:rPr>
                  <w:rStyle w:val="InternetLink"/>
                  <w:rFonts w:ascii="Times New Roman;serif" w:hAnsi="Times New Roman;serif"/>
                  <w:b w:val="false"/>
                  <w:color w:val="000080"/>
                  <w:sz w:val="20"/>
                  <w:u w:val="single"/>
                </w:rPr>
                <w:t>October</w:t>
              </w:r>
            </w:hyperlink>
            <w:hyperlink w:anchor="a2026-10x208xkerexhibit99.htm">
              <w:r>
                <w:rPr>
                  <w:rStyle w:val="InternetLink"/>
                  <w:rFonts w:ascii="Times New Roman;serif" w:hAnsi="Times New Roman;serif"/>
                  <w:b w:val="false"/>
                  <w:color w:val="000080"/>
                  <w:sz w:val="20"/>
                  <w:u w:val="single"/>
                </w:rPr>
                <w:t xml:space="preserve"> 2</w:t>
              </w:r>
            </w:hyperlink>
            <w:hyperlink w:anchor="a2026-10x208xkerexhibit99.htm">
              <w:r>
                <w:rPr>
                  <w:rStyle w:val="InternetLink"/>
                  <w:rFonts w:ascii="Times New Roman;serif" w:hAnsi="Times New Roman;serif"/>
                  <w:b w:val="false"/>
                  <w:color w:val="000080"/>
                  <w:sz w:val="20"/>
                  <w:u w:val="single"/>
                </w:rPr>
                <w:t>0</w:t>
              </w:r>
            </w:hyperlink>
            <w:hyperlink w:anchor="a2026-10x208xkerexhibit99.htm">
              <w:r>
                <w:rPr>
                  <w:rStyle w:val="InternetLink"/>
                  <w:rFonts w:ascii="Times New Roman;serif" w:hAnsi="Times New Roman;serif"/>
                  <w:b w:val="false"/>
                  <w:color w:val="000080"/>
                  <w:sz w:val="20"/>
                  <w:u w:val="single"/>
                </w:rPr>
                <w:t>, 2026, issued by RTX Corporation.</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989" w:type="dxa"/>
        <w:jc w:val="left"/>
        <w:tblInd w:w="0" w:type="dxa"/>
        <w:tblLayout w:type="fixed"/>
        <w:tblCellMar>
          <w:top w:w="28" w:type="dxa"/>
          <w:left w:w="28" w:type="dxa"/>
          <w:bottom w:w="28" w:type="dxa"/>
          <w:right w:w="28" w:type="dxa"/>
        </w:tblCellMar>
      </w:tblPr>
      <w:tblGrid>
        <w:gridCol w:w="743"/>
        <w:gridCol w:w="654"/>
        <w:gridCol w:w="658"/>
        <w:gridCol w:w="320"/>
        <w:gridCol w:w="320"/>
        <w:gridCol w:w="320"/>
        <w:gridCol w:w="1161"/>
        <w:gridCol w:w="1161"/>
        <w:gridCol w:w="1652"/>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RTX CORPORATION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20, 2026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Neil G. Mitchill Jr.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5"/>
        </w:rPr>
      </w:pPr>
      <w:r>
        <w:rPr>
          <w:rFonts w:ascii="Arial;sans-serif" w:hAnsi="Arial;sans-serif"/>
          <w:b/>
          <w:color w:val="000000"/>
          <w:sz w:val="15"/>
        </w:rPr>
        <w:t>Exhibit 99</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6.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298" w:type="dxa"/>
        <w:jc w:val="left"/>
        <w:tblInd w:w="0" w:type="dxa"/>
        <w:tblLayout w:type="fixed"/>
        <w:tblCellMar>
          <w:top w:w="28" w:type="dxa"/>
          <w:left w:w="28" w:type="dxa"/>
          <w:bottom w:w="28" w:type="dxa"/>
          <w:right w:w="28" w:type="dxa"/>
        </w:tblCellMar>
      </w:tblPr>
      <w:tblGrid>
        <w:gridCol w:w="950"/>
        <w:gridCol w:w="835"/>
        <w:gridCol w:w="836"/>
        <w:gridCol w:w="109"/>
        <w:gridCol w:w="109"/>
        <w:gridCol w:w="109"/>
        <w:gridCol w:w="394"/>
        <w:gridCol w:w="394"/>
        <w:gridCol w:w="562"/>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62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00200" cy="609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6096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666465"/>
                <w:sz w:val="15"/>
              </w:rPr>
            </w:pPr>
            <w:r>
              <w:rPr>
                <w:rFonts w:ascii="Arial;sans-serif" w:hAnsi="Arial;sans-serif"/>
                <w:b/>
                <w:color w:val="666465"/>
                <w:sz w:val="15"/>
              </w:rPr>
              <w:t>Media Contact</w:t>
            </w:r>
          </w:p>
        </w:tc>
      </w:tr>
      <w:tr>
        <w:trPr/>
        <w:tc>
          <w:tcPr>
            <w:tcW w:w="2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6D6D6D"/>
                <w:sz w:val="15"/>
              </w:rPr>
            </w:pPr>
            <w:r>
              <w:rPr>
                <w:rFonts w:ascii="Arial;sans-serif" w:hAnsi="Arial;sans-serif"/>
                <w:b w:val="false"/>
                <w:color w:val="6D6D6D"/>
                <w:sz w:val="15"/>
              </w:rPr>
              <w:t>202.384.2474</w:t>
            </w:r>
          </w:p>
        </w:tc>
      </w:tr>
      <w:tr>
        <w:trPr/>
        <w:tc>
          <w:tcPr>
            <w:tcW w:w="2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666465"/>
                <w:sz w:val="15"/>
              </w:rPr>
            </w:pPr>
            <w:r>
              <w:rPr>
                <w:rFonts w:ascii="Arial;sans-serif" w:hAnsi="Arial;sans-serif"/>
                <w:b/>
                <w:color w:val="666465"/>
                <w:sz w:val="15"/>
              </w:rPr>
              <w:t>Investor Contact</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666465"/>
                <w:sz w:val="15"/>
              </w:rPr>
            </w:pPr>
            <w:r>
              <w:rPr>
                <w:rFonts w:ascii="Arial;sans-serif" w:hAnsi="Arial;sans-serif"/>
                <w:b w:val="false"/>
                <w:color w:val="666465"/>
                <w:sz w:val="15"/>
              </w:rPr>
              <w:t>781.522.5123</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RTX Reports Q3 2026 Results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i/>
          <w:color w:val="000000"/>
          <w:sz w:val="24"/>
        </w:rPr>
      </w:pPr>
      <w:r>
        <w:rPr>
          <w:rFonts w:ascii="Arial;sans-serif" w:hAnsi="Arial;sans-serif"/>
          <w:b/>
          <w:i/>
          <w:color w:val="000000"/>
          <w:sz w:val="24"/>
        </w:rPr>
        <w:t>Strong operational performance drives double-digit sales and earnings growth in Q3;</w:t>
      </w:r>
    </w:p>
    <w:p>
      <w:pPr>
        <w:pStyle w:val="TextBody"/>
        <w:bidi w:val="0"/>
        <w:spacing w:lineRule="auto" w:line="276" w:before="0" w:after="0"/>
        <w:jc w:val="center"/>
        <w:rPr>
          <w:rFonts w:ascii="Arial;sans-serif" w:hAnsi="Arial;sans-serif"/>
          <w:b/>
          <w:i/>
          <w:color w:val="000000"/>
          <w:sz w:val="24"/>
        </w:rPr>
      </w:pPr>
      <w:r>
        <w:rPr>
          <w:rFonts w:ascii="Arial;sans-serif" w:hAnsi="Arial;sans-serif"/>
          <w:b/>
          <w:i/>
          <w:color w:val="000000"/>
          <w:sz w:val="24"/>
        </w:rPr>
        <w:t>Raises 2026 outlook for adjusted sales,* adjusted EPS,* and free cash flow*</w:t>
      </w:r>
    </w:p>
    <w:p>
      <w:pPr>
        <w:pStyle w:val="TextBody"/>
        <w:bidi w:val="0"/>
        <w:spacing w:before="0" w:after="0"/>
        <w:jc w:val="center"/>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ARLINGTON, Va., October 20, 2026 – RTX (NYSE: RTX) reports third quarter 2026 results.</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u w:val="single"/>
        </w:rPr>
      </w:pPr>
      <w:r>
        <w:rPr>
          <w:rFonts w:ascii="Arial;sans-serif" w:hAnsi="Arial;sans-serif"/>
          <w:b w:val="false"/>
          <w:color w:val="000000"/>
          <w:sz w:val="20"/>
          <w:u w:val="single"/>
        </w:rPr>
        <w:t>Third quarter 2026</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Sales of $25.0 billion, up 11 percent versus prior year, and up 12 percent organically*</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GAAP EPS of $1.89, including </w:t>
      </w:r>
      <w:r>
        <w:rPr>
          <w:rFonts w:ascii="Arial;sans-serif" w:hAnsi="Arial;sans-serif"/>
          <w:b w:val="false"/>
          <w:color w:val="000000"/>
          <w:sz w:val="20"/>
        </w:rPr>
        <w:t>$0.26 of</w:t>
      </w:r>
      <w:r>
        <w:rPr>
          <w:color w:val="000000"/>
          <w:shd w:fill="FFFFFF" w:val="clear"/>
        </w:rPr>
        <w:t xml:space="preserve"> </w:t>
      </w:r>
      <w:r>
        <w:rPr>
          <w:rFonts w:ascii="Arial;sans-serif" w:hAnsi="Arial;sans-serif"/>
          <w:b w:val="false"/>
          <w:color w:val="000000"/>
          <w:sz w:val="20"/>
          <w:shd w:fill="FFFFFF" w:val="clear"/>
        </w:rPr>
        <w:t>acquisition accounting adjustments and $0.11</w:t>
      </w:r>
      <w:r>
        <w:rPr>
          <w:color w:val="000000"/>
        </w:rPr>
        <w:t xml:space="preserve"> </w:t>
      </w:r>
      <w:r>
        <w:rPr>
          <w:rFonts w:ascii="Arial;sans-serif" w:hAnsi="Arial;sans-serif"/>
          <w:b w:val="false"/>
          <w:color w:val="000000"/>
          <w:sz w:val="20"/>
        </w:rPr>
        <w:t>of restructuring and other net significant and/or non-recurring items</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Adjusted EPS* of </w:t>
      </w:r>
      <w:r>
        <w:rPr>
          <w:rFonts w:ascii="Arial;sans-serif" w:hAnsi="Arial;sans-serif"/>
          <w:b w:val="false"/>
          <w:color w:val="000000"/>
          <w:sz w:val="20"/>
        </w:rPr>
        <w:t>$2.26,</w:t>
      </w:r>
      <w:r>
        <w:rPr>
          <w:color w:val="000000"/>
          <w:shd w:fill="FFFFFF" w:val="clear"/>
        </w:rPr>
        <w:t xml:space="preserve"> </w:t>
      </w:r>
      <w:r>
        <w:rPr>
          <w:rFonts w:ascii="Arial;sans-serif" w:hAnsi="Arial;sans-serif"/>
          <w:b w:val="false"/>
          <w:color w:val="000000"/>
          <w:sz w:val="20"/>
          <w:shd w:fill="FFFFFF" w:val="clear"/>
        </w:rPr>
        <w:t xml:space="preserve">up $0.56, or </w:t>
      </w:r>
      <w:r>
        <w:rPr>
          <w:rFonts w:ascii="Arial;sans-serif" w:hAnsi="Arial;sans-serif"/>
          <w:b w:val="false"/>
          <w:color w:val="000000"/>
          <w:sz w:val="20"/>
        </w:rPr>
        <w:t>33 percent,</w:t>
      </w:r>
      <w:r>
        <w:rPr>
          <w:color w:val="000000"/>
          <w:shd w:fill="FFFFFF" w:val="clear"/>
        </w:rPr>
        <w:t xml:space="preserve"> </w:t>
      </w:r>
      <w:r>
        <w:rPr>
          <w:rFonts w:ascii="Arial;sans-serif" w:hAnsi="Arial;sans-serif"/>
          <w:b w:val="false"/>
          <w:color w:val="000000"/>
          <w:sz w:val="20"/>
          <w:shd w:fill="FFFFFF" w:val="clear"/>
        </w:rPr>
        <w:t xml:space="preserve">versus prior year, </w:t>
      </w:r>
      <w:r>
        <w:rPr>
          <w:rFonts w:ascii="Arial;sans-serif" w:hAnsi="Arial;sans-serif"/>
          <w:b w:val="false"/>
          <w:color w:val="000000"/>
          <w:sz w:val="20"/>
        </w:rPr>
        <w:t>including $0.25 from IEEPA cost recovery</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Operating cash flow of </w:t>
      </w:r>
      <w:r>
        <w:rPr>
          <w:rFonts w:ascii="Arial;sans-serif" w:hAnsi="Arial;sans-serif"/>
          <w:b w:val="false"/>
          <w:color w:val="000000"/>
          <w:sz w:val="20"/>
        </w:rPr>
        <w:t>$2.9 billion, including approximately $0.3 billion from IEEPA recovery;</w:t>
      </w:r>
      <w:r>
        <w:rPr>
          <w:color w:val="000000"/>
          <w:shd w:fill="FFFFFF" w:val="clear"/>
        </w:rPr>
        <w:t xml:space="preserve"> </w:t>
      </w:r>
      <w:r>
        <w:rPr>
          <w:rFonts w:ascii="Arial;sans-serif" w:hAnsi="Arial;sans-serif"/>
          <w:b w:val="false"/>
          <w:color w:val="000000"/>
          <w:sz w:val="20"/>
          <w:shd w:fill="FFFFFF" w:val="clear"/>
        </w:rPr>
        <w:t>free cash flow* of $2.1 billion</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Company backlog of $340 billion, including</w:t>
      </w:r>
      <w:r>
        <w:rPr>
          <w:color w:val="000000"/>
        </w:rPr>
        <w:t xml:space="preserve"> </w:t>
      </w:r>
      <w:r>
        <w:rPr>
          <w:rFonts w:ascii="Arial;sans-serif" w:hAnsi="Arial;sans-serif"/>
          <w:b w:val="false"/>
          <w:color w:val="000000"/>
          <w:sz w:val="20"/>
        </w:rPr>
        <w:t>$176 billion of commercial and $164 billion of defense</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Awarded Tomahawk and AMRAAM multi-year undefinitized production contracts in the third quarter</w:t>
      </w:r>
    </w:p>
    <w:p>
      <w:pPr>
        <w:pStyle w:val="TextBody"/>
        <w:bidi w:val="0"/>
        <w:spacing w:before="0" w:after="0"/>
        <w:ind w:left="0" w:right="0" w:firstLine="720"/>
        <w:jc w:val="left"/>
        <w:rPr/>
      </w:pPr>
      <w:r>
        <w:rPr/>
      </w:r>
    </w:p>
    <w:p>
      <w:pPr>
        <w:pStyle w:val="TextBody"/>
        <w:bidi w:val="0"/>
        <w:spacing w:lineRule="auto" w:line="360" w:before="0" w:after="0"/>
        <w:jc w:val="left"/>
        <w:rPr>
          <w:rFonts w:ascii="Arial;sans-serif" w:hAnsi="Arial;sans-serif"/>
          <w:b w:val="false"/>
          <w:color w:val="000000"/>
          <w:sz w:val="20"/>
          <w:u w:val="single"/>
        </w:rPr>
      </w:pPr>
      <w:r>
        <w:rPr>
          <w:rFonts w:ascii="Arial;sans-serif" w:hAnsi="Arial;sans-serif"/>
          <w:b w:val="false"/>
          <w:color w:val="000000"/>
          <w:sz w:val="20"/>
          <w:u w:val="single"/>
        </w:rPr>
        <w:t>Updates outlook for full year 2026</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Adjusted sales* of $97.0 - $97.5 billion, up from $95.0 - $96.0 billion</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Organic sales growth* of 10 to 11 percent, up from 8 to 9 percent</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Adjusted EPS* of $7.65 - $7.75, up from $7.10 - $7.25</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Free cash flow* of $9.0 - $9.2 billion, up from $8.50 - $8.75 billion</w:t>
      </w:r>
    </w:p>
    <w:p>
      <w:pPr>
        <w:pStyle w:val="TextBody"/>
        <w:bidi w:val="0"/>
        <w:spacing w:before="0" w:after="0"/>
        <w:jc w:val="left"/>
        <w:rPr/>
      </w:pPr>
      <w:r>
        <w:rPr/>
      </w:r>
    </w:p>
    <w:p>
      <w:pPr>
        <w:pStyle w:val="TextBody"/>
        <w:bidi w:val="0"/>
        <w:spacing w:lineRule="auto" w:line="360" w:before="0" w:after="0"/>
        <w:jc w:val="left"/>
        <w:rPr/>
      </w:pPr>
      <w:r>
        <w:rPr>
          <w:color w:val="000000"/>
        </w:rPr>
        <w:t>“</w:t>
      </w:r>
      <w:r>
        <w:rPr>
          <w:rFonts w:ascii="Arial;sans-serif" w:hAnsi="Arial;sans-serif"/>
          <w:b w:val="false"/>
          <w:color w:val="000000"/>
          <w:sz w:val="20"/>
        </w:rPr>
        <w:t xml:space="preserve">Our strong execution and operational focus in the third quarter enabled RTX to deliver double-digit organic sales growth* </w:t>
      </w:r>
      <w:r>
        <w:rPr>
          <w:rFonts w:ascii="Arial;sans-serif" w:hAnsi="Arial;sans-serif"/>
          <w:b w:val="false"/>
          <w:color w:val="000000"/>
          <w:sz w:val="20"/>
          <w:shd w:fill="FFFFFF" w:val="clear"/>
        </w:rPr>
        <w:t>across commercial aerospace and defense. Demand for our products remains robust with over $81 billion of new commercial and defense awards, resulting in a record backlog of $340 billion,” said RTX Chairman and CEO Chris Calio.</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Arial;sans-serif" w:hAnsi="Arial;sans-serif"/>
          <w:b w:val="false"/>
          <w:color w:val="000000"/>
          <w:sz w:val="20"/>
        </w:rPr>
        <w:t xml:space="preserve">Given our performance year to date, we are again raising our full year outlook for adjusted sales,* adjusted EPS,* and free cash flow.* We remain focused on increasing output, optimizing our cost structure, and investing in new technologies to support our customers and drive continued growth.”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20315"/>
                <wp:effectExtent l="0" t="0" r="0" b="0"/>
                <wp:wrapNone/>
                <wp:docPr id="5" name="Frame4"/>
                <a:graphic xmlns:a="http://schemas.openxmlformats.org/drawingml/2006/main">
                  <a:graphicData uri="http://schemas.microsoft.com/office/word/2010/wordprocessingShape">
                    <wps:wsp>
                      <wps:cNvSpPr txBox="1"/>
                      <wps:spPr>
                        <a:xfrm>
                          <a:off x="0" y="0"/>
                          <a:ext cx="6480175" cy="252031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center"/>
                              <w:rPr>
                                <w:rFonts w:ascii="Arial;sans-serif" w:hAnsi="Arial;sans-serif"/>
                                <w:b w:val="false"/>
                                <w:color w:val="000000"/>
                                <w:sz w:val="16"/>
                              </w:rPr>
                            </w:pPr>
                            <w:r>
                              <w:rPr>
                                <w:rFonts w:ascii="Arial;sans-serif" w:hAnsi="Arial;sans-serif"/>
                                <w:b w:val="false"/>
                                <w:color w:val="000000"/>
                                <w:sz w:val="16"/>
                              </w:rPr>
                              <w:t>1</w:t>
                            </w:r>
                          </w:p>
                          <w:p>
                            <w:pPr>
                              <w:pStyle w:val="TextBody"/>
                              <w:bidi w:val="0"/>
                              <w:spacing w:lineRule="auto" w:line="256" w:before="0" w:after="0"/>
                              <w:jc w:val="left"/>
                              <w:rPr/>
                            </w:pPr>
                            <w:r>
                              <w:rPr>
                                <w:rFonts w:ascii="Arial;sans-serif" w:hAnsi="Arial;sans-serif"/>
                                <w:b w:val="false"/>
                                <w:color w:val="000000"/>
                                <w:sz w:val="11"/>
                              </w:rPr>
                              <w:t>*Adjusted net sales (also referred to as adjusted sales), organic sales, adjusted operating profit (loss) and margin percentage (ROS), segment operating profit (loss) and margin percentage (ROS), adjusted segment sales, adjusted segment operating profit (loss) and margin percentage (ROS), adjusted net income, adjusted earnings per share (“EPS”), adjusted effective tax rate, and free cash flow are non-GAAP financial measures. When we provide our expectation for adjusted net sales (also referred to as adjusted sales), adjusted EPS and free cash flow on a forward-looking basis, a reconciliation of these non-GAAP financial measures to the corresponding G</w:t>
                            </w:r>
                            <w:r>
                              <w:rPr>
                                <w:rFonts w:ascii="Arial;sans-serif" w:hAnsi="Arial;sans-serif"/>
                                <w:b w:val="false"/>
                                <w:color w:val="000000"/>
                                <w:sz w:val="11"/>
                              </w:rPr>
                              <w:t>AAP measures (expected diluted EPS and expected cash flow from operations) is not available without unreasonable effort due to potentially high variability, complexity, and low visibility as to the items that would be excluded from the GAAP measure in the relevant future period, such as unusual gains and losses, the ultimate outcome of pending litigati</w:t>
                            </w:r>
                            <w:r>
                              <w:rPr>
                                <w:rFonts w:ascii="Arial;sans-serif" w:hAnsi="Arial;sans-serif"/>
                                <w:b w:val="false"/>
                                <w:color w:val="000000"/>
                                <w:sz w:val="11"/>
                              </w:rPr>
                              <w:t>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 See “Use and Definitions of Non-GAAP Financial Measures” below for information regarding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1"/>
                              </w:rPr>
                            </w:pPr>
                            <w:r>
                              <w:rPr>
                                <w:rFonts w:ascii="Arial;sans-serif" w:hAnsi="Arial;sans-serif"/>
                                <w:b w:val="false"/>
                                <w:color w:val="000000"/>
                                <w:sz w:val="11"/>
                              </w:rPr>
                              <w:t>IEEPA = International Emergency Economic Powers Act.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center"/>
                        <w:rPr>
                          <w:rFonts w:ascii="Arial;sans-serif" w:hAnsi="Arial;sans-serif"/>
                          <w:b w:val="false"/>
                          <w:color w:val="000000"/>
                          <w:sz w:val="16"/>
                        </w:rPr>
                      </w:pPr>
                      <w:r>
                        <w:rPr>
                          <w:rFonts w:ascii="Arial;sans-serif" w:hAnsi="Arial;sans-serif"/>
                          <w:b w:val="false"/>
                          <w:color w:val="000000"/>
                          <w:sz w:val="16"/>
                        </w:rPr>
                        <w:t>1</w:t>
                      </w:r>
                    </w:p>
                    <w:p>
                      <w:pPr>
                        <w:pStyle w:val="TextBody"/>
                        <w:bidi w:val="0"/>
                        <w:spacing w:lineRule="auto" w:line="256" w:before="0" w:after="0"/>
                        <w:jc w:val="left"/>
                        <w:rPr/>
                      </w:pPr>
                      <w:r>
                        <w:rPr>
                          <w:rFonts w:ascii="Arial;sans-serif" w:hAnsi="Arial;sans-serif"/>
                          <w:b w:val="false"/>
                          <w:color w:val="000000"/>
                          <w:sz w:val="11"/>
                        </w:rPr>
                        <w:t>*Adjusted net sales (also referred to as adjusted sales), organic sales, adjusted operating profit (loss) and margin percentage (ROS), segment operating profit (loss) and margin percentage (ROS), adjusted segment sales, adjusted segment operating profit (loss) and margin percentage (ROS), adjusted net income, adjusted earnings per share (“EPS”), adjusted effective tax rate, and free cash flow are non-GAAP financial measures. When we provide our expectation for adjusted net sales (also referred to as adjusted sales), adjusted EPS and free cash flow on a forward-looking basis, a reconciliation of these non-GAAP financial measures to the corresponding G</w:t>
                      </w:r>
                      <w:r>
                        <w:rPr>
                          <w:rFonts w:ascii="Arial;sans-serif" w:hAnsi="Arial;sans-serif"/>
                          <w:b w:val="false"/>
                          <w:color w:val="000000"/>
                          <w:sz w:val="11"/>
                        </w:rPr>
                        <w:t>AAP measures (expected diluted EPS and expected cash flow from operations) is not available without unreasonable effort due to potentially high variability, complexity, and low visibility as to the items that would be excluded from the GAAP measure in the relevant future period, such as unusual gains and losses, the ultimate outcome of pending litigati</w:t>
                      </w:r>
                      <w:r>
                        <w:rPr>
                          <w:rFonts w:ascii="Arial;sans-serif" w:hAnsi="Arial;sans-serif"/>
                          <w:b w:val="false"/>
                          <w:color w:val="000000"/>
                          <w:sz w:val="11"/>
                        </w:rPr>
                        <w:t>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 See “Use and Definitions of Non-GAAP Financial Measures” below for information regarding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1"/>
                        </w:rPr>
                      </w:pPr>
                      <w:r>
                        <w:rPr>
                          <w:rFonts w:ascii="Arial;sans-serif" w:hAnsi="Arial;sans-serif"/>
                          <w:b w:val="false"/>
                          <w:color w:val="000000"/>
                          <w:sz w:val="11"/>
                        </w:rPr>
                        <w:t>IEEPA = International Emergency Economic Powers Act.</w:t>
                      </w:r>
                    </w:p>
                  </w:txbxContent>
                </v:textbox>
                <w10:wrap type="none"/>
              </v:rect>
            </w:pict>
          </mc:Fallback>
        </mc:AlternateContent>
      </w:r>
    </w:p>
    <w:p>
      <w:pPr>
        <w:pStyle w:val="TextBody"/>
        <w:bidi w:val="0"/>
        <w:spacing w:lineRule="auto" w:line="360" w:before="0" w:after="0"/>
        <w:jc w:val="left"/>
        <w:rPr>
          <w:rFonts w:ascii="Arial;sans-serif" w:hAnsi="Arial;sans-serif"/>
          <w:b w:val="false"/>
          <w:color w:val="000000"/>
          <w:sz w:val="20"/>
          <w:u w:val="single"/>
        </w:rPr>
      </w:pPr>
      <w:r>
        <w:rPr>
          <w:rFonts w:ascii="Arial;sans-serif" w:hAnsi="Arial;sans-serif"/>
          <w:b w:val="false"/>
          <w:color w:val="000000"/>
          <w:sz w:val="20"/>
          <w:u w:val="single"/>
        </w:rPr>
        <w:t>Third quarter 2026</w:t>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RTX third quarter reported and adjusted sales* were $25.0 billion, up 11 percent versus the prior year and 12 percent organically.* GAAP EPS of $1.89 included $0.26 of acquisition accounting adjustments and $0.11 of restructuring and other net significant and/or non-recurring items. Adjusted EPS* of $2.26 was up 33 percent versus the prior year, including $0.25 of IEEPA recovery.</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val="false"/>
          <w:color w:val="000000"/>
          <w:sz w:val="20"/>
        </w:rPr>
        <w:t xml:space="preserve">The company reported net income attributable to common shareowners in the third quarter of </w:t>
      </w:r>
      <w:r>
        <w:rPr>
          <w:rFonts w:ascii="Arial;sans-serif" w:hAnsi="Arial;sans-serif"/>
          <w:b w:val="false"/>
          <w:color w:val="000000"/>
          <w:sz w:val="20"/>
          <w:shd w:fill="FFFFFF" w:val="clear"/>
        </w:rPr>
        <w:t>$2.6 billion,</w:t>
      </w:r>
      <w:r>
        <w:rPr>
          <w:color w:val="000000"/>
        </w:rPr>
        <w:t xml:space="preserve"> </w:t>
      </w:r>
      <w:r>
        <w:rPr>
          <w:rFonts w:ascii="Arial;sans-serif" w:hAnsi="Arial;sans-serif"/>
          <w:b w:val="false"/>
          <w:color w:val="000000"/>
          <w:sz w:val="20"/>
        </w:rPr>
        <w:t>which included $0.3 billion of acquisition accounting adjustments and $0.2 billion of restructuring and other net significant and/or non-recurring items. Adjusted net income* of $3.1 billion was up 34 percent versus the prior year driven by $1.1 billion of adjusted segment operating profit growth* across all three segments, including $0.4 billion of IEEPA recovery. This growth was partially offset by higher taxes and lower pension income. Operating cash flow in the third quarter was $2.9 billion, including $0.3 billion of IEEPA recovery. Capital expenditures were $0.7 billion, resulting in free cash flow* of $2.1 billion.</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Summary Financial Results</w:t>
      </w:r>
    </w:p>
    <w:tbl>
      <w:tblPr>
        <w:tblW w:w="6555" w:type="dxa"/>
        <w:jc w:val="left"/>
        <w:tblInd w:w="0" w:type="dxa"/>
        <w:tblLayout w:type="fixed"/>
        <w:tblCellMar>
          <w:top w:w="28" w:type="dxa"/>
          <w:left w:w="28" w:type="dxa"/>
          <w:bottom w:w="28" w:type="dxa"/>
          <w:right w:w="28" w:type="dxa"/>
        </w:tblCellMar>
      </w:tblPr>
      <w:tblGrid>
        <w:gridCol w:w="884"/>
        <w:gridCol w:w="779"/>
        <w:gridCol w:w="782"/>
        <w:gridCol w:w="211"/>
        <w:gridCol w:w="751"/>
        <w:gridCol w:w="109"/>
        <w:gridCol w:w="109"/>
        <w:gridCol w:w="109"/>
        <w:gridCol w:w="109"/>
        <w:gridCol w:w="211"/>
        <w:gridCol w:w="751"/>
        <w:gridCol w:w="109"/>
        <w:gridCol w:w="227"/>
        <w:gridCol w:w="227"/>
        <w:gridCol w:w="597"/>
        <w:gridCol w:w="109"/>
        <w:gridCol w:w="109"/>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in millions, except EPS)</w:t>
            </w:r>
          </w:p>
        </w:tc>
        <w:tc>
          <w:tcPr>
            <w:tcW w:w="10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10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Reported</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5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EPS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Adjusted*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24,965 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EPS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20"/>
              </w:rPr>
            </w:pPr>
            <w:r>
              <w:rPr>
                <w:rFonts w:ascii="Arial;sans-serif" w:hAnsi="Arial;sans-serif"/>
                <w:b w:val="false"/>
                <w:color w:val="000000"/>
                <w:sz w:val="20"/>
              </w:rPr>
              <w:t>Operating Cash Flow</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5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60" w:before="60" w:after="283"/>
        <w:jc w:val="left"/>
        <w:rPr/>
      </w:pPr>
      <w:r>
        <w:rPr>
          <w:rFonts w:ascii="Arial;sans-serif" w:hAnsi="Arial;sans-serif"/>
          <w:b/>
          <w:color w:val="000000"/>
          <w:sz w:val="20"/>
        </w:rPr>
        <w:t>Segment Results</w:t>
      </w:r>
      <w:r>
        <w:rPr>
          <w:color w:val="000000"/>
        </w:rPr>
        <w:t xml:space="preserve"> </w: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Collins Aerospace</w:t>
      </w:r>
    </w:p>
    <w:tbl>
      <w:tblPr>
        <w:tblW w:w="6060" w:type="dxa"/>
        <w:jc w:val="left"/>
        <w:tblInd w:w="0" w:type="dxa"/>
        <w:tblLayout w:type="fixed"/>
        <w:tblCellMar>
          <w:top w:w="28" w:type="dxa"/>
          <w:left w:w="28" w:type="dxa"/>
          <w:bottom w:w="28" w:type="dxa"/>
          <w:right w:w="28" w:type="dxa"/>
        </w:tblCellMar>
      </w:tblPr>
      <w:tblGrid>
        <w:gridCol w:w="538"/>
        <w:gridCol w:w="472"/>
        <w:gridCol w:w="475"/>
        <w:gridCol w:w="211"/>
        <w:gridCol w:w="646"/>
        <w:gridCol w:w="286"/>
        <w:gridCol w:w="109"/>
        <w:gridCol w:w="109"/>
        <w:gridCol w:w="109"/>
        <w:gridCol w:w="211"/>
        <w:gridCol w:w="646"/>
        <w:gridCol w:w="286"/>
        <w:gridCol w:w="240"/>
        <w:gridCol w:w="241"/>
        <w:gridCol w:w="361"/>
        <w:gridCol w:w="138"/>
        <w:gridCol w:w="138"/>
        <w:gridCol w:w="145"/>
        <w:gridCol w:w="109"/>
        <w:gridCol w:w="109"/>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in millions)</w:t>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126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Reported</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8,382 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7,621 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1,789 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Adjusted*</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8,382 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7,621 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1,788 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432"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71830"/>
                <wp:effectExtent l="0" t="0" r="0" b="0"/>
                <wp:wrapNone/>
                <wp:docPr id="6" name="Frame5"/>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360" w:before="0" w:after="0"/>
        <w:jc w:val="left"/>
        <w:rPr/>
      </w:pPr>
      <w:r>
        <w:rPr>
          <w:rFonts w:ascii="Arial;sans-serif" w:hAnsi="Arial;sans-serif"/>
          <w:b w:val="false"/>
          <w:color w:val="000000"/>
          <w:sz w:val="20"/>
        </w:rPr>
        <w:t>Collins Aerospace third quarter 2026 reported and adjusted sales* of $8,382 million were up 10 percent versus the prior year. Excluding the impact of divestitures, sales increased 12 percent organically* driv</w:t>
      </w:r>
      <w:r>
        <w:rPr>
          <w:rFonts w:ascii="Arial;sans-serif" w:hAnsi="Arial;sans-serif"/>
          <w:b w:val="false"/>
          <w:color w:val="000000"/>
          <w:sz w:val="20"/>
          <w:shd w:fill="FFFFFF" w:val="clear"/>
        </w:rPr>
        <w:t>en by a 23 percent increase in commercial OE, a 9 percent increase in commercial aftermarket, and a 7 percent increase in defense</w:t>
      </w:r>
      <w:r>
        <w:rPr>
          <w:rFonts w:ascii="Arial;sans-serif" w:hAnsi="Arial;sans-serif"/>
          <w:b w:val="false"/>
          <w:color w:val="000000"/>
          <w:sz w:val="20"/>
        </w:rPr>
        <w:t>.</w:t>
      </w:r>
      <w:r>
        <w:rPr>
          <w:color w:val="EE2724"/>
        </w:rPr>
        <w:t xml:space="preserve"> </w:t>
      </w:r>
      <w:r>
        <w:rPr>
          <w:rFonts w:ascii="Arial;sans-serif" w:hAnsi="Arial;sans-serif"/>
          <w:b w:val="false"/>
          <w:color w:val="000000"/>
          <w:sz w:val="20"/>
        </w:rPr>
        <w:t>The increase in commercial OE sales was driven by higher volume on narrowbody and widebody platforms, while the</w:t>
      </w:r>
      <w:r>
        <w:rPr>
          <w:color w:val="000000"/>
          <w:shd w:fill="FFFFFF" w:val="clear"/>
        </w:rPr>
        <w:t xml:space="preserve"> </w:t>
      </w:r>
      <w:r>
        <w:rPr>
          <w:rFonts w:ascii="Arial;sans-serif" w:hAnsi="Arial;sans-serif"/>
          <w:b w:val="false"/>
          <w:color w:val="000000"/>
          <w:sz w:val="20"/>
          <w:shd w:fill="FFFFFF" w:val="clear"/>
        </w:rPr>
        <w:t>increase in commercial aftermarket sales was driven</w:t>
      </w:r>
      <w:r>
        <w:rPr>
          <w:color w:val="000000"/>
        </w:rPr>
        <w:t xml:space="preserve"> </w:t>
      </w:r>
      <w:r>
        <w:rPr>
          <w:rFonts w:ascii="Arial;sans-serif" w:hAnsi="Arial;sans-serif"/>
          <w:b w:val="false"/>
          <w:color w:val="000000"/>
          <w:sz w:val="20"/>
        </w:rPr>
        <w:t>by growth in modifications and upgrades, provisioning, and parts and repair. The increase in defense sales was driven by higher volume across multiple programs.</w:t>
      </w:r>
    </w:p>
    <w:p>
      <w:pPr>
        <w:pStyle w:val="TextBody"/>
        <w:bidi w:val="0"/>
        <w:spacing w:before="0" w:after="0"/>
        <w:ind w:left="0" w:right="0" w:firstLine="72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Collins Aerospace reported operating profit of $1,789 million was up 42 percent versus the prior year. Reported operating profit in Q3 2025 included a gain on the sale of the actuation and flight control business. Adjusted operating profit* of $1,788 million was up 50 percent versus the prior year. The increase was driven by drop through on higher commercial volume, commercial mix, and approximately $250 million of IEEPA recovery.</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Pratt &amp; Whitney</w:t>
      </w:r>
    </w:p>
    <w:tbl>
      <w:tblPr>
        <w:tblW w:w="6119" w:type="dxa"/>
        <w:jc w:val="left"/>
        <w:tblInd w:w="0" w:type="dxa"/>
        <w:tblLayout w:type="fixed"/>
        <w:tblCellMar>
          <w:top w:w="28" w:type="dxa"/>
          <w:left w:w="28" w:type="dxa"/>
          <w:bottom w:w="28" w:type="dxa"/>
          <w:right w:w="28" w:type="dxa"/>
        </w:tblCellMar>
      </w:tblPr>
      <w:tblGrid>
        <w:gridCol w:w="538"/>
        <w:gridCol w:w="472"/>
        <w:gridCol w:w="475"/>
        <w:gridCol w:w="211"/>
        <w:gridCol w:w="646"/>
        <w:gridCol w:w="286"/>
        <w:gridCol w:w="109"/>
        <w:gridCol w:w="109"/>
        <w:gridCol w:w="109"/>
        <w:gridCol w:w="211"/>
        <w:gridCol w:w="646"/>
        <w:gridCol w:w="286"/>
        <w:gridCol w:w="269"/>
        <w:gridCol w:w="271"/>
        <w:gridCol w:w="361"/>
        <w:gridCol w:w="138"/>
        <w:gridCol w:w="138"/>
        <w:gridCol w:w="145"/>
        <w:gridCol w:w="109"/>
        <w:gridCol w:w="109"/>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in millions)</w:t>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132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Reported</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9,231 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8,423 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Adjusted*</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9,231 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8,423 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491"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val="false"/>
          <w:color w:val="000000"/>
          <w:sz w:val="20"/>
        </w:rPr>
        <w:t>Pratt &amp; Whitney third quarter re</w:t>
      </w:r>
      <w:r>
        <w:rPr>
          <w:rFonts w:ascii="Arial;sans-serif" w:hAnsi="Arial;sans-serif"/>
          <w:b w:val="false"/>
          <w:color w:val="000000"/>
          <w:sz w:val="20"/>
          <w:shd w:fill="FFFFFF" w:val="clear"/>
        </w:rPr>
        <w:t>ported and adjusted sales* of $9,231 million were up 10 percent versus the prior year. The sales growth was driven by a 21 percent increase in commercial aftermarket and a 2 percent increase in military, partially offset by a 5 percent decrease in commercial OE. The increase in commercial aftermarket was drive</w:t>
      </w:r>
      <w:r>
        <w:rPr>
          <w:rFonts w:ascii="Arial;sans-serif" w:hAnsi="Arial;sans-serif"/>
          <w:b w:val="false"/>
          <w:color w:val="000000"/>
          <w:sz w:val="20"/>
        </w:rPr>
        <w:t xml:space="preserve">n by higher volume, primarily GTF, while the </w:t>
      </w:r>
      <w:r>
        <w:rPr>
          <w:rFonts w:ascii="Arial;sans-serif" w:hAnsi="Arial;sans-serif"/>
          <w:b w:val="false"/>
          <w:color w:val="000000"/>
          <w:sz w:val="20"/>
          <w:shd w:fill="FFFFFF" w:val="clear"/>
        </w:rPr>
        <w:t xml:space="preserve">decrease in commercial OE was driven by large commercial engine mix. The </w:t>
      </w:r>
      <w:r>
        <w:rPr>
          <w:rFonts w:ascii="Arial;sans-serif" w:hAnsi="Arial;sans-serif"/>
          <w:b w:val="false"/>
          <w:color w:val="000000"/>
          <w:sz w:val="20"/>
        </w:rPr>
        <w:t>increase in military was driven by higher volume across multiple programs, partially offset by the prior year benefit from contract award timing.</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Pratt &amp; Whitney reported operating profit of $608 million was down 19 percent versus the prior year. Reported operating profit included a charge of $363 million related to a customer bankruptcy. Adjusted operating profit* of $968 million was up 29 percent versus the prior year. The increase was driven by drop through on higher commercial aftermarket volume and approximately $160 million of IEEPA recovery. This growth was partially offset by large commercial OE mix, commercial aftermarket mix, and higher SG&amp;A expense.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71830"/>
                <wp:effectExtent l="0" t="0" r="0" b="0"/>
                <wp:wrapNone/>
                <wp:docPr id="7" name="Frame6"/>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Raytheon</w:t>
      </w:r>
    </w:p>
    <w:tbl>
      <w:tblPr>
        <w:tblW w:w="6060" w:type="dxa"/>
        <w:jc w:val="left"/>
        <w:tblInd w:w="0" w:type="dxa"/>
        <w:tblLayout w:type="fixed"/>
        <w:tblCellMar>
          <w:top w:w="28" w:type="dxa"/>
          <w:left w:w="28" w:type="dxa"/>
          <w:bottom w:w="28" w:type="dxa"/>
          <w:right w:w="28" w:type="dxa"/>
        </w:tblCellMar>
      </w:tblPr>
      <w:tblGrid>
        <w:gridCol w:w="538"/>
        <w:gridCol w:w="472"/>
        <w:gridCol w:w="475"/>
        <w:gridCol w:w="211"/>
        <w:gridCol w:w="646"/>
        <w:gridCol w:w="286"/>
        <w:gridCol w:w="109"/>
        <w:gridCol w:w="109"/>
        <w:gridCol w:w="109"/>
        <w:gridCol w:w="211"/>
        <w:gridCol w:w="646"/>
        <w:gridCol w:w="286"/>
        <w:gridCol w:w="240"/>
        <w:gridCol w:w="241"/>
        <w:gridCol w:w="361"/>
        <w:gridCol w:w="138"/>
        <w:gridCol w:w="138"/>
        <w:gridCol w:w="145"/>
        <w:gridCol w:w="109"/>
        <w:gridCol w:w="109"/>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in millions)</w:t>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126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Reported</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8,031 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7,045 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Adjusted*</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8,031 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7,045 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val="false"/>
          <w:color w:val="000000"/>
          <w:sz w:val="20"/>
        </w:rPr>
        <w:t>Raytheon third quarter reported and adjusted sales* of $8,031 million were up 14 percent versus the prior year. This increase was driven by higher v</w:t>
      </w:r>
      <w:r>
        <w:rPr>
          <w:rFonts w:ascii="Arial;sans-serif" w:hAnsi="Arial;sans-serif"/>
          <w:b w:val="false"/>
          <w:color w:val="000000"/>
          <w:sz w:val="20"/>
          <w:shd w:fill="FFFFFF" w:val="clear"/>
        </w:rPr>
        <w:t xml:space="preserve">olume on naval programs and land and air defense systems, including Patriot, Standard Missile, and Tomahawk. </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val="false"/>
          <w:color w:val="000000"/>
          <w:sz w:val="20"/>
          <w:shd w:fill="FFFFFF" w:val="clear"/>
        </w:rPr>
        <w:t>Raytheon reported operating profit of $1,133 million was u</w:t>
      </w:r>
      <w:r>
        <w:rPr>
          <w:rFonts w:ascii="Arial;sans-serif" w:hAnsi="Arial;sans-serif"/>
          <w:b w:val="false"/>
          <w:color w:val="000000"/>
          <w:sz w:val="20"/>
        </w:rPr>
        <w:t>p 32 percent v</w:t>
      </w:r>
      <w:r>
        <w:rPr>
          <w:rFonts w:ascii="Arial;sans-serif" w:hAnsi="Arial;sans-serif"/>
          <w:b w:val="false"/>
          <w:color w:val="000000"/>
          <w:sz w:val="20"/>
          <w:shd w:fill="FFFFFF" w:val="clear"/>
        </w:rPr>
        <w:t xml:space="preserve">ersus the prior year. Adjusted operating profit* of </w:t>
      </w:r>
      <w:r>
        <w:rPr>
          <w:rFonts w:ascii="Arial;sans-serif" w:hAnsi="Arial;sans-serif"/>
          <w:b w:val="false"/>
          <w:color w:val="000000"/>
          <w:sz w:val="20"/>
        </w:rPr>
        <w:t>$1,134 million</w:t>
      </w:r>
      <w:r>
        <w:rPr>
          <w:color w:val="000000"/>
          <w:shd w:fill="FFFFFF" w:val="clear"/>
        </w:rPr>
        <w:t xml:space="preserve"> </w:t>
      </w:r>
      <w:r>
        <w:rPr>
          <w:rFonts w:ascii="Arial;sans-serif" w:hAnsi="Arial;sans-serif"/>
          <w:b w:val="false"/>
          <w:color w:val="000000"/>
          <w:sz w:val="20"/>
          <w:shd w:fill="FFFFFF" w:val="clear"/>
        </w:rPr>
        <w:t xml:space="preserve">was up </w:t>
      </w:r>
      <w:r>
        <w:rPr>
          <w:rFonts w:ascii="Arial;sans-serif" w:hAnsi="Arial;sans-serif"/>
          <w:b w:val="false"/>
          <w:color w:val="000000"/>
          <w:sz w:val="20"/>
        </w:rPr>
        <w:t>32 percent</w:t>
      </w:r>
      <w:r>
        <w:rPr>
          <w:color w:val="000000"/>
          <w:shd w:fill="FFFFFF" w:val="clear"/>
        </w:rPr>
        <w:t xml:space="preserve"> </w:t>
      </w:r>
      <w:r>
        <w:rPr>
          <w:rFonts w:ascii="Arial;sans-serif" w:hAnsi="Arial;sans-serif"/>
          <w:b w:val="false"/>
          <w:color w:val="000000"/>
          <w:sz w:val="20"/>
          <w:shd w:fill="FFFFFF" w:val="clear"/>
        </w:rPr>
        <w:t xml:space="preserve">versus the prior year. The increase was driven by improved net productivity, higher volume, and favorable mix, including Patriot programs. </w:t>
      </w:r>
      <w:r>
        <w:rPr>
          <w:rFonts w:ascii="Arial;sans-serif" w:hAnsi="Arial;sans-serif"/>
          <w:b w:val="false"/>
          <w:color w:val="000000"/>
          <w:sz w:val="20"/>
        </w:rPr>
        <w:t xml:space="preserve">Productivity in the quarter included approximately $85 million of benefits associated with an international contract modification and a favorable adjustment related to an offset obligation. </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shd w:fill="FFFFFF" w:val="clear"/>
        </w:rPr>
      </w:pPr>
      <w:r>
        <w:rPr>
          <w:rFonts w:ascii="Arial;sans-serif" w:hAnsi="Arial;sans-serif"/>
          <w:b/>
          <w:color w:val="000000"/>
          <w:sz w:val="20"/>
          <w:shd w:fill="FFFFFF" w:val="clear"/>
        </w:rPr>
        <w:t>About RTX</w:t>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 xml:space="preserve">With more than 180,000 global employees, we push the limits of technology and science to redefine how we connect and protect our world. With industry-leading capabilities, we advance aviation, engineer integrated defense systems for operational success, and develop next-generation technology solutions and manufacturing to help global customers address their most critical challenges. The company, with 2025 sales of more than $88 billion, is headquartered in Arlington, Virginia. </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Conference Call on the Third Quarter 2026 Financial Results</w:t>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RTX’s financial results conference call will be held on Tuesday, October 20, 2026 at 8:30 a.m. ET. The conference call will be webcast live on the company's website at www.rtx.com and will be available for replay following the call. The corresponding presentation slides will be available for downloading prior to the call.</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 xml:space="preserve">Use and Definitions of Non-GAAP Financial Measures </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RTX Corporation (“RTX” or “the Company”) reports its financial results in accordance with accounting principles generally accepted in the United States (“GAAP”). We supplement the reporting of our financial information determined under GAAP with certain non-GAAP financial information. The non-GAAP information presented provides investors with additional useful information but should not be considered in isolation or as substitutes for the related GAAP measures. We believe that these non-GAAP measures provide investors with additional insight into the Company’s ongoing business performance.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 A reconciliation of the non-GAAP measures to the corresponding amounts prepared in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71830"/>
                <wp:effectExtent l="0" t="0" r="0" b="0"/>
                <wp:wrapNone/>
                <wp:docPr id="8" name="Frame7"/>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accordance with GAAP appears in the tables in this Appendix. Certain non-GAAP financial adjustments are also described in this Appendix. Below are our non-GAAP financial measures: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1"/>
        <w:gridCol w:w="670"/>
        <w:gridCol w:w="672"/>
        <w:gridCol w:w="2404"/>
        <w:gridCol w:w="2343"/>
        <w:gridCol w:w="3355"/>
      </w:tblGrid>
      <w:tr>
        <w:trPr/>
        <w:tc>
          <w:tcPr>
            <w:tcW w:w="76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Non-GAAP measure</w:t>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Definition</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net sales / Adjusted sales</w:t>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Represents consolidated net sales (a GAAP measure), excluding net significant and/or non-recurring items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(hereinafter referred to as “net significant and/or non-recurring items”).</w:t>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Organic sales</w:t>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Organic sales represents the change in consolidated net sales (a GAAP measure), excluding the impact of foreign currency translation, acquisitions and divestitures completed in the preceding twelve months and net significant and/or non-recurring items.</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operating profit (loss) and margin percentage (ROS)</w:t>
            </w:r>
          </w:p>
          <w:p>
            <w:pPr>
              <w:pStyle w:val="TableContents"/>
              <w:bidi w:val="0"/>
              <w:spacing w:before="0" w:after="0"/>
              <w:jc w:val="left"/>
              <w:rPr/>
            </w:pPr>
            <w:r>
              <w:rPr/>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operating profit (loss) represents operating profit (loss) (a GAAP measure), excluding restructuring costs, acquisition accounting adjustments</w:t>
            </w:r>
            <w:r>
              <w:rPr>
                <w:rFonts w:ascii="Arial;sans-serif" w:hAnsi="Arial;sans-serif"/>
                <w:b w:val="false"/>
                <w:color w:val="000000"/>
                <w:sz w:val="13"/>
              </w:rPr>
              <w:t>2</w:t>
            </w:r>
            <w:r>
              <w:rPr>
                <w:rFonts w:ascii="Arial;sans-serif" w:hAnsi="Arial;sans-serif"/>
                <w:b w:val="false"/>
                <w:color w:val="000000"/>
                <w:sz w:val="20"/>
              </w:rPr>
              <w:t>, and net significant and/or non-recurring items. Adjusted operating profit margin percentage represents adjusted operating profit (loss) as a percentage of adjusted net sales.</w:t>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Segment operating profit (loss) and margin percentage (ROS)</w:t>
            </w:r>
          </w:p>
          <w:p>
            <w:pPr>
              <w:pStyle w:val="TableContents"/>
              <w:bidi w:val="0"/>
              <w:spacing w:before="0" w:after="0"/>
              <w:jc w:val="left"/>
              <w:rPr/>
            </w:pPr>
            <w:r>
              <w:rPr/>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Segment operating profit (loss) represents operating profit (loss) (a GAAP measure) excluding acquisition accounting adjustments</w:t>
            </w:r>
            <w:r>
              <w:rPr>
                <w:rFonts w:ascii="Arial;sans-serif" w:hAnsi="Arial;sans-serif"/>
                <w:b w:val="false"/>
                <w:color w:val="000000"/>
                <w:sz w:val="13"/>
              </w:rPr>
              <w:t>2</w:t>
            </w:r>
            <w:r>
              <w:rPr>
                <w:rFonts w:ascii="Arial;sans-serif" w:hAnsi="Arial;sans-serif"/>
                <w:b w:val="false"/>
                <w:color w:val="000000"/>
                <w:sz w:val="20"/>
              </w:rPr>
              <w:t>, the FAS/CAS operating adjustment</w:t>
            </w:r>
            <w:r>
              <w:rPr>
                <w:rFonts w:ascii="Arial;sans-serif" w:hAnsi="Arial;sans-serif"/>
                <w:b w:val="false"/>
                <w:color w:val="000000"/>
                <w:sz w:val="13"/>
              </w:rPr>
              <w:t>3</w:t>
            </w:r>
            <w:r>
              <w:rPr>
                <w:rFonts w:ascii="Arial;sans-serif" w:hAnsi="Arial;sans-serif"/>
                <w:b w:val="false"/>
                <w:color w:val="000000"/>
                <w:sz w:val="20"/>
              </w:rPr>
              <w:t>, Corporate expenses and other unallocated items, and Eliminations and other. Segment operating profit margin percentage represents segment operating profit (loss) as a percentage of segment sales (net sales, excluding Eliminations and other).</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segment sales</w:t>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Represents consolidated net sales (a GAAP measure) excluding eliminations and other and net significant and/or non-recurring items.</w:t>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segment operating profit (loss) and margin percentage (ROS)</w:t>
            </w:r>
          </w:p>
          <w:p>
            <w:pPr>
              <w:pStyle w:val="TableContents"/>
              <w:bidi w:val="0"/>
              <w:spacing w:before="0" w:after="0"/>
              <w:jc w:val="left"/>
              <w:rPr/>
            </w:pPr>
            <w:r>
              <w:rPr/>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segment operating profit (loss) represents segment operating profit (loss) excluding restructuring costs, and net significant and/or non-recurring items. Adjusted segment operating profit margin percentage represents adjusted segment operating profit (loss) as a percentage of adjusted segment sales (adjusted net sales excluding Eliminations and other).</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net income</w:t>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net income represents net income (a GAAP measure), excluding restructuring costs, acquisition accounting adjustments</w:t>
            </w:r>
            <w:r>
              <w:rPr>
                <w:rFonts w:ascii="Arial;sans-serif" w:hAnsi="Arial;sans-serif"/>
                <w:b w:val="false"/>
                <w:color w:val="000000"/>
                <w:sz w:val="13"/>
              </w:rPr>
              <w:t>2</w:t>
            </w:r>
            <w:r>
              <w:rPr>
                <w:rFonts w:ascii="Arial;sans-serif" w:hAnsi="Arial;sans-serif"/>
                <w:b w:val="false"/>
                <w:color w:val="000000"/>
                <w:sz w:val="20"/>
              </w:rPr>
              <w:t>, and net significant and/or non-recurring items.</w:t>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earnings per share (EPS)</w:t>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EPS represents diluted earnings per share (a GAAP measure), excluding restructuring costs, acquisition accounting adjustments</w:t>
            </w:r>
            <w:r>
              <w:rPr>
                <w:rFonts w:ascii="Arial;sans-serif" w:hAnsi="Arial;sans-serif"/>
                <w:b w:val="false"/>
                <w:color w:val="000000"/>
                <w:sz w:val="13"/>
              </w:rPr>
              <w:t>2</w:t>
            </w:r>
            <w:r>
              <w:rPr>
                <w:rFonts w:ascii="Arial;sans-serif" w:hAnsi="Arial;sans-serif"/>
                <w:b w:val="false"/>
                <w:color w:val="000000"/>
                <w:sz w:val="20"/>
              </w:rPr>
              <w:t>, and net significant and/or non-recurring items.</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effective tax rate</w:t>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effective tax rate represents the effective tax rate (a GAAP measure), excluding the tax impact of restructuring costs, acquisition accounting adjustments</w:t>
            </w:r>
            <w:r>
              <w:rPr>
                <w:rFonts w:ascii="Arial;sans-serif" w:hAnsi="Arial;sans-serif"/>
                <w:b w:val="false"/>
                <w:color w:val="000000"/>
                <w:sz w:val="13"/>
              </w:rPr>
              <w:t>2</w:t>
            </w:r>
            <w:r>
              <w:rPr>
                <w:rFonts w:ascii="Arial;sans-serif" w:hAnsi="Arial;sans-serif"/>
                <w:b w:val="false"/>
                <w:color w:val="000000"/>
                <w:sz w:val="20"/>
              </w:rPr>
              <w:t>, and net significant and/or non-recurring items.</w:t>
            </w:r>
          </w:p>
        </w:tc>
      </w:tr>
      <w:tr>
        <w:trPr/>
        <w:tc>
          <w:tcPr>
            <w:tcW w:w="2103"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Free cash flow</w:t>
            </w:r>
          </w:p>
          <w:p>
            <w:pPr>
              <w:pStyle w:val="TableContents"/>
              <w:bidi w:val="0"/>
              <w:spacing w:before="0" w:after="0"/>
              <w:jc w:val="center"/>
              <w:rPr/>
            </w:pPr>
            <w:r>
              <w:rPr/>
            </w:r>
          </w:p>
        </w:tc>
        <w:tc>
          <w:tcPr>
            <w:tcW w:w="8102" w:type="dxa"/>
            <w:gridSpan w:val="3"/>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Free cash flow represents cash flow from operating activities (a GAAP measure) less capital expenditures. Management believes free cash flow is a useful measure of liquidity and an additional basis for assessing RTX’s ability to fund its activities, including the financing of acquisitions, debt service, repurchases of RTX’s common stock, and distribution of earnings to shareowners.</w:t>
            </w:r>
          </w:p>
        </w:tc>
      </w:tr>
    </w:tbl>
    <w:p>
      <w:pPr>
        <w:pStyle w:val="TextBody"/>
        <w:bidi w:val="0"/>
        <w:spacing w:lineRule="auto" w:line="256"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Net significant and/or non-recurring items represent significant nonoperational items and/or significant operational items that may occur at irregular intervals.</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12"/>
        </w:rPr>
        <w:t xml:space="preserve">2 </w:t>
      </w:r>
      <w:r>
        <w:rPr>
          <w:rFonts w:ascii="Arial;sans-serif" w:hAnsi="Arial;sans-serif"/>
          <w:b w:val="false"/>
          <w:color w:val="000000"/>
          <w:sz w:val="18"/>
        </w:rPr>
        <w:t xml:space="preserve">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12"/>
        </w:rPr>
        <w:t xml:space="preserve">3 </w:t>
      </w:r>
      <w:r>
        <w:rPr>
          <w:rFonts w:ascii="Arial;sans-serif" w:hAnsi="Arial;sans-serif"/>
          <w:b w:val="false"/>
          <w:color w:val="000000"/>
          <w:sz w:val="18"/>
        </w:rPr>
        <w:t>The FAS/CAS operating adjustment represents the difference between the service cost component of our pension and postretirement benefit (PRB) expense under the Financial Accounting Standards (FAS) requirements of GAAP and our pension and PRB expense under U.S. government Cost Accounting Standards (CAS) primarily related to our Raytheon segment.</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When we provide our expectation for adjusted net sales (also referred to as adjusted sales), organic sales, adjusted operating profit (loss) and margin percentage (ROS), adjusted segment operating profit (loss) and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71830"/>
                <wp:effectExtent l="0" t="0" r="0" b="0"/>
                <wp:wrapNone/>
                <wp:docPr id="9" name="Frame8"/>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margin percentage (ROS), adjusted EPS, adjusted effective tax rate, and free cash flow, on a forward-looking basis, a reconciliation of the differences between the non-GAAP expectations and the corresponding GAAP measures, as described above, generally are not available without unreasonable effort due to potentially high variability, complexity, and low visibility as to the items that would be excluded from the GAAP measure in the relevant future period, such as unusual gains and losses, the ultimate outcome of pending litigation,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w:t>
      </w:r>
    </w:p>
    <w:p>
      <w:pPr>
        <w:pStyle w:val="TextBody"/>
        <w:bidi w:val="0"/>
        <w:spacing w:before="0" w:after="0"/>
        <w:jc w:val="left"/>
        <w:rPr/>
      </w:pPr>
      <w:r>
        <w:rPr/>
      </w:r>
    </w:p>
    <w:p>
      <w:pPr>
        <w:pStyle w:val="TextBody"/>
        <w:bidi w:val="0"/>
        <w:spacing w:lineRule="auto" w:line="276"/>
        <w:jc w:val="left"/>
        <w:rPr/>
      </w:pPr>
      <w:r>
        <w:rPr>
          <w:rFonts w:ascii="Arial;sans-serif" w:hAnsi="Arial;sans-serif"/>
          <w:b/>
          <w:color w:val="000000"/>
          <w:sz w:val="20"/>
        </w:rPr>
        <w:t xml:space="preserve">Cautionary Statement Regarding Forward-Looking Statements </w:t>
      </w:r>
      <w:r>
        <w:rPr>
          <w:rFonts w:ascii="Arial;sans-serif" w:hAnsi="Arial;sans-serif"/>
          <w:b w:val="false"/>
          <w:color w:val="000000"/>
          <w:sz w:val="20"/>
        </w:rPr>
        <w:t xml:space="preserve">This press release contains statements which, to the extent they are not statements of historical or present fact, constitute “forward-looking statements” under the securities laws. These forward-looking statements are intended to provide RTX Corporation (“RTX”)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“designed to,” “commit,” “commitment”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Pratt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each of which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 (1) changes in economic, capital market, and political conditions in the U.S. and globally; (2) changes in U.S. or foreign government defense spending, national priorities, and policy positions; (3) our performance on our contracts and programs, including our ability to control costs, and our dependence on U.S. government approvals for certain international contracts; (4) challenges in the development, certification, production, delivery, support, and performance of RTX's advanced technologies and new products and services and the realization of the anticipated benefits; (5) the challenges of operating in RTX's highly-competitive industries both domestically and abroad; (6) our reliance on U.S. and non-U.S. suppliers and commodity markets, including cost increases and disruptions in the delivery of materials and services to RTX or our suppliers; (7) changes in trade policies, implementation of sanctions, imposition of tariffs (and counter-tariffs) and other trade measures and restrictions, foreign currency fluctuations, and sales methods; (8) the economic condition of the aerospace industry; (9) the ability of RTX to attract, train, qualify, and retain qualified personnel and maintain its culture and high ethical standards, and the ability of our personnel to continue to operate our facilities and businesses around the world; (10) the scope, nature, timing, and challenges of managing and completing acquisitions, investments, divestitures, and other transactions; (11) compliance with legal, environmental, regulatory, and other requirements in the U.S. and other countries in which RTX and its businesses operate; (12) pending, threatened, and future legal proceedings, investigations, audits and other contingencies; (13) the previously-disclosed deferred prosecution agreements entered into between RTX and the Department of Justice (DOJ), the Securities and Exchange Commission (SEC) administrative order imposed on RTX, and the related investigations by the SEC and DOJ, the consent agreement between RTX and the Department of State, and the administrative agreement between RTX and the Department of the Navy; (14) RTX's ability to engage in desirable capital-raising or strategic transactions; (15) repurchases by RTX of its common stock, or declarations of cash dividends, which may be discontinued, accelerated, suspended, or delayed at any time due to various factors; (16) realizing expected benefits from, incurring costs for, and successfully managing strategic initiatives such as cost reduction, restructuring, digital transformation, and other operational initiatives; (17) additional tax exposures due to new tax legislation or other developments in the U.S. and other countries in which RTX and its businesses operate; (18) the identified rare condition in powder metal used to manufacture certain Pratt &amp; Whitney engine parts requiring accelerated removals and inspections of a significant portion of the PW1100G-JM Geared Turbofan (GTF) fleet; (19) changes in production volumes of one or more of our significant customers as a result of business, labor, or other challenges, and the resulting effect on its or their demand for our products and services; (20) an RTX product safety failure, quality issue, or other failure affecting RTX's or its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71830"/>
                <wp:effectExtent l="0" t="0" r="0" b="0"/>
                <wp:wrapNone/>
                <wp:docPr id="10" name="Frame9"/>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customers' or suppliers' products or systems; (21) cybersecurity, including cyber-attacks on RTX's information technology infrastructure, products, suppliers, customers and partners, and cybersecurity-related regulations; (22) insufficient indemnity or insurance coverage; (23) our intellectual property and certain third-party intellectual property; (24) threats to RTX facilities and personnel, or those of its suppliers or customers, as well as public health crises, damaging weather, acts of nature, or other similar events outside of RTX's control that may affect RTX or its suppliers or customers; (25) changes in accounting estimates for our programs on our financial results; (26) changes in pension and other postretirement plan estimates and assumptions and contributions; (27) an impairment of goodwill and other intangible assets; and (28) climate change and climate-related regulations, and related customer and market demands, products and technologies. For additional information on identifying factors that may cause actual results to differ materially from those expressed or implied in the forward-looking statements, see the reports of RTX filed with or furnished to the Securities and Exchange Commission from time to time, including our most recent Annual Report on Form 10-K, Quarterly Reports on Form 10-Q and Current Reports on Form 8-K. Any forward-looking statement speaks only as of the date on which it is made, and RTX assumes no obligation to update or revise such statement, whether as a result of new information, future events or otherwise, except as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71830"/>
                <wp:effectExtent l="0" t="0" r="0" b="0"/>
                <wp:wrapNone/>
                <wp:docPr id="11" name="Frame10"/>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 of Operations</w:t>
      </w:r>
    </w:p>
    <w:tbl>
      <w:tblPr>
        <w:tblW w:w="10205" w:type="dxa"/>
        <w:jc w:val="left"/>
        <w:tblInd w:w="0" w:type="dxa"/>
        <w:tblLayout w:type="fixed"/>
        <w:tblCellMar>
          <w:top w:w="28" w:type="dxa"/>
          <w:left w:w="28" w:type="dxa"/>
          <w:bottom w:w="28" w:type="dxa"/>
          <w:right w:w="28" w:type="dxa"/>
        </w:tblCellMar>
      </w:tblPr>
      <w:tblGrid>
        <w:gridCol w:w="616"/>
        <w:gridCol w:w="518"/>
        <w:gridCol w:w="518"/>
        <w:gridCol w:w="1208"/>
        <w:gridCol w:w="1062"/>
        <w:gridCol w:w="978"/>
        <w:gridCol w:w="211"/>
        <w:gridCol w:w="721"/>
        <w:gridCol w:w="109"/>
        <w:gridCol w:w="109"/>
        <w:gridCol w:w="109"/>
        <w:gridCol w:w="109"/>
        <w:gridCol w:w="211"/>
        <w:gridCol w:w="721"/>
        <w:gridCol w:w="109"/>
        <w:gridCol w:w="109"/>
        <w:gridCol w:w="109"/>
        <w:gridCol w:w="109"/>
        <w:gridCol w:w="220"/>
        <w:gridCol w:w="754"/>
        <w:gridCol w:w="113"/>
        <w:gridCol w:w="113"/>
        <w:gridCol w:w="113"/>
        <w:gridCol w:w="113"/>
        <w:gridCol w:w="220"/>
        <w:gridCol w:w="754"/>
        <w:gridCol w:w="169"/>
      </w:tblGrid>
      <w:tr>
        <w:trPr/>
        <w:tc>
          <w:tcPr>
            <w:tcW w:w="6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49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 shares in millions)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00"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71,749 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64,365 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56,217 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costs and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63,333 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57,768 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tcPr>
          <w:p>
            <w:pPr>
              <w:pStyle w:val="TableContents"/>
              <w:bidi w:val="0"/>
              <w:spacing w:before="0" w:after="283"/>
              <w:jc w:val="left"/>
              <w:rPr>
                <w:sz w:val="4"/>
                <w:szCs w:val="4"/>
              </w:rPr>
            </w:pPr>
            <w:r>
              <w:rPr>
                <w:sz w:val="4"/>
                <w:szCs w:val="4"/>
              </w:rPr>
            </w:r>
          </w:p>
        </w:tc>
      </w:tr>
      <w:tr>
        <w:trPr/>
        <w:tc>
          <w:tcPr>
            <w:tcW w:w="4900"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profit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8,703 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6,704 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Non-service pension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6,436 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Noncontrolling interest in subsidiaries’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tcPr>
          <w:p>
            <w:pPr>
              <w:pStyle w:val="TableContents"/>
              <w:bidi w:val="0"/>
              <w:spacing w:before="0" w:after="283"/>
              <w:jc w:val="left"/>
              <w:rPr>
                <w:sz w:val="4"/>
                <w:szCs w:val="4"/>
              </w:rPr>
            </w:pPr>
            <w:r>
              <w:rPr>
                <w:sz w:val="4"/>
                <w:szCs w:val="4"/>
              </w:rPr>
            </w:r>
          </w:p>
        </w:tc>
      </w:tr>
      <w:tr>
        <w:trPr/>
        <w:tc>
          <w:tcPr>
            <w:tcW w:w="4900"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common shareowners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Per Share attributable to common shareowners: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shares</w:t>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1,368.1 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1,358.4 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1,365.8 </w:t>
            </w:r>
          </w:p>
        </w:tc>
        <w:tc>
          <w:tcPr>
            <w:tcW w:w="11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1,354.7 </w:t>
            </w:r>
          </w:p>
        </w:tc>
        <w:tc>
          <w:tcPr>
            <w:tcW w:w="16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71830"/>
                <wp:effectExtent l="0" t="0" r="0" b="0"/>
                <wp:wrapNone/>
                <wp:docPr id="12" name="Frame11"/>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Net Sales and Operating Profit (Loss)</w:t>
      </w:r>
    </w:p>
    <w:tbl>
      <w:tblPr>
        <w:tblW w:w="12091" w:type="dxa"/>
        <w:jc w:val="left"/>
        <w:tblInd w:w="0" w:type="dxa"/>
        <w:tblLayout w:type="fixed"/>
        <w:tblCellMar>
          <w:top w:w="28" w:type="dxa"/>
          <w:left w:w="28" w:type="dxa"/>
          <w:bottom w:w="28" w:type="dxa"/>
          <w:right w:w="28" w:type="dxa"/>
        </w:tblCellMar>
      </w:tblPr>
      <w:tblGrid>
        <w:gridCol w:w="582"/>
        <w:gridCol w:w="510"/>
        <w:gridCol w:w="349"/>
        <w:gridCol w:w="211"/>
        <w:gridCol w:w="721"/>
        <w:gridCol w:w="271"/>
        <w:gridCol w:w="211"/>
        <w:gridCol w:w="721"/>
        <w:gridCol w:w="271"/>
        <w:gridCol w:w="109"/>
        <w:gridCol w:w="109"/>
        <w:gridCol w:w="109"/>
        <w:gridCol w:w="211"/>
        <w:gridCol w:w="721"/>
        <w:gridCol w:w="271"/>
        <w:gridCol w:w="211"/>
        <w:gridCol w:w="721"/>
        <w:gridCol w:w="271"/>
        <w:gridCol w:w="109"/>
        <w:gridCol w:w="109"/>
        <w:gridCol w:w="109"/>
        <w:gridCol w:w="211"/>
        <w:gridCol w:w="721"/>
        <w:gridCol w:w="271"/>
        <w:gridCol w:w="211"/>
        <w:gridCol w:w="721"/>
        <w:gridCol w:w="271"/>
        <w:gridCol w:w="109"/>
        <w:gridCol w:w="109"/>
        <w:gridCol w:w="109"/>
        <w:gridCol w:w="211"/>
        <w:gridCol w:w="721"/>
        <w:gridCol w:w="271"/>
        <w:gridCol w:w="211"/>
        <w:gridCol w:w="721"/>
        <w:gridCol w:w="316"/>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w:t>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Sales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segments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66,266 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Eliminations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64,365 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64,365 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Profit (Loss)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segments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7,965 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Eliminations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 expenses and other unallocated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FAS/CAS operating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accounting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8,703 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8,422 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Segment Operating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441"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segment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12.0 </w:t>
            </w:r>
          </w:p>
        </w:tc>
        <w:tc>
          <w:tcPr>
            <w:tcW w:w="3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12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71830"/>
                <wp:effectExtent l="0" t="0" r="0" b="0"/>
                <wp:wrapNone/>
                <wp:docPr id="13" name="Frame12"/>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w:t>
      </w:r>
    </w:p>
    <w:tbl>
      <w:tblPr>
        <w:tblW w:w="8876" w:type="dxa"/>
        <w:jc w:val="left"/>
        <w:tblInd w:w="0" w:type="dxa"/>
        <w:tblLayout w:type="fixed"/>
        <w:tblCellMar>
          <w:top w:w="28" w:type="dxa"/>
          <w:left w:w="28" w:type="dxa"/>
          <w:bottom w:w="28" w:type="dxa"/>
          <w:right w:w="28" w:type="dxa"/>
        </w:tblCellMar>
      </w:tblPr>
      <w:tblGrid>
        <w:gridCol w:w="1979"/>
        <w:gridCol w:w="1737"/>
        <w:gridCol w:w="1744"/>
        <w:gridCol w:w="284"/>
        <w:gridCol w:w="1114"/>
        <w:gridCol w:w="147"/>
        <w:gridCol w:w="109"/>
        <w:gridCol w:w="109"/>
        <w:gridCol w:w="109"/>
        <w:gridCol w:w="273"/>
        <w:gridCol w:w="1072"/>
        <w:gridCol w:w="199"/>
      </w:tblGrid>
      <w:tr>
        <w:trPr/>
        <w:tc>
          <w:tcPr>
            <w:tcW w:w="197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 net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net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current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7,740 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66,069 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60,332 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financing assets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assets, net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17,235 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52,969 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176,596 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Redeemable Noncontrolling Interest, and Equity</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17,803 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employee compensation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21,615 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currently due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63,198 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58,784 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34,288 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 non-current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Future pension and postretirement benefit obligations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3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105,604 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103,941 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Redeemable noncontrolling interest</w:t>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Shareowners’ Equity:</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38,673 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(26,881)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60,597 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shareowners’ equity</w:t>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69,250 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65,245 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70,964 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67,102 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redeemable noncontrolling interest, and equity</w:t>
            </w:r>
          </w:p>
        </w:tc>
        <w:tc>
          <w:tcPr>
            <w:tcW w:w="28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1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176,596 </w:t>
            </w:r>
          </w:p>
        </w:tc>
        <w:tc>
          <w:tcPr>
            <w:tcW w:w="14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71830"/>
                <wp:effectExtent l="0" t="0" r="0" b="0"/>
                <wp:wrapNone/>
                <wp:docPr id="14" name="Frame13"/>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Condensed Consolidated Statement of Cash Flows</w:t>
      </w:r>
    </w:p>
    <w:tbl>
      <w:tblPr>
        <w:tblW w:w="10205" w:type="dxa"/>
        <w:jc w:val="left"/>
        <w:tblInd w:w="0" w:type="dxa"/>
        <w:tblLayout w:type="fixed"/>
        <w:tblCellMar>
          <w:top w:w="28" w:type="dxa"/>
          <w:left w:w="28" w:type="dxa"/>
          <w:bottom w:w="28" w:type="dxa"/>
          <w:right w:w="28" w:type="dxa"/>
        </w:tblCellMar>
      </w:tblPr>
      <w:tblGrid>
        <w:gridCol w:w="2010"/>
        <w:gridCol w:w="1571"/>
        <w:gridCol w:w="1566"/>
        <w:gridCol w:w="215"/>
        <w:gridCol w:w="629"/>
        <w:gridCol w:w="111"/>
        <w:gridCol w:w="111"/>
        <w:gridCol w:w="111"/>
        <w:gridCol w:w="111"/>
        <w:gridCol w:w="215"/>
        <w:gridCol w:w="629"/>
        <w:gridCol w:w="111"/>
        <w:gridCol w:w="109"/>
        <w:gridCol w:w="109"/>
        <w:gridCol w:w="109"/>
        <w:gridCol w:w="233"/>
        <w:gridCol w:w="681"/>
        <w:gridCol w:w="120"/>
        <w:gridCol w:w="120"/>
        <w:gridCol w:w="120"/>
        <w:gridCol w:w="120"/>
        <w:gridCol w:w="233"/>
        <w:gridCol w:w="681"/>
        <w:gridCol w:w="180"/>
      </w:tblGrid>
      <w:tr>
        <w:trPr/>
        <w:tc>
          <w:tcPr>
            <w:tcW w:w="201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5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flows provided by operating activities from:</w:t>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provision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 compensation cost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periodic pension and other postretirement income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w:t>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liabilities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activities,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8,270 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Dispositions of businesses, net of cash transferred</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in other intangible assets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Receipts from settlements of derivative contracts,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investing activities, net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provided by investing activities</w:t>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(857)</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(2,409)</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long-term debt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commercial paper, net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financing activities,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financing activities</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(4,085)</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(5,332)</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foreign exchange rate changes on cash and cash equivalents</w:t>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cash equivalents, and restricted cash</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9,230 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Restricted cash, included in Other assets, current and Other assets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47"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end of period</w:t>
            </w:r>
          </w:p>
        </w:tc>
        <w:tc>
          <w:tcPr>
            <w:tcW w:w="21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9,173 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5,966 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9,173 </w:t>
            </w:r>
          </w:p>
        </w:tc>
        <w:tc>
          <w:tcPr>
            <w:tcW w:w="1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5,966 </w:t>
            </w:r>
          </w:p>
        </w:tc>
        <w:tc>
          <w:tcPr>
            <w:tcW w:w="18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Adjusted (Non-GAAP) Results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Sales, Adjusted Operating Profit (Loss) &amp; Operating Profit (Loss) Margin</w:t>
      </w:r>
    </w:p>
    <w:tbl>
      <w:tblPr>
        <w:tblW w:w="10205" w:type="dxa"/>
        <w:jc w:val="left"/>
        <w:tblInd w:w="0" w:type="dxa"/>
        <w:tblLayout w:type="fixed"/>
        <w:tblCellMar>
          <w:top w:w="28" w:type="dxa"/>
          <w:left w:w="28" w:type="dxa"/>
          <w:bottom w:w="28" w:type="dxa"/>
          <w:right w:w="28" w:type="dxa"/>
        </w:tblCellMar>
      </w:tblPr>
      <w:tblGrid>
        <w:gridCol w:w="1658"/>
        <w:gridCol w:w="1403"/>
        <w:gridCol w:w="1408"/>
        <w:gridCol w:w="363"/>
        <w:gridCol w:w="299"/>
        <w:gridCol w:w="302"/>
        <w:gridCol w:w="197"/>
        <w:gridCol w:w="197"/>
        <w:gridCol w:w="197"/>
        <w:gridCol w:w="363"/>
        <w:gridCol w:w="299"/>
        <w:gridCol w:w="302"/>
        <w:gridCol w:w="109"/>
        <w:gridCol w:w="109"/>
        <w:gridCol w:w="109"/>
        <w:gridCol w:w="408"/>
        <w:gridCol w:w="311"/>
        <w:gridCol w:w="313"/>
        <w:gridCol w:w="221"/>
        <w:gridCol w:w="221"/>
        <w:gridCol w:w="221"/>
        <w:gridCol w:w="408"/>
        <w:gridCol w:w="311"/>
        <w:gridCol w:w="313"/>
        <w:gridCol w:w="163"/>
      </w:tblGrid>
      <w:tr>
        <w:trPr/>
        <w:tc>
          <w:tcPr>
            <w:tcW w:w="165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 Income (Expense))</w:t>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Collins Aerospace</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8,382</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w:t>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Gain on sale of businesses, net of transaction and other related costs </w:t>
            </w:r>
            <w:r>
              <w:rPr>
                <w:rFonts w:ascii="Times New Roman;serif" w:hAnsi="Times New Roman;serif"/>
                <w:b w:val="false"/>
                <w:color w:val="000000"/>
                <w:sz w:val="12"/>
              </w:rPr>
              <w:t>(1)</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Portfolio transformation and divestiture costs </w:t>
            </w:r>
            <w:r>
              <w:rPr>
                <w:rFonts w:ascii="Times New Roman;serif" w:hAnsi="Times New Roman;serif"/>
                <w:b w:val="false"/>
                <w:color w:val="000000"/>
                <w:sz w:val="12"/>
              </w:rPr>
              <w:t>(1)</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w:t>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margin</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Pratt &amp; Whitney</w:t>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9,231</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26,293</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w:t>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Customer bankruptcy </w:t>
            </w:r>
            <w:r>
              <w:rPr>
                <w:rFonts w:ascii="Times New Roman;serif" w:hAnsi="Times New Roman;serif"/>
                <w:b w:val="false"/>
                <w:color w:val="000000"/>
                <w:sz w:val="12"/>
              </w:rPr>
              <w:t>(1)</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margin</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Raytheon</w:t>
            </w:r>
          </w:p>
        </w:tc>
        <w:tc>
          <w:tcPr>
            <w:tcW w:w="96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8,031</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23,245</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20,386</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margin</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Eliminations and Other</w:t>
            </w:r>
          </w:p>
        </w:tc>
        <w:tc>
          <w:tcPr>
            <w:tcW w:w="96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profit </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Gains on investments </w:t>
            </w:r>
            <w:r>
              <w:rPr>
                <w:rFonts w:ascii="Times New Roman;serif" w:hAnsi="Times New Roman;serif"/>
                <w:b w:val="false"/>
                <w:color w:val="000000"/>
                <w:sz w:val="12"/>
              </w:rPr>
              <w:t>(1)</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(loss)</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Corporate expenses and other unallocated items</w:t>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audit settlements and closures </w:t>
            </w:r>
            <w:r>
              <w:rPr>
                <w:rFonts w:ascii="Times New Roman;serif" w:hAnsi="Times New Roman;serif"/>
                <w:b w:val="false"/>
                <w:color w:val="000000"/>
                <w:sz w:val="12"/>
              </w:rPr>
              <w:t>(1)</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Litigation matter </w:t>
            </w:r>
            <w:r>
              <w:rPr>
                <w:rFonts w:ascii="Times New Roman;serif" w:hAnsi="Times New Roman;serif"/>
                <w:b w:val="false"/>
                <w:color w:val="000000"/>
                <w:sz w:val="12"/>
              </w:rPr>
              <w:t>(1)</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(loss)</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FAS/CAS Operating Adjustment</w:t>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Acquisition Accounting Adjustments</w:t>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accounting adjustments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loss</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RTX Consolidated</w:t>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24,965</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71,749</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64,365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profit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w:t>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accounting adjustments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w:t>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01"/>
        <w:gridCol w:w="1935"/>
        <w:gridCol w:w="1940"/>
        <w:gridCol w:w="233"/>
        <w:gridCol w:w="253"/>
        <w:gridCol w:w="258"/>
        <w:gridCol w:w="109"/>
        <w:gridCol w:w="109"/>
        <w:gridCol w:w="109"/>
        <w:gridCol w:w="196"/>
        <w:gridCol w:w="255"/>
        <w:gridCol w:w="256"/>
        <w:gridCol w:w="109"/>
        <w:gridCol w:w="109"/>
        <w:gridCol w:w="109"/>
        <w:gridCol w:w="233"/>
        <w:gridCol w:w="297"/>
        <w:gridCol w:w="304"/>
        <w:gridCol w:w="109"/>
        <w:gridCol w:w="109"/>
        <w:gridCol w:w="109"/>
        <w:gridCol w:w="196"/>
        <w:gridCol w:w="255"/>
        <w:gridCol w:w="256"/>
        <w:gridCol w:w="156"/>
      </w:tblGrid>
      <w:tr>
        <w:trPr/>
        <w:tc>
          <w:tcPr>
            <w:tcW w:w="2201"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net significant and/or non-recurring items included in Operating profit above </w:t>
            </w:r>
            <w:r>
              <w:rPr>
                <w:rFonts w:ascii="Times New Roman;serif" w:hAnsi="Times New Roman;serif"/>
                <w:b w:val="false"/>
                <w:color w:val="000000"/>
                <w:sz w:val="12"/>
              </w:rPr>
              <w:t>(1)</w:t>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07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w:t>
            </w:r>
          </w:p>
        </w:tc>
        <w:tc>
          <w:tcPr>
            <w:tcW w:w="23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10,369</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8,422</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    Refer to “Non-GAAP Financial Adjustments” below for a description of these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Adjusted (Non-GAAP) Results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Income, Earnings Per Share, and Effective Tax Rate</w:t>
      </w:r>
    </w:p>
    <w:tbl>
      <w:tblPr>
        <w:tblW w:w="10205" w:type="dxa"/>
        <w:jc w:val="left"/>
        <w:tblInd w:w="0" w:type="dxa"/>
        <w:tblLayout w:type="fixed"/>
        <w:tblCellMar>
          <w:top w:w="28" w:type="dxa"/>
          <w:left w:w="28" w:type="dxa"/>
          <w:bottom w:w="28" w:type="dxa"/>
          <w:right w:w="28" w:type="dxa"/>
        </w:tblCellMar>
      </w:tblPr>
      <w:tblGrid>
        <w:gridCol w:w="1888"/>
        <w:gridCol w:w="1550"/>
        <w:gridCol w:w="1556"/>
        <w:gridCol w:w="352"/>
        <w:gridCol w:w="255"/>
        <w:gridCol w:w="256"/>
        <w:gridCol w:w="188"/>
        <w:gridCol w:w="188"/>
        <w:gridCol w:w="188"/>
        <w:gridCol w:w="352"/>
        <w:gridCol w:w="255"/>
        <w:gridCol w:w="256"/>
        <w:gridCol w:w="109"/>
        <w:gridCol w:w="109"/>
        <w:gridCol w:w="109"/>
        <w:gridCol w:w="391"/>
        <w:gridCol w:w="255"/>
        <w:gridCol w:w="256"/>
        <w:gridCol w:w="210"/>
        <w:gridCol w:w="210"/>
        <w:gridCol w:w="210"/>
        <w:gridCol w:w="391"/>
        <w:gridCol w:w="255"/>
        <w:gridCol w:w="256"/>
        <w:gridCol w:w="160"/>
      </w:tblGrid>
      <w:tr>
        <w:trPr/>
        <w:tc>
          <w:tcPr>
            <w:tcW w:w="1888"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 Income (Expense))</w:t>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common shareowners</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2,583</w:t>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6,781</w:t>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5,110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Acquisition accounting adjustments</w:t>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net significant and/or non-recurring items included in Operating profit </w:t>
            </w:r>
            <w:r>
              <w:rPr>
                <w:rFonts w:ascii="Times New Roman;serif" w:hAnsi="Times New Roman;serif"/>
                <w:b w:val="false"/>
                <w:color w:val="000000"/>
                <w:sz w:val="12"/>
              </w:rPr>
              <w:t>(1)</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Significant and/or non-recurring items included in Non-service Pension Income</w:t>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Non-service pension restructuring</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Significant non-recurring and non-operational items included in Interest Expense, Net</w:t>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audit settlements and closures </w:t>
            </w:r>
            <w:r>
              <w:rPr>
                <w:rFonts w:ascii="Times New Roman;serif" w:hAnsi="Times New Roman;serif"/>
                <w:b w:val="false"/>
                <w:color w:val="000000"/>
                <w:sz w:val="12"/>
              </w:rPr>
              <w:t>(1)</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International tax matter </w:t>
            </w:r>
            <w:r>
              <w:rPr>
                <w:rFonts w:ascii="Times New Roman;serif" w:hAnsi="Times New Roman;serif"/>
                <w:b w:val="false"/>
                <w:color w:val="000000"/>
                <w:sz w:val="12"/>
              </w:rPr>
              <w:t>(1)</w:t>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restructuring and net significant and/or non-recurring items above</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Significant and/or non-recurring items included in Income Tax Expense</w:t>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audit settlements and closures </w:t>
            </w:r>
            <w:r>
              <w:rPr>
                <w:rFonts w:ascii="Times New Roman;serif" w:hAnsi="Times New Roman;serif"/>
                <w:b w:val="false"/>
                <w:color w:val="000000"/>
                <w:sz w:val="12"/>
              </w:rPr>
              <w:t>(1)</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Impact on net income attributable to common shareowners</w:t>
            </w:r>
          </w:p>
        </w:tc>
        <w:tc>
          <w:tcPr>
            <w:tcW w:w="8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(508)</w:t>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(1,314)</w:t>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attributable to common shareowners</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3,091</w:t>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8,095</w:t>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6,420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Per Share</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1.89</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4.96</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3.77</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on Diluted Earnings Per Share</w:t>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Earnings Per Share</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2.26</w:t>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5.93</w:t>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Effective Tax Rate </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16.9%</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Impact on Effective Tax Rate </w:t>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Adjusted Effective Tax Rate </w:t>
            </w:r>
          </w:p>
        </w:tc>
        <w:tc>
          <w:tcPr>
            <w:tcW w:w="863"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18.7%</w:t>
            </w:r>
          </w:p>
        </w:tc>
        <w:tc>
          <w:tcPr>
            <w:tcW w:w="56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16.7%</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w:t>
            </w:r>
          </w:p>
        </w:tc>
        <w:tc>
          <w:tcPr>
            <w:tcW w:w="63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18.1%</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    Refer to “Non-GAAP Financial Adjustments” below for a description of these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Adjusted (Non-GAAP) Results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Operating Profit Margin and Adjusted Segment Operating Profit Margin</w:t>
      </w:r>
    </w:p>
    <w:tbl>
      <w:tblPr>
        <w:tblW w:w="9238" w:type="dxa"/>
        <w:jc w:val="left"/>
        <w:tblInd w:w="0" w:type="dxa"/>
        <w:tblLayout w:type="fixed"/>
        <w:tblCellMar>
          <w:top w:w="28" w:type="dxa"/>
          <w:left w:w="28" w:type="dxa"/>
          <w:bottom w:w="28" w:type="dxa"/>
          <w:right w:w="28" w:type="dxa"/>
        </w:tblCellMar>
      </w:tblPr>
      <w:tblGrid>
        <w:gridCol w:w="1360"/>
        <w:gridCol w:w="1193"/>
        <w:gridCol w:w="1197"/>
        <w:gridCol w:w="196"/>
        <w:gridCol w:w="646"/>
        <w:gridCol w:w="256"/>
        <w:gridCol w:w="109"/>
        <w:gridCol w:w="109"/>
        <w:gridCol w:w="109"/>
        <w:gridCol w:w="196"/>
        <w:gridCol w:w="646"/>
        <w:gridCol w:w="256"/>
        <w:gridCol w:w="109"/>
        <w:gridCol w:w="109"/>
        <w:gridCol w:w="109"/>
        <w:gridCol w:w="201"/>
        <w:gridCol w:w="664"/>
        <w:gridCol w:w="263"/>
        <w:gridCol w:w="112"/>
        <w:gridCol w:w="112"/>
        <w:gridCol w:w="112"/>
        <w:gridCol w:w="201"/>
        <w:gridCol w:w="664"/>
        <w:gridCol w:w="309"/>
      </w:tblGrid>
      <w:tr>
        <w:trPr/>
        <w:tc>
          <w:tcPr>
            <w:tcW w:w="136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71,749 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64,365 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segment net sales: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Net Sales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73,732 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66,266 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segment operating profit:</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expenses and other unallocated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FAS/CAS operating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accounting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9,474 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7,686 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adjusted segment operating profit:</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significant and/or non-recurring items </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Operating Profit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9,897 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Operating Profit Margin</w:t>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5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5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6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6"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3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    Refer to “Non-GAAP Financial Adjustments” below for a description of these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Free Cash Flow Reconciliation</w:t>
      </w:r>
    </w:p>
    <w:tbl>
      <w:tblPr>
        <w:tblW w:w="7520" w:type="dxa"/>
        <w:jc w:val="left"/>
        <w:tblInd w:w="0" w:type="dxa"/>
        <w:tblLayout w:type="fixed"/>
        <w:tblCellMar>
          <w:top w:w="28" w:type="dxa"/>
          <w:left w:w="28" w:type="dxa"/>
          <w:bottom w:w="28" w:type="dxa"/>
          <w:right w:w="28" w:type="dxa"/>
        </w:tblCellMar>
      </w:tblPr>
      <w:tblGrid>
        <w:gridCol w:w="1431"/>
        <w:gridCol w:w="1254"/>
        <w:gridCol w:w="1260"/>
        <w:gridCol w:w="398"/>
        <w:gridCol w:w="1166"/>
        <w:gridCol w:w="206"/>
        <w:gridCol w:w="206"/>
        <w:gridCol w:w="206"/>
        <w:gridCol w:w="206"/>
        <w:gridCol w:w="206"/>
        <w:gridCol w:w="211"/>
        <w:gridCol w:w="61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w:t>
            </w:r>
            <w:r>
              <w:rPr>
                <w:rFonts w:ascii="Times New Roman;serif" w:hAnsi="Times New Roman;serif"/>
                <w:b/>
                <w:i/>
                <w:color w:val="000000"/>
                <w:sz w:val="16"/>
              </w:rPr>
              <w:t>dollars in millions</w:t>
            </w:r>
            <w:r>
              <w:rPr>
                <w:rFonts w:ascii="Times New Roman;serif" w:hAnsi="Times New Roman;serif"/>
                <w:b w:val="false"/>
                <w:i/>
                <w:color w:val="000000"/>
                <w:sz w:val="16"/>
              </w:rPr>
              <w:t>)</w:t>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2,868 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Free cash flow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2,119 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8,270 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Free cash flow</w:t>
            </w:r>
          </w:p>
        </w:tc>
        <w:tc>
          <w:tcPr>
            <w:tcW w:w="3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6,306 </w:t>
            </w:r>
          </w:p>
        </w:tc>
        <w:tc>
          <w:tcPr>
            <w:tcW w:w="2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4,745 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Adjusted (Non-GAAP) Results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Organic Sales Reconciliation</w:t>
      </w:r>
    </w:p>
    <w:tbl>
      <w:tblPr>
        <w:tblW w:w="10205" w:type="dxa"/>
        <w:jc w:val="left"/>
        <w:tblInd w:w="0" w:type="dxa"/>
        <w:tblLayout w:type="fixed"/>
        <w:tblCellMar>
          <w:top w:w="28" w:type="dxa"/>
          <w:left w:w="28" w:type="dxa"/>
          <w:bottom w:w="28" w:type="dxa"/>
          <w:right w:w="28" w:type="dxa"/>
        </w:tblCellMar>
      </w:tblPr>
      <w:tblGrid>
        <w:gridCol w:w="691"/>
        <w:gridCol w:w="494"/>
        <w:gridCol w:w="396"/>
        <w:gridCol w:w="284"/>
        <w:gridCol w:w="830"/>
        <w:gridCol w:w="146"/>
        <w:gridCol w:w="447"/>
        <w:gridCol w:w="1021"/>
        <w:gridCol w:w="232"/>
        <w:gridCol w:w="312"/>
        <w:gridCol w:w="600"/>
        <w:gridCol w:w="160"/>
        <w:gridCol w:w="241"/>
        <w:gridCol w:w="706"/>
        <w:gridCol w:w="124"/>
        <w:gridCol w:w="117"/>
        <w:gridCol w:w="117"/>
        <w:gridCol w:w="117"/>
        <w:gridCol w:w="295"/>
        <w:gridCol w:w="1008"/>
        <w:gridCol w:w="152"/>
        <w:gridCol w:w="365"/>
        <w:gridCol w:w="341"/>
        <w:gridCol w:w="1009"/>
      </w:tblGrid>
      <w:tr>
        <w:trPr/>
        <w:tc>
          <w:tcPr>
            <w:tcW w:w="6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 ended September 30, 2026 compared to the Quarter Ended September 30, 2025</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w:t>
            </w:r>
            <w:r>
              <w:rPr>
                <w:rFonts w:ascii="Times New Roman;serif" w:hAnsi="Times New Roman;serif"/>
                <w:b/>
                <w:i/>
                <w:color w:val="000000"/>
                <w:sz w:val="16"/>
              </w:rPr>
              <w:t>dollars in millions</w:t>
            </w:r>
            <w:r>
              <w:rPr>
                <w:rFonts w:ascii="Times New Roman;serif" w:hAnsi="Times New Roman;serif"/>
                <w:b w:val="false"/>
                <w:i/>
                <w:color w:val="000000"/>
                <w:sz w:val="16"/>
              </w:rPr>
              <w:t>)</w:t>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Reported Change</w:t>
            </w:r>
          </w:p>
        </w:tc>
        <w:tc>
          <w:tcPr>
            <w:tcW w:w="1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&amp; Divestitures Change</w:t>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FX / Other Change </w:t>
            </w:r>
            <w:r>
              <w:rPr>
                <w:rFonts w:ascii="Times New Roman;serif" w:hAnsi="Times New Roman;serif"/>
                <w:b/>
                <w:color w:val="000000"/>
                <w:sz w:val="10"/>
              </w:rPr>
              <w:t>(2)</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Change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Prior Year Adjusted Sales </w:t>
            </w:r>
            <w:r>
              <w:rPr>
                <w:rFonts w:ascii="Times New Roman;serif" w:hAnsi="Times New Roman;serif"/>
                <w:b/>
                <w:color w:val="000000"/>
                <w:sz w:val="10"/>
              </w:rPr>
              <w:t>(1)</w:t>
            </w:r>
          </w:p>
        </w:tc>
        <w:tc>
          <w:tcPr>
            <w:tcW w:w="1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Change as a % of Adjusted Sales</w:t>
            </w:r>
          </w:p>
        </w:tc>
      </w:tr>
      <w:tr>
        <w:trPr/>
        <w:tc>
          <w:tcPr>
            <w:tcW w:w="15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7,621 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8,423 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Eliminations and Other </w:t>
            </w:r>
            <w:r>
              <w:rPr>
                <w:rFonts w:ascii="Times New Roman;serif" w:hAnsi="Times New Roman;serif"/>
                <w:b w:val="false"/>
                <w:color w:val="000000"/>
                <w:sz w:val="12"/>
              </w:rPr>
              <w:t>(3)</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1"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Consolidated</w:t>
            </w:r>
          </w:p>
        </w:tc>
        <w:tc>
          <w:tcPr>
            <w:tcW w:w="2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2,487 </w:t>
            </w:r>
          </w:p>
        </w:tc>
        <w:tc>
          <w:tcPr>
            <w:tcW w:w="1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w:t>
            </w:r>
          </w:p>
        </w:tc>
        <w:tc>
          <w:tcPr>
            <w:tcW w:w="2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2,611 </w:t>
            </w:r>
          </w:p>
        </w:tc>
        <w:tc>
          <w:tcPr>
            <w:tcW w:w="1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22,478 </w:t>
            </w:r>
          </w:p>
        </w:tc>
        <w:tc>
          <w:tcPr>
            <w:tcW w:w="1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 xml:space="preserve">(1)    For the full Non-GAAP reconciliation of adjusted sales refer to “Reconciliation of Adjusted (Non-GAAP) Results - Adjusted Sales, Adjusted Operating Profit &amp; Operating Profit Margin.” </w:t>
      </w:r>
    </w:p>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(2)    Includes other significant non-operational items and/or significant operational items that may occur at irregular intervals.</w:t>
      </w:r>
    </w:p>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(3)    FX/Other Change includes the transactional impact of foreign exchange hedging at Pratt &amp; Whitney Canada, which is included in Pratt &amp; Whitney’s FX/Other Change, but excluded for Consolidated RTX.</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691"/>
        <w:gridCol w:w="495"/>
        <w:gridCol w:w="397"/>
        <w:gridCol w:w="284"/>
        <w:gridCol w:w="831"/>
        <w:gridCol w:w="146"/>
        <w:gridCol w:w="421"/>
        <w:gridCol w:w="1082"/>
        <w:gridCol w:w="200"/>
        <w:gridCol w:w="324"/>
        <w:gridCol w:w="555"/>
        <w:gridCol w:w="167"/>
        <w:gridCol w:w="241"/>
        <w:gridCol w:w="706"/>
        <w:gridCol w:w="124"/>
        <w:gridCol w:w="123"/>
        <w:gridCol w:w="123"/>
        <w:gridCol w:w="123"/>
        <w:gridCol w:w="295"/>
        <w:gridCol w:w="1009"/>
        <w:gridCol w:w="152"/>
        <w:gridCol w:w="365"/>
        <w:gridCol w:w="342"/>
        <w:gridCol w:w="1009"/>
      </w:tblGrid>
      <w:tr>
        <w:trPr/>
        <w:tc>
          <w:tcPr>
            <w:tcW w:w="6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 2026 compared to the Nine Months Ended September 30, 2025</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w:t>
            </w:r>
            <w:r>
              <w:rPr>
                <w:rFonts w:ascii="Times New Roman;serif" w:hAnsi="Times New Roman;serif"/>
                <w:b/>
                <w:i/>
                <w:color w:val="000000"/>
                <w:sz w:val="16"/>
              </w:rPr>
              <w:t>dollars in millions</w:t>
            </w:r>
            <w:r>
              <w:rPr>
                <w:rFonts w:ascii="Times New Roman;serif" w:hAnsi="Times New Roman;serif"/>
                <w:b w:val="false"/>
                <w:i/>
                <w:color w:val="000000"/>
                <w:sz w:val="16"/>
              </w:rPr>
              <w:t>)</w:t>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Reported Change</w:t>
            </w:r>
          </w:p>
        </w:tc>
        <w:tc>
          <w:tcPr>
            <w:tcW w:w="1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&amp; Divestitures Change</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FX / Other Change </w:t>
            </w:r>
            <w:r>
              <w:rPr>
                <w:rFonts w:ascii="Times New Roman;serif" w:hAnsi="Times New Roman;serif"/>
                <w:b/>
                <w:color w:val="000000"/>
                <w:sz w:val="10"/>
              </w:rPr>
              <w:t>(2)</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Change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Prior Year Adjusted Sales </w:t>
            </w:r>
            <w:r>
              <w:rPr>
                <w:rFonts w:ascii="Times New Roman;serif" w:hAnsi="Times New Roman;serif"/>
                <w:b/>
                <w:color w:val="000000"/>
                <w:sz w:val="10"/>
              </w:rPr>
              <w:t>(1)</w:t>
            </w:r>
          </w:p>
        </w:tc>
        <w:tc>
          <w:tcPr>
            <w:tcW w:w="17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Change as a % of Adjusted Sales</w:t>
            </w:r>
          </w:p>
        </w:tc>
      </w:tr>
      <w:tr>
        <w:trPr/>
        <w:tc>
          <w:tcPr>
            <w:tcW w:w="15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1,734 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(925)</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22,460 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Eliminations and Other </w:t>
            </w:r>
            <w:r>
              <w:rPr>
                <w:rFonts w:ascii="Times New Roman;serif" w:hAnsi="Times New Roman;serif"/>
                <w:b w:val="false"/>
                <w:color w:val="000000"/>
                <w:sz w:val="12"/>
              </w:rPr>
              <w:t>(3)</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3"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Consolidated</w:t>
            </w:r>
          </w:p>
        </w:tc>
        <w:tc>
          <w:tcPr>
            <w:tcW w:w="2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7,384 </w:t>
            </w:r>
          </w:p>
        </w:tc>
        <w:tc>
          <w:tcPr>
            <w:tcW w:w="1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(885)</w:t>
            </w:r>
          </w:p>
        </w:tc>
        <w:tc>
          <w:tcPr>
            <w:tcW w:w="2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6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8,199 </w:t>
            </w:r>
          </w:p>
        </w:tc>
        <w:tc>
          <w:tcPr>
            <w:tcW w:w="1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64,365 </w:t>
            </w:r>
          </w:p>
        </w:tc>
        <w:tc>
          <w:tcPr>
            <w:tcW w:w="1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 xml:space="preserve">(1)    For the full Non-GAAP reconciliation of adjusted sales refer to “Reconciliation of Adjusted (Non-GAAP) Results - Adjusted Sales, Adjusted Operating Profit &amp; Operating Profit Margin.” </w:t>
      </w:r>
    </w:p>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(2)    Includes other significant non-operational items and/or significant operational items that may occur at irregular intervals.</w:t>
      </w:r>
    </w:p>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(3)    FX/Other Change includes the transactional impact of foreign exchange hedging at Pratt &amp; Whitney Canada, which is included in Pratt &amp; Whitney’s FX/Other Change, but excluded for Consolidated RTX.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Adjustments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3"/>
        <w:gridCol w:w="575"/>
        <w:gridCol w:w="577"/>
        <w:gridCol w:w="2502"/>
        <w:gridCol w:w="2374"/>
        <w:gridCol w:w="3394"/>
      </w:tblGrid>
      <w:tr>
        <w:trPr/>
        <w:tc>
          <w:tcPr>
            <w:tcW w:w="78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Non-GAAP Adjustments</w:t>
            </w:r>
          </w:p>
        </w:tc>
        <w:tc>
          <w:tcPr>
            <w:tcW w:w="8270"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Description</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Portfolio transformation and divestiture costs</w:t>
            </w:r>
          </w:p>
        </w:tc>
        <w:tc>
          <w:tcPr>
            <w:tcW w:w="8270"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The quarters and nine months ended September 30, 2026 and 2025 include separation costs incurred in advance of the completion of certain divestitures. </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bankruptcy</w:t>
            </w:r>
          </w:p>
        </w:tc>
        <w:tc>
          <w:tcPr>
            <w:tcW w:w="8270"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The quarter and nine months ended September 30, 2026 include a net pre-tax charge of approximately $0.4 billion related to a customer bankruptcy at Pratt &amp; Whitney. The nine months ended September 30, 2025 includes a net pre-tax charge of approximately $0.1 billion related to a customer bankruptcy at Pratt &amp; Whitney. The charges primarily relate to contract asset exposures with specific customers. Management has determined that the nature and significance of these charges is considered unusual and, therefore, not indicative of the Company’s ongoing operational performance.</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Gain on sale of businesses, net of transaction and other related costs</w:t>
            </w:r>
          </w:p>
        </w:tc>
        <w:tc>
          <w:tcPr>
            <w:tcW w:w="8270"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The quarters and nine months ended September 30, 2025 include a pre-tax gain, net of transaction and other related costs, of $0.1 billion associated with the completed sale of the actuation and flight control business at Collins. Management has determined that the nature of the net gain on this divestiture is considered significant and non-operational and, therefore, not indicative of the Company’s ongoing operational performance.</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Gains on investments</w:t>
            </w:r>
          </w:p>
        </w:tc>
        <w:tc>
          <w:tcPr>
            <w:tcW w:w="8270"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56"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The quarter and nine months ended September 30, 2026 include a pre-tax gain of $159 million and $229 million, respectively, related to the increase in fair value on certain investments. The nine months ended September 30, 2025 includes a pre-tax gain of $41 million related to the increase in fair value on an investment. Management has determined that the nature of the gains on these investments is considered significant and non-operational and, therefore, not indicative of the Company’s ongoing operational performance. </w:t>
            </w:r>
          </w:p>
        </w:tc>
      </w:tr>
      <w:tr>
        <w:trPr/>
        <w:tc>
          <w:tcPr>
            <w:tcW w:w="1935"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Tax audit settlements and closures</w:t>
            </w:r>
          </w:p>
        </w:tc>
        <w:tc>
          <w:tcPr>
            <w:tcW w:w="8270"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The nine months ended September 30, 2025 includes a tax benefit of $59 million and a pre-tax benefit on the reversal of $54 million of interest accruals both recognized as a result of the closure of the examination phase of multiple state tax audits. </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82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6548</Words>
  <Characters>36670</Characters>
  <CharactersWithSpaces>42071</CharactersWithSpaces>
  <Paragraphs>1765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