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-563245</wp:posOffset>
            </wp:positionV>
            <wp:extent cx="12693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Austin Lloyd J. III</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870 WINTER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RAYTHEON TECHNOLOGIES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RTX</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w:t>
      </w:r>
    </w:p>
    <w:p>
      <w:pPr>
        <w:spacing w:after="0" w:line="31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05/12/2020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7" w:lineRule="exact"/>
        <w:rPr>
          <w:sz w:val="24"/>
          <w:szCs w:val="24"/>
          <w:color w:val="auto"/>
        </w:rPr>
      </w:pPr>
    </w:p>
    <w:p>
      <w:pPr>
        <w:sectPr>
          <w:pgSz w:w="11900" w:h="16838" w:orient="portrait"/>
          <w:cols w:equalWidth="0" w:num="3">
            <w:col w:w="3180" w:space="720"/>
            <w:col w:w="3660" w:space="164"/>
            <w:col w:w="3356"/>
          </w:cols>
          <w:pgMar w:left="460" w:top="219" w:right="359" w:bottom="1440" w:gutter="0" w:footer="0" w:header="0"/>
          <w:type w:val="continuous"/>
        </w:sectPr>
      </w:pPr>
    </w:p>
    <w:p>
      <w:pPr>
        <w:spacing w:after="0" w:line="17"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WALTHAM</w:t>
            </w:r>
          </w:p>
        </w:tc>
        <w:tc>
          <w:tcPr>
            <w:tcW w:w="1000" w:type="dxa"/>
            <w:vAlign w:val="bottom"/>
          </w:tcPr>
          <w:p>
            <w:pPr>
              <w:ind w:left="220"/>
              <w:spacing w:after="0"/>
              <w:rPr>
                <w:sz w:val="20"/>
                <w:szCs w:val="20"/>
                <w:color w:val="auto"/>
              </w:rPr>
            </w:pPr>
            <w:r>
              <w:rPr>
                <w:rFonts w:ascii="Arial" w:cs="Arial" w:eastAsia="Arial" w:hAnsi="Arial"/>
                <w:sz w:val="16"/>
                <w:szCs w:val="16"/>
                <w:color w:val="0000FF"/>
              </w:rPr>
              <w:t>MA</w:t>
            </w:r>
          </w:p>
        </w:tc>
        <w:tc>
          <w:tcPr>
            <w:tcW w:w="1640" w:type="dxa"/>
            <w:vAlign w:val="bottom"/>
          </w:tcPr>
          <w:p>
            <w:pPr>
              <w:ind w:left="440"/>
              <w:spacing w:after="0"/>
              <w:rPr>
                <w:sz w:val="20"/>
                <w:szCs w:val="20"/>
                <w:color w:val="auto"/>
              </w:rPr>
            </w:pPr>
            <w:r>
              <w:rPr>
                <w:rFonts w:ascii="Arial" w:cs="Arial" w:eastAsia="Arial" w:hAnsi="Arial"/>
                <w:sz w:val="16"/>
                <w:szCs w:val="16"/>
                <w:color w:val="0000FF"/>
              </w:rPr>
              <w:t>02451</w:t>
            </w:r>
          </w:p>
        </w:tc>
      </w:tr>
      <w:tr>
        <w:trPr>
          <w:trHeight w:val="142"/>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000" w:type="dxa"/>
            <w:vAlign w:val="bottom"/>
          </w:tcPr>
          <w:p>
            <w:pPr>
              <w:ind w:left="22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480" w:type="dxa"/>
            <w:vAlign w:val="bottom"/>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242"/>
        </w:trPr>
        <w:tc>
          <w:tcPr>
            <w:tcW w:w="3480" w:type="dxa"/>
            <w:vAlign w:val="bottom"/>
          </w:tcPr>
          <w:p>
            <w:pPr>
              <w:spacing w:after="0"/>
              <w:rPr>
                <w:sz w:val="20"/>
                <w:szCs w:val="20"/>
                <w:color w:val="auto"/>
              </w:rPr>
            </w:pPr>
            <w:r>
              <w:rPr>
                <w:rFonts w:ascii="Arial" w:cs="Arial" w:eastAsia="Arial" w:hAnsi="Arial"/>
                <w:sz w:val="16"/>
                <w:szCs w:val="16"/>
                <w:color w:val="0000FF"/>
              </w:rPr>
              <w:t>05/14/2020</w:t>
            </w:r>
          </w:p>
        </w:tc>
        <w:tc>
          <w:tcPr>
            <w:tcW w:w="3480" w:type="dxa"/>
            <w:vAlign w:val="bottom"/>
          </w:tcPr>
          <w:p>
            <w:pPr>
              <w:ind w:left="5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r>
      <w:tr>
        <w:trPr>
          <w:trHeight w:val="198"/>
        </w:trPr>
        <w:tc>
          <w:tcPr>
            <w:tcW w:w="3480" w:type="dxa"/>
            <w:vAlign w:val="bottom"/>
          </w:tcPr>
          <w:p>
            <w:pPr>
              <w:spacing w:after="0"/>
              <w:rPr>
                <w:sz w:val="17"/>
                <w:szCs w:val="17"/>
                <w:color w:val="auto"/>
              </w:rPr>
            </w:pPr>
          </w:p>
        </w:tc>
        <w:tc>
          <w:tcPr>
            <w:tcW w:w="3480" w:type="dxa"/>
            <w:vAlign w:val="bottom"/>
          </w:tcPr>
          <w:p>
            <w:pPr>
              <w:ind w:left="88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-2476500</wp:posOffset>
            </wp:positionH>
            <wp:positionV relativeFrom="paragraph">
              <wp:posOffset>196850</wp:posOffset>
            </wp:positionV>
            <wp:extent cx="6974205" cy="838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4205" cy="838200"/>
                    </a:xfrm>
                    <a:prstGeom prst="rect">
                      <a:avLst/>
                    </a:prstGeom>
                    <a:noFill/>
                  </pic:spPr>
                </pic:pic>
              </a:graphicData>
            </a:graphic>
          </wp:anchor>
        </w:drawing>
      </w:r>
    </w:p>
    <w:p>
      <w:pPr>
        <w:spacing w:after="0" w:line="366"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60" w:type="dxa"/>
            <w:vAlign w:val="bottom"/>
          </w:tcPr>
          <w:p>
            <w:pPr>
              <w:ind w:left="88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6435" cy="1520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15201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w w:val="95"/>
              </w:rPr>
              <w:t>5. Number of</w:t>
            </w:r>
          </w:p>
        </w:tc>
        <w:tc>
          <w:tcPr>
            <w:tcW w:w="22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60" w:type="dxa"/>
            <w:vAlign w:val="bottom"/>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tcPr>
          <w:p>
            <w:pPr>
              <w:ind w:left="300"/>
              <w:spacing w:after="0"/>
              <w:rPr>
                <w:sz w:val="20"/>
                <w:szCs w:val="20"/>
                <w:color w:val="auto"/>
              </w:rPr>
            </w:pPr>
            <w:r>
              <w:rPr>
                <w:rFonts w:ascii="Arial" w:cs="Arial" w:eastAsia="Arial" w:hAnsi="Arial"/>
                <w:sz w:val="10"/>
                <w:szCs w:val="10"/>
                <w:color w:val="008000"/>
              </w:rPr>
              <w:t>(1)</w:t>
            </w:r>
          </w:p>
        </w:tc>
        <w:tc>
          <w:tcPr>
            <w:tcW w:w="1040" w:type="dxa"/>
            <w:vAlign w:val="bottom"/>
          </w:tcPr>
          <w:p>
            <w:pPr>
              <w:jc w:val="right"/>
              <w:ind w:right="183"/>
              <w:spacing w:after="0"/>
              <w:rPr>
                <w:sz w:val="20"/>
                <w:szCs w:val="20"/>
                <w:color w:val="auto"/>
              </w:rPr>
            </w:pPr>
            <w:r>
              <w:rPr>
                <w:rFonts w:ascii="Arial" w:cs="Arial" w:eastAsia="Arial" w:hAnsi="Arial"/>
                <w:sz w:val="12"/>
                <w:szCs w:val="12"/>
                <w:color w:val="0000FF"/>
              </w:rPr>
              <w:t>05/12/2020</w:t>
            </w:r>
          </w:p>
        </w:tc>
        <w:tc>
          <w:tcPr>
            <w:tcW w:w="104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0000FF"/>
              </w:rPr>
              <w:t>A</w:t>
            </w:r>
          </w:p>
        </w:tc>
        <w:tc>
          <w:tcPr>
            <w:tcW w:w="740" w:type="dxa"/>
            <w:vAlign w:val="bottom"/>
          </w:tcPr>
          <w:p>
            <w:pPr>
              <w:ind w:left="80"/>
              <w:spacing w:after="0"/>
              <w:rPr>
                <w:sz w:val="20"/>
                <w:szCs w:val="20"/>
                <w:color w:val="auto"/>
              </w:rPr>
            </w:pPr>
            <w:r>
              <w:rPr>
                <w:rFonts w:ascii="Arial" w:cs="Arial" w:eastAsia="Arial" w:hAnsi="Arial"/>
                <w:sz w:val="12"/>
                <w:szCs w:val="12"/>
                <w:color w:val="0000FF"/>
              </w:rPr>
              <w:t>2,906.4085</w:t>
            </w:r>
          </w:p>
        </w:tc>
        <w:tc>
          <w:tcPr>
            <w:tcW w:w="2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680" w:type="dxa"/>
            <w:vAlign w:val="bottom"/>
          </w:tcPr>
          <w:p>
            <w:pPr>
              <w:jc w:val="right"/>
              <w:ind w:right="226"/>
              <w:spacing w:after="0"/>
              <w:rPr>
                <w:sz w:val="20"/>
                <w:szCs w:val="20"/>
                <w:color w:val="auto"/>
              </w:rPr>
            </w:pPr>
            <w:r>
              <w:rPr>
                <w:rFonts w:ascii="Arial" w:cs="Arial" w:eastAsia="Arial" w:hAnsi="Arial"/>
                <w:sz w:val="10"/>
                <w:szCs w:val="10"/>
                <w:color w:val="008000"/>
              </w:rPr>
              <w:t>(1)</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840" w:type="dxa"/>
            <w:vAlign w:val="bottom"/>
          </w:tcPr>
          <w:p>
            <w:pPr>
              <w:ind w:left="60"/>
              <w:spacing w:after="0"/>
              <w:rPr>
                <w:sz w:val="20"/>
                <w:szCs w:val="20"/>
                <w:color w:val="auto"/>
              </w:rPr>
            </w:pPr>
            <w:r>
              <w:rPr>
                <w:rFonts w:ascii="Arial" w:cs="Arial" w:eastAsia="Arial" w:hAnsi="Arial"/>
                <w:sz w:val="16"/>
                <w:szCs w:val="16"/>
                <w:color w:val="0000FF"/>
                <w:w w:val="94"/>
              </w:rPr>
              <w:t>2,906.4085</w:t>
            </w:r>
          </w:p>
        </w:tc>
        <w:tc>
          <w:tcPr>
            <w:tcW w:w="660" w:type="dxa"/>
            <w:vAlign w:val="bottom"/>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65.07</w:t>
            </w:r>
          </w:p>
        </w:tc>
        <w:tc>
          <w:tcPr>
            <w:tcW w:w="900" w:type="dxa"/>
            <w:vAlign w:val="bottom"/>
          </w:tcPr>
          <w:p>
            <w:pPr>
              <w:ind w:left="180"/>
              <w:spacing w:after="0"/>
              <w:rPr>
                <w:sz w:val="20"/>
                <w:szCs w:val="20"/>
                <w:color w:val="auto"/>
              </w:rPr>
            </w:pPr>
            <w:r>
              <w:rPr>
                <w:rFonts w:ascii="Arial" w:cs="Arial" w:eastAsia="Arial" w:hAnsi="Arial"/>
                <w:sz w:val="12"/>
                <w:szCs w:val="12"/>
                <w:color w:val="0000FF"/>
              </w:rPr>
              <w:t>8,625.31</w:t>
            </w:r>
            <w:r>
              <w:rPr>
                <w:rFonts w:ascii="Arial" w:cs="Arial" w:eastAsia="Arial" w:hAnsi="Arial"/>
                <w:sz w:val="20"/>
                <w:szCs w:val="20"/>
                <w:color w:val="008000"/>
                <w:vertAlign w:val="superscript"/>
              </w:rPr>
              <w:t>(2)</w:t>
            </w:r>
          </w:p>
        </w:tc>
        <w:tc>
          <w:tcPr>
            <w:tcW w:w="700" w:type="dxa"/>
            <w:vAlign w:val="bottom"/>
          </w:tcPr>
          <w:p>
            <w:pPr>
              <w:ind w:left="30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60" w:type="dxa"/>
            <w:vAlign w:val="bottom"/>
          </w:tcPr>
          <w:p>
            <w:pPr>
              <w:ind w:left="60"/>
              <w:spacing w:after="0"/>
              <w:rPr>
                <w:sz w:val="20"/>
                <w:szCs w:val="20"/>
                <w:color w:val="auto"/>
              </w:rPr>
            </w:pPr>
            <w:r>
              <w:rPr>
                <w:rFonts w:ascii="Arial" w:cs="Arial" w:eastAsia="Arial" w:hAnsi="Arial"/>
                <w:sz w:val="12"/>
                <w:szCs w:val="12"/>
                <w:color w:val="0000FF"/>
              </w:rPr>
              <w:t>Stock Unit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300" w:hanging="4"/>
        <w:spacing w:after="0" w:line="285"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acquired these stock units under the Raytheon Technologies Corporation Board of Directors Deferred Stock Unit Plan (the "Plan") in connection with the reporting person's annual compensation for service as a non-employee director. The Plan provides for payment of a portion or all of the annual compensation in deferred stock units. Upon retirement or termination, the deferred stock units in the director's account under the Plan are converted into an equal number of shares of common stock that, at the director's previous election, are distributed either in a lump-sum or in installments.</w:t>
      </w:r>
    </w:p>
    <w:p>
      <w:pPr>
        <w:spacing w:after="0" w:line="5" w:lineRule="exact"/>
        <w:rPr>
          <w:rFonts w:ascii="Arial" w:cs="Arial" w:eastAsia="Arial" w:hAnsi="Arial"/>
          <w:sz w:val="11"/>
          <w:szCs w:val="11"/>
          <w:color w:val="008000"/>
        </w:rPr>
      </w:pPr>
    </w:p>
    <w:p>
      <w:pPr>
        <w:ind w:left="40" w:right="260" w:hanging="4"/>
        <w:spacing w:after="0" w:line="313" w:lineRule="auto"/>
        <w:tabs>
          <w:tab w:leader="none" w:pos="16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amended Form 4 is being filed in order to reflect the impact of adjustments to the reporting person's stock ownership as a result of the merger of United Technologies Corporation and Raytheon Company and the related spin-offs of the Otis and Carrier businesses. The converted total number of securities owned following the spin-offs had not yet been determined as of the date of the original filing.</w:t>
      </w:r>
    </w:p>
    <w:p>
      <w:pPr>
        <w:spacing w:after="0" w:line="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w w:val="96"/>
              </w:rPr>
              <w:t>/s/ Dana Ng as Attorney-In-Fact</w:t>
            </w:r>
          </w:p>
        </w:tc>
        <w:tc>
          <w:tcPr>
            <w:tcW w:w="720" w:type="dxa"/>
            <w:vAlign w:val="bottom"/>
          </w:tcPr>
          <w:p>
            <w:pPr>
              <w:spacing w:after="0"/>
              <w:rPr>
                <w:sz w:val="20"/>
                <w:szCs w:val="20"/>
                <w:color w:val="auto"/>
              </w:rPr>
            </w:pPr>
            <w:r>
              <w:rPr>
                <w:rFonts w:ascii="Arial" w:cs="Arial" w:eastAsia="Arial" w:hAnsi="Arial"/>
                <w:sz w:val="16"/>
                <w:szCs w:val="16"/>
                <w:color w:val="0000FF"/>
                <w:w w:val="87"/>
              </w:rPr>
              <w:t>10/23/2020</w:t>
            </w:r>
          </w:p>
        </w:tc>
      </w:tr>
      <w:tr>
        <w:trPr>
          <w:trHeight w:val="213"/>
        </w:trPr>
        <w:tc>
          <w:tcPr>
            <w:tcW w:w="20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0876" TargetMode="External"/><Relationship Id="rId14" Type="http://schemas.openxmlformats.org/officeDocument/2006/relationships/hyperlink" Target="http://www.sec.gov/cgi-bin/browse-edgar?action=getcompany&amp;CIK=0000101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2020-10-23T16:33:03Z</dcterms:created>
  <dcterms:modified xsi:type="dcterms:W3CDTF">2020-10-23T16:33:03Z</dcterms:modified>
</cp:coreProperties>
</file>