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40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September 30, 2012 there were 916,544,528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September 30,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1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 of Comprehensive Income for the quarters ended September 30, 2012 and 2011</w:t>
              </w:r>
            </w:hyperlink>
          </w:p>
        </w:tc>
        <w:tc>
          <w:tcPr>
            <w:tcW w:w="18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6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Comprehensive Income for the nine months ended September 30, 2012 and 2011</w:t>
              </w:r>
            </w:hyperlink>
          </w:p>
        </w:tc>
        <w:tc>
          <w:tcPr>
            <w:tcW w:w="1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September 30, 2012 and December 31,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nine months ended September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660" w:type="dxa"/>
            <w:vAlign w:val="bottom"/>
            <w:tcBorders>
              <w:top w:val="single" w:sz="8" w:color="0000EE"/>
            </w:tcBorders>
            <w:gridSpan w:val="6"/>
          </w:tcPr>
          <w:p>
            <w:pPr>
              <w:spacing w:after="0"/>
              <w:rPr>
                <w:sz w:val="24"/>
                <w:szCs w:val="24"/>
                <w:color w:val="auto"/>
              </w:rPr>
            </w:pPr>
          </w:p>
        </w:tc>
        <w:tc>
          <w:tcPr>
            <w:tcW w:w="24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4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 Legal Proceedings</w:t>
              </w:r>
            </w:hyperlink>
          </w:p>
        </w:tc>
        <w:tc>
          <w:tcPr>
            <w:tcW w:w="84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3. Defaults Upon Senior Securities</w:t>
              </w:r>
            </w:hyperlink>
          </w:p>
        </w:tc>
        <w:tc>
          <w:tcPr>
            <w:tcW w:w="58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4. Mine Safety Disclosures</w:t>
              </w:r>
            </w:hyperlink>
          </w:p>
        </w:tc>
        <w:tc>
          <w:tcPr>
            <w:tcW w:w="78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8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EXHIBIT INDEX</w:t>
              </w:r>
            </w:hyperlink>
          </w:p>
        </w:tc>
        <w:tc>
          <w:tcPr>
            <w:tcW w:w="974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8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UNITED TECHNOLOGIES CORPORATION</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6"/>
              </w:rPr>
              <w:t>AND SUBSIDIARIES</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80" w:type="dxa"/>
            <w:vAlign w:val="bottom"/>
            <w:gridSpan w:val="4"/>
          </w:tcPr>
          <w:p>
            <w:pPr>
              <w:jc w:val="center"/>
              <w:ind w:left="992"/>
              <w:spacing w:after="0"/>
              <w:rPr>
                <w:sz w:val="20"/>
                <w:szCs w:val="20"/>
                <w:color w:val="auto"/>
              </w:rPr>
            </w:pPr>
            <w:r>
              <w:rPr>
                <w:rFonts w:ascii="Arial" w:cs="Arial" w:eastAsia="Arial" w:hAnsi="Arial"/>
                <w:sz w:val="18"/>
                <w:szCs w:val="18"/>
                <w:b w:val="1"/>
                <w:bCs w:val="1"/>
                <w:color w:val="auto"/>
                <w:w w:val="97"/>
              </w:rPr>
              <w:t>CONDENSED CONSOLIDATED STATEMENT OF COMPREHENSIVE INCOME</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2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9"/>
              </w:rPr>
              <w:t>(Unaudited)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4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0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Quarter Ended September 30,</w:t>
            </w:r>
          </w:p>
        </w:tc>
        <w:tc>
          <w:tcPr>
            <w:tcW w:w="0" w:type="dxa"/>
            <w:vAlign w:val="bottom"/>
          </w:tcPr>
          <w:p>
            <w:pPr>
              <w:spacing w:after="0"/>
              <w:rPr>
                <w:sz w:val="1"/>
                <w:szCs w:val="1"/>
                <w:color w:val="auto"/>
              </w:rPr>
            </w:pPr>
          </w:p>
        </w:tc>
      </w:tr>
      <w:tr>
        <w:trPr>
          <w:trHeight w:val="149"/>
        </w:trPr>
        <w:tc>
          <w:tcPr>
            <w:tcW w:w="9420" w:type="dxa"/>
            <w:vAlign w:val="bottom"/>
            <w:gridSpan w:val="6"/>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1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10,839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13,212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20" w:type="dxa"/>
            <w:vAlign w:val="bottom"/>
            <w:gridSpan w:val="6"/>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2,041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20" w:type="dxa"/>
            <w:vAlign w:val="bottom"/>
            <w:gridSpan w:val="6"/>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20" w:type="dxa"/>
            <w:vAlign w:val="bottom"/>
            <w:gridSpan w:val="6"/>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Loss on disposal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on discontinued operations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Net income</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1,511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20" w:type="dxa"/>
            <w:vAlign w:val="bottom"/>
            <w:gridSpan w:val="6"/>
          </w:tcPr>
          <w:p>
            <w:pPr>
              <w:spacing w:after="0"/>
              <w:rPr>
                <w:sz w:val="20"/>
                <w:szCs w:val="20"/>
                <w:color w:val="auto"/>
              </w:rPr>
            </w:pPr>
            <w:r>
              <w:rPr>
                <w:rFonts w:ascii="Arial" w:cs="Arial" w:eastAsia="Arial" w:hAnsi="Arial"/>
                <w:sz w:val="18"/>
                <w:szCs w:val="18"/>
                <w:b w:val="1"/>
                <w:bCs w:val="1"/>
                <w:color w:val="auto"/>
              </w:rPr>
              <w:t>Net income attributable to common shareowners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2,546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2,427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454</w:t>
            </w:r>
          </w:p>
        </w:tc>
        <w:tc>
          <w:tcPr>
            <w:tcW w:w="0" w:type="dxa"/>
            <w:vAlign w:val="bottom"/>
          </w:tcPr>
          <w:p>
            <w:pPr>
              <w:spacing w:after="0"/>
              <w:rPr>
                <w:sz w:val="1"/>
                <w:szCs w:val="1"/>
                <w:color w:val="auto"/>
              </w:rPr>
            </w:pPr>
          </w:p>
        </w:tc>
      </w:tr>
      <w:tr>
        <w:trPr>
          <w:trHeight w:val="20"/>
        </w:trPr>
        <w:tc>
          <w:tcPr>
            <w:tcW w:w="9420" w:type="dxa"/>
            <w:vAlign w:val="bottom"/>
            <w:gridSpan w:val="6"/>
            <w:vMerge w:val="restart"/>
          </w:tcPr>
          <w:p>
            <w:pPr>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6"/>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Net income from discontinued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Per Share of Common Stock - Basic: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323"/>
        </w:trPr>
        <w:tc>
          <w:tcPr>
            <w:tcW w:w="9420" w:type="dxa"/>
            <w:vAlign w:val="bottom"/>
            <w:gridSpan w:val="6"/>
          </w:tcPr>
          <w:p>
            <w:pPr>
              <w:spacing w:after="0"/>
              <w:rPr>
                <w:sz w:val="20"/>
                <w:szCs w:val="20"/>
                <w:color w:val="auto"/>
              </w:rPr>
            </w:pPr>
            <w:r>
              <w:rPr>
                <w:rFonts w:ascii="Arial" w:cs="Arial" w:eastAsia="Arial" w:hAnsi="Arial"/>
                <w:sz w:val="18"/>
                <w:szCs w:val="18"/>
                <w:color w:val="auto"/>
              </w:rPr>
              <w:t>Earnings Per Share of Common Stock - Diluted: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5"/>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9"/>
        </w:trPr>
        <w:tc>
          <w:tcPr>
            <w:tcW w:w="714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426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28,843</w:t>
            </w:r>
          </w:p>
        </w:tc>
        <w:tc>
          <w:tcPr>
            <w:tcW w:w="4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41,265</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21,724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36,183</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4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14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Income from operations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disposal</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Income tax benefit (expense)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income on discontinued operations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30"/>
        </w:trPr>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9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w:t>
            </w:r>
          </w:p>
        </w:tc>
        <w:tc>
          <w:tcPr>
            <w:tcW w:w="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common shareowners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3,073</w:t>
            </w:r>
          </w:p>
        </w:tc>
        <w:tc>
          <w:tcPr>
            <w:tcW w:w="4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3,657</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common shareowners:</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3"/>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Net (loss) income from discontinued operations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(829)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 - Basic:</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4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323"/>
        </w:trPr>
        <w:tc>
          <w:tcPr>
            <w:tcW w:w="7140" w:type="dxa"/>
            <w:vAlign w:val="bottom"/>
            <w:gridSpan w:val="3"/>
          </w:tcPr>
          <w:p>
            <w:pPr>
              <w:spacing w:after="0"/>
              <w:rPr>
                <w:sz w:val="20"/>
                <w:szCs w:val="20"/>
                <w:color w:val="auto"/>
              </w:rPr>
            </w:pPr>
            <w:r>
              <w:rPr>
                <w:rFonts w:ascii="Arial" w:cs="Arial" w:eastAsia="Arial" w:hAnsi="Arial"/>
                <w:sz w:val="18"/>
                <w:szCs w:val="18"/>
                <w:color w:val="auto"/>
              </w:rPr>
              <w:t>Earnings Per Share of Common Stock - Diluted:</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c>
          <w:tcPr>
            <w:tcW w:w="4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4"/>
        </w:trPr>
        <w:tc>
          <w:tcPr>
            <w:tcW w:w="9060" w:type="dxa"/>
            <w:vAlign w:val="bottom"/>
            <w:gridSpan w:val="7"/>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93"/>
              <w:spacing w:after="0" w:line="114" w:lineRule="exact"/>
              <w:rPr>
                <w:sz w:val="20"/>
                <w:szCs w:val="20"/>
                <w:color w:val="auto"/>
              </w:rPr>
            </w:pPr>
            <w:r>
              <w:rPr>
                <w:rFonts w:ascii="Arial" w:cs="Arial" w:eastAsia="Arial" w:hAnsi="Arial"/>
                <w:sz w:val="12"/>
                <w:szCs w:val="12"/>
                <w:b w:val="1"/>
                <w:bCs w:val="1"/>
                <w:color w:val="auto"/>
              </w:rPr>
              <w:t>2012</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3"/>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020" w:type="dxa"/>
            <w:vAlign w:val="bottom"/>
            <w:gridSpan w:val="3"/>
            <w:shd w:val="clear" w:color="auto" w:fill="CCEEFF"/>
          </w:tcPr>
          <w:p>
            <w:pPr>
              <w:jc w:val="center"/>
              <w:ind w:right="4560"/>
              <w:spacing w:after="0" w:line="142" w:lineRule="exact"/>
              <w:rPr>
                <w:sz w:val="20"/>
                <w:szCs w:val="20"/>
                <w:color w:val="auto"/>
              </w:rPr>
            </w:pPr>
            <w:r>
              <w:rPr>
                <w:rFonts w:ascii="Arial" w:cs="Arial" w:eastAsia="Arial" w:hAnsi="Arial"/>
                <w:sz w:val="16"/>
                <w:szCs w:val="16"/>
                <w:b w:val="1"/>
                <w:bCs w:val="1"/>
                <w:color w:val="auto"/>
                <w:w w:val="87"/>
              </w:rPr>
              <w:t>Assets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auto"/>
            </w:tcBorders>
          </w:tcPr>
          <w:p>
            <w:pPr>
              <w:spacing w:after="0"/>
              <w:rPr>
                <w:sz w:val="18"/>
                <w:szCs w:val="18"/>
                <w:color w:val="auto"/>
              </w:rPr>
            </w:pPr>
          </w:p>
        </w:tc>
        <w:tc>
          <w:tcPr>
            <w:tcW w:w="45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6,242</w:t>
            </w: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Assets of discontinued operations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Customer financing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(9,622)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gridSpan w:val="7"/>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27,630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0" w:type="dxa"/>
            <w:vAlign w:val="bottom"/>
            <w:gridSpan w:val="4"/>
            <w:vMerge w:val="restart"/>
          </w:tcPr>
          <w:p>
            <w:pPr>
              <w:jc w:val="center"/>
              <w:ind w:right="3980"/>
              <w:spacing w:after="0"/>
              <w:rPr>
                <w:sz w:val="20"/>
                <w:szCs w:val="20"/>
                <w:color w:val="auto"/>
              </w:rPr>
            </w:pPr>
            <w:r>
              <w:rPr>
                <w:rFonts w:ascii="Arial" w:cs="Arial" w:eastAsia="Arial" w:hAnsi="Arial"/>
                <w:sz w:val="18"/>
                <w:szCs w:val="18"/>
                <w:b w:val="1"/>
                <w:bCs w:val="1"/>
                <w:color w:val="auto"/>
                <w:w w:val="89"/>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Liabilities of discontinued operations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26,452</w:t>
            </w: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65,622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13)</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13,799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35,219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Unearned ESOP shares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6"/>
          </w:tcPr>
          <w:p>
            <w:pPr>
              <w:ind w:left="8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(4,663)</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Total Shareowners’ Equity</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24,955</w:t>
            </w: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6"/>
          </w:tcPr>
          <w:p>
            <w:pPr>
              <w:ind w:left="42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91,946</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9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96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 of Continuing Operations: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$ 3,841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income from continuing operations to net cash flows provided by operating activities of continuing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 of Continuing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(16,008)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customer financing assets,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(16,133)</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15,942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Increase in collaboration intangible assets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investing activities,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(17,995)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 of Continuing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10,798</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short-term borrowings,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financing activities,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8"/>
        </w:trPr>
        <w:tc>
          <w:tcPr>
            <w:tcW w:w="968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331"/>
        </w:trPr>
        <w:tc>
          <w:tcPr>
            <w:tcW w:w="968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Less: Cash and cash equivalents of discontinued operations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080" w:right="580" w:hanging="3072"/>
        <w:spacing w:after="0" w:line="430" w:lineRule="auto"/>
        <w:tabs>
          <w:tab w:leader="none" w:pos="221"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activities include contributions of UTC common stock of $450 million to domestic defined benefit pension plans in the third quarter of 2011. 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Condensed Consolidated Financial Statements at September 30, 2012 and for the quarters and nine months ended September 30, 2012 and 2011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(2011 Annual Report) incorporated by reference to our Annual Report on Form 10-K for calendar year 2011 (2011 Form 10-K).</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 In 2012, the Company approved plans for the divestiture of a number of non-core businesses. The results of operations including the expected loss on disposition and the related cash flows which result from these non-core businesses have been reclassified to Discontinued Operations in our Condensed Consolidated Statement of Comprehensive Income and Condensed Consolidated Statement of Cash Flows for all periods presented. See Note 2 for further discussion.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first nine months of 2012, our investment in business acquisitions was $18.6 billion (including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of $2.6 billion).</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July 26, 2012, we completed the acquisition of Goodrich Corporation (Goodrich), a global supplier of systems and services to the aerospace and defense industry with 2011 sales of $8.1 billion. Goodrich products include aircraft nacelles, interior, actuation, landing and electronic systems. Under the terms of the agreement, Goodrich shareholders received $127.50 in cash for each share of Goodrich common stock they owned on July 26, 2012. This equated to a total enterprise value of $18.3 billion, including $1.9 billion in net debt assumed. The acquired Goodrich businesses were combined with the legacy Hamilton Sundstrand businesses to form the new UTC Aerospace Systems segment. The acquisition of Goodrich and the formation of UTC Aerospace Systems provide increased scale, financial strength and complementary product offerings, allowing us to significantly strengthen our position in the aerospace and defense industry, create aftermarket efficiencies for our customers, accelerate our ability to drive innovation within the aerospace industry, and enhance our ability to support our customers with more integrated systems. This acquisition, coupled with our acquisition of an additional interest in IAE International Aero Engines AG (IAE) resulting in a controlling interest in IAE, as discussed below, further advances the Company’s strategy of focusing on our core businesses.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 finance the cash consideration for the Goodrich acquisition and pay related fees, expenses and other amounts due and payable, we utilized the previously disclosed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under our April 24, 2012 term loan credit agreement in July 2012. For the remainder of the cash consideration, we utilized approximately $0.5 billion of cash and cash equivalents generated from operating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Consideration Transferred to Net Assets Acquired:</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amounts represent the preliminary determination of the fair value of identifiable assets acquired and liabilities assumed from our acquisition of Goodrich. The final determination of the fair value of certain assets and liabilities will be completed within the one year measurement period as required by the Financial Accounting Standards Board (FASB) Accounting Standards Codification (ASC) Topic 805, “Business Combinations.” The size and breadth of the Goodrich acquisition will necessitate the use of this measurement period to adequately analyze and assess a number of the factors used in establishing the asset and liability fair values as of the acquisition date including the significant contractual and operational factors underlying the customer relationship intangible asset; the final negotiated sales values for businesses that are required to be sold as part of the regulatory approval of the Goodrich acquisition; the assumptions underpinning certain reserves such as those for environmental obligations, and the related tax impacts of any changes made. Any potential adjustments made could be material in relation to the preliminary values presented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and contracts in progress,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Future income tax benefits, current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current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 contractual obligations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Total identifiable net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rPr>
              <w:t>Total consideration transferred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order to allocate the consideration transferred for Goodrich, the fair values of all identifiable assets and liabilities needed to be established. For accounting and financial reporting purposes, fair value is defined under ASC Topic 820, “Fair Value Measurement and Disclosure”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determining the fair value of identifiable assets acquired and liabilities assumed, a review was conducted for any significant contingent assets or liabilities existing as of the acquisition date. The preliminary assessment did not note any significant legal or governmental action contingencies. Based upon UTC’s existing practices and phase II environmental assessments done on a number of Goodrich sites, UTC determined it assumed an obligation of $232 million related to environmental liabilities.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fair values of the customer relationship intangible assets were determined by using an “income approach” which is the most common valuation approach utilized.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The Company’s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intangible asset is being amortized on a straight-line basis (which approximates the economic pattern of benefits) over the estimated economic life of the underlying programs of 10 to 25 years.</w:t>
      </w:r>
    </w:p>
    <w:p>
      <w:pPr>
        <w:spacing w:after="0" w:line="12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also identified customer contractual obligations on certain original equipment manufacturing (OEM) development programs where the expected costs exceed the expected revenue under contract. We measured these liabilities under the measurement provisions of ASC Topic 820, “Fair Value Measurement,” which is based on the price to transfer the obligation to a market participant at the measurement date, assuming that the liability will remain outstanding in the marketplace. Based on the estimated net cash outflows of the OEM developmental programs plus a reasonable contracting profit margin required to transfer the contracts to market participants, we recorded assumed liabilities of approximately $2.0 billion. These liabilities will be liquidated in accordance with the underlying economic pattern of obligations, as reflected by the net cash outflows incurred on the OEM contracts.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Goodrich had not recorded an income tax liability on the unremitted earnings of its non-U.S. subsidiaries, which was approximately $853 million as of December 31, 2011. In connection with the acquisition, the Company has made a determination to repatriate certain of these unremitted earnings, making such amounts subject to both U.S. and Non-U.S. income taxes. Accordingly, a deferred income tax liability of $218 million has been recorded in purchase accounting for the unremitted earnings no longer considered permanently reinvested.</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accordance with conditions imposed for regulatory approval of UTC’s acquisition of Goodrich, UTC must dispose of two Goodrich businesses, which are the electric power systems business and the pumps and engine controls business. These businesses have been held separate from UTC’s and Goodrich’s ongoing businesses pursuant to regulatory obligations. On October 16, 2012, we announced an agreement to sell the electric power systems business for $400 million to Safran. Closing is expected by the end of the first quarter of 2013 and is subject to regulatory approvals and other customary closing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Pre-Existing Relationships: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Pratt &amp; Whitney division entered into a preferred supplier contract in 2010 with Goodrich for the development and subsequent production of nacelles for the PW1500G (Bombardier C Series) and PW1200G (Mitsubishi Regional Jet). That preferred supplier contract replaced previous contracts and preliminary Memorandum of Understandings entered into in 2006 and 2008. Under the 2010 agreement, Pratt &amp; Whitney agreed to fund Goodrich’s non-recurring development effort and established a recurring price for the production nacelles. Prior to the date of UTC’s acquisition of Goodrich, Pratt &amp; Whitney and Goodrich had asserted claims against each other in a contractual dispute and would have ultimately arbitrated the matter were it not for the acquisition. In accordance with ASC Topic 805, “Business Combinations,” pre-existing relationships must be effectively settled at acquisition as the relationships become intercompany relationships upon acquisition and are eliminated in the post-combination financial statements. Any resulting settlement gains or losses should be measured at fair value and recorded on the acquisition date. Accordingly, a $46 million gain was recorded in other income by Pratt &amp; Whitney in the third quarter of 2012 based upon a third party determination of the probability-weighted outcome had the matter gone to arbitration.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Acquisition-related costs are being expensed as incurred. For the nine months ended September 30, 2012, approximately $84 million of transaction costs (including integration costs) have been incurred in addition to approximately $29 million of restructuring costs, including exit costs in connection with the acquisition (see additional discussion in Note 8). In connection with the financing of the Goodrich acquisition, approximately $130 million in interest costs have been recorded through the nine months ended September 30, 2012.</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Goodrich’s pre-existing management continuity arrangements (MCA), we assumed potential change-in-control obligations related to certain executives at Goodrich. We evaluated the change-in-control provisions governed by the MCA and for certain of the executives we determined that we had assumed liabilities of approximately $73 million as the benefit payments were effectively single trigger in substance. We measured the assumed liability based on fair value concepts of ASC Topic 820, “Fair Value Measurements,” using weighted average techniques of possible outcomes of the employees electing to receive such benefits. We expensed approximately $12 million for MCA arrangements where we amended the term of the MCA arrangement beyond the original expiration date for certain executives.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Pro-Forma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Goodrich’s results of operations have been included in UTC’s financial statements for the period subsequent to the completion of the acquisition on</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July 26, 2012. Goodrich contributed sales of approximately $1.5 billion and operating profit of approximately $100 million for the period from the completion of the acquisition through September 30, 2012. The following unaudited supplemental pro-forma data presents consolidated information as if the acquisition had been completed on January 1, 2011. The pro-forma results were calculated by combining the results of UTC with the stand-alone results of Goodrich for the pre-acquisition periods, which were adjusted to account for certain costs which would have been incurred during this pre-acquisition period: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24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7"/>
              </w:rPr>
              <w:t>Three Months Ended September 30,</w:t>
            </w:r>
          </w:p>
        </w:tc>
        <w:tc>
          <w:tcPr>
            <w:tcW w:w="80" w:type="dxa"/>
            <w:vAlign w:val="bottom"/>
          </w:tcPr>
          <w:p>
            <w:pPr>
              <w:spacing w:after="0"/>
              <w:rPr>
                <w:sz w:val="14"/>
                <w:szCs w:val="14"/>
                <w:color w:val="auto"/>
              </w:rPr>
            </w:pPr>
          </w:p>
        </w:tc>
        <w:tc>
          <w:tcPr>
            <w:tcW w:w="21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6"/>
              <w:spacing w:after="0" w:line="129"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15,512</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16,103</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45,730</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attributable to common shareowners from continuing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earnings per share of common stock from continuing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w w:val="93"/>
              </w:rPr>
              <w:t>Diluted earnings per share of common stock from continuing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2011, as adjusted for the applicable tax impact. As our acquisition of Goodrich was completed on July 26, 2012, the pro-forma adjustments for the three and nine months ended September 30, 2012 in the table below only include the required adjustments through July 26, 2012:</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76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9"/>
              </w:rPr>
              <w:t>Three Months Ended September 30,</w:t>
            </w:r>
          </w:p>
        </w:tc>
        <w:tc>
          <w:tcPr>
            <w:tcW w:w="22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inventory fair value adjustment</w:t>
            </w:r>
            <w:r>
              <w:rPr>
                <w:rFonts w:ascii="Arial" w:cs="Arial" w:eastAsia="Arial" w:hAnsi="Arial"/>
                <w:sz w:val="11"/>
                <w:szCs w:val="11"/>
                <w:color w:val="auto"/>
              </w:rPr>
              <w:t>1</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Amortization of acquired Goodrich intangible assets, net</w:t>
            </w:r>
            <w:r>
              <w:rPr>
                <w:rFonts w:ascii="Arial" w:cs="Arial" w:eastAsia="Arial" w:hAnsi="Arial"/>
                <w:sz w:val="11"/>
                <w:szCs w:val="11"/>
                <w:color w:val="auto"/>
              </w:rPr>
              <w:t>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of contractual customer obligation</w:t>
            </w:r>
            <w:r>
              <w:rPr>
                <w:rFonts w:ascii="Arial" w:cs="Arial" w:eastAsia="Arial" w:hAnsi="Arial"/>
                <w:sz w:val="11"/>
                <w:szCs w:val="11"/>
                <w:color w:val="auto"/>
              </w:rPr>
              <w:t>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UTC/Goodrich fees for advisory, legal, accounting services</w:t>
            </w:r>
            <w:r>
              <w:rPr>
                <w:rFonts w:ascii="Arial" w:cs="Arial" w:eastAsia="Arial" w:hAnsi="Arial"/>
                <w:sz w:val="11"/>
                <w:szCs w:val="11"/>
                <w:color w:val="auto"/>
              </w:rPr>
              <w:t>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incurred on acquisition financing, net</w:t>
            </w:r>
            <w:r>
              <w:rPr>
                <w:rFonts w:ascii="Arial" w:cs="Arial" w:eastAsia="Arial" w:hAnsi="Arial"/>
                <w:sz w:val="11"/>
                <w:szCs w:val="11"/>
                <w:color w:val="auto"/>
              </w:rPr>
              <w:t>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380"/>
          </w:cols>
          <w:pgMar w:left="240" w:top="459" w:right="279" w:bottom="1440" w:gutter="0" w:footer="0" w:header="0"/>
        </w:sectPr>
      </w:pPr>
    </w:p>
    <w:p>
      <w:pPr>
        <w:ind w:left="460"/>
        <w:spacing w:after="0"/>
        <w:rPr>
          <w:sz w:val="20"/>
          <w:szCs w:val="20"/>
          <w:color w:val="auto"/>
        </w:rPr>
      </w:pPr>
      <w:r>
        <w:rPr>
          <w:rFonts w:ascii="Arial" w:cs="Arial" w:eastAsia="Arial" w:hAnsi="Arial"/>
          <w:sz w:val="10"/>
          <w:szCs w:val="10"/>
          <w:color w:val="auto"/>
        </w:rPr>
        <w:t>1</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0"/>
          <w:szCs w:val="10"/>
          <w:color w:val="auto"/>
        </w:rPr>
        <w:t>2</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0"/>
          <w:szCs w:val="10"/>
          <w:color w:val="auto"/>
        </w:rPr>
        <w:t>3</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Added the expense for inventory fair value adjustments which would have been amortized as the corresponding inventory would have been completely sold during the first two quarters of 2011.</w:t>
      </w:r>
    </w:p>
    <w:p>
      <w:pPr>
        <w:ind w:right="380"/>
        <w:spacing w:after="0" w:line="250" w:lineRule="auto"/>
        <w:rPr>
          <w:sz w:val="20"/>
          <w:szCs w:val="20"/>
          <w:color w:val="auto"/>
        </w:rPr>
      </w:pPr>
      <w:r>
        <w:rPr>
          <w:rFonts w:ascii="Arial" w:cs="Arial" w:eastAsia="Arial" w:hAnsi="Arial"/>
          <w:sz w:val="18"/>
          <w:szCs w:val="18"/>
          <w:color w:val="auto"/>
        </w:rPr>
        <w:t>Added the additional amortization of the acquired Goodrich intangible assets recognized at fair value in purchase accounting and eliminated the historical Goodrich intangible asset amortization expense.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Added the additional utilization of the Goodrich contractual customer obligation recognized in purchase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Added the UTC/Goodrich fees that were incurred in connection with the acquisition of Goodrich during the first quarter of 2011.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Added the additional interest expense for the debt incurred to finance our acquisition of Goodrich and reduced interest expense for the debt fair value adjustment which would have been amortized.</w:t>
      </w:r>
    </w:p>
    <w:p>
      <w:pPr>
        <w:spacing w:after="0" w:line="138" w:lineRule="exact"/>
        <w:rPr>
          <w:sz w:val="20"/>
          <w:szCs w:val="20"/>
          <w:color w:val="auto"/>
        </w:rPr>
      </w:pPr>
    </w:p>
    <w:p>
      <w:pPr>
        <w:sectPr>
          <w:pgSz w:w="11900" w:h="16838" w:orient="portrait"/>
          <w:cols w:equalWidth="0" w:num="2">
            <w:col w:w="520" w:space="380"/>
            <w:col w:w="10480"/>
          </w:cols>
          <w:pgMar w:left="240" w:top="459" w:right="279" w:bottom="1440" w:gutter="0" w:footer="0" w:header="0"/>
          <w:type w:val="continuous"/>
        </w:sectPr>
      </w:pPr>
    </w:p>
    <w:p>
      <w:pPr>
        <w:jc w:val="both"/>
        <w:ind w:right="140" w:firstLine="456"/>
        <w:spacing w:after="0" w:line="259"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been consummated on January 1, 2011, nor are they indicative of future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 and Disposition Activity:</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2012, the Company approved plans for the divestiture of a number of non-core businesses. Cash generated from these divestitures is intended to be used to repay debt incurred to finance the acquisition of Goodrich. See Note 2 for further discussion.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23, 2012, we announced an agreement to sell Rocketdyne to GenCorp Inc. for $550 million. The transaction is expected to close in the first half of</w:t>
      </w:r>
    </w:p>
    <w:p>
      <w:pPr>
        <w:spacing w:after="0" w:line="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2013. Proceeds from the sale are expected to be used to repay debt incurred to finance the acquisition of Goodrich. The sale is subject to customary closing conditions, including receipt of regulatory approvals.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25, 2012, we announced an agreement to sell the legacy Hamilton Sundstrand Industrial businesses to BC Partners and The Carlyle Group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$3.46 billion. The sale is expected to close before the end of the year and the proceeds from the sale are expected to be used to repay a portion of the short-term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debt incurred to finance the acquisition of Goodrich. The sale is subject to customary closing conditions, including regulatory approvals.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29, 2012, Pratt &amp; Whitney, Rolls-Royce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an agreement to license its V2500 intellectual property to Pratt &amp; Whitney. In exchange for the increased ownership and collaboration interests and intellectual property license, Pratt &amp; Whitney paid Rolls-Royce $1.5 billion at closing with additional payments due to Rolls-Royce conditional upon each hour flown by V2500-powered aircraft in service at the closing date of the purchase from Rolls-Royce during the fifteen year period following closing of the purchase. The collaboration interest and intellectual property licenses are reflected as intangible assets and will be amortized in relation to the economic benefits received over the remaining estimated 30 year life of the V2500 program. Rolls-Royce will continue to support the program as a strategic supplier for the V2500 engine and continue to manufacture parts and assemble engines. Pratt &amp; Whitney entered into a collaboration arrangement with MTU with respect to a portion of the acquired collaboration interest in IAE for consideration of approximately $233 million with additional payments due to Pratt &amp; Whitney in the future. As a result of these transactions, Pratt &amp; Whitney holds a 61% net interest in the collaboration and a 49.5% ownership interest in IAE. Based on the criteria set forth in the Consolidation Topic of the FASB ASC, we have determined that IAE is a variable interest entity (VIE).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UTC is determined to be the primary beneficiary of IAE as it absorbs the significant economics of IAE and has the power to direct the activities that are considered most significant to IAE. The consolidation of IAE resulted in a gain of $21 million recognized during the second quarter of 2012 on the re-measurement to fair value of our previously held equity interest on obtaining control of IAE. The carrying amounts and classification of assets and liabilities for IAE in our condensed consolidated balance sheet as of September 30, 2012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8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$1,521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80" w:type="dxa"/>
            <w:vAlign w:val="bottom"/>
            <w:gridSpan w:val="3"/>
            <w:vMerge w:val="restart"/>
          </w:tcPr>
          <w:p>
            <w:pPr>
              <w:ind w:left="18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$1,556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4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11"/>
            <w:vMerge w:val="restart"/>
          </w:tcPr>
          <w:p>
            <w:pPr>
              <w:jc w:val="right"/>
              <w:ind w:right="132"/>
              <w:spacing w:after="0"/>
              <w:rPr>
                <w:sz w:val="20"/>
                <w:szCs w:val="20"/>
                <w:color w:val="auto"/>
              </w:rPr>
            </w:pPr>
            <w:r>
              <w:rPr>
                <w:rFonts w:ascii="Arial" w:cs="Arial" w:eastAsia="Arial" w:hAnsi="Arial"/>
                <w:sz w:val="18"/>
                <w:szCs w:val="18"/>
                <w:b w:val="1"/>
                <w:bCs w:val="1"/>
                <w:color w:val="auto"/>
                <w:w w:val="89"/>
              </w:rPr>
              <w:t xml:space="preserve">Goodwill. </w:t>
            </w:r>
            <w:r>
              <w:rPr>
                <w:rFonts w:ascii="Arial" w:cs="Arial" w:eastAsia="Arial" w:hAnsi="Arial"/>
                <w:sz w:val="18"/>
                <w:szCs w:val="18"/>
                <w:color w:val="auto"/>
                <w:w w:val="89"/>
              </w:rPr>
              <w:t>Changes in our goodwill balances for the first nine months of 2012 were as follows: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00" w:type="dxa"/>
            <w:vAlign w:val="bottom"/>
            <w:gridSpan w:val="11"/>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180" w:type="dxa"/>
            <w:vAlign w:val="bottom"/>
            <w:gridSpan w:val="3"/>
            <w:vMerge w:val="restart"/>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1"/>
              </w:rPr>
              <w:t>Balance as of</w:t>
            </w:r>
          </w:p>
        </w:tc>
        <w:tc>
          <w:tcPr>
            <w:tcW w:w="7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6"/>
              </w:rPr>
              <w:t>Goodwill resulting from</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Foreign currency</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January 1, 2012</w:t>
            </w:r>
          </w:p>
        </w:tc>
        <w:tc>
          <w:tcPr>
            <w:tcW w:w="760" w:type="dxa"/>
            <w:vAlign w:val="bottom"/>
          </w:tcPr>
          <w:p>
            <w:pPr>
              <w:spacing w:after="0"/>
              <w:rPr>
                <w:sz w:val="14"/>
                <w:szCs w:val="14"/>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4"/>
              </w:rPr>
              <w:t>business combinations</w:t>
            </w:r>
          </w:p>
        </w:tc>
        <w:tc>
          <w:tcPr>
            <w:tcW w:w="800" w:type="dxa"/>
            <w:vAlign w:val="bottom"/>
          </w:tcPr>
          <w:p>
            <w:pPr>
              <w:spacing w:after="0"/>
              <w:rPr>
                <w:sz w:val="14"/>
                <w:szCs w:val="14"/>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translation and other</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3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1,516</w:t>
            </w:r>
          </w:p>
        </w:tc>
        <w:tc>
          <w:tcPr>
            <w:tcW w:w="7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gridSpan w:val="3"/>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UTC Climate, Controls &amp; Security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9,758</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UTC Aerospace Systems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4,475</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Sikorsky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7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5"/>
          </w:tcPr>
          <w:p>
            <w:pPr>
              <w:ind w:left="46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17,320</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80" w:type="dxa"/>
            <w:vAlign w:val="bottom"/>
            <w:gridSpan w:val="4"/>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380" w:type="dxa"/>
            <w:vAlign w:val="bottom"/>
            <w:gridSpan w:val="4"/>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17,943</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11,550</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(1,863)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$11.2 billion increase to UTC Aerospace Systems goodwill resulting from business combinations in the nine months ended September 30, 2012 pertains to the previously discussed acquisition of Goodrich. The goodwill results from the workforce acquired with the business as well as the significant synergies that are expected to be realized through the consolidation of manufacturing facilities and overhead functions. No amount of this goodwill is deductible for tax purposes. The goodwill acquired has been allocated to the two reporting units within the UTC Aerospace Systems segment.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$272 million increase to Pratt &amp; Whitney goodwill resulting from business combinations in the nine months ended September 30, 2012 pertains to tax-deductible goodwill resulting from its increased ownership interest and consolidation of IAE.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approximately $1.9 billion decrease reflected under “Foreign currency translation and other” in the table above primarily reflects the decision to divest a number of non-core businesses and the resulting reclassification to Assets of discontinued operations. See Note 2 for further discussion. In addition, approximately $360 million of goodwill was transferred from UTC Aerospace Systems to Pratt &amp; Whitney in connection with the transfer of the auxiliary power unit (APU) business from UTC Aerospace Systems to Pratt &amp; Whitney. See Note 14 for further discussion of the transfer of the APU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early adopted the FASB Accounting Standards Update (ASU) No. 2012-02, “Testing Indefinite-Lived Intangible Assets for Impairment” in connection with the performance of our annual goodwill and indefinite lived intangible assets impairment test. This ASU intends to align impairment testing guidance among long-lived asset categories. This ASU allows the assessment based on qualitative factors to determine whether it is more likely than not that an indefinite-lived intangible asset is impaired prior to determining whether it is necessary to perform the quantitative impairment test in accordance with Subtopic 350-30, Intangibles—Goodwill and Other—General Intangibles Other than Goodwill. We completed our annual impairment testing in the third quarter of 2012 and determined that no significant adjustments to the carrying amount of goodwill or indefinite lived intangible assets were necessary based on the results of the impairment tests.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8"/>
              </w:rPr>
              <w:t>September 30, 2012</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0"/>
              </w:rPr>
              <w:t>December 31, 2011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6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Amortized:</w:t>
            </w:r>
          </w:p>
        </w:tc>
        <w:tc>
          <w:tcPr>
            <w:tcW w:w="27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2,120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(1,165)</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2,036</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IAE collaboration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 relationships and other</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(1,574)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15,730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(2,903)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5,828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w:t>
            </w:r>
          </w:p>
        </w:tc>
        <w:tc>
          <w:tcPr>
            <w:tcW w:w="1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Trademarks and other</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18,049</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(2,903)</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 to amortized and unamortized intangible assets pertains to the previously discussed acquisition of Goodrich. Acquired intangible assets are recognized at fair value in purchase accounting and then amortized to cost of sales and selling general &amp; administrative expenses over the applicable useful lives. The customer relationship intangible assets are being amortized on a straight line basis as it approximates the underlying economic pattern of benefit. Amortization of intangible assets for the quarter and nine months ended September 30, 2012 was $166 million and $360 million respectively, compared with $102 million and $304 million for the same periods of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the expected amortization of intangible assets for the fourth quarter of 2012 through 2017 as of September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Fourth</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6380" w:type="dxa"/>
            <w:vAlign w:val="bottom"/>
            <w:vMerge w:val="restart"/>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quarter of</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6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2013</w:t>
            </w: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2015</w:t>
            </w: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178</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703</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678</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647</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628</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2012, the Company approved plans for the divestiture of a number of non-core businesses. Cash generated from these divestitures is intended to be used to repay debt incurred to finance the acquisition of Goodrich. These divestitures are expected to generate approximately $3 billion in net cash, on an after-tax basis.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first quarter of 2012, the legacy Hamilton Sundstrand Industrial businesses, Pratt &amp; Whitney Rocketdyne (Rocketdyne), and Clipper Windpower (Clipper) all met the “held-for-sale” criteria. On June 29, 2012, management approved a plan for the divestiture of UTC Power. The operating results of Clipper and UTC Power had previously been reported within “Eliminations &amp; other” in our segment disclosure. The results of operations, including the net losses realized or expected on disposition, and the related cash flows which result from these non-core businesses have been reclassified to Discontinued Operations in our Condensed Consolidated Statement of Comprehensive Income and Condensed Consolidated Statement of Cash Flows for all periods presented. The assets and liabilities of these non-core businesses have been reclassified to Assets of discontinued operations and Liabilities of discontinued operations in our Condensed Consolidated Balance Sheet as of September 30, 2012. Cash flows from the operation of these discontinued businesses will continue until their disposals, which are expected to occur before the end of the first half of 2013.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a result of the decision to dispose of these businesses, the Company has recorded pre-tax goodwill impairment charges of approximately $360 million and $590 million related to Rocketdyne and Clipper, respectively, in discontinued operations during the first quarter of 2012, and pre-tax net asset impairment charges of approximately $179 million related to UTC Power in discontinued operations during the second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 The impairment charge at UTC Power results from adjusting the net assets of the business to the estimated fair value expected to be realized upon sale, less costs to sell the business, and further reflects the loss in value from the disposition of the business before the benefits of the technology investments were fully realized. The fair value of these businesses has been estimated using information available in the marketplace as we market these businesses for sale. There could be gains or additional losses recorded upon final disposition of these businesses based upon the values, terms and conditions that are ultimately negotiated.</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August 7, 2012, we completed the disposition of Clipper to a private equity acquirer. The disposition resulted in payments totaling approximately $367 million, which included capitalization of the business prior to sale, transaction fees, and funding of operations as the acquirer took control of a business with significant net liabilities. These payments are largely reflected in Net cash flows used in investing activities within the discontinued operations section of the Condensed Consolidated Statement of Cash Flows. There was no significant additional loss on disposition beyond the impairment charge recorded in the first quarter of 2012. We have no continuing involvement with the Clipper business post disposition.</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summarized financial information related to these non-core businesses has been segregated from continuing operations and will be reported as discontinued operations through the dates of disposition: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0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0"/>
              </w:rPr>
              <w:t>Quarter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Discontinued Operations:</w:t>
            </w: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4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c>
          <w:tcPr>
            <w:tcW w:w="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1,607</w:t>
            </w:r>
          </w:p>
        </w:tc>
        <w:tc>
          <w:tcPr>
            <w:tcW w:w="6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5200" w:type="dxa"/>
            <w:vAlign w:val="bottom"/>
            <w:gridSpan w:val="2"/>
          </w:tcPr>
          <w:p>
            <w:pPr>
              <w:ind w:left="4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from operations, net of income taxes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440"/>
              <w:spacing w:after="0"/>
              <w:rPr>
                <w:sz w:val="20"/>
                <w:szCs w:val="20"/>
                <w:color w:val="auto"/>
              </w:rPr>
            </w:pPr>
            <w:r>
              <w:rPr>
                <w:rFonts w:ascii="Arial" w:cs="Arial" w:eastAsia="Arial" w:hAnsi="Arial"/>
                <w:sz w:val="18"/>
                <w:szCs w:val="18"/>
                <w:color w:val="auto"/>
              </w:rPr>
              <w:t>Loss on disposal</w:t>
            </w: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ind w:left="440"/>
              <w:spacing w:after="0"/>
              <w:rPr>
                <w:sz w:val="20"/>
                <w:szCs w:val="20"/>
                <w:color w:val="auto"/>
              </w:rPr>
            </w:pPr>
            <w:r>
              <w:rPr>
                <w:rFonts w:ascii="Arial" w:cs="Arial" w:eastAsia="Arial" w:hAnsi="Arial"/>
                <w:sz w:val="18"/>
                <w:szCs w:val="18"/>
                <w:color w:val="auto"/>
              </w:rPr>
              <w:t>Net income (loss) on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7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(823)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income tax benefit for the nine months ended September 30, 2012 includes approximately $113 million of net unfavorable income tax adjustments related to the recognition of a deferred tax liability on the existing difference between the accounting versus tax gain on the planned disposition of the legacy Hamilton Sundstrand Industrial businesses. During the first half of 2012, unfavorable income tax adjustments of approximately $240 million were recognized based on the anticipated structure of the sale. However, during the third quarter of 2012, as a result of the structure of the transaction, approximately $127 million of those adjustments were reversed and cannot be recorded until the sale is complete.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assets and liabilities of discontinued operations on the Condensed Consolidated Balance Sheet as of September 30,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6960" w:type="dxa"/>
            <w:vAlign w:val="bottom"/>
            <w:gridSpan w:val="4"/>
            <w:shd w:val="clear" w:color="auto" w:fill="CCEEFF"/>
          </w:tcPr>
          <w:p>
            <w:pPr>
              <w:jc w:val="right"/>
              <w:ind w:right="5400"/>
              <w:spacing w:after="0" w:line="170"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assets, current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Assets of discontinued operations</w:t>
            </w:r>
          </w:p>
        </w:tc>
        <w:tc>
          <w:tcPr>
            <w:tcW w:w="69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jc w:val="right"/>
              <w:ind w:right="5232"/>
              <w:spacing w:after="0" w:line="189"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borrowings</w:t>
            </w: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of discontinued operations</w:t>
            </w:r>
          </w:p>
        </w:tc>
        <w:tc>
          <w:tcPr>
            <w:tcW w:w="65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2040" w:type="dxa"/>
            <w:vAlign w:val="bottom"/>
          </w:tcPr>
          <w:p>
            <w:pPr>
              <w:spacing w:after="0"/>
              <w:rPr>
                <w:sz w:val="14"/>
                <w:szCs w:val="14"/>
                <w:color w:val="auto"/>
              </w:rPr>
            </w:pPr>
          </w:p>
        </w:tc>
        <w:tc>
          <w:tcPr>
            <w:tcW w:w="22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Quarter Ended September 30,</w:t>
            </w:r>
          </w:p>
        </w:tc>
        <w:tc>
          <w:tcPr>
            <w:tcW w:w="80" w:type="dxa"/>
            <w:vAlign w:val="bottom"/>
          </w:tcPr>
          <w:p>
            <w:pPr>
              <w:spacing w:after="0"/>
              <w:rPr>
                <w:sz w:val="14"/>
                <w:szCs w:val="14"/>
                <w:color w:val="auto"/>
              </w:rPr>
            </w:pPr>
          </w:p>
        </w:tc>
        <w:tc>
          <w:tcPr>
            <w:tcW w:w="2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1,247</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5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888.8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901.9</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(Loss) Per Share of Common Stock - Basic: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4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income (loss) from discontinued operations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Per Share of Common Stock - Diluted: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5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4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income (loss) from discontinued operations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options, when the average market price of the common stock is lower than the exercise price of the related stock awards during the period. These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awards are not included in the computation of diluted earnings per share because the effect would be anti-dilutive. For the quarter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the number of stock awards excluded from the computation was 6.1 million and 4.8 million, respectively.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2011, there were 6.5 million anti-dilutive stock awards excluded from the computation. For the nine months ended September 30, 2011, there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 anti-dilutive stock awards excluded from the computation.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3460" w:type="dxa"/>
            <w:vAlign w:val="bottom"/>
          </w:tcPr>
          <w:p>
            <w:pPr>
              <w:spacing w:after="0"/>
              <w:rPr>
                <w:sz w:val="15"/>
                <w:szCs w:val="15"/>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 2012</w:t>
            </w: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1,912</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4,659</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8"/>
                <w:szCs w:val="18"/>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r>
      <w:tr>
        <w:trPr>
          <w:trHeight w:val="216"/>
        </w:trPr>
        <w:tc>
          <w:tcPr>
            <w:tcW w:w="12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(360)</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(6,842)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(6,254)</w:t>
            </w:r>
          </w:p>
        </w:tc>
      </w:tr>
      <w:tr>
        <w:trPr>
          <w:trHeight w:val="27"/>
        </w:trPr>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2012 and December 31, 2011, inventory includes capitalized contract development costs of $813 million and $776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1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5"/>
              </w:rPr>
              <w:t>September 30, 2012</w:t>
            </w:r>
          </w:p>
        </w:tc>
        <w:tc>
          <w:tcPr>
            <w:tcW w:w="2160" w:type="dxa"/>
            <w:vAlign w:val="bottom"/>
            <w:gridSpan w:val="4"/>
          </w:tcPr>
          <w:p>
            <w:pPr>
              <w:ind w:left="960"/>
              <w:spacing w:after="0"/>
              <w:rPr>
                <w:sz w:val="20"/>
                <w:szCs w:val="20"/>
                <w:color w:val="auto"/>
              </w:rPr>
            </w:pPr>
            <w:r>
              <w:rPr>
                <w:rFonts w:ascii="Arial" w:cs="Arial" w:eastAsia="Arial" w:hAnsi="Arial"/>
                <w:sz w:val="14"/>
                <w:szCs w:val="14"/>
                <w:b w:val="1"/>
                <w:bCs w:val="1"/>
                <w:color w:val="auto"/>
                <w:w w:val="93"/>
              </w:rPr>
              <w:t>December 31, 2011</w:t>
            </w: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2,994</w:t>
            </w:r>
          </w:p>
        </w:tc>
        <w:tc>
          <w:tcPr>
            <w:tcW w:w="9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455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Term loan credit borrowings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9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5,224</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630</w:t>
            </w:r>
          </w:p>
        </w:tc>
        <w:tc>
          <w:tcPr>
            <w:tcW w:w="10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April 24, 2012, we entered into a term loan credit agreement with various financial institutions that provides for a $2 billion unsecured term loan facility. On July 26, 2012 we borrowed the full $2 billion available under this facility to partially finance the cash consideration of the Goodrich acquisition and pay related fees, expenses and other amounts due and payable by UTC as a result of the acquisition. The outstanding balance under this term loan credit agreement matures on December 31, 2012.</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June 1, 2012, we issued a total of $9.8 billion of long-term debt, which is comprised of $1.0 billion aggregate principal amount of 1.200% notes due 2015, $1.5 billion aggregate principal amount of 1.800% notes due 2017, $2.3 billion aggregate principal amount of 3.100% notes due 2022, $3.5 billion aggregate principal amount of 4.500% notes due 2042, $1.0 billion aggregate principal amount of three-month LIBOR plus 0.270% floating rate notes due 2013, and $0.5 billion aggregate principal amount of three-month LIBOR plus 0.500% floating rate notes due 2015. We utilized the net proceeds of these notes of approximately $9.6 billion to partially finance the cash consideration of the acquisition of Goodrich and pay related fees, expenses and other amounts due and payable by UTC as a result of the acquisition. The three-month LIBOR rate as of September 30, 2012 was approximately 0.4%.</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18, 2012, we issued 22,000,000 Equity Units and received approximately $1.1 billion in net proceeds. Each Equity Unit has a stated amount of $50 and initially is in the form of a corporate unit consisting of (a) a freestanding stock purchase contract under which the holder will purchase from us on August 1, 2015, a number of shares of our common stock determined pursuant to the terms of the agreement and (b) a 1/20, or 5.0%, undivided beneficial ownership interest in $1,000 principal amount on our 1.55% junior subordinated notes due 2022. Holders of the Equity Units are entitled to receive quarterly contract adjustment payments at a rate of 5.95% per year of the stated amount of $50 per Equity Unit, subject to our right to defer such payments. We used the net proceeds of the Equity Units to partially finance the cash consideration of the Goodrich acquisition and pay related fees, expenses and other amounts due and payable by UTC as a result of the acquisition.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net proceeds from the sale of the Equity Units were allocated between the purchase contracts and the notes in our financial statements based on the underlying fair value of each instrument at the time of issuance taking into consideration the contract adjustment payments. The fair value of the purchase contracts is expected to approximate the present value of the contract adjustment payments and was recorded as a reduction to Common Stock, with an offsetting credit to liabilities. This liability will be accreted over three years through interest charges to the income statement based on a constant rate calculation. The purchase contracts are reflected in our diluted earnings per share calculations using the treasury stock method.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finance the remainder of the cash consideration of the Goodrich acquisition and pay related fees, expenses and other amounts due and payable, we utilized $3.2 billion from the issuance of commercial paper during July 2012 and utilized approximately $0.5 billion of cash and cash equivalents generated from operating activities. In addition, as a result of the acquisition of Goodrich, we assumed $3.0 billion of debt, including an adjustment of $600 million to increase the value of long-term debt assumed to its fair market value. Details of the debt assumed are included in the long-term debt table below.</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July 26, 2012, upon completing the Goodrich acquisition, we terminated the bridge credit agreement, initially entered into as of November 8, 2011, with various financial institutions that had provided for a $15 billion unsecured bridge loan facility which was available to partially fund the cash consideration of the acquisition of Goodrich and pay related fees, expenses and other amounts due and payable by UTC as a result of the acquisition.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 for further details regarding the completion of our acquisition of Goodrich, as discussed above.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2012, we had revolving credit agreements with various banks permitting aggregate borrowings of up to $4 billion pursuant to a $2 billion revolving credit agreement and a $2 billion multicurrency revolving credit agreement, both of which expire in November 2016. As of September 30, 2012, there were no borrowings under either of these revolving credit agreements. The undrawn portions of these revolving credit agreements are also available to serve as backup facilities for the issuance of commercial paper. As of September 30, 2012, our maximum commercial paper borrowing authority as set by our Board of Directors was $4 billion. We generally use our commercial paper borrowings for general corporate purposes, including the funding of potential acquisitions and repurchases of our common stock.</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3960" w:type="dxa"/>
            <w:vAlign w:val="bottom"/>
          </w:tcPr>
          <w:p>
            <w:pPr>
              <w:spacing w:after="0"/>
              <w:rPr>
                <w:sz w:val="15"/>
                <w:szCs w:val="15"/>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2012</w:t>
            </w: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LIBOR plus 0.270% floating rate notes due 2013</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LIBOR plus 0.500% floating rate notes due 2015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notes due 2015*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4.875% notes due 2015*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6.290% notes due 2016***</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5.375% notes due 2017*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1.800% notes due 2017*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6.800% notes due 2018***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6.125% notes due 2019*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8.875% notes due 2019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4.500% notes due 2020*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4.875% notes due 2020***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3.600% notes due 2021***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8.750% notes due 2021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3.100% notes due 2022*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1.550% junior subordinated notes due 2022**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7.100% notes due 2027***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6.800% notes due 2036***</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7.000% notes due 2038***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2042*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Project financing obligations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Other (including capitalized leases, discounts, and fair market value</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3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131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23,476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23,409</w:t>
            </w:r>
          </w:p>
        </w:tc>
        <w:tc>
          <w:tcPr>
            <w:tcW w:w="420" w:type="dxa"/>
            <w:vAlign w:val="bottom"/>
          </w:tcPr>
          <w:p>
            <w:pPr>
              <w:spacing w:after="0"/>
              <w:rPr>
                <w:sz w:val="19"/>
                <w:szCs w:val="19"/>
                <w:color w:val="auto"/>
              </w:rPr>
            </w:pPr>
          </w:p>
        </w:tc>
        <w:tc>
          <w:tcPr>
            <w:tcW w:w="76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24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20" w:right="100" w:hanging="448"/>
        <w:spacing w:after="0" w:line="283"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w:t>
      </w:r>
    </w:p>
    <w:p>
      <w:pPr>
        <w:spacing w:after="0" w:line="3" w:lineRule="exact"/>
        <w:rPr>
          <w:sz w:val="20"/>
          <w:szCs w:val="20"/>
          <w:color w:val="auto"/>
        </w:rPr>
      </w:pPr>
    </w:p>
    <w:p>
      <w:pPr>
        <w:ind w:left="1820" w:right="420"/>
        <w:spacing w:after="0" w:line="250" w:lineRule="auto"/>
        <w:rPr>
          <w:sz w:val="20"/>
          <w:szCs w:val="20"/>
          <w:color w:val="auto"/>
        </w:rPr>
      </w:pPr>
      <w:r>
        <w:rPr>
          <w:rFonts w:ascii="Arial" w:cs="Arial" w:eastAsia="Arial" w:hAnsi="Arial"/>
          <w:sz w:val="18"/>
          <w:szCs w:val="18"/>
          <w:color w:val="auto"/>
        </w:rPr>
        <w:t>series. The redemption price will also include interest accrued to the date of redemption on the principal balance of the notes being redeemed.</w:t>
      </w:r>
    </w:p>
    <w:p>
      <w:pPr>
        <w:spacing w:after="0" w:line="1" w:lineRule="exact"/>
        <w:rPr>
          <w:sz w:val="20"/>
          <w:szCs w:val="20"/>
          <w:color w:val="auto"/>
        </w:rPr>
      </w:pPr>
    </w:p>
    <w:p>
      <w:pPr>
        <w:ind w:left="1820" w:hanging="448"/>
        <w:spacing w:after="0" w:line="281" w:lineRule="auto"/>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2" w:lineRule="exact"/>
        <w:rPr>
          <w:rFonts w:ascii="Arial" w:cs="Arial" w:eastAsia="Arial" w:hAnsi="Arial"/>
          <w:sz w:val="16"/>
          <w:szCs w:val="16"/>
          <w:color w:val="auto"/>
        </w:rPr>
      </w:pPr>
    </w:p>
    <w:p>
      <w:pPr>
        <w:ind w:left="1820" w:right="220" w:hanging="448"/>
        <w:spacing w:after="0" w:line="323" w:lineRule="auto"/>
        <w:tabs>
          <w:tab w:leader="none" w:pos="1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Notes were assumed as a part of our acquisition of Goodrich on July 26, 2012. Within “Other (including capitalized leases, discounts, and fair market value adjustments),” approximately $702 million was assumed/established as part of the acquisition.</w:t>
      </w:r>
    </w:p>
    <w:p>
      <w:pPr>
        <w:spacing w:after="0" w:line="9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It is reasonably possible that over the next twelve months the amount of unrecognized tax benefits may change within a range of a net increase of $25 million to a net decrease of $110 million as a result of additional worldwide uncertain tax positions, the revaluation of current uncertain tax positions arising from developments in examinations, in appeals or in the courts, or the closure of tax statutes. A portion of this net reduction may impact the Company’s 2012 or 2013 income tax expense. Not included in the range is €198 million (approximately $257 million) of tax benefits that we have claimed related to a 1998 German reorganization. A portion of these tax benefits was denied by the German Tax Office on July 5, 2012, as a result of the audit of tax years 1999 to 2000. On August 3, 2012, the Company filed suit in the German Tax Court and expects to litigate this case.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quarter, UTC concluded proceedings with the Appeals Division of the Internal Revenue Service (IRS Appeals) for tax years 2004 and 2005, achieving resolution on all disputed issues for those years, resulting in a reduction in tax expense of approximately $34 million and a reduction to interest reserves of $25 million. Tax years 2006 through 2008 are currently before IRS Appeals for resolution discussions regarding certain proposed adjustments with which UTC does not agree and are expected to continue through 2013. Tax years 2009 and 2010 are currently under review by the Examination Division of the IRS (IRS Examination), which is expected to continue into 2014.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Goodrich pre-acquisition tax years are also the subject of certain IRS audit, appeals and litigation activity. Goodrich tax years 2000 and 2001 are currently the subject of litigation involving the proper timing of certain deductions, which is expected to continue into 2013. Goodrich tax years 2005 and 2006 are the subject of litigation with respect to a separate issue involving the proper timing of deductions, which is expected to continue into 2013. Goodrich tax years 2007 and 2008 are currently before IRS Appeals for resolution discussions regarding certain disputed proposed adjustments. We expect the discussions before the IRS Appeals to be concluded within the next twelve months</w:t>
      </w:r>
      <w:r>
        <w:rPr>
          <w:rFonts w:ascii="Arial" w:cs="Arial" w:eastAsia="Arial" w:hAnsi="Arial"/>
          <w:sz w:val="18"/>
          <w:szCs w:val="18"/>
          <w:i w:val="1"/>
          <w:iCs w:val="1"/>
          <w:color w:val="auto"/>
        </w:rPr>
        <w:t>.</w:t>
      </w:r>
      <w:r>
        <w:rPr>
          <w:rFonts w:ascii="Arial" w:cs="Arial" w:eastAsia="Arial" w:hAnsi="Arial"/>
          <w:sz w:val="18"/>
          <w:szCs w:val="18"/>
          <w:color w:val="auto"/>
        </w:rPr>
        <w:t xml:space="preserve"> Goodrich tax years 2009 and 2010 are currently under review by IRS Examination, which is expected to continue into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As part of our acquisition of Goodrich on July 26, 2012, we assumed approximately $1.5 billion of pension and post retirement benefit plan obligations. Contributions to our plans were as follows: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8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179"/>
              <w:spacing w:after="0"/>
              <w:rPr>
                <w:sz w:val="20"/>
                <w:szCs w:val="20"/>
                <w:color w:val="auto"/>
              </w:rPr>
            </w:pPr>
            <w:r>
              <w:rPr>
                <w:rFonts w:ascii="Arial" w:cs="Arial" w:eastAsia="Arial" w:hAnsi="Arial"/>
                <w:sz w:val="14"/>
                <w:szCs w:val="14"/>
                <w:b w:val="1"/>
                <w:bCs w:val="1"/>
                <w:color w:val="auto"/>
                <w:w w:val="91"/>
              </w:rPr>
              <w:t>Quarter Ended September 30,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627</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the first nine months of 2012, we made contributions of $201 million to our domestic defined benefit pension plans, all of which was contributed in the third quarter of 2012. In the first nine months of 2011, we made contributions of $606 million to our domestic defined benefit pension plans, all of which was contributed in the third quarter of 2011. Included in the total domestic contributions was a $450 million contribution of UTC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82"/>
              </w:rPr>
              <w:t>Pension Benefits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2012</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89"/>
              </w:rPr>
              <w:t>2011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8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82"/>
              </w:rPr>
              <w:t>Pension Benefits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100" w:type="dxa"/>
            <w:vAlign w:val="bottom"/>
          </w:tcPr>
          <w:p>
            <w:pPr>
              <w:spacing w:after="0"/>
              <w:rPr>
                <w:sz w:val="12"/>
                <w:szCs w:val="12"/>
                <w:color w:val="auto"/>
              </w:rPr>
            </w:pPr>
          </w:p>
        </w:tc>
        <w:tc>
          <w:tcPr>
            <w:tcW w:w="1460" w:type="dxa"/>
            <w:vAlign w:val="bottom"/>
            <w:gridSpan w:val="4"/>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2012</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89"/>
              </w:rPr>
              <w:t>2011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8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7"/>
              </w:rPr>
              <w:t>(1,415)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(1,372)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settlements and curtailment losses for pension benefits includes curtailment losses of approximately $24 million related to, and recorded in, discontinued operations for the nine months ended September 30, 2012. There were no curtailment losses related to discontinued operations for the quarter ended September 30,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first nine months of 2012, we recorded net pre-tax restructuring costs totaling $360 million for new and ongoing restructuring actions as follows:</w:t>
      </w:r>
    </w:p>
    <w:p>
      <w:pPr>
        <w:sectPr>
          <w:pgSz w:w="11900" w:h="16838" w:orient="portrait"/>
          <w:cols w:equalWidth="0" w:num="1">
            <w:col w:w="11380"/>
          </w:cols>
          <w:pgMar w:left="240" w:top="459" w:right="279" w:bottom="1440" w:gutter="0" w:footer="0" w:header="0"/>
        </w:sectPr>
      </w:pPr>
    </w:p>
    <w:p>
      <w:pPr>
        <w:spacing w:after="0" w:line="16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UTC Climate, Controls &amp; Security</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Pratt &amp;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UTC Aerospace Systems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Sikorsky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Eliminations and other</w:t>
      </w:r>
    </w:p>
    <w:p>
      <w:pPr>
        <w:spacing w:after="0" w:line="13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Restructuring costs recorded within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-111125</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Restructuring costs recorded within discontinued operations</w:t>
      </w:r>
    </w:p>
    <w:p>
      <w:pPr>
        <w:spacing w:after="0" w:line="6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09" w:hanging="109"/>
        <w:spacing w:after="0"/>
        <w:tabs>
          <w:tab w:leader="none" w:pos="109" w:val="left"/>
        </w:tabs>
        <w:numPr>
          <w:ilvl w:val="0"/>
          <w:numId w:val="7"/>
        </w:numPr>
        <w:rPr>
          <w:rFonts w:ascii="Arial" w:cs="Arial" w:eastAsia="Arial" w:hAnsi="Arial"/>
          <w:sz w:val="15"/>
          <w:szCs w:val="15"/>
          <w:color w:val="auto"/>
        </w:rPr>
      </w:pPr>
      <w:r>
        <w:rPr>
          <w:rFonts w:ascii="Arial" w:cs="Arial" w:eastAsia="Arial" w:hAnsi="Arial"/>
          <w:sz w:val="15"/>
          <w:szCs w:val="15"/>
          <w:color w:val="auto"/>
        </w:rPr>
        <w:t>105</w:t>
      </w:r>
    </w:p>
    <w:p>
      <w:pPr>
        <w:spacing w:after="0" w:line="49" w:lineRule="exact"/>
        <w:rPr>
          <w:rFonts w:ascii="Arial" w:cs="Arial" w:eastAsia="Arial" w:hAnsi="Arial"/>
          <w:sz w:val="15"/>
          <w:szCs w:val="15"/>
          <w:color w:val="auto"/>
        </w:rPr>
      </w:pPr>
    </w:p>
    <w:p>
      <w:pPr>
        <w:ind w:left="189"/>
        <w:spacing w:after="0"/>
        <w:rPr>
          <w:rFonts w:ascii="Arial" w:cs="Arial" w:eastAsia="Arial" w:hAnsi="Arial"/>
          <w:sz w:val="15"/>
          <w:szCs w:val="15"/>
          <w:color w:val="auto"/>
        </w:rPr>
      </w:pPr>
      <w:r>
        <w:rPr>
          <w:rFonts w:ascii="Arial" w:cs="Arial" w:eastAsia="Arial" w:hAnsi="Arial"/>
          <w:sz w:val="16"/>
          <w:szCs w:val="16"/>
          <w:color w:val="auto"/>
        </w:rPr>
        <w:t>98</w:t>
      </w:r>
    </w:p>
    <w:p>
      <w:pPr>
        <w:spacing w:after="0" w:line="32" w:lineRule="exact"/>
        <w:rPr>
          <w:rFonts w:ascii="Arial" w:cs="Arial" w:eastAsia="Arial" w:hAnsi="Arial"/>
          <w:sz w:val="15"/>
          <w:szCs w:val="15"/>
          <w:color w:val="auto"/>
        </w:rPr>
      </w:pPr>
    </w:p>
    <w:p>
      <w:pPr>
        <w:ind w:left="189"/>
        <w:spacing w:after="0"/>
        <w:rPr>
          <w:rFonts w:ascii="Arial" w:cs="Arial" w:eastAsia="Arial" w:hAnsi="Arial"/>
          <w:sz w:val="15"/>
          <w:szCs w:val="15"/>
          <w:color w:val="auto"/>
        </w:rPr>
      </w:pPr>
      <w:r>
        <w:rPr>
          <w:rFonts w:ascii="Arial" w:cs="Arial" w:eastAsia="Arial" w:hAnsi="Arial"/>
          <w:sz w:val="16"/>
          <w:szCs w:val="16"/>
          <w:color w:val="auto"/>
        </w:rPr>
        <w:t>57</w:t>
      </w:r>
    </w:p>
    <w:p>
      <w:pPr>
        <w:spacing w:after="0" w:line="32" w:lineRule="exact"/>
        <w:rPr>
          <w:rFonts w:ascii="Arial" w:cs="Arial" w:eastAsia="Arial" w:hAnsi="Arial"/>
          <w:sz w:val="15"/>
          <w:szCs w:val="15"/>
          <w:color w:val="auto"/>
        </w:rPr>
      </w:pPr>
    </w:p>
    <w:p>
      <w:pPr>
        <w:ind w:left="189"/>
        <w:spacing w:after="0"/>
        <w:rPr>
          <w:rFonts w:ascii="Arial" w:cs="Arial" w:eastAsia="Arial" w:hAnsi="Arial"/>
          <w:sz w:val="15"/>
          <w:szCs w:val="15"/>
          <w:color w:val="auto"/>
        </w:rPr>
      </w:pPr>
      <w:r>
        <w:rPr>
          <w:rFonts w:ascii="Arial" w:cs="Arial" w:eastAsia="Arial" w:hAnsi="Arial"/>
          <w:sz w:val="16"/>
          <w:szCs w:val="16"/>
          <w:color w:val="auto"/>
        </w:rPr>
        <w:t>40</w:t>
      </w:r>
    </w:p>
    <w:p>
      <w:pPr>
        <w:spacing w:after="0" w:line="32" w:lineRule="exact"/>
        <w:rPr>
          <w:rFonts w:ascii="Arial" w:cs="Arial" w:eastAsia="Arial" w:hAnsi="Arial"/>
          <w:sz w:val="15"/>
          <w:szCs w:val="15"/>
          <w:color w:val="auto"/>
        </w:rPr>
      </w:pPr>
    </w:p>
    <w:p>
      <w:pPr>
        <w:ind w:left="189"/>
        <w:spacing w:after="0"/>
        <w:rPr>
          <w:rFonts w:ascii="Arial" w:cs="Arial" w:eastAsia="Arial" w:hAnsi="Arial"/>
          <w:sz w:val="15"/>
          <w:szCs w:val="15"/>
          <w:color w:val="auto"/>
        </w:rPr>
      </w:pPr>
      <w:r>
        <w:rPr>
          <w:rFonts w:ascii="Arial" w:cs="Arial" w:eastAsia="Arial" w:hAnsi="Arial"/>
          <w:sz w:val="16"/>
          <w:szCs w:val="16"/>
          <w:color w:val="auto"/>
        </w:rPr>
        <w:t>18</w:t>
      </w:r>
    </w:p>
    <w:p>
      <w:pPr>
        <w:spacing w:after="0" w:line="32" w:lineRule="exact"/>
        <w:rPr>
          <w:rFonts w:ascii="Arial" w:cs="Arial" w:eastAsia="Arial" w:hAnsi="Arial"/>
          <w:sz w:val="15"/>
          <w:szCs w:val="15"/>
          <w:color w:val="auto"/>
        </w:rPr>
      </w:pPr>
    </w:p>
    <w:p>
      <w:pPr>
        <w:ind w:left="189"/>
        <w:spacing w:after="0"/>
        <w:rPr>
          <w:rFonts w:ascii="Arial" w:cs="Arial" w:eastAsia="Arial" w:hAnsi="Arial"/>
          <w:sz w:val="15"/>
          <w:szCs w:val="15"/>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231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41" w:lineRule="exact"/>
        <w:rPr>
          <w:sz w:val="20"/>
          <w:szCs w:val="20"/>
          <w:color w:val="auto"/>
        </w:rPr>
      </w:pPr>
    </w:p>
    <w:p>
      <w:pPr>
        <w:ind w:left="109"/>
        <w:spacing w:after="0"/>
        <w:rPr>
          <w:sz w:val="20"/>
          <w:szCs w:val="20"/>
          <w:color w:val="auto"/>
        </w:rPr>
      </w:pPr>
      <w:r>
        <w:rPr>
          <w:rFonts w:ascii="Arial" w:cs="Arial" w:eastAsia="Arial" w:hAnsi="Arial"/>
          <w:sz w:val="15"/>
          <w:szCs w:val="15"/>
          <w:color w:val="auto"/>
        </w:rPr>
        <w:t>332</w:t>
      </w:r>
    </w:p>
    <w:p>
      <w:pPr>
        <w:spacing w:after="0" w:line="50"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31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0" w:lineRule="exact"/>
        <w:rPr>
          <w:sz w:val="20"/>
          <w:szCs w:val="20"/>
          <w:color w:val="auto"/>
        </w:rPr>
      </w:pPr>
    </w:p>
    <w:p>
      <w:pPr>
        <w:jc w:val="right"/>
        <w:ind w:right="1840"/>
        <w:spacing w:after="0"/>
        <w:rPr>
          <w:sz w:val="20"/>
          <w:szCs w:val="20"/>
          <w:color w:val="auto"/>
        </w:rPr>
      </w:pPr>
      <w:r>
        <w:rPr>
          <w:rFonts w:ascii="Arial" w:cs="Arial" w:eastAsia="Arial" w:hAnsi="Arial"/>
          <w:sz w:val="16"/>
          <w:szCs w:val="16"/>
          <w:u w:val="single" w:color="auto"/>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31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51" w:space="720"/>
            <w:col w:w="2209"/>
          </w:cols>
          <w:pgMar w:left="240" w:top="459" w:right="279" w:bottom="1440" w:gutter="0" w:footer="0" w:header="0"/>
          <w:type w:val="continuous"/>
        </w:sectPr>
      </w:pPr>
    </w:p>
    <w:p>
      <w:pPr>
        <w:spacing w:after="0" w:line="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net costs included $191 million recorded in cost of sales, $141 million in selling, general and administrative expenses, and $28 million in discontinued operations. As described below, these costs primarily relate to actions initiated during 2012 and 2011.</w:t>
      </w:r>
    </w:p>
    <w:p>
      <w:pPr>
        <w:spacing w:after="0" w:line="12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nine months of 2012,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costs totaling $310 million, including $166 million in cost of sales, $117 million in selling, general and administrative expenses and $27 million in discontinued operations. Additionally, due to the Goodrich acquisition, we assumed restructuring accruals totaling $19 million.</w:t>
      </w:r>
    </w:p>
    <w:p>
      <w:pPr>
        <w:spacing w:after="0" w:line="1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the actions initiated in the first nine months of 2012 to result in net workforce reductions of approximately 5,000 hourly and salaried employees, the exiting of approximately 2.2 million net square feet of facilities and the disposal of assets associated with exited facilities. As of September 30, 2012, we have completed net workforce reductions of approximately 2,000 employees and exited approximately 100,000 net square feet. We are targeting the majority of the remaining workforce and all facility related cost reduction actions for completion during 2012 and 2013. No specific plans for significant other actions have been finalized at this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2"/>
                <w:szCs w:val="12"/>
                <w:color w:val="auto"/>
              </w:rPr>
            </w:pPr>
          </w:p>
        </w:tc>
        <w:tc>
          <w:tcPr>
            <w:tcW w:w="15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Termination and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2"/>
                <w:szCs w:val="12"/>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Other Costs</w:t>
            </w:r>
          </w:p>
        </w:tc>
        <w:tc>
          <w:tcPr>
            <w:tcW w:w="320" w:type="dxa"/>
            <w:vAlign w:val="bottom"/>
          </w:tcPr>
          <w:p>
            <w:pPr>
              <w:spacing w:after="0"/>
              <w:rPr>
                <w:sz w:val="12"/>
                <w:szCs w:val="12"/>
                <w:color w:val="auto"/>
              </w:rPr>
            </w:pPr>
          </w:p>
        </w:tc>
        <w:tc>
          <w:tcPr>
            <w:tcW w:w="4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June 30, 2012</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Restructuring accruals assumed from Goodrich</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restructuring costs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Utilization and foreign exchange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Expected costs</w:t>
            </w:r>
          </w:p>
        </w:tc>
        <w:tc>
          <w:tcPr>
            <w:tcW w:w="3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321</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Costs incurred - quarter ended September 30, 2012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Costs Incurred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600" w:type="dxa"/>
            <w:vAlign w:val="bottom"/>
            <w:vMerge w:val="restart"/>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Costs</w:t>
            </w: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220" w:type="dxa"/>
            <w:vAlign w:val="bottom"/>
          </w:tcPr>
          <w:p>
            <w:pPr>
              <w:spacing w:after="0"/>
              <w:rPr>
                <w:sz w:val="14"/>
                <w:szCs w:val="14"/>
                <w:color w:val="auto"/>
              </w:rPr>
            </w:pPr>
          </w:p>
        </w:tc>
        <w:tc>
          <w:tcPr>
            <w:tcW w:w="1400" w:type="dxa"/>
            <w:vAlign w:val="bottom"/>
            <w:gridSpan w:val="3"/>
          </w:tcPr>
          <w:p>
            <w:pPr>
              <w:jc w:val="right"/>
              <w:ind w:right="560"/>
              <w:spacing w:after="0" w:line="148" w:lineRule="exact"/>
              <w:rPr>
                <w:sz w:val="20"/>
                <w:szCs w:val="20"/>
                <w:color w:val="auto"/>
              </w:rPr>
            </w:pPr>
            <w:r>
              <w:rPr>
                <w:rFonts w:ascii="Arial" w:cs="Arial" w:eastAsia="Arial" w:hAnsi="Arial"/>
                <w:sz w:val="14"/>
                <w:szCs w:val="14"/>
                <w:b w:val="1"/>
                <w:bCs w:val="1"/>
                <w:color w:val="auto"/>
                <w:w w:val="90"/>
              </w:rPr>
              <w:t>June 30, 2012</w:t>
            </w:r>
          </w:p>
        </w:tc>
        <w:tc>
          <w:tcPr>
            <w:tcW w:w="14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14"/>
                <w:szCs w:val="14"/>
                <w:color w:val="auto"/>
              </w:rPr>
            </w:pPr>
          </w:p>
        </w:tc>
        <w:tc>
          <w:tcPr>
            <w:tcW w:w="12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2011 Actions. </w:t>
      </w:r>
      <w:r>
        <w:rPr>
          <w:rFonts w:ascii="Arial" w:cs="Arial" w:eastAsia="Arial" w:hAnsi="Arial"/>
          <w:sz w:val="16"/>
          <w:szCs w:val="16"/>
          <w:color w:val="auto"/>
        </w:rPr>
        <w:t>During the first nine months of 2012, we recorded net pre-tax restructuring costs totaling $49 million for restructuring actions initiated in 2011,</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$25 million in cost of sales, $23 million in selling, general and administrative expenses and $1 million in discontinued operations. The 2011 actions relate to ongoing cost reduction efforts, including workforce reductions and the consolidation of field operations.</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2012, we have completed net workforce reductions of approximately 4,000 employees of an expected 5,000 employees, and have exited approximately 100,000 net square feet of facilities of an expected 2 million net square feet. We are targeting the majority of the remaining workforce and facility related cost reduction actions for completion during 2012 and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720" w:type="dxa"/>
            <w:vAlign w:val="bottom"/>
          </w:tcPr>
          <w:p>
            <w:pPr>
              <w:spacing w:after="0"/>
              <w:rPr>
                <w:sz w:val="12"/>
                <w:szCs w:val="12"/>
                <w:color w:val="auto"/>
              </w:rPr>
            </w:pP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Termination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Write-Downs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92"/>
              </w:rPr>
              <w:t>Other Costs</w:t>
            </w:r>
          </w:p>
        </w:tc>
        <w:tc>
          <w:tcPr>
            <w:tcW w:w="44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June 30, 2012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2012</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costs</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304</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(286)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September 30, 2012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Remaining costs at September 30, 2012</w:t>
            </w: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Costs Incurred</w:t>
            </w:r>
          </w:p>
        </w:tc>
        <w:tc>
          <w:tcPr>
            <w:tcW w:w="1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Incurred</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Costs Incurred</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1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2"/>
                <w:szCs w:val="12"/>
                <w:color w:val="auto"/>
              </w:rPr>
            </w:pPr>
          </w:p>
        </w:tc>
        <w:tc>
          <w:tcPr>
            <w:tcW w:w="15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8"/>
        </w:trPr>
        <w:tc>
          <w:tcPr>
            <w:tcW w:w="3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2"/>
                <w:szCs w:val="12"/>
                <w:color w:val="auto"/>
              </w:rPr>
            </w:pPr>
          </w:p>
        </w:tc>
        <w:tc>
          <w:tcPr>
            <w:tcW w:w="134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180" w:type="dxa"/>
            <w:vAlign w:val="bottom"/>
          </w:tcPr>
          <w:p>
            <w:pPr>
              <w:spacing w:after="0"/>
              <w:rPr>
                <w:sz w:val="12"/>
                <w:szCs w:val="12"/>
                <w:color w:val="auto"/>
              </w:rPr>
            </w:pPr>
          </w:p>
        </w:tc>
        <w:tc>
          <w:tcPr>
            <w:tcW w:w="13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March 31, 2012</w:t>
            </w:r>
          </w:p>
        </w:tc>
        <w:tc>
          <w:tcPr>
            <w:tcW w:w="134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w w:val="90"/>
              </w:rPr>
              <w:t>June 30, 2012</w:t>
            </w:r>
          </w:p>
        </w:tc>
        <w:tc>
          <w:tcPr>
            <w:tcW w:w="16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September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2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2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As of September 30, 2012, we have approximately $34 million of accrual balances remaining related to 2010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$11.3 billion and $10.4 billion at September 30, 2012 and December 31,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fair value of derivative instruments as of September 30, 2012 and December 31, 2011 which consist solely of foreign exchange contracts: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w w:val="91"/>
              </w:rPr>
              <w:t>September 30, 2012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88"/>
              </w:rPr>
              <w:t>Derivatives</w:t>
            </w: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3"/>
              </w:rPr>
              <w:t>Derivatives not</w:t>
            </w:r>
          </w:p>
        </w:tc>
        <w:tc>
          <w:tcPr>
            <w:tcW w:w="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Derivatives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Derivatives not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6"/>
              </w:rPr>
              <w:t>designated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designated as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designated</w:t>
            </w:r>
          </w:p>
        </w:tc>
        <w:tc>
          <w:tcPr>
            <w:tcW w:w="1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designated as</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6"/>
              </w:rPr>
              <w:t>as hedging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hedging</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as hedging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hedging</w:t>
            </w:r>
          </w:p>
        </w:tc>
        <w:tc>
          <w:tcPr>
            <w:tcW w:w="0" w:type="dxa"/>
            <w:vAlign w:val="bottom"/>
          </w:tcPr>
          <w:p>
            <w:pPr>
              <w:spacing w:after="0"/>
              <w:rPr>
                <w:sz w:val="1"/>
                <w:szCs w:val="1"/>
                <w:color w:val="auto"/>
              </w:rPr>
            </w:pPr>
          </w:p>
        </w:tc>
      </w:tr>
      <w:tr>
        <w:trPr>
          <w:trHeight w:val="148"/>
        </w:trPr>
        <w:tc>
          <w:tcPr>
            <w:tcW w:w="5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w w:val="84"/>
              </w:rPr>
              <w:t>instruments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34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instruments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Sheet Asset Locations:</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assets, current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800" w:type="dxa"/>
            <w:vAlign w:val="bottom"/>
            <w:gridSpan w:val="4"/>
          </w:tcPr>
          <w:p>
            <w:pPr>
              <w:ind w:left="70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7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Balance Sheet Liability Locations: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Total Liability Derivative Contracts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780" w:type="dxa"/>
            <w:vAlign w:val="bottom"/>
            <w:gridSpan w:val="16"/>
          </w:tcPr>
          <w:p>
            <w:pPr>
              <w:spacing w:after="0"/>
              <w:rPr>
                <w:sz w:val="20"/>
                <w:szCs w:val="20"/>
                <w:color w:val="auto"/>
              </w:rPr>
            </w:pPr>
            <w:r>
              <w:rPr>
                <w:rFonts w:ascii="Arial" w:cs="Arial" w:eastAsia="Arial" w:hAnsi="Arial"/>
                <w:sz w:val="18"/>
                <w:szCs w:val="18"/>
                <w:color w:val="auto"/>
                <w:w w:val="90"/>
              </w:rPr>
              <w:t>The impact from foreign exchange derivative instruments that qualified as cash flow hedges was as follows: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4"/>
                <w:szCs w:val="24"/>
                <w:color w:val="auto"/>
              </w:rPr>
            </w:pPr>
          </w:p>
        </w:tc>
        <w:tc>
          <w:tcPr>
            <w:tcW w:w="2520" w:type="dxa"/>
            <w:vAlign w:val="bottom"/>
            <w:gridSpan w:val="12"/>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60" w:type="dxa"/>
            <w:vAlign w:val="bottom"/>
          </w:tcPr>
          <w:p>
            <w:pPr>
              <w:spacing w:after="0"/>
              <w:rPr>
                <w:sz w:val="24"/>
                <w:szCs w:val="24"/>
                <w:color w:val="auto"/>
              </w:rPr>
            </w:pPr>
          </w:p>
        </w:tc>
        <w:tc>
          <w:tcPr>
            <w:tcW w:w="256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29"/>
        </w:trPr>
        <w:tc>
          <w:tcPr>
            <w:tcW w:w="5040" w:type="dxa"/>
            <w:vAlign w:val="bottom"/>
            <w:gridSpan w:val="3"/>
            <w:vMerge w:val="continue"/>
          </w:tcPr>
          <w:p>
            <w:pPr>
              <w:spacing w:after="0"/>
              <w:rPr>
                <w:sz w:val="11"/>
                <w:szCs w:val="11"/>
                <w:color w:val="auto"/>
              </w:rPr>
            </w:pPr>
          </w:p>
        </w:tc>
        <w:tc>
          <w:tcPr>
            <w:tcW w:w="68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5"/>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Gain (loss) recorded in Accumulated other comprehensive loss</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83</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Gain reclassified from Accumulated other comprehensive loss</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into Product sales (effective portion)</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26</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Assuming current market conditions continue, a $33 million pre-tax loss is expected to be reclassified from Accumulated other comprehensive loss into Product sales to reflect the fixed prices obtained from foreign exchange hedging within the next 12 months. At September 30, 2012, all derivative contracts accounted for as cash flow hedges will mature by December 2015.</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effect on the Condensed Consolidated Statement of Comprehensive Income from foreign exchange contracts not designated as hedging instruments was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5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Quarter Ended September 30,</w:t>
            </w:r>
          </w:p>
        </w:tc>
        <w:tc>
          <w:tcPr>
            <w:tcW w:w="2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6"/>
              </w:rPr>
              <w:t>Nine Months Ended September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46"/>
              <w:spacing w:after="0" w:line="129" w:lineRule="exact"/>
              <w:rPr>
                <w:sz w:val="20"/>
                <w:szCs w:val="20"/>
                <w:color w:val="auto"/>
              </w:rPr>
            </w:pPr>
            <w:r>
              <w:rPr>
                <w:rFonts w:ascii="Arial" w:cs="Arial" w:eastAsia="Arial" w:hAnsi="Arial"/>
                <w:sz w:val="14"/>
                <w:szCs w:val="14"/>
                <w:b w:val="1"/>
                <w:bCs w:val="1"/>
                <w:color w:val="auto"/>
              </w:rPr>
              <w:t>2012</w:t>
            </w:r>
          </w:p>
        </w:tc>
        <w:tc>
          <w:tcPr>
            <w:tcW w:w="1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2012</w:t>
            </w:r>
          </w:p>
        </w:tc>
        <w:tc>
          <w:tcPr>
            <w:tcW w:w="1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recognized in Other income, net</w:t>
            </w: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(51)</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9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 xml:space="preserve">Fair Value Disclosure. </w:t>
      </w:r>
      <w:r>
        <w:rPr>
          <w:rFonts w:ascii="Arial" w:cs="Arial" w:eastAsia="Arial" w:hAnsi="Arial"/>
          <w:sz w:val="15"/>
          <w:szCs w:val="15"/>
          <w:color w:val="auto"/>
        </w:rPr>
        <w:t>As of January 1, 2012, we adopted the provisions of the FASB issued ASU No. 2011-04, “Amendments to Achieve Common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and Disclosure Requirements in U.S. GAAP and IFRSs.” This ASU clarifies many of the existing concepts for measuring fair value and does not result in a change in our application of the Fair Value Measurements and Disclosures Topic of the FASB ASC. The guidance includes enhanced disclosure requirements about recurring Level 3 fair value measurements for each class of assets and liabilities measured at fair value in the balance sheet, which has no impact on our financial statements or disclosures as there are presently no Level 3 fair value measurements in our Condensed Consolidated Balance Sheet. This ASU also requires additional disclosures for items that are not measured at fair value in the balance sheet but for which the fair value is required to be disclosed.</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following table provides the valuation hierarchy classification of assets and liabilities that are carried at fair value and measured on a</w:t>
      </w:r>
      <w:r>
        <w:rPr>
          <w:rFonts w:ascii="Arial" w:cs="Arial" w:eastAsia="Arial" w:hAnsi="Arial"/>
          <w:sz w:val="16"/>
          <w:szCs w:val="16"/>
          <w:b w:val="1"/>
          <w:bCs w:val="1"/>
          <w:color w:val="auto"/>
        </w:rPr>
        <w:t xml:space="preserve"> </w:t>
      </w:r>
      <w:r>
        <w:rPr>
          <w:rFonts w:ascii="Arial" w:cs="Arial" w:eastAsia="Arial" w:hAnsi="Arial"/>
          <w:sz w:val="16"/>
          <w:szCs w:val="16"/>
          <w:color w:val="auto"/>
        </w:rPr>
        <w:t>recurring and nonrecurring basis in our Condensed Consolidated Balance Sheet as of September 30, 2012 and December 31, 2011:</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Total Carrying</w:t>
            </w:r>
          </w:p>
        </w:tc>
        <w:tc>
          <w:tcPr>
            <w:tcW w:w="1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Quoted price in</w:t>
            </w:r>
          </w:p>
        </w:tc>
        <w:tc>
          <w:tcPr>
            <w:tcW w:w="18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Value at</w:t>
            </w:r>
          </w:p>
        </w:tc>
        <w:tc>
          <w:tcPr>
            <w:tcW w:w="1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8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5400" w:type="dxa"/>
            <w:vAlign w:val="bottom"/>
            <w:gridSpan w:val="3"/>
            <w:vMerge w:val="continue"/>
          </w:tcPr>
          <w:p>
            <w:pPr>
              <w:spacing w:after="0"/>
              <w:rPr>
                <w:sz w:val="12"/>
                <w:szCs w:val="12"/>
                <w:color w:val="auto"/>
              </w:rPr>
            </w:pPr>
          </w:p>
        </w:tc>
        <w:tc>
          <w:tcPr>
            <w:tcW w:w="136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778</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dispositions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During 2012, we recorded net gains on nonrecurring fair value measurements of approximately $220 million within Other income, net from UTC Climate, Controls &amp; Security’s ongoing portfolio transformation efforts including the integration of the legacy UTC Fire &amp; Security businesses with the legacy Carrier businesses. These net gains include approximately $357 million from the sales of controlling interests in manufacturing and distribution joint ventures in Asia and Canada, of which approximately $272 million was non-cash. These gains were partially offset by $103 million of other-than-temporary impairment charges related to business dispositions and a $32 million loss on the disposition of the U.S. UTC Fire &amp; Security branch operations. In addition, we recorded a $34 million gain on the fair market measurement of the Company’s previously held interest in Goodrich.</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Total Carrying</w:t>
            </w:r>
          </w:p>
        </w:tc>
        <w:tc>
          <w:tcPr>
            <w:tcW w:w="1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Quoted price in</w:t>
            </w:r>
          </w:p>
        </w:tc>
        <w:tc>
          <w:tcPr>
            <w:tcW w:w="18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Value at</w:t>
            </w:r>
          </w:p>
        </w:tc>
        <w:tc>
          <w:tcPr>
            <w:tcW w:w="1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8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41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926</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During 2011, we recorded a non-cash other-than-temporary impairment charge of $66 million within Other income, net on an equity investment. The impairment charge recorded on our investment was determined by comparing the carrying value of our investment to the closing market value of the shares on the date the investment was deemed to be impaired.</w:t>
      </w:r>
    </w:p>
    <w:p>
      <w:pPr>
        <w:spacing w:after="0" w:line="1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September 30, 2012, there were no significant transfers in and out of Level 1 and Level 2.</w:t>
      </w:r>
    </w:p>
    <w:p>
      <w:pPr>
        <w:spacing w:after="0" w:line="11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September 30, 2012,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2012 and December 31,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2012</w:t>
            </w:r>
          </w:p>
        </w:tc>
        <w:tc>
          <w:tcPr>
            <w:tcW w:w="3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80" w:type="dxa"/>
            <w:vAlign w:val="bottom"/>
            <w:vMerge w:val="restart"/>
          </w:tcPr>
          <w:p>
            <w:pPr>
              <w:spacing w:after="0"/>
              <w:rPr>
                <w:sz w:val="11"/>
                <w:szCs w:val="11"/>
                <w:color w:val="auto"/>
              </w:rPr>
            </w:pPr>
          </w:p>
        </w:tc>
        <w:tc>
          <w:tcPr>
            <w:tcW w:w="132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24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517</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478</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283</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328</w:t>
            </w:r>
          </w:p>
        </w:tc>
        <w:tc>
          <w:tcPr>
            <w:tcW w:w="1540" w:type="dxa"/>
            <w:vAlign w:val="bottom"/>
            <w:gridSpan w:val="3"/>
          </w:tcPr>
          <w:p>
            <w:pPr>
              <w:jc w:val="right"/>
              <w:ind w:right="6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(5,224)</w:t>
            </w: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Long-term debt (excluding capitalized leases)</w:t>
            </w:r>
          </w:p>
        </w:tc>
        <w:tc>
          <w:tcPr>
            <w:tcW w:w="8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(23,421)</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(26,784)</w:t>
            </w: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(11,639)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September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Total Fair</w:t>
            </w:r>
          </w:p>
        </w:tc>
        <w:tc>
          <w:tcPr>
            <w:tcW w:w="3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660" w:type="dxa"/>
            <w:vAlign w:val="bottom"/>
          </w:tcPr>
          <w:p>
            <w:pPr>
              <w:spacing w:after="0"/>
              <w:rPr>
                <w:sz w:val="14"/>
                <w:szCs w:val="14"/>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6"/>
              </w:rPr>
              <w:t>Significant other</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3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Value at</w:t>
            </w:r>
          </w:p>
        </w:tc>
        <w:tc>
          <w:tcPr>
            <w:tcW w:w="3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660" w:type="dxa"/>
            <w:vAlign w:val="bottom"/>
          </w:tcPr>
          <w:p>
            <w:pPr>
              <w:spacing w:after="0"/>
              <w:rPr>
                <w:sz w:val="12"/>
                <w:szCs w:val="12"/>
                <w:color w:val="auto"/>
              </w:rPr>
            </w:pPr>
          </w:p>
        </w:tc>
        <w:tc>
          <w:tcPr>
            <w:tcW w:w="17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50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0"/>
        </w:trPr>
        <w:tc>
          <w:tcPr>
            <w:tcW w:w="4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Long-term receivables</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financing notes receivable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(5,224)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 (excluding capitalized leases)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(26,583)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receivables include our commercial and aerospace long-term trade,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receivables, leases, and notes receivable. Our long-term receivables and customer financing notes receivables are measured at fair value using an income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receivables are classified within Level 2 of the valuation hierarchy. Our short-term borrowings include commercial paper and other international credit facility agreements. Our long-term debt includes domestic and international notes. Commercial paper and domestic long-term notes are measured at fair values based on comparable transactions and current market interest rates quoted in active markets for similar assets, and are classified within Level 2 of the valuation hierarchy. Foreign short-term borrowings and foreign long-term notes are measured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commercial aerospace financing and other contractual commitments totaling approximately $2.8 billion at September 30, 2012, which now include approximately $538 million of IAE commitments, related to commercial aircraft and certain contractual rights to provide product on new aircraft platforms. We had commercial aerospace financing and other contractual commitments of approximately $2.3 billion at December 31, 2011.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September 30, 2012 and December 31, 2011:</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7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8"/>
        </w:trPr>
        <w:tc>
          <w:tcPr>
            <w:tcW w:w="5300" w:type="dxa"/>
            <w:vAlign w:val="bottom"/>
            <w:gridSpan w:val="3"/>
            <w:vMerge w:val="continue"/>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trade accounts receivable</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483</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9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increases reflected above as of September 30, 2012, as compared to December 31, 2011, primarily reflect the impacts of our acquisition of Goodrich and our consolidation of IAE. See Note 1 for further discussion related to acquisitions.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September 30, 2012 and December 31, 2011, we do not have any significant balances that are considered to be delinquent, on non-accrual status, past due 90 days or more, or considered to be impaired.</w:t>
      </w:r>
    </w:p>
    <w:p>
      <w:pPr>
        <w:spacing w:after="0" w:line="10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and summarizes the associated changes in the reserve for estimated credit losses and exposure for the nine months ended September 30, 2012 and 2011, respectively:</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of the reserve for credit losses and exposure as of January 1</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5"/>
        </w:trPr>
        <w:tc>
          <w:tcPr>
            <w:tcW w:w="7180" w:type="dxa"/>
            <w:vAlign w:val="bottom"/>
            <w:gridSpan w:val="2"/>
          </w:tcPr>
          <w:p>
            <w:pPr>
              <w:spacing w:after="0"/>
              <w:rPr>
                <w:sz w:val="20"/>
                <w:szCs w:val="20"/>
                <w:color w:val="auto"/>
              </w:rPr>
            </w:pPr>
            <w:r>
              <w:rPr>
                <w:rFonts w:ascii="Arial" w:cs="Arial" w:eastAsia="Arial" w:hAnsi="Arial"/>
                <w:sz w:val="18"/>
                <w:szCs w:val="18"/>
                <w:color w:val="auto"/>
                <w:w w:val="91"/>
              </w:rPr>
              <w:t>Ending balance of the reserve for credit losses and exposure: individually evaluated for impairment</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as of September 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Ending balance of long-term receivables: individually evaluated for impairment as of September 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598</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credit risk profile by creditworthiness category for aerospace long-term receivable balances at September 30,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4"/>
              </w:rPr>
              <w:t>September 30, 2012</w:t>
            </w:r>
          </w:p>
        </w:tc>
        <w:tc>
          <w:tcPr>
            <w:tcW w:w="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December 31, 2011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Long-term</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Notes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Notes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420" w:type="dxa"/>
            <w:vAlign w:val="bottom"/>
            <w:vMerge w:val="restart"/>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74"/>
              </w:rPr>
              <w:t>leases</w:t>
            </w:r>
          </w:p>
        </w:tc>
        <w:tc>
          <w:tcPr>
            <w:tcW w:w="6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w w:val="87"/>
              </w:rPr>
              <w:t>receivable</w:t>
            </w:r>
          </w:p>
        </w:tc>
        <w:tc>
          <w:tcPr>
            <w:tcW w:w="62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receivable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640" w:type="dxa"/>
            <w:vAlign w:val="bottom"/>
          </w:tcPr>
          <w:p>
            <w:pPr>
              <w:spacing w:after="0"/>
              <w:rPr>
                <w:sz w:val="14"/>
                <w:szCs w:val="14"/>
                <w:color w:val="auto"/>
              </w:rPr>
            </w:pPr>
          </w:p>
        </w:tc>
        <w:tc>
          <w:tcPr>
            <w:tcW w:w="6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1"/>
              </w:rPr>
              <w:t>receivable</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 - (low risk, collateralized/uncollateralized)</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459</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201</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of January 1, 2012, we adopted the provisions of the FASB issued ASU No. 2011-05, “Presentation of Comprehensive Income.” As a result of this adoption, we have presented total comprehensive income for each of the periods presented within a single continuous Condensed Consolidated Statement of Comprehensive Income.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nine months ended September 30, 2012 and 2011 is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5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2"/>
              </w:rPr>
              <w:t>Shareowners’</w:t>
            </w: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58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4"/>
                <w:szCs w:val="14"/>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22,604</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$23,725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22,723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1,016</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$23,739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Comprehensive income (loss) for the period: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4720" w:type="dxa"/>
            <w:vAlign w:val="bottom"/>
            <w:gridSpan w:val="2"/>
          </w:tcPr>
          <w:p>
            <w:pPr>
              <w:ind w:left="88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reissued under employee plans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Common Stock repurchased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contributed to pension plans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Equity Units issuance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on Common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w w:val="91"/>
              </w:rPr>
              <w:t>Purchase of subsidiary shares from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Redeemable noncontrolling interest reclassification to</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20" w:type="dxa"/>
            <w:vAlign w:val="bottom"/>
            <w:gridSpan w:val="2"/>
          </w:tcPr>
          <w:p>
            <w:pPr>
              <w:spacing w:after="0"/>
              <w:rPr>
                <w:sz w:val="20"/>
                <w:szCs w:val="20"/>
                <w:color w:val="auto"/>
              </w:rPr>
            </w:pPr>
            <w:r>
              <w:rPr>
                <w:rFonts w:ascii="Arial" w:cs="Arial" w:eastAsia="Arial" w:hAnsi="Arial"/>
                <w:sz w:val="18"/>
                <w:szCs w:val="18"/>
                <w:color w:val="auto"/>
              </w:rPr>
              <w:t>Equity, end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24,955</w:t>
            </w:r>
          </w:p>
        </w:tc>
        <w:tc>
          <w:tcPr>
            <w:tcW w:w="3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26,091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22,590</w:t>
            </w:r>
          </w:p>
        </w:tc>
        <w:tc>
          <w:tcPr>
            <w:tcW w:w="22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23,588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1"/>
          </w:tcPr>
          <w:p>
            <w:pPr>
              <w:jc w:val="right"/>
              <w:ind w:right="47"/>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7"/>
              </w:rPr>
              <w:t>Shareowners’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1"/>
                <w:szCs w:val="11"/>
                <w:color w:val="auto"/>
              </w:rPr>
            </w:pPr>
          </w:p>
        </w:tc>
        <w:tc>
          <w:tcPr>
            <w:tcW w:w="52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200" w:type="dxa"/>
            <w:vAlign w:val="bottom"/>
          </w:tcPr>
          <w:p>
            <w:pPr>
              <w:spacing w:after="0"/>
              <w:rPr>
                <w:sz w:val="11"/>
                <w:szCs w:val="11"/>
                <w:color w:val="auto"/>
              </w:rPr>
            </w:pPr>
          </w:p>
        </w:tc>
        <w:tc>
          <w:tcPr>
            <w:tcW w:w="11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1"/>
                <w:szCs w:val="11"/>
                <w:color w:val="auto"/>
              </w:rPr>
            </w:pPr>
          </w:p>
        </w:tc>
        <w:tc>
          <w:tcPr>
            <w:tcW w:w="58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5"/>
          </w:tcPr>
          <w:p>
            <w:pPr>
              <w:ind w:left="80"/>
              <w:spacing w:after="0" w:line="148"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2"/>
                <w:szCs w:val="12"/>
                <w:color w:val="auto"/>
              </w:rPr>
            </w:pPr>
          </w:p>
        </w:tc>
        <w:tc>
          <w:tcPr>
            <w:tcW w:w="580" w:type="dxa"/>
            <w:vAlign w:val="bottom"/>
            <w:gridSpan w:val="2"/>
          </w:tcPr>
          <w:p>
            <w:pPr>
              <w:jc w:val="right"/>
              <w:ind w:right="96"/>
              <w:spacing w:after="0" w:line="148"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960" w:type="dxa"/>
            <w:vAlign w:val="bottom"/>
            <w:gridSpan w:val="5"/>
          </w:tcPr>
          <w:p>
            <w:pPr>
              <w:jc w:val="right"/>
              <w:ind w:right="287"/>
              <w:spacing w:after="0" w:line="148"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1120" w:type="dxa"/>
            <w:vAlign w:val="bottom"/>
            <w:gridSpan w:val="5"/>
          </w:tcPr>
          <w:p>
            <w:pPr>
              <w:jc w:val="right"/>
              <w:ind w:right="367"/>
              <w:spacing w:after="0" w:line="148"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21,880</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940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$22,820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21,385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color w:val="auto"/>
              </w:rPr>
              <w:t>Total other comprehensive income</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reissued under employee plans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7"/>
              <w:spacing w:after="0"/>
              <w:rPr>
                <w:sz w:val="20"/>
                <w:szCs w:val="20"/>
                <w:color w:val="auto"/>
              </w:rPr>
            </w:pPr>
            <w:r>
              <w:rPr>
                <w:rFonts w:ascii="Arial" w:cs="Arial" w:eastAsia="Arial" w:hAnsi="Arial"/>
                <w:sz w:val="18"/>
                <w:szCs w:val="18"/>
                <w:color w:val="auto"/>
                <w:w w:val="91"/>
              </w:rPr>
              <w:t>(2,175)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Equity Units issuance</w:t>
            </w:r>
          </w:p>
        </w:tc>
        <w:tc>
          <w:tcPr>
            <w:tcW w:w="1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91"/>
              </w:rPr>
              <w:t>(1,192)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7"/>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w w:val="95"/>
              </w:rPr>
              <w:t>(248)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9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7"/>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07"/>
              <w:spacing w:after="0"/>
              <w:rPr>
                <w:sz w:val="20"/>
                <w:szCs w:val="20"/>
                <w:color w:val="auto"/>
              </w:rPr>
            </w:pPr>
            <w:r>
              <w:rPr>
                <w:rFonts w:ascii="Arial" w:cs="Arial" w:eastAsia="Arial" w:hAnsi="Arial"/>
                <w:sz w:val="18"/>
                <w:szCs w:val="18"/>
                <w:color w:val="auto"/>
              </w:rPr>
              <w:t>(17)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Disposition of noncontrolling interest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4"/>
              </w:rPr>
              <w:t>Redeemable noncontrolling interest in subsidiaries’ earnings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92"/>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07"/>
              <w:spacing w:after="0"/>
              <w:rPr>
                <w:sz w:val="20"/>
                <w:szCs w:val="20"/>
                <w:color w:val="auto"/>
              </w:rPr>
            </w:pPr>
            <w:r>
              <w:rPr>
                <w:rFonts w:ascii="Arial" w:cs="Arial" w:eastAsia="Arial" w:hAnsi="Arial"/>
                <w:sz w:val="18"/>
                <w:szCs w:val="18"/>
                <w:color w:val="auto"/>
              </w:rPr>
              <w:t>(15)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7"/>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reclassification to</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980" w:type="dxa"/>
            <w:vAlign w:val="bottom"/>
            <w:gridSpan w:val="3"/>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24,955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1,136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26,091</w:t>
            </w:r>
          </w:p>
        </w:tc>
        <w:tc>
          <w:tcPr>
            <w:tcW w:w="6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22,590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11400" w:type="dxa"/>
            <w:vAlign w:val="bottom"/>
            <w:gridSpan w:val="33"/>
          </w:tcPr>
          <w:p>
            <w:pPr>
              <w:ind w:left="440"/>
              <w:spacing w:after="0"/>
              <w:rPr>
                <w:sz w:val="20"/>
                <w:szCs w:val="20"/>
                <w:color w:val="auto"/>
              </w:rPr>
            </w:pPr>
            <w:r>
              <w:rPr>
                <w:rFonts w:ascii="Arial" w:cs="Arial" w:eastAsia="Arial" w:hAnsi="Arial"/>
                <w:sz w:val="18"/>
                <w:szCs w:val="18"/>
                <w:color w:val="auto"/>
                <w:w w:val="89"/>
              </w:rPr>
              <w:t>A summary of the changes in each component of accumulated other comprehensive (loss) income for the quarter and nine months ended September 30,</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2012 is provided below:</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3"/>
              </w:rPr>
              <w:t>Unrealized</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Defined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Gains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Benefit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79"/>
              </w:rPr>
              <w:t>(Losses)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Pension and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on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Foreign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Post-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Available-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Hedging</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for-Sale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(Losses)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0"/>
              </w:rPr>
              <w:t>Plans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4"/>
          </w:tcPr>
          <w:p>
            <w:pPr>
              <w:jc w:val="center"/>
              <w:ind w:right="80"/>
              <w:spacing w:after="0" w:line="148"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Gains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(Loss)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3"/>
              </w:rPr>
              <w:t>206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(5,810)</w:t>
            </w:r>
          </w:p>
        </w:tc>
        <w:tc>
          <w:tcPr>
            <w:tcW w:w="100" w:type="dxa"/>
            <w:vAlign w:val="bottom"/>
            <w:tcBorders>
              <w:right w:val="single" w:sz="8" w:color="CCEEFF"/>
            </w:tcBorders>
            <w:gridSpan w:val="2"/>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27"/>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income - quarter ended March 31, 2012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3"/>
              </w:rPr>
              <w:t>318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comprehensive (loss) income - quarter ended June 30, 2012</w:t>
            </w:r>
          </w:p>
        </w:tc>
        <w:tc>
          <w:tcPr>
            <w:tcW w:w="1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 quarter ended September 30, 2012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3"/>
              </w:rPr>
              <w:t>690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3"/>
              </w:rPr>
              <w:t>586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and nine months ended September 30, 2012 and 2011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Redeemable noncontrolling interest reclassification to</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w w:val="98"/>
              </w:rPr>
              <w:t>Other changes in redeemable noncontrolling interest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233</w:t>
            </w:r>
          </w:p>
        </w:tc>
        <w:tc>
          <w:tcPr>
            <w:tcW w:w="9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nine months ended September 30, 2012 and 2011 is provided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88"/>
              </w:rPr>
              <w:t>Quarter Ended September 30,</w:t>
            </w:r>
          </w:p>
        </w:tc>
        <w:tc>
          <w:tcPr>
            <w:tcW w:w="120" w:type="dxa"/>
            <w:vAlign w:val="bottom"/>
          </w:tcPr>
          <w:p>
            <w:pPr>
              <w:spacing w:after="0"/>
              <w:rPr>
                <w:sz w:val="14"/>
                <w:szCs w:val="14"/>
                <w:color w:val="auto"/>
              </w:rPr>
            </w:pPr>
          </w:p>
        </w:tc>
        <w:tc>
          <w:tcPr>
            <w:tcW w:w="23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29"/>
        </w:trPr>
        <w:tc>
          <w:tcPr>
            <w:tcW w:w="51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1,324</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3,073</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0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w w:val="95"/>
              </w:rPr>
              <w:t>Decrease in common stock for purchase of subsidiary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Change from net income attributable to common shareowners and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transfers to noncontrolling interests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extend a variety of financial, market value and product performance guarantees to third parties. As disclosed in Note 1, on June 29, 2012 Pratt &amp; Whitney, Rolls-Royce, MTU and JAEC, completed a restructuring of their interests in IAE. This transaction has resulted in an increase in our net proportionate share of IAE’s obligations from 33% to 61%. There were no material changes to IAE’s financing arrangements, which, as previously disclosed, were $989 million as of December 31, 2011.</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disclosed in Note 1, on July 26, 2012 we completed the acquisition of Goodrich. The acquisition of Goodrich resulted in an increase in credit facilities and debt obligations of unconsolidated subsidiaries of approximately $156 million related to the maximum potential payout under those facilities and obligations, with no associated carrying amount of a liability as of September 30,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other material changes to guarantees outstanding since December 31, 2011.</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2012 and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3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$1,468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7"/>
              </w:rPr>
              <w:t>Warranties and performance guarantees issued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4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300" w:type="dxa"/>
            <w:vAlign w:val="bottom"/>
            <w:vMerge w:val="restart"/>
          </w:tcPr>
          <w:p>
            <w:pPr>
              <w:jc w:val="right"/>
              <w:ind w:right="2556"/>
              <w:spacing w:after="0"/>
              <w:rPr>
                <w:sz w:val="20"/>
                <w:szCs w:val="20"/>
                <w:color w:val="auto"/>
              </w:rPr>
            </w:pPr>
            <w:r>
              <w:rPr>
                <w:rFonts w:ascii="Arial" w:cs="Arial" w:eastAsia="Arial" w:hAnsi="Arial"/>
                <w:sz w:val="18"/>
                <w:szCs w:val="18"/>
                <w:color w:val="auto"/>
              </w:rPr>
              <w:t>29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decrease in the above table in “Other” during the nine months ended September 30, 2012 primarily reflects a decrease for Clipper warranty reserves reclassified to Liabilities of Discontinued Operations during the quarter ended March 31, 2012, partially offset by an increase from our acquisition of Goodrich. See Note 2 and Note 1, respectively, for further discussion. The increase reflected in “Other” during the nine months ended September 30, 2011 primarily reflected the impact of finalizing purchase accounting on the acquisition of Clipper.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2011 Annual Report, incorporated by reference in our 2011 Form 10-K, updated as applicable.</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conjunction with the completion of our acquisition of Goodrich on July 26, 2012, we recorded additional environmental reserves of $232 million. See Note 1 for further discussion.</w:t>
      </w:r>
    </w:p>
    <w:p>
      <w:pPr>
        <w:spacing w:after="0" w:line="12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previously disclosed, the U.S.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its 1983 offer. In the absence of actual damages, the trial court judge awarded the DOJ the maximum civil penalty of $7.09 million, or $10,000 for each of the 709 invoices Pratt &amp; Whitney submitted in 1989 and later under the contracts. In September 2008, both the DOJ and UTC appealed the decision to the Sixth Circuit Court of Appeals. In November 2010, the Sixth Circuit affirmed Pratt &amp; Whitney’s liability under the False Claims Act and remanded the case to the trial court for further proceedings.</w:t>
      </w:r>
    </w:p>
    <w:p>
      <w:pPr>
        <w:spacing w:after="0" w:line="12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June 18, 2012, the trial court found that Pratt &amp; Whitney had breached other obligations imposed by common law based on the same conduct with respect to which the court previously found liability under the False Claims Act. Under the common law claims, the U.S. Air Force may seek damages for events occurring before March 3, 1989, which are not recoverable under the False Claims Act. Further proceedings at the trial court will determine the damages, if any, relating to the False Claims Act and common law claims. The government now seeks a total award in this case of $661 million, including interest and penalties. Pratt &amp; Whitney continues to contend that the government suffered no actual damages. Should the government ultimately prevail, the outcome of this matter could result in a material adverse effect on our results of operations in the period in which a liability would be recognized or cash flows for the period in which damages would be paid.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$93 million (including interest through September 2012). We believe this claim is without merit and Sikorsky filed an appeal in December 2009 with the U.S. Court of Federal Claims. Trial in the matter started on October 22, 2012, and the court is expected to issue its decision in 2013. We do not believe the resolution of this matter will have a material adverse effect on our competitive position, results of operations, cash flows or financial condition.</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 significant portion of our activities are subject to export control regulation by the U.S. Department of State (State Department) under the U.S. Arms Export Control Act and International Traffic in Arms Regulations (ITAR). From time to time, we identify, investigate, remediate and voluntarily disclose to the State Department’s Office of Defense Trade Controls Compliance (DTCC) potential violations of the ITAR. DTCC administers the State Department’s authority under the ITAR to impose civil penalties and other administrative sanctions for violations, including debarment from engaging in the export of defense articles or defense services. Most of our voluntary disclosures are resolved without the imposition of penalties or other sanctions. However, as previously disclosed, in November 2011, DTCC informed us that it considers certain of our voluntary disclosures filed since 2005 to reflect deficiencies warranting penalties and sanctions. On June 28, 2012, we entered into a Consent Agreement (CA) with DTCC to resolve a Proposed Charging Letter that references approximately 45 of our previous disclosures. The CA has a four-year term, and provides that we will: (1) pay a civil penalty of $55 million, up to $20 million of which can be suspended based on qualifying compliance investments made by us prior to or during the term of the CA; (2) appoint, subject to DTCC approval, an outside Special Compliance Official (SCO) to oversee our compliance with the CA and the ITAR; (3) continue and undertake additional remedial actions to strengthen ITAR compliance, with emphasis on human resources and organization, training, automation, and security of electronic data; and (4) sponsor two company-wide outside compliance audits during the term of the CA.</w:t>
      </w:r>
    </w:p>
    <w:p>
      <w:pPr>
        <w:spacing w:after="0" w:line="12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The voluntary disclosures addressed in the CA include disclosures made in 2006 and 2007 regarding the export by legacy Hamilton Sundstrand to Pratt &amp; Whitney Canada (P&amp;WC) of certain modifications to dual-use electronic engine control software, and the re-export by P&amp;WC of those software modifications and subsequent P&amp;WC-developed modifications to China during the period 2002-2004 for use in the development of the Z-10 Chinese military helicopter. As previously disclosed, the DOJ separately conducted a criminal investigation of the matters addressed in these disclosures, as well as the accuracy, adequacy, and timeliness of the disclosures. We cooperated with the DOJ’s investigation. On June 28, 2012, the U.S. Attorney for the District of Connecticut filed a three-count criminal information alleging: (1) that in 2002-2003, P&amp;WC caused legacy Hamilton Sundstrand to export ITAR-controlled software modifications to Canada and re-exported them to China without the required license; (2) that in 2006, P&amp;WC, legacy Hamilton Sundstrand and UTC made false statements in disclosures to DTCC regarding these ITAR violations; and (3) that P&amp;WC and legacy Hamilton Sundstrand violated a separate provision of the ITAR by failing timely to notify DTCC of the unlicensed software shipments to China, an embargoed country. P&amp;WC pleaded guilty to violating the ITAR and making false statements as alleged, and was sentenced to probation and to pay fines and forfeitures totaling $6.9 million. P&amp;WC, legacy Hamilton Sundstrand and UTC (the UTC Entities) entered into a Deferred Prosecution Agreement (DPA) regarding the remaining offenses charged with respect to each UTC Entity. The DPA has a two-year term, and provides that the UTC Entities will: (1) pay an additional penalty of $13.8 million; (2) appoint, subject to DOJ approval, an independent monitor (who may be the same person as the SCO appointed under the CA) to oversee compliance with the DPA; (3) provide annual senior officer certifications that all known violations of the ITAR, Export Administration Regulations and sanctions regimes implemented under the International Emergency Economic Powers Act occurring after the execution date of the DPA have been reported by UTC, its subsidiaries, and its majority-owned or controlled affiliates to the appropriate official(s) of the U.S. government; (4) cooperate with law enforcement in specified areas; and (5) implement specified compliance training initiatives.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the previously disclosed potential liability recognized at March 31, 2012 of $55 million will be sufficient to discharge all amounts due under the CA and DPA.</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By reason of P&amp;WC’s guilty plea to a criminal violation of the ITAR, DTCC imposed a partial statutory debarment on P&amp;WC with respect to obtaining new or renewed ITAR license privileges. The debarment does not affect existing ITAR licenses/authorities, nor does it extend to programs supporting: (1) the U.S. government; (2) NATO allies; or (3) “major non-NATO allies” (as defined in the ITAR). P&amp;WC may seek “transaction exception” approvals on a case-by-case basis for new or renewed ITAR licensing in other cases during the period of debarment. P&amp;WC may apply for full reinstatement of ITAR privileges after one year. Various military department and defense agency officials are also reviewing the UTC Entities’ present responsibility under the Federal Acquisition Regulation and P&amp;WC’s eligibility to receive funds appropriated for fiscal year 2012 under the National Defense Appropriations Act. We do not believe the ultimate resolution of these matters, individually or collectively, will have a material adverse effect on our competitive position, results of operations, cash flows or financial condition.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previously disclosed in footnotes regarding Income Taxes that accompany the financial statements included in UTC’s Reports on Form 10-Q and 10-K, UTC has been involved in administrative review proceedings with the German Tax Office concerning €198 million (approximately $257 million) of tax benefits that we have claimed related to a 1998 reorganization of the corporate structure of Otis operations in Germany. A portion of these tax benefits was denied by the local German Tax Office on July 5, 2012, as a result of the audit of tax years 1999 to 2000. The legal and factual issues relating to the denial of the tax benefits center on the interpretation and application of a German tax law. On August 3, 2012, the Company filed suit in the local German tax court and intends vigorously to litigate the matter to conclusion. We do not believe the resolution of this matter will have a material adverse effect on our results of operations, cash flows or financial condition.</w:t>
      </w:r>
    </w:p>
    <w:p>
      <w:pPr>
        <w:spacing w:after="0" w:line="141"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Like many other industrial companies in recent years, we or our subsidiaries are named as a defendant in lawsuits alleging personal injury as a result of exposure to asbestos integrated into certain of our products or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covered by insurance or other forms of indemnity or have been dismissed without payment. The remainder of the closed cases have been resolved for amounts that are not material individually or in the aggregate. While insurance coverage litigation is pending against a number of Goodrich insurers, based on information currently available we do not believe that resolution of asbestos-related matters will have a material adverse effect upon our competitive position, results of operations, cash flows or financial condition.</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 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 Subsequent to the completion of our acquisition of Goodrich on July 26, 2012, the Goodrich businesses were combined with the legacy Hamilton Sundstrand businesses to form the new UTC Aerospace Systems segment. Effective July 1, 2012, the APU business of UTC Aerospace Systems was transferred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 See Note 1 for further information on our acquisition of Goodrich.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nine months ended September 30, 2012 and 2011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Net Sales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Operating Profits</w:t>
            </w: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1"/>
                <w:szCs w:val="11"/>
                <w:color w:val="auto"/>
              </w:rPr>
            </w:pPr>
          </w:p>
        </w:tc>
        <w:tc>
          <w:tcPr>
            <w:tcW w:w="5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3,054</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651</w:t>
            </w:r>
          </w:p>
        </w:tc>
        <w:tc>
          <w:tcPr>
            <w:tcW w:w="2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731</w:t>
            </w:r>
          </w:p>
        </w:tc>
        <w:tc>
          <w:tcPr>
            <w:tcW w:w="44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21.3%</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4,259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14.8%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204</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6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0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15,206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14,328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2,261</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14.2%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14,235</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2,151</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60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Net Sales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Operating Profits</w:t>
            </w: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1"/>
                <w:szCs w:val="11"/>
                <w:color w:val="auto"/>
              </w:rPr>
            </w:pPr>
          </w:p>
        </w:tc>
        <w:tc>
          <w:tcPr>
            <w:tcW w:w="5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8,851</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9,226</w:t>
            </w:r>
          </w:p>
        </w:tc>
        <w:tc>
          <w:tcPr>
            <w:tcW w:w="24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$1,868</w:t>
            </w:r>
          </w:p>
        </w:tc>
        <w:tc>
          <w:tcPr>
            <w:tcW w:w="2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2,104</w:t>
            </w:r>
          </w:p>
        </w:tc>
        <w:tc>
          <w:tcPr>
            <w:tcW w:w="44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12,943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14,454</w:t>
            </w:r>
          </w:p>
        </w:tc>
        <w:tc>
          <w:tcPr>
            <w:tcW w:w="2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1,751</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10,073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1,348</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3,496</w:t>
            </w:r>
          </w:p>
        </w:tc>
        <w:tc>
          <w:tcPr>
            <w:tcW w:w="2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561</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633</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6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0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41,642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6,290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6,397</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(295)</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41,265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41,377</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6,001</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8 to the Condensed Consolidated Financial Statements for a discussion of restructuring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2011, the FASB issued ASU No. 2011-11, “Disclosures about Offsetting Assets and Liabilities.” This ASU is intended to enhance a financial statement user’s ability to understand the effects of netting arrangements on an entity’s financial statements, including financial instruments and derivative instruments that are either offset or subject to an enforceable master netting or similar arrangement. The scope of this ASU includes derivatives, sale and repurchase agreements and reverse sale and repurchase agreements, and securities borrowing and securities lending arrangements. This ASU includes enhanced disclosure requirements, including both gross and net information about instruments and transactions eligible for offset or subject to an agreement similar to a master netting arrangement. The provisions of this ASU will be applied retrospectively for interim and annual periods beginning on or after January 1, 2013. We will adopt the disclosure requirements of this ASU beginning in the first quarter of 2013.</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2012 and 2011, PricewaterhouseCoopers LLP (PricewaterhouseCoopers) reported that it has applied limited procedures in accordance with professional standards for a review of such information. However, its report dated October 26, 2012,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50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September 30, 2012 and the related condensed consolidated statement of comprehensive income for the three-month and nine-month periods ended September 30, 2012 and 2011 and the condensed consolidated statement of cash flows for the nine-month periods ended September 30, 2012 and 2011. This interim financial information is the responsibility of the Corporation’s management.</w:t>
      </w:r>
    </w:p>
    <w:p>
      <w:pPr>
        <w:spacing w:after="0" w:line="14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2011, and the related consolidated statements of operations, of cash flows and of changes in equity for the year then ended (not presented herein), and in our report dated February 9, 2012, we expressed an unqualified opinion on those consolidated financial statements. In our opinion, the information set forth in the accompanying condensed consolidated balance sheet as of December 31, 2011, is fairly stated in all material respects in relation to the consolidated balance sheet from which it has been derived.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26, 2012, UTC acquired Goodrich Corporation (Goodrich) pursuant to a merger agreement dated September 21, 2011. As a result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acquisition, Goodrich became a wholly-owned subsidiary of UTC. The acquired Goodrich business and the legacy Hamilton Sundstrand business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to form a new segment named UTC Aerospace Systems. The results of the acquired Goodrich business have been included in UTC’s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only for periods subsequent to the completion of the acquisition. As a result, the consolidated financial results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do not reflect a full nine months of legacy Goodrich operations. The acquisition resulted in the inclusion of Goodrich’s assets and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the acquisition date at their respective fair values. Accordingly, the acquisition materially affected UTC’s results of operations and financial position.</w:t>
      </w:r>
    </w:p>
    <w:p>
      <w:pPr>
        <w:spacing w:after="0" w:line="18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The current status of significant factors impacting our business environment in 2012 is discussed below. For additional discussion, refer to the “Business Overview” section in Management’s Discussion and Analysis of Financial Condition and Results of Operations in our 2011 Annual Report, which is incorporated by reference in our 2011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UTC Climate, Controls &amp; Security and at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Economic projections indicate minimal growth through 2013 within Europe as it struggles to find a permanent solution to its debt crisis. This uncertainty has adversely affected UTC sales and profit growth due to an unfavorable Euro foreign exchange rate and lower sales volumes in the region. Improvements in economic growth rates in the United States are threatened by the potential for sequestration in early 2013. Unfortunately, it remains difficult to estimate the probability of policy action in the United States, and this uncertainty contributes to lower growth rates in the United States. U.S. Government defense spending, together with the European market, represents over 40% of UTC sales. China’s reported third quarter GDP growth rate was 7.4%, which while still strong was its lowest growth rate since 2009 on tightening credit conditions and decreased public investment. Despite the recent lower growth rates, China is projected to generate over one-quarter of world GDP growth in 2013. With an uneven growth outlook, we continue to take preemptive steps to position our business for future earnings growth by further reducing operating costs even as we continue to invest in new product launches and growth markets. As a result, we are increasing our 2012 full year estimate of restructuring costs in continuing operations from $500 million to $600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14, 2012, the Board of Directors of the Company approved a plan for the divestiture of a number of non-core businesses. Cash generated from these divestitures is intended to be used to repay debt incurred to finance the acquisition of Goodrich. These divestitures are expected to generate approximately $3 billion in net cash, on an after-tax basis. In the first quarter of 2012, the legacy Hamilton Sundstrand Industrial businesses, Pratt &amp; Whitney Rocketdyne (Rocketdyne) and Clipper Windpower (Clipper) all met the “held-for-sale” criteria. On June 29, 2012, management of the Company approved a plan for the divestiture of UTC Power. The results of operations, including the net losses expected on disposition, and the related cash flows which result from these non-core businesses have been reclassified to Discontinued Operations in our Condensed Consolidated Statements of Comprehensive Income and Cash Flows for all periods presented. Cash flows from the operation of these discontinued businesses are expected to continue until their disposals, most of which are expected to occur in the second half of 2012. As a result of the decision to dispose of these businesses, the Company recorded pre-tax goodwill impairment charges of approximately $360 million and $590 million related to Rocketdyne and Clipper, respectively, in discontinued operations during the first quarter of 2012, and pre-tax net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asset impairment charges of approximately $179 million related to UTC Power in discontinued operations during the second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 The impairment charge at UTC Power results from adjusting the net assets of the business to the estimated fair value less costs to sell the business expected to be realized upon sale, and further reflects the loss in value from the disposition of the business before the benefits of the technology investments could be fully realized. There could be additional gains or losses recorded upon final disposition of the businesses based upon the values, terms and conditions that are ultimately negotiated.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discussed below in “Results of Operations,” our results include the impact from non-recurring items such as the adverse effect of asset impairment charges, and the beneficial impact of gains from business divestiture activities, including those related to the ongoing portfolio transformation at UTC Climate, Controls &amp; Security. 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nine months of 2012, our investment in business acquisitions was approximately $18.6 billion (including net debt assumed of approximately $2.6 billion), and consisted primarily of our acquisition of Goodrich, an increase of our interest in IAE International Aero Engines AG (IAE) and a number of additional small acquisitions in our commercial and aerospace businesses. We recorded the excess of the purchase price over the estimated fair value of the assets acquired as an increase in goodwill. As a result of acquisition activity in the first nine months of 2012, goodwill increased $11.6 billion, of which $11.2 billion was a result of the Goodrich acquisition.</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July 26, 2012, we completed the acquisition of Goodrich, a global supplier of systems and services to the aerospace and defense industry with 2011 sales of $8.1 billion. Goodrich products include aircraft nacelles, interior, actuation, landing and electronic systems. Under the terms of the agreement, Goodrich shareholders received $127.50 in cash for each share of Goodrich common stock they owned on July 26, 2012. This equated to a total enterprise value of $18.3 billion, including $1.9 billion in net debt assumed. The acquisition of Goodrich and the formation of UTC Aerospace Systems provides increased scale, financial strength and complementary product offerings, allowing us to significantly strengthen our position in the aerospace and defense industry, create aftermarket efficiencies for our customers, accelerate our ability to drive innovation within the aerospace industry, and enhance our ability to support our customers with more integrated systems. This acquisition, coupled with our acquisition of an additional interest in IAE resulting in a controlling interest in IAE, as discussed below, further advances the Company’s strategy of focusing on our core businesses.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In accordance with conditions imposed for regulatory approval of UTC’s acquisition of Goodrich, UTC must dispose of two Goodrich businesses, which are the electric power systems business and the pumps and engine controls business. These businesses have been held separate from UTC’s and Goodrich’s ongoing businesses pursuant to regulatory obligations. On October 16, 2012, we announced an agreement to sell the electric power systems business for $400 million to Safran. Closing is expected by the end of the first quarter of 2013 and is subject to regulatory approvals and other customary closing conditions.</w:t>
      </w:r>
    </w:p>
    <w:p>
      <w:pPr>
        <w:spacing w:after="0" w:line="9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29, 2012, Pratt &amp; Whitney, Rolls-Royce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an agreement to license its V2500 intellectual property to Pratt &amp; Whitney. In exchange for the increased ownership and collaboration interests and intellectual property license, Pratt &amp; Whitney paid Rolls-Royce $1.5 billion at closing with additional payments due to Rolls-Royce conditional upon each hour flown by V2500-powered aircraft in service at the closing date of the purchase from Rolls-Royce during the fifteen year period following closing of the purchase. The collaboration interest and intellectual property licenses are reflected as intangible assets and will be amortized in relation to the economic benefits received over the remaining estimated 30 year life of the V2500 program. Rolls-Royce will continue to support the program as a strategic supplier for the V2500 engine and continue to manufacture parts and assemble engines. Pratt &amp; Whitney entered into a collaboration arrangement with MTU with respect to a portion of the acquired collaboration interest in IAE for consideration of approximately $233 million with additional payments due to Pratt &amp; Whitney in the future. As a result of these transactions, Pratt &amp; Whitney holds a 61% net interest in the collaboration and a 49.5% ownership interest in IAE. Based on the criteria set forth in the Consolidation Topic of the FASB Accounting Standards Codification (ASC), we have determined that IAE is a variable interest entity (VIE).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UTC is determined to be the primary beneficiary of IAE as it absorbs the significant economics of IAE and has the power to direct the activities that are considered most significant to IAE. The consolidation of IAE resulted in a gain of $21 million recognized during the second quarter of 2012 on the re-measurement to fair value of our previously held equity interest on obtaining control of IAE.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now expect to invest approximately $300 million in acquisitions in 2012, excluding spending for the acquisition of Goodrich and Rolls-Royce’s interests in IAE. However, actual acquisition spending may vary depending upon the timing, availability and appropriate value of acquisition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2012.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2011 Annual Report, incorporated by reference in our 2011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nine months of 2012. During the third quarter of 2012, we have conformed Goodrich’s accounting policies to UTC’s accounting policies.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580" w:type="dxa"/>
            <w:vAlign w:val="bottom"/>
          </w:tcPr>
          <w:p>
            <w:pPr>
              <w:spacing w:after="0"/>
              <w:rPr>
                <w:sz w:val="14"/>
                <w:szCs w:val="14"/>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580" w:type="dxa"/>
            <w:vAlign w:val="bottom"/>
          </w:tcPr>
          <w:p>
            <w:pPr>
              <w:spacing w:after="0"/>
              <w:rPr>
                <w:sz w:val="12"/>
                <w:szCs w:val="12"/>
                <w:color w:val="auto"/>
              </w:rPr>
            </w:pPr>
          </w:p>
        </w:tc>
        <w:tc>
          <w:tcPr>
            <w:tcW w:w="78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15,042</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14,235</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41,265</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6% increase in net sales for the third quarter of 2012 primarily reflects the impact of net acquisitions (11%), the adverse impact of foreign currency translation (3%) and organic sales decline (2%). The sales increase from acquisitions was primarily a result of Goodrich and IAE sales, partially offset by the ongoing portfolio transformation initiatives at UTC Climate, Controls &amp; Security. During the third quarter of 2012, UTC Aerospace Systems experienced organic sales growth (6%) driven by higher aerospace OEM sales. This was more than offset by a contraction in Sikorsky organic sales (12%), driven by reduced aircraft deliveries from foreign military operations (12%). Sikorsky’s organic sales decline in the third quarter of 2012 follows organic growth of 21% in the third quarter of 2011. Our remaining business segments, Otis (1%), UTC Climate, Controls &amp; Security (2%) and Pratt &amp; Whitney (1%) each experienced organic sales declines in the third quarter.</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Sales in the first nine months of 2012 are consistent with sales levels in the prior year with the impact of net acquisitions (2%) offset by the adverse impact of foreign currency translation (2%). During the first nine months of 2012, two of the five business segments experienced organic sales growth: UTC Aerospace Systems (8%) and Pratt &amp; Whitney (3%). The organic growth at UTC Aerospace Systems is driven by higher aerospace OEM (6%) and aerospace aftermarket (1%) volumes. Pratt &amp; Whitney’s organic growth is primarily a result of higher military engine and aftermarket sales (6%), partially offset by declines in Commercial spares sales (3%). Sikorsky organic sales contracted 12%, in the first nine months of 2012, following 13% organic growth in the first nine months of 2011, driven by reduced aircraft deliveries from foreign military operations (10%) in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86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88"/>
              </w:rPr>
              <w:t>Quarter Ended September 30,</w:t>
            </w:r>
          </w:p>
        </w:tc>
        <w:tc>
          <w:tcPr>
            <w:tcW w:w="12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29"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8"/>
              <w:spacing w:after="0" w:line="129"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1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8,278</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7,519</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21,724</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21,650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2,725</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11,003</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and nine months ended September 30, 2012 in total cost of products and services sold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1960" w:type="dxa"/>
            <w:vAlign w:val="bottom"/>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1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September 30, 2012</w:t>
            </w:r>
          </w:p>
        </w:tc>
        <w:tc>
          <w:tcPr>
            <w:tcW w:w="5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Organic volume</w:t>
            </w:r>
          </w:p>
        </w:tc>
        <w:tc>
          <w:tcPr>
            <w:tcW w:w="12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120" w:type="dxa"/>
            <w:vAlign w:val="bottom"/>
            <w:gridSpan w:val="3"/>
          </w:tcPr>
          <w:p>
            <w:pPr>
              <w:jc w:val="right"/>
              <w:ind w:right="540"/>
              <w:spacing w:after="0"/>
              <w:rPr>
                <w:sz w:val="20"/>
                <w:szCs w:val="20"/>
                <w:color w:val="auto"/>
              </w:rPr>
            </w:pPr>
            <w:r>
              <w:rPr>
                <w:rFonts w:ascii="Arial" w:cs="Arial" w:eastAsia="Arial" w:hAnsi="Arial"/>
                <w:sz w:val="18"/>
                <w:szCs w:val="18"/>
                <w:color w:val="auto"/>
              </w:rPr>
              <w:t>(3)%</w:t>
            </w:r>
          </w:p>
        </w:tc>
        <w:tc>
          <w:tcPr>
            <w:tcW w:w="1960" w:type="dxa"/>
            <w:vAlign w:val="bottom"/>
            <w:gridSpan w:val="3"/>
          </w:tcPr>
          <w:p>
            <w:pPr>
              <w:ind w:left="15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11 %</w:t>
            </w:r>
          </w:p>
        </w:tc>
        <w:tc>
          <w:tcPr>
            <w:tcW w:w="1960" w:type="dxa"/>
            <w:vAlign w:val="bottom"/>
            <w:gridSpan w:val="3"/>
            <w:shd w:val="clear" w:color="auto" w:fill="CCEEFF"/>
          </w:tcPr>
          <w:p>
            <w:pPr>
              <w:ind w:left="15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6 %</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organic decrease in total cost of products and services sold (2%) in the third quarter of 2012 corresponded to the organic sales decline (2%) noted above. The increase in “Acquisitions and divestitures, net” (11%) is largely attributable to the acquisitions of Goodrich and IAE, partially offset by the ongoing portfolio transformation initiatives at UTC Climate, Controls &amp; Security. The year-over-year increase in cost of products sold, as a percentage of product sales, reflects the higher proportion of commercial aerospace OEM sales as a result of lower commercial aerospace spares sales volume during the third quarter of 2012, partially offset by adverse impact of Goodrich and IAE.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sales in the first nine months of 2012 are consistent with levels in the prior year with the impact of net acquisitions (2%) offset by the favorable impact of foreign currency translation (2%). The 2% increase in “Acquisitions and divestitures, net” is attributable the acquisitions of Goodrich and IAE, partially offset by the ongoing portfolio transformation initiatives at UTC Climate, Controls &amp; Security. The year-over-year decrease in cost of services sold, as a percentage of service sales, reflects favorable aftermarket service performance within the aerospace businesses.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28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26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4"/>
              </w:rPr>
              <w:t>Quarter Ended September 30,</w:t>
            </w:r>
          </w:p>
        </w:tc>
        <w:tc>
          <w:tcPr>
            <w:tcW w:w="120" w:type="dxa"/>
            <w:vAlign w:val="bottom"/>
          </w:tcPr>
          <w:p>
            <w:pPr>
              <w:spacing w:after="0"/>
              <w:rPr>
                <w:sz w:val="14"/>
                <w:szCs w:val="1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4,039</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3,897</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11,398</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11,419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220" w:type="dxa"/>
            <w:vAlign w:val="bottom"/>
            <w:gridSpan w:val="3"/>
          </w:tcPr>
          <w:p>
            <w:pPr>
              <w:jc w:val="right"/>
              <w:ind w:right="500"/>
              <w:spacing w:after="0"/>
              <w:rPr>
                <w:sz w:val="20"/>
                <w:szCs w:val="20"/>
                <w:color w:val="auto"/>
              </w:rPr>
            </w:pPr>
            <w:r>
              <w:rPr>
                <w:rFonts w:ascii="Arial" w:cs="Arial" w:eastAsia="Arial" w:hAnsi="Arial"/>
                <w:sz w:val="18"/>
                <w:szCs w:val="18"/>
                <w:color w:val="auto"/>
              </w:rPr>
              <w:t>26.9%</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50 basis point decline in gross margin as a percentage of sales for the third quarter of 2012 is due to the adverse impact of the acquisitions of Goodrich and IAE (70 basis points) as well as higher restructuring expense recorded in the third quarter relative to the same period of the prior year (20 basis points), partially offset by the disposition of lower margin businesses in connection with the UTC Climate, Controls &amp; Security portfolio transformation (40 basis points).</w:t>
      </w:r>
    </w:p>
    <w:p>
      <w:pPr>
        <w:spacing w:after="0" w:line="8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Gross margin as a percentage of sales for the first nine months of 2012 is consistent with the prior year. The benefit from the disposition of lower margin businesses in connection with the UTC Climate, Controls &amp; Security portfolio transformation (40 basis points) was offset by the adverse impact of the acquisitions of Goodrich and IAE (20 basis points) and higher restructuring expense in 2012 (20 basis points).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02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2"/>
              </w:rPr>
              <w:t>Quarter Ended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Company-funded</w:t>
            </w:r>
          </w:p>
        </w:tc>
        <w:tc>
          <w:tcPr>
            <w:tcW w:w="1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590</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1,659</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(27%) in the third quarter of 2012 primarily reflects an increase at UTC Aerospace Systems as a result of incremental research and development spending related to the Goodrich businesses (23%). Company-funded research and development spending also increased at Pratt &amp; Whitney (6%) to further advance development primarily on military and commercial platforms.</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increase in company-funded research and development expenses for the first nine months of 2012 (16%) primarily reflects an increase at UTC Aerospace Systems (8%) as a result of spending by the Goodrich businesses and at Pratt &amp; Whitney (7%) to further advance development of multiple geared turbo fan platforms and military engines. The remaining increase in company-funded research and development expenses is primarily in support of military programs at Sikorsky (1%). We continue to expect company-funded research and development for the full year 2012, excluding spending related to the former Goodrich businesses, to increase about $150 million, as compared with 2011, in support of multiple next generation aerospace platforms.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ectPr>
          <w:pgSz w:w="11900" w:h="16838" w:orient="portrait"/>
          <w:cols w:equalWidth="0" w:num="1">
            <w:col w:w="11400"/>
          </w:cols>
          <w:pgMar w:left="240" w:top="459" w:right="259" w:bottom="1440" w:gutter="0" w:footer="0" w:header="0"/>
        </w:sect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13" w:lineRule="exact"/>
        <w:rPr>
          <w:sz w:val="20"/>
          <w:szCs w:val="20"/>
          <w:color w:val="auto"/>
        </w:rPr>
      </w:pPr>
    </w:p>
    <w:p>
      <w:pPr>
        <w:ind w:left="460" w:right="1320"/>
        <w:spacing w:after="0" w:line="275" w:lineRule="auto"/>
        <w:rPr>
          <w:sz w:val="20"/>
          <w:szCs w:val="20"/>
          <w:color w:val="auto"/>
        </w:rPr>
      </w:pPr>
      <w:r>
        <w:rPr>
          <w:rFonts w:ascii="Arial" w:cs="Arial" w:eastAsia="Arial" w:hAnsi="Arial"/>
          <w:sz w:val="18"/>
          <w:szCs w:val="18"/>
          <w:color w:val="auto"/>
        </w:rPr>
        <w:t>Selling, general and administrative expenses Percentage of net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Quarter Ended September 30,</w:t>
            </w:r>
          </w:p>
        </w:tc>
        <w:tc>
          <w:tcPr>
            <w:tcW w:w="140" w:type="dxa"/>
            <w:vAlign w:val="bottom"/>
          </w:tcPr>
          <w:p>
            <w:pPr>
              <w:spacing w:after="0"/>
              <w:rPr>
                <w:sz w:val="14"/>
                <w:szCs w:val="1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142"/>
        </w:trPr>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r>
      <w:tr>
        <w:trPr>
          <w:trHeight w:val="201"/>
        </w:trPr>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  1,619</w:t>
            </w:r>
          </w:p>
        </w:tc>
        <w:tc>
          <w:tcPr>
            <w:tcW w:w="7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96"/>
              </w:rPr>
              <w:t>$   1,512</w:t>
            </w:r>
          </w:p>
        </w:tc>
        <w:tc>
          <w:tcPr>
            <w:tcW w:w="6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4,657</w:t>
            </w:r>
          </w:p>
        </w:tc>
        <w:tc>
          <w:tcPr>
            <w:tcW w:w="7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4,538</w:t>
            </w:r>
          </w:p>
        </w:tc>
        <w:tc>
          <w:tcPr>
            <w:tcW w:w="140" w:type="dxa"/>
            <w:vAlign w:val="bottom"/>
          </w:tcPr>
          <w:p>
            <w:pPr>
              <w:spacing w:after="0"/>
              <w:rPr>
                <w:sz w:val="17"/>
                <w:szCs w:val="17"/>
                <w:color w:val="auto"/>
              </w:rPr>
            </w:pPr>
          </w:p>
        </w:tc>
      </w:tr>
      <w:tr>
        <w:trPr>
          <w:trHeight w:val="222"/>
        </w:trPr>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-281305</wp:posOffset>
            </wp:positionV>
            <wp:extent cx="666369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920" w:space="720"/>
            <w:col w:w="5760"/>
          </w:cols>
          <w:pgMar w:left="240" w:top="459" w:right="259" w:bottom="1440" w:gutter="0" w:footer="0" w:header="0"/>
          <w:type w:val="continuous"/>
        </w:sectPr>
      </w:pPr>
    </w:p>
    <w:p>
      <w:pPr>
        <w:ind w:right="100" w:firstLine="456"/>
        <w:spacing w:after="0" w:line="259" w:lineRule="auto"/>
        <w:rPr>
          <w:sz w:val="20"/>
          <w:szCs w:val="20"/>
          <w:color w:val="auto"/>
        </w:rPr>
      </w:pPr>
      <w:r>
        <w:rPr>
          <w:rFonts w:ascii="Arial" w:cs="Arial" w:eastAsia="Arial" w:hAnsi="Arial"/>
          <w:sz w:val="18"/>
          <w:szCs w:val="18"/>
          <w:color w:val="auto"/>
        </w:rPr>
        <w:t>Selling, general and administrative expenses increased 7% in the third quarter of 2012 due primarily to additional expenses related to the former Goodrich and IAE businesses (9%), higher pension and other employee related expenses (2%) and higher restructuring costs (1%), partially offset by the impact of favorable foreign exchange translation (4%).</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Selling, general and administrative expenses increased 3% in the first nine months of 2012, due primarily to additional expenses related to acquisitions, net of divestitures completed over the preceding twelve months (3%), higher restructuring costs (2%), and higher pension and other employee related expenses (1%), all of which were partially offset by the impact of favorable foreign exchange translation (3%). The 30 basis point year-over-year increase as a percent of sales also reflects these higher acquisition related and restructuring costs.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8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1"/>
              </w:rPr>
              <w:t>Quarter Ended September 30,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211</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851</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income, net includes the operational impact of equity earnings in unconsolidated entities, royalty income, foreign exchange gains and losses as well as other ongoing and non-recurring items. The year-over-year decrease in other income, net in the third quarter of 2012, is largely due to the absence of a $41 million gain recognized at Pratt &amp; Whitney from the sale of an investment, and the absence of a $28 million gain resulting from dispositions associated with UTC Climate, Controls &amp; Security’s ongoing portfolio transformation, both of which were recorded in the third quarter of 2011. Gains recognized within other income, net in the third quarter of 2012 include $34 million on the fair value re-measurement of the Company’s previously held shares of Goodrich and a $46 million gain as a result of the effective settlement of a pre-existing claim in connection with the acquisition of Goodrich. The remaining change in other income, net is attributable primarily to other normal recurring operational activity as disclosed above.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year-over-year increase in other income, net in the first nine months of 2012, largely reflects an approximately $215 million net gain from the sale of a controlling interest in a manufacturing and distribution joint venture in Asia and an approximately $142 million net gain from the sale of a controlling interest in a Canadian distribution business, partially offset by $103 million of impairment charges related to planned business dispositions and a $32 million loss on the disposition of the U.S. UTC Fire &amp; Security branch operations, all of which are related to the ongoing UTC Climate, Controls &amp; Security portfolio transformation. Gains recognized within other income, net in the first nine months of 2012 include $34 million on the fair value re-measurement of the Company’s previously held shares of Goodrich and a $46 million gain as a result of the effective settlement of a pre-existing claim in connection with the acquisition of Goodrich. The remaining change in other income, net is attributable primarily to net gains recognized on miscellaneous asset sales and normal recurring operational activity as disclosed above.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3"/>
              </w:rPr>
              <w:t>Quarter Ended 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3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Interest expense</w:t>
            </w:r>
          </w:p>
        </w:tc>
        <w:tc>
          <w:tcPr>
            <w:tcW w:w="21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260</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w:t>
            </w:r>
          </w:p>
        </w:tc>
        <w:tc>
          <w:tcPr>
            <w:tcW w:w="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614</w:t>
            </w: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increase in interest expense in the third quarter and for the first nine months of 2012 is a result of higher average debt balances associated with the financing of our acquisition of Goodrich. The increase in interest income in the third quarter of 2012, as compared with the same period of 2011, reflects approximately $25 million of favorable pre-tax interest adjustments related to the resolution of disputes with the Appeals Division of the IRS for the Company’s 2004 – 2005 tax years. The increase in interest income in the first nine months of 2012, as compared with the same period of 2011, also includes approximately $15 million of favorable pre-tax interest adjustments related to the conclusion of the IRS’s examination of our 2006 – 2008 tax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10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Quarter Ended September 30,</w:t>
            </w:r>
          </w:p>
        </w:tc>
        <w:tc>
          <w:tcPr>
            <w:tcW w:w="2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46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31.2%</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r>
      <w:tr>
        <w:trPr>
          <w:trHeight w:val="20"/>
        </w:trPr>
        <w:tc>
          <w:tcPr>
            <w:tcW w:w="4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decrease in the effective tax rate for the quarter ended September 30, 2012, as compared to the same period of 2011, primarily reflects a reduction in tax expense of $34 million relating to the favorable resolution of disputed tax matters with the Appeals Division of the IRS for the tax years 2004 and 2005. The decrease is also the result of a reduction to the forecasted annual effective tax rate primarily due to changes in the jurisdictional mix of income and the deductibility of transaction-related expenses.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items noted above, the decrease in the effective tax rate for the first nine months ended September 30, 2012, as compared to the same period of 2011, primarily reflects the favorable non-cash income tax impact of $203 million in the first quarter of 2012 related to the conclusion of the IRS’s examination of our 2006 through 2008 tax years. The decrease is also the result of the income tax impact of $168 million in the second quarter of 2012 related to the release of valuation allowances resulting from internal legal entity reorganizations.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our full year annual effective income tax rate in 2012 to be approximately 29%, absent non-recurring adjustments.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228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89"/>
              </w:rPr>
              <w:t>Quarter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Net income attributable to common shareowners from continuing</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4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Diluted earnings per share from continuing operations for the third quarter of 2012 includes a net $0.09 per share benefit from non-recurring items, offset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by $0.09 per share of restructuring charges. The results for the third quarter of 2011 included $0.06 per share of restructuring charges, partially offset by a net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$0.04 per share benefit from non-recurring items. For the first nine months of 2012, diluted earnings per share from continuing operations includes a net $0.49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 benefit from non-recurring items, partially offset by $0.25 per share of restructuring charges. The results for the first nine months of 2011 included $0.12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of restructuring charges, partially offset by a net $0.09 per share benefit from non-recurring items.</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impact of foreign currency generated an adverse impact of $0.07 and $0.15 per diluted share on our operational performance in the third quarter and first nine months of 2012, respectively. This year-over-year impact includes the net adverse foreign currency translation impact at Pratt &amp; Whitney Canada (P&amp;WC). At P&amp;WC, strength in the U.S. Dollar in 2012 generated a benefit from foreign currency translation as the 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2012 full year operating results are expected to include a net adverse impact of foreign currency translation and hedging of approximately $50 million. The net impact of foreign currency translation and hedging at P&amp;WC was an adverse impact of $22 million and $32 million in the quarter and first nine months of 2012, respectively. For additional discussion of hedging, refer to Note 9 to the Condensed Consolidated Financial Statements.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 from Discontinued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24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0"/>
              </w:rPr>
              <w:t>Quarter Ended September 30,</w:t>
            </w:r>
          </w:p>
        </w:tc>
        <w:tc>
          <w:tcPr>
            <w:tcW w:w="160" w:type="dxa"/>
            <w:vAlign w:val="bottom"/>
          </w:tcPr>
          <w:p>
            <w:pPr>
              <w:spacing w:after="0"/>
              <w:rPr>
                <w:sz w:val="14"/>
                <w:szCs w:val="14"/>
                <w:color w:val="auto"/>
              </w:rPr>
            </w:pPr>
          </w:p>
        </w:tc>
        <w:tc>
          <w:tcPr>
            <w:tcW w:w="23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 (loss) attributable to common shareowners from</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Diluted earnings (loss) per share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0.19</w:t>
            </w:r>
          </w:p>
        </w:tc>
        <w:tc>
          <w:tcPr>
            <w:tcW w:w="6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(0.92)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Diluted earnings per share from discontinued operations for the third quarter of 2012 includes $0.14 per share of favorable income tax adjustments related to the reversal of a portion of the deferred tax liability initially recorded during the quarter ended March 31, 2012 on the existing difference between the expected accounting versus tax gain on the planned disposition of legacy Hamilton Sundstrand Industrial businesses. The structure of the transaction was finalized upon the signing of the agreement for the sale in July 2012, and a portion of the deferred tax liability cannot be recorded until the sale is completed.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Diluted loss per share from discontinued operations for the first nine months of 2012 includes $0.82 per share of goodwill impairment charges related to Rocketdyne and Clipper and net asset impairment charges at UTC Power, and $0.12 per share of remaining unfavorable income tax adjustments related to the recognition of a deferred tax liability on the existing difference between the accounting versus tax gain on the planned disposition of legacy Hamilton Sundstrand Industrial businesses. A $0.09 per share benefit from the results of operations of discontinued entities was partially offset by the $0.07 per share Clipper warranty charge. See Note 12 for further discussion.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net pre-tax restructuring costs for new and ongoing restructuring actions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2012</w:t>
            </w:r>
          </w:p>
        </w:tc>
        <w:tc>
          <w:tcPr>
            <w:tcW w:w="1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w:t>
            </w:r>
          </w:p>
        </w:tc>
        <w:tc>
          <w:tcPr>
            <w:tcW w:w="9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56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net costs for the first nine months of 2012 included $191 million recorded in cost of sales, $141 million in selling, general and administrative expenses and $28 million in discontinued operations. As described below, these costs primarily relate to actions initiated during 2012 and 2011.</w:t>
      </w:r>
    </w:p>
    <w:p>
      <w:pPr>
        <w:spacing w:after="0" w:line="7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nine months of 2012,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incurred net pre-tax restructuring costs totaling $310 million as follows: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380" w:type="dxa"/>
            <w:vAlign w:val="bottom"/>
            <w:gridSpan w:val="4"/>
          </w:tcPr>
          <w:p>
            <w:pPr>
              <w:ind w:left="11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8"/>
        </w:trPr>
        <w:tc>
          <w:tcPr>
            <w:tcW w:w="538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4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1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charges included $166 million in cost of sales, $117 million in selling, general and administrative expenses and $27 million in discontinued operations. These costs include $264 million for severance and related employee termination costs, $14 million for asset write-downs and $32 million for facility exit, lease termination costs and other related costs.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the 2012 actions that were initiated in the first nine months to result in net workforce reductions of approximately 5,000 hourly and salaried employees, the exiting of approximately 2.2 million net square feet and the disposal of assets associated with exited facilities. As of September 30, 2012, we have completed net workforce reductions of approximately 2,000 employees and exited approximately 100,000 net square feet. We are targeting the majority of the remaining workforce and all facility related cost reduction actions for completion during 2012 and 2013. Approximately 75% of the total pre-tax charge will require cash payments, which we will fund with cash generated from operations. During the first nine months of 2012, we had cash outflows of approximately $115 million related to the 2012 actions. We expect to incur additional restructuring costs of $175 million to complete these actions. We expect recurring pre-tax savings to increase over the two-year period subsequent to initiating these actions to approximately $360 million annually.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nine months of 2012, we recorded net pre-tax restructuring costs totaling $49 million for restructuring actions initiated in 2011.</w:t>
      </w:r>
      <w:r>
        <w:rPr>
          <w:rFonts w:ascii="Arial" w:cs="Arial" w:eastAsia="Arial" w:hAnsi="Arial"/>
          <w:sz w:val="18"/>
          <w:szCs w:val="18"/>
          <w:b w:val="1"/>
          <w:bCs w:val="1"/>
          <w:color w:val="auto"/>
        </w:rPr>
        <w:t xml:space="preserve"> </w:t>
      </w:r>
      <w:r>
        <w:rPr>
          <w:rFonts w:ascii="Arial" w:cs="Arial" w:eastAsia="Arial" w:hAnsi="Arial"/>
          <w:sz w:val="18"/>
          <w:szCs w:val="18"/>
          <w:color w:val="auto"/>
        </w:rPr>
        <w:t>The 2011 actions relate to ongoing cost reduction efforts, including workforce reductions and the consolidation of field operations. We incurred net pre-tax restructuring costs for the first nine months of 2012 and 2011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340" w:type="dxa"/>
            <w:vAlign w:val="bottom"/>
            <w:gridSpan w:val="4"/>
          </w:tcPr>
          <w:p>
            <w:pPr>
              <w:ind w:left="10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8"/>
        </w:trPr>
        <w:tc>
          <w:tcPr>
            <w:tcW w:w="46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080" w:type="dxa"/>
            <w:vAlign w:val="bottom"/>
          </w:tcPr>
          <w:p>
            <w:pPr>
              <w:spacing w:after="0"/>
              <w:rPr>
                <w:sz w:val="14"/>
                <w:szCs w:val="14"/>
                <w:color w:val="auto"/>
              </w:rPr>
            </w:pPr>
          </w:p>
        </w:tc>
        <w:tc>
          <w:tcPr>
            <w:tcW w:w="12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3"/>
              </w:rPr>
              <w:t>September 30,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UTC Aerospace Systems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5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charges during the first nine months of 2012 included $25 million in cost of sales, $23 million in selling, general and administrative expenses and $1 million in discontinued operations. Those costs included $32 million for severance and related employee termination costs and $17 million for facility exit, lease termination costs and other related costs.</w:t>
      </w:r>
    </w:p>
    <w:p>
      <w:pPr>
        <w:spacing w:after="0" w:line="14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expect the 2011 actions to result in net workforce reductions of approximately 5,000 hourly and salaried employees, the exiting of approximately 2 million net square feet of facilities and the disposal of assets associated with the exited facilities. As of September 30, 2012, we completed net workforce reductions of approximately 4,000 employees and exited approximately 100,000 net square feet of facilities. We are targeting the majority of the remaining workforce and facility related cost reduction actions for completion during 2012 and 2013. Approximately 75% of the total pre-tax charge will require cash payments, which we will fund with cash generated from operations. During the first nine months of 2012, we had cash outflows of approximately $129 million related to the 2011 actions. We expect to incur additional restructuring costs of $41 million to complete these actions. We expect recurring pre-tax savings to increase over the two-year period subsequent to initiating these actions to approximately $280 million annually.</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Additional 2012 Actions. </w:t>
      </w:r>
      <w:r>
        <w:rPr>
          <w:rFonts w:ascii="Arial" w:cs="Arial" w:eastAsia="Arial" w:hAnsi="Arial"/>
          <w:sz w:val="18"/>
          <w:szCs w:val="18"/>
          <w:color w:val="auto"/>
        </w:rPr>
        <w:t>We expect to initiate additional restructuring actions during the remainder of 2012.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2012 restructuring costs from continuing operations of approximately $600 million, including the $332 million of charges incurred during the first nine months of 2012. The expected adverse impact on full year earnings in 2012 from anticipated restructuring costs is expected to be offset by the beneficial impact from net non-recurring items. Except for those actions described above,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Segments are generally based on the management structure of the businesses and the grouping of similar operating companies, where each management organization has general operating autonomy over diversified products and services. Effective January 1, 2012, we formed the UTC Climate, Controls &amp; Security segment, which combines the former Carrier and UTC Fire &amp; Security segments. The acquired Goodrich business and the legacy Hamilton Sundstrand business have been combined to form a new segment named UTC Aerospace Systems. Adjustments to reconcile segment reporting to the consolidated results for the quarters and nine months ended September 30, 2012 and 2011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Within the Otis segment, new equipment orders increased 7% in the third quarter of 2012 due primarily to increased orders in North America (37%) and in Europe (14%), which benefited from a major contract award in the United Kingdom. Excluding the adverse impact of 4% attributable to foreign exchange, new equipment orders increased 11%. Otis is undertaking a number of actions to improve its new equipment orders in China as a consequence of adverse publicity related to a public accident in the prior year and cooling measures implemented by the Chinese government to reduce residential housing prices. As a result of these actions, the new equipment order rate in China has stabilized since early in 2012, with orders during the third quarter down slightly from prior year levels.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Commercial HVAC orders increased 1% in the third quarter of 2012 (including 1% attributable to foreign exchange), with increased orders in North America (11%) offset by lower orders in Asia (11%). Orders in the Transicold business declined 30% (including 4% attributable to foreign exchange) driven by weakness in the shipping container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0"/>
              </w:rPr>
              <w:t>Otis</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right"/>
              <w:ind w:right="312"/>
              <w:spacing w:after="0"/>
              <w:rPr>
                <w:sz w:val="20"/>
                <w:szCs w:val="20"/>
                <w:color w:val="auto"/>
              </w:rPr>
            </w:pPr>
            <w:r>
              <w:rPr>
                <w:rFonts w:ascii="Arial" w:cs="Arial" w:eastAsia="Arial" w:hAnsi="Arial"/>
                <w:sz w:val="14"/>
                <w:szCs w:val="14"/>
                <w:b w:val="1"/>
                <w:bCs w:val="1"/>
                <w:color w:val="auto"/>
                <w:w w:val="91"/>
              </w:rPr>
              <w:t>UTC Climate, Controls &amp; Security</w:t>
            </w:r>
          </w:p>
        </w:tc>
        <w:tc>
          <w:tcPr>
            <w:tcW w:w="0" w:type="dxa"/>
            <w:vAlign w:val="bottom"/>
          </w:tcPr>
          <w:p>
            <w:pPr>
              <w:spacing w:after="0"/>
              <w:rPr>
                <w:sz w:val="1"/>
                <w:szCs w:val="1"/>
                <w:color w:val="auto"/>
              </w:rPr>
            </w:pPr>
          </w:p>
        </w:tc>
      </w:tr>
      <w:tr>
        <w:trPr>
          <w:trHeight w:val="129"/>
        </w:trPr>
        <w:tc>
          <w:tcPr>
            <w:tcW w:w="4200" w:type="dxa"/>
            <w:vAlign w:val="bottom"/>
            <w:gridSpan w:val="3"/>
            <w:vMerge w:val="continue"/>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980" w:type="dxa"/>
            <w:vAlign w:val="bottom"/>
            <w:vMerge w:val="restart"/>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3,054</w:t>
            </w:r>
          </w:p>
        </w:tc>
        <w:tc>
          <w:tcPr>
            <w:tcW w:w="2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3,262</w:t>
            </w:r>
          </w:p>
        </w:tc>
        <w:tc>
          <w:tcPr>
            <w:tcW w:w="3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4,259</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4,921</w:t>
            </w:r>
          </w:p>
        </w:tc>
        <w:tc>
          <w:tcPr>
            <w:tcW w:w="40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2,143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3,035</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3,632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1,119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1,289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420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jc w:val="right"/>
              <w:ind w:right="352"/>
              <w:spacing w:after="0"/>
              <w:rPr>
                <w:sz w:val="20"/>
                <w:szCs w:val="20"/>
                <w:color w:val="auto"/>
              </w:rPr>
            </w:pPr>
            <w:r>
              <w:rPr>
                <w:rFonts w:ascii="Arial" w:cs="Arial" w:eastAsia="Arial" w:hAnsi="Arial"/>
                <w:sz w:val="14"/>
                <w:szCs w:val="14"/>
                <w:b w:val="1"/>
                <w:bCs w:val="1"/>
                <w:color w:val="auto"/>
                <w:w w:val="92"/>
              </w:rPr>
              <w:t>UTC Climate, Controls &amp; Security</w:t>
            </w:r>
          </w:p>
        </w:tc>
        <w:tc>
          <w:tcPr>
            <w:tcW w:w="0" w:type="dxa"/>
            <w:vAlign w:val="bottom"/>
          </w:tcPr>
          <w:p>
            <w:pPr>
              <w:spacing w:after="0"/>
              <w:rPr>
                <w:sz w:val="1"/>
                <w:szCs w:val="1"/>
                <w:color w:val="auto"/>
              </w:rPr>
            </w:pPr>
          </w:p>
        </w:tc>
      </w:tr>
      <w:tr>
        <w:trPr>
          <w:trHeight w:val="129"/>
        </w:trPr>
        <w:tc>
          <w:tcPr>
            <w:tcW w:w="416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940" w:type="dxa"/>
            <w:vAlign w:val="bottom"/>
            <w:vMerge w:val="restart"/>
            <w:shd w:val="clear" w:color="auto" w:fill="CCEEFF"/>
          </w:tcPr>
          <w:p>
            <w:pPr>
              <w:spacing w:after="0" w:line="20" w:lineRule="exact"/>
              <w:rPr>
                <w:sz w:val="1"/>
                <w:szCs w:val="1"/>
                <w:color w:val="auto"/>
              </w:rPr>
            </w:pPr>
          </w:p>
        </w:tc>
        <w:tc>
          <w:tcPr>
            <w:tcW w:w="20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940" w:type="dxa"/>
            <w:vAlign w:val="bottom"/>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$8,851</w:t>
            </w:r>
          </w:p>
        </w:tc>
        <w:tc>
          <w:tcPr>
            <w:tcW w:w="2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$9,226</w:t>
            </w:r>
          </w:p>
        </w:tc>
        <w:tc>
          <w:tcPr>
            <w:tcW w:w="3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12,943</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14,454</w:t>
            </w:r>
          </w:p>
        </w:tc>
        <w:tc>
          <w:tcPr>
            <w:tcW w:w="3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5,848</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5,984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10,609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3,003</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3,242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416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20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1,138</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2,094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2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1,868</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1,751</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Operating Profit Margins</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101"/>
              <w:spacing w:after="0"/>
              <w:rPr>
                <w:sz w:val="20"/>
                <w:szCs w:val="20"/>
                <w:color w:val="auto"/>
              </w:rPr>
            </w:pPr>
            <w:r>
              <w:rPr>
                <w:rFonts w:ascii="Arial" w:cs="Arial" w:eastAsia="Arial" w:hAnsi="Arial"/>
                <w:sz w:val="18"/>
                <w:szCs w:val="18"/>
                <w:color w:val="auto"/>
                <w:w w:val="93"/>
              </w:rPr>
              <w:t>21.1%</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22.8%</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6"/>
              </w:rPr>
              <w:t>Quarter ended September 30, 2012 Compared with Quarter ended September 30, 2011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8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Factors contributing to total % Change</w:t>
            </w: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1460" w:type="dxa"/>
            <w:vAlign w:val="bottom"/>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98"/>
              </w:rPr>
              <w:t>Organic /</w:t>
            </w: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FX</w:t>
            </w:r>
          </w:p>
        </w:tc>
        <w:tc>
          <w:tcPr>
            <w:tcW w:w="520" w:type="dxa"/>
            <w:vAlign w:val="bottom"/>
          </w:tcPr>
          <w:p>
            <w:pPr>
              <w:spacing w:after="0"/>
              <w:rPr>
                <w:sz w:val="11"/>
                <w:szCs w:val="11"/>
                <w:color w:val="auto"/>
              </w:rPr>
            </w:pPr>
          </w:p>
        </w:tc>
        <w:tc>
          <w:tcPr>
            <w:tcW w:w="1220" w:type="dxa"/>
            <w:vAlign w:val="bottom"/>
            <w:gridSpan w:val="2"/>
          </w:tcPr>
          <w:p>
            <w:pPr>
              <w:jc w:val="right"/>
              <w:ind w:right="252"/>
              <w:spacing w:after="0" w:line="129" w:lineRule="exact"/>
              <w:rPr>
                <w:sz w:val="20"/>
                <w:szCs w:val="20"/>
                <w:color w:val="auto"/>
              </w:rPr>
            </w:pPr>
            <w:r>
              <w:rPr>
                <w:rFonts w:ascii="Arial" w:cs="Arial" w:eastAsia="Arial" w:hAnsi="Arial"/>
                <w:sz w:val="14"/>
                <w:szCs w:val="14"/>
                <w:b w:val="1"/>
                <w:bCs w:val="1"/>
                <w:color w:val="auto"/>
                <w:w w:val="93"/>
              </w:rPr>
              <w:t>Acquisitions /</w:t>
            </w:r>
          </w:p>
        </w:tc>
        <w:tc>
          <w:tcPr>
            <w:tcW w:w="440" w:type="dxa"/>
            <w:vAlign w:val="bottom"/>
          </w:tcPr>
          <w:p>
            <w:pPr>
              <w:spacing w:after="0"/>
              <w:rPr>
                <w:sz w:val="11"/>
                <w:szCs w:val="11"/>
                <w:color w:val="auto"/>
              </w:rPr>
            </w:pPr>
          </w:p>
        </w:tc>
        <w:tc>
          <w:tcPr>
            <w:tcW w:w="14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Operational</w:t>
            </w:r>
          </w:p>
        </w:tc>
        <w:tc>
          <w:tcPr>
            <w:tcW w:w="7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4"/>
              </w:rPr>
              <w:t>Divestitures, net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Arial" w:cs="Arial" w:eastAsia="Arial" w:hAnsi="Arial"/>
                <w:sz w:val="14"/>
                <w:szCs w:val="14"/>
                <w:b w:val="1"/>
                <w:bCs w:val="1"/>
                <w:color w:val="auto"/>
                <w:w w:val="82"/>
              </w:rPr>
              <w:t>Costs</w:t>
            </w:r>
          </w:p>
        </w:tc>
        <w:tc>
          <w:tcPr>
            <w:tcW w:w="62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740" w:type="dxa"/>
            <w:vAlign w:val="bottom"/>
            <w:gridSpan w:val="3"/>
          </w:tcPr>
          <w:p>
            <w:pPr>
              <w:jc w:val="right"/>
              <w:ind w:right="32"/>
              <w:spacing w:after="0"/>
              <w:rPr>
                <w:sz w:val="20"/>
                <w:szCs w:val="20"/>
                <w:color w:val="auto"/>
              </w:rPr>
            </w:pPr>
            <w:r>
              <w:rPr>
                <w:rFonts w:ascii="Arial" w:cs="Arial" w:eastAsia="Arial" w:hAnsi="Arial"/>
                <w:sz w:val="18"/>
                <w:szCs w:val="18"/>
                <w:color w:val="auto"/>
              </w:rPr>
              <w:t>1 %</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organic sales decrease in the quarter (1%) is due primarily to declines in new equipment volume in Europe (1%) and China (1%), partially offset by growth in North America and the rest of Asia (combined 1%). Service sales in the third quarter were consistent with prior year levels.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decrease in operational profit in the quarter (2%) is primarily due to increased overhead expense (2%) and pricing pressure and lower volume in Europe (combined 3%), partially offset by savings from continued cost reduction initiatives (3%). The decline in “Other” primarily reflects the absence of gains from the sale of real estate in the third quarter of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2"/>
              </w:rPr>
              <w:t>Factors contributing to total % Change</w:t>
            </w:r>
          </w:p>
        </w:tc>
        <w:tc>
          <w:tcPr>
            <w:tcW w:w="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46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2"/>
              </w:rPr>
              <w:t>Organic /</w:t>
            </w:r>
          </w:p>
        </w:tc>
        <w:tc>
          <w:tcPr>
            <w:tcW w:w="14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15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Operational</w:t>
            </w:r>
          </w:p>
        </w:tc>
        <w:tc>
          <w:tcPr>
            <w:tcW w:w="7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Translation</w:t>
            </w: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Divestitures, net</w:t>
            </w:r>
          </w:p>
        </w:tc>
        <w:tc>
          <w:tcPr>
            <w:tcW w:w="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tcPr>
          <w:p>
            <w:pPr>
              <w:spacing w:after="0"/>
              <w:rPr>
                <w:sz w:val="14"/>
                <w:szCs w:val="1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1 %</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1 %</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Organic sales were flat, due to higher service sales (1%) offset by lower new equipment sales (1%). Higher service sales in Asia (1%) and the Americas (1%) were partially offset by declines in Europe (1%). Lower new equipment volume in China (1%) and Europe (1%) was partially offset by increased volume in the Americas and Russia (1% combined).</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decrease in operational profit in the first nine months (4%) is due primarily to lower new equipment volume in China (1%), higher overhead expense (2%), commodity costs increases (1%), the impact of higher accounts receivable reserves (1%), and lower service contribution (1%), all of which were partially offset by savings from cost reduction initiatives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2012 Compared with Quarter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Factors contributing to total % Change</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4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8"/>
              </w:rPr>
              <w:t>Organic /</w:t>
            </w:r>
          </w:p>
        </w:tc>
        <w:tc>
          <w:tcPr>
            <w:tcW w:w="1400" w:type="dxa"/>
            <w:vAlign w:val="bottom"/>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Operational</w:t>
            </w: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Translation</w:t>
            </w: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Divestitures, net</w:t>
            </w:r>
          </w:p>
        </w:tc>
        <w:tc>
          <w:tcPr>
            <w:tcW w:w="10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Costs</w:t>
            </w: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9 %</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Organic sales decreased 2% driven by lower volumes in the transport refrigeration business (2%), driven by the Container business. The decrease in “Acquisitions and divestitures, net” (8%) reflects the net year-over-year impact of net divestitures completed in the preceding twelve months associated with UTC Climate, Controls &amp; Security’s ongoing portfolio transformation.</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9% operational profit increase was driven by the benefits of cost productivity and restructuring (combined 5%), including savings from the consolidation of Carrier and UTC Fire &amp; Security, and the impact of favorable pricing and favorable commodity costs (combined 9%). These benefits were partly offset by the unfavorable impact of lower sales volume. The decrease in “Acquisitions and divestitures, net” reflects the year-over-year impact of net divestitures completed in the preceding twelve months associated with UTC Climate, Controls &amp; Security’s ongoing portfolio transformation effort. The decrease in “Other” reflects the net year-over-year impact of transactions associated with UTC Climate, Controls &amp; Security’s ongoing portfolio transformation and the absence of a $20 million other-than-temporary impairment charge recorded on an equity investment in Asia partially offset by a favorable settlement of litigation both recorded in the prior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Factors contributing to total % Change</w:t>
            </w: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13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8"/>
              </w:rPr>
              <w:t>Organic /</w:t>
            </w:r>
          </w:p>
        </w:tc>
        <w:tc>
          <w:tcPr>
            <w:tcW w:w="142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rPr>
              <w:t>FX</w:t>
            </w:r>
          </w:p>
        </w:tc>
        <w:tc>
          <w:tcPr>
            <w:tcW w:w="17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5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Operational</w:t>
            </w:r>
          </w:p>
        </w:tc>
        <w:tc>
          <w:tcPr>
            <w:tcW w:w="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Translation</w:t>
            </w:r>
          </w:p>
        </w:tc>
        <w:tc>
          <w:tcPr>
            <w:tcW w:w="7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Divestitures, net</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7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6 %</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Organic sales were flat, primarily reflecting lower volumes in the transport refrigeration business (1%) mostly offset by growth in the Americas</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(1%) driven by the residential and commercial HVAC businesses. The decrease in “Acquisitions and divestitures, net” (7%) reflects the year-over-year impact of net divestitures completed in the preceding twelve months associated with UTC Climate, Controls &amp; Security’s ongoing portfolio transformation.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6% operational profit increase was driven largely by the benefits of cost productivity and restructuring actions (combined 2%) including savings from the consolidation of Carrier and UTC Fire &amp; Security, favorable commodity costs (2%), and higher equity income from joint venture partners (1%). The 11% increase in “Other” primarily reflects an approximately $194 million net year-over-year gain from UTC Climate, Controls &amp; Security’s ongoing portfolio transformation and the absence of a $20 million other-than-temporary impairment charge recorded on an Asia equity investment in the third quarter of 2011. This was partially offset by the absence of an approximately $25 million favorable litigation resolution in the second quarter of 2011. The year-over-year net portfolio transformation gain primarily includes approximately $142 million from the sale of a controlling interest in a Canadian distribution business in the second quarter of 2012 combined with an approximately $215 million net gain in the first quarter of 2012 from the sale of a controlling interest in a manufacturing and distribution joint venture in Asia. These gains were partially offset by a $32 million loss on the disposition of the U.S. UTC Fire &amp; Security branch operations in the second quarter of 2012 and $103 million of impairment charges recorded in the first quarter of 2012 related to ongoing business dispositions.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Effective July 1, 2012, the auxiliary power unit business (APU) of the UTC Aerospace Systems business segment was transferred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commercial airline industry rebounded in 2010 and has remained generally strong since. Airline traffic, as measured by RPMs is expected to grow between 4% and 6% in 2012. Although many airlines have returned to profitability, high fuel prices continue to challenge the airlines to consider the need for more fuel efficient aircraft. Cash conservation at airlines has adversely impacted order rates. Excluding orders at IAE, commercial aerospace spares orders at Pratt &amp; Whitney’s large commercial engine business declined 21% in the third quarter of 2012, following a 3% increase in the third quarter of 2011. Excluding Goodrich, UTC Aerospace Systems commercial aerospace spares orders declined 6% in the third quarter of 2012, following a 24% increase in the third quarter of 2011. Commercial aerospace aftermarket sales increased 14% in the third quarter of 2012, as compared with the same period of 2011, primarily due to the acquisition of Goodrich.</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Deficit reduction measures being considered by the U.S. Government are expected to pressure the U.S. Department of Defense budget in the coming years, resulting in a decline in U.S. Department of Defense spending. Total sales to the U.S. Government were $2.6 billion and $2.3 billion, or 17% and 16% of total UTC sales in the third quarter of 2012 and 2011, respectively. Our participation in long-term production and development programs for the U.S. Government has and is expected to contribute positively to our results in 2012. In July 2012, the U.S. Government and Sikorsky signed a five-year multiservice contract for approximately 650 H-60 helicopters. Actual production quantities will be determined year-by-year over the life of the program based on funding allocations set by Congress and Pentagon acquisition priorities.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previously reported, Sikorsky is developing the CH-148 derivative of the H-92 helicopter, a military variant of the S-92 helicopter, for the Canadian government. The CH-148 is being developed under a fixed-price contract that provides for the development and production of 28 helicopters, and related logistical support through March 2028. The current contract value is estimated to be $4.5 billion, and is subject to changes in underlying variables such as future flight hours as well as fluctuations in foreign currency exchange rates. Sikorsky and the Canadian government have a number of open disputes relating to the contract, including responsibility for delay of delivery of the fully configured and tested aircraft beyond the current contract delivery schedule and other disputes relating to development, production and logistical support. Sikorsky is prepared to deliver aircraft in 2012 in a configuration that will require additional hardware and further software testing and upgrades before full mission capability can be achieved. Sikorsky intends to continue discussions with the Canadian government to resolve the open disputes, however, it is increasingly unlikely that the parties will reach a contractual solution that allows for delivery of these aircraft or revenue recognition in 2012. As discussions continue, the inability to achieve a satisfactory contractual solution could lead to a further negative financial impact on the program in the future.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5"/>
          </w:tcPr>
          <w:p>
            <w:pPr>
              <w:ind w:left="100"/>
              <w:spacing w:after="0"/>
              <w:rPr>
                <w:sz w:val="20"/>
                <w:szCs w:val="20"/>
                <w:color w:val="auto"/>
              </w:rPr>
            </w:pPr>
            <w:r>
              <w:rPr>
                <w:rFonts w:ascii="Arial" w:cs="Arial" w:eastAsia="Arial" w:hAnsi="Arial"/>
                <w:sz w:val="14"/>
                <w:szCs w:val="14"/>
                <w:b w:val="1"/>
                <w:bCs w:val="1"/>
                <w:color w:val="auto"/>
              </w:rPr>
              <w:t>Pratt &amp; Whitney</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tcPr>
          <w:p>
            <w:pPr>
              <w:ind w:left="260"/>
              <w:spacing w:after="0"/>
              <w:rPr>
                <w:sz w:val="20"/>
                <w:szCs w:val="20"/>
                <w:color w:val="auto"/>
              </w:rPr>
            </w:pPr>
            <w:r>
              <w:rPr>
                <w:rFonts w:ascii="Arial" w:cs="Arial" w:eastAsia="Arial" w:hAnsi="Arial"/>
                <w:sz w:val="14"/>
                <w:szCs w:val="14"/>
                <w:b w:val="1"/>
                <w:bCs w:val="1"/>
                <w:color w:val="auto"/>
              </w:rPr>
              <w:t>UTC Aerospace Systems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Sikorsky</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$3,574</w:t>
            </w: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3,081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2,670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1,187</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280" w:type="dxa"/>
            <w:vAlign w:val="bottom"/>
            <w:tcBorders>
              <w:top w:val="single" w:sz="8" w:color="CCEEFF"/>
            </w:tcBorders>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1,649</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$1,877</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w w:val="84"/>
              </w:rPr>
              <w:t>2,767</w:t>
            </w: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2,260</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8"/>
                <w:szCs w:val="18"/>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12"/>
              <w:spacing w:after="0"/>
              <w:rPr>
                <w:sz w:val="20"/>
                <w:szCs w:val="20"/>
                <w:color w:val="auto"/>
              </w:rPr>
            </w:pPr>
            <w:r>
              <w:rPr>
                <w:rFonts w:ascii="Arial" w:cs="Arial" w:eastAsia="Arial" w:hAnsi="Arial"/>
                <w:sz w:val="18"/>
                <w:szCs w:val="18"/>
                <w:color w:val="auto"/>
                <w:w w:val="84"/>
              </w:rPr>
              <w:t>1,346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1,545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107 %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3"/>
        </w:trPr>
        <w:tc>
          <w:tcPr>
            <w:tcW w:w="302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24"/>
                <w:szCs w:val="24"/>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220 %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1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117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33 %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72"/>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780" w:type="dxa"/>
            <w:vAlign w:val="bottom"/>
            <w:gridSpan w:val="30"/>
          </w:tcPr>
          <w:p>
            <w:pPr>
              <w:jc w:val="right"/>
              <w:spacing w:after="0"/>
              <w:rPr>
                <w:sz w:val="20"/>
                <w:szCs w:val="20"/>
                <w:color w:val="auto"/>
              </w:rPr>
            </w:pPr>
            <w:r>
              <w:rPr>
                <w:rFonts w:ascii="Arial" w:cs="Arial" w:eastAsia="Arial" w:hAnsi="Arial"/>
                <w:sz w:val="18"/>
                <w:szCs w:val="18"/>
                <w:color w:val="auto"/>
                <w:w w:val="90"/>
              </w:rPr>
              <w:t>Summary performance for each of the aerospace businesses for the nine months ended September 30, 2012 and 2011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5"/>
          </w:tcPr>
          <w:p>
            <w:pPr>
              <w:ind w:left="60"/>
              <w:spacing w:after="0"/>
              <w:rPr>
                <w:sz w:val="20"/>
                <w:szCs w:val="20"/>
                <w:color w:val="auto"/>
              </w:rPr>
            </w:pPr>
            <w:r>
              <w:rPr>
                <w:rFonts w:ascii="Arial" w:cs="Arial" w:eastAsia="Arial" w:hAnsi="Arial"/>
                <w:sz w:val="14"/>
                <w:szCs w:val="14"/>
                <w:b w:val="1"/>
                <w:bCs w:val="1"/>
                <w:color w:val="auto"/>
              </w:rPr>
              <w:t>Pratt &amp; Whitney</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10"/>
          </w:tcPr>
          <w:p>
            <w:pPr>
              <w:ind w:left="260"/>
              <w:spacing w:after="0"/>
              <w:rPr>
                <w:sz w:val="20"/>
                <w:szCs w:val="20"/>
                <w:color w:val="auto"/>
              </w:rPr>
            </w:pPr>
            <w:r>
              <w:rPr>
                <w:rFonts w:ascii="Arial" w:cs="Arial" w:eastAsia="Arial" w:hAnsi="Arial"/>
                <w:sz w:val="14"/>
                <w:szCs w:val="14"/>
                <w:b w:val="1"/>
                <w:bCs w:val="1"/>
                <w:color w:val="auto"/>
              </w:rPr>
              <w:t>UTC Aerospace Systems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Sikorsky</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2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$10,073</w:t>
            </w: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9,230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5,160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3,496</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4,615</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$5,245</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w w:val="84"/>
              </w:rPr>
              <w:t>7,599</w:t>
            </w: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6,785</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2,505</w:t>
            </w:r>
          </w:p>
        </w:tc>
        <w:tc>
          <w:tcPr>
            <w:tcW w:w="360" w:type="dxa"/>
            <w:vAlign w:val="bottom"/>
          </w:tcPr>
          <w:p>
            <w:pPr>
              <w:spacing w:after="0"/>
              <w:rPr>
                <w:sz w:val="18"/>
                <w:szCs w:val="18"/>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12"/>
              <w:spacing w:after="0"/>
              <w:rPr>
                <w:sz w:val="20"/>
                <w:szCs w:val="20"/>
                <w:color w:val="auto"/>
              </w:rPr>
            </w:pPr>
            <w:r>
              <w:rPr>
                <w:rFonts w:ascii="Arial" w:cs="Arial" w:eastAsia="Arial" w:hAnsi="Arial"/>
                <w:sz w:val="18"/>
                <w:szCs w:val="18"/>
                <w:color w:val="auto"/>
                <w:w w:val="84"/>
              </w:rPr>
              <w:t>3,725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4,351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4"/>
              </w:rPr>
              <w:t>2,474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2,445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02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w w:val="84"/>
              </w:rPr>
              <w:t>1,249</w:t>
            </w:r>
          </w:p>
        </w:tc>
        <w:tc>
          <w:tcPr>
            <w:tcW w:w="8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1,097</w:t>
            </w: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24"/>
                <w:szCs w:val="24"/>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12"/>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261</w:t>
            </w:r>
          </w:p>
        </w:tc>
        <w:tc>
          <w:tcPr>
            <w:tcW w:w="700" w:type="dxa"/>
            <w:vAlign w:val="bottom"/>
            <w:gridSpan w:val="3"/>
          </w:tcPr>
          <w:p>
            <w:pPr>
              <w:jc w:val="right"/>
              <w:ind w:right="32"/>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4"/>
              </w:rPr>
              <w:t>1,225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1,348</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21 %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552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72"/>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gridSpan w:val="15"/>
          </w:tcPr>
          <w:p>
            <w:pPr>
              <w:spacing w:after="0"/>
              <w:rPr>
                <w:sz w:val="20"/>
                <w:szCs w:val="20"/>
                <w:color w:val="auto"/>
              </w:rPr>
            </w:pPr>
            <w:r>
              <w:rPr>
                <w:rFonts w:ascii="Arial" w:cs="Arial" w:eastAsia="Arial" w:hAnsi="Arial"/>
                <w:sz w:val="18"/>
                <w:szCs w:val="18"/>
                <w:b w:val="1"/>
                <w:bCs w:val="1"/>
                <w:i w:val="1"/>
                <w:iCs w:val="1"/>
                <w:color w:val="auto"/>
                <w:w w:val="88"/>
              </w:rPr>
              <w:t>Quarter ended September 30, 2012 Compared with Quarter ended September 30, 2011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5"/>
          </w:tcPr>
          <w:p>
            <w:pPr>
              <w:ind w:left="240"/>
              <w:spacing w:after="0"/>
              <w:rPr>
                <w:sz w:val="20"/>
                <w:szCs w:val="20"/>
                <w:color w:val="auto"/>
              </w:rPr>
            </w:pPr>
            <w:r>
              <w:rPr>
                <w:rFonts w:ascii="Arial" w:cs="Arial" w:eastAsia="Arial" w:hAnsi="Arial"/>
                <w:sz w:val="14"/>
                <w:szCs w:val="14"/>
                <w:b w:val="1"/>
                <w:bCs w:val="1"/>
                <w:color w:val="auto"/>
              </w:rPr>
              <w:t>Factors contributing to total % Change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Organic /</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jc w:val="right"/>
              <w:ind w:right="620"/>
              <w:spacing w:after="0" w:line="129" w:lineRule="exact"/>
              <w:rPr>
                <w:sz w:val="20"/>
                <w:szCs w:val="20"/>
                <w:color w:val="auto"/>
              </w:rPr>
            </w:pPr>
            <w:r>
              <w:rPr>
                <w:rFonts w:ascii="Arial" w:cs="Arial" w:eastAsia="Arial" w:hAnsi="Arial"/>
                <w:sz w:val="14"/>
                <w:szCs w:val="14"/>
                <w:b w:val="1"/>
                <w:bCs w:val="1"/>
                <w:color w:val="auto"/>
              </w:rPr>
              <w:t>FX</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5"/>
          </w:tcPr>
          <w:p>
            <w:pPr>
              <w:jc w:val="right"/>
              <w:ind w:right="21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8"/>
          </w:tcPr>
          <w:p>
            <w:pPr>
              <w:jc w:val="right"/>
              <w:ind w:right="500"/>
              <w:spacing w:after="0" w:line="129" w:lineRule="exact"/>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Operational</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Translation*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84"/>
              </w:rPr>
              <w:t>Divestitures, net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4"/>
                <w:szCs w:val="14"/>
                <w:color w:val="auto"/>
              </w:rPr>
            </w:pP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9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336"/>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5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96"/>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8"/>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organic sales decrease (1%) was driven by lower commercial aftermarket spares sales (9%), partially offset by higher military engine deliveries and aftermarket sales (6%) and an increase in industrial volume at Pratt &amp; Whitney Power Systems (2%). Sales increased (17%) as a result of the consolidation of IAE and the transfer of the APU business to Pratt &amp; Whitney from UTC Aerospace Systems.</w:t>
      </w:r>
    </w:p>
    <w:p>
      <w:pPr>
        <w:spacing w:after="0" w:line="140"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The operational profit decrease (15%) was driven by lower commercial spares volume (22%) and higher research and development (3%) and pension (5%) costs, partially offset by higher volume at Pratt &amp; Whitney Power Systems (4%), favorable military spares volume (3%), and a gain as a result of the effective settlement of a pre-existing contractual dispute in connection with the acquisition of Goodrich (9%). “Acquisitions and Divestitures, net” primarily represents the consolidation of IAE and the transfer of the APU business to Pratt &amp; Whitney from UTC Aerospace Systems. “Other” primarily reflects the absence of a gain on the sale of equity investments in ventures in the third quarter of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Factors contributing to total % Change</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1440" w:type="dxa"/>
            <w:vAlign w:val="bottom"/>
            <w:gridSpan w:val="2"/>
          </w:tcPr>
          <w:p>
            <w:pPr>
              <w:jc w:val="right"/>
              <w:ind w:right="732"/>
              <w:spacing w:after="0" w:line="129" w:lineRule="exact"/>
              <w:rPr>
                <w:sz w:val="20"/>
                <w:szCs w:val="20"/>
                <w:color w:val="auto"/>
              </w:rPr>
            </w:pPr>
            <w:r>
              <w:rPr>
                <w:rFonts w:ascii="Arial" w:cs="Arial" w:eastAsia="Arial" w:hAnsi="Arial"/>
                <w:sz w:val="14"/>
                <w:szCs w:val="14"/>
                <w:b w:val="1"/>
                <w:bCs w:val="1"/>
                <w:color w:val="auto"/>
                <w:w w:val="98"/>
              </w:rPr>
              <w:t>Organic /</w:t>
            </w:r>
          </w:p>
        </w:tc>
        <w:tc>
          <w:tcPr>
            <w:tcW w:w="1500" w:type="dxa"/>
            <w:vAlign w:val="bottom"/>
            <w:gridSpan w:val="2"/>
          </w:tcPr>
          <w:p>
            <w:pPr>
              <w:jc w:val="right"/>
              <w:ind w:right="1040"/>
              <w:spacing w:after="0" w:line="129"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right"/>
              <w:ind w:right="59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66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9"/>
              </w:rPr>
              <w:t>Restructuring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w w:val="87"/>
              </w:rPr>
              <w:t>Operational</w:t>
            </w: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Translation*</w:t>
            </w:r>
          </w:p>
        </w:tc>
        <w:tc>
          <w:tcPr>
            <w:tcW w:w="154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4"/>
              </w:rPr>
              <w:t>Divestitures, net</w:t>
            </w:r>
          </w:p>
        </w:tc>
        <w:tc>
          <w:tcPr>
            <w:tcW w:w="8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jc w:val="right"/>
              <w:ind w:right="492"/>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492"/>
              <w:spacing w:after="0"/>
              <w:rPr>
                <w:sz w:val="20"/>
                <w:szCs w:val="20"/>
                <w:color w:val="auto"/>
              </w:rPr>
            </w:pPr>
            <w:r>
              <w:rPr>
                <w:rFonts w:ascii="Arial" w:cs="Arial" w:eastAsia="Arial" w:hAnsi="Arial"/>
                <w:sz w:val="18"/>
                <w:szCs w:val="18"/>
                <w:color w:val="auto"/>
              </w:rPr>
              <w:t>6 %</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5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4 %</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right="20" w:hanging="212"/>
        <w:spacing w:after="0" w:line="294" w:lineRule="auto"/>
        <w:tabs>
          <w:tab w:leader="none" w:pos="2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Organic sales growth (4%) was driven by higher military engine deliveries and aftermarket sales (6%), higher commercial engine deliveries (1%) and higher P&amp;WC engine and aftermarket volume (2%), partially offset by a decrease in commercial aftermarket spares (6%). Sales increased (6%) as a result of the consolidation of IAE and the transfer of the APU business to Pratt &amp; Whitney from UTC Aerospace Systems.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operational profit decrease (9%) is driven by lower commercial spares volume (21%) and higher research and development expenses (7%), partially offset by higher military engine and spares volume (7%), commercial engine volume (2%), P&amp;WC engine shipments (1%), the benefit of sales to third party aftermarket parts companies (5%), and gain as a result of the effective settlement of a pre-existing contractual dispute in connection with the acquisition of Goodrich (3%). “Other” includes a gain on the sale of intellectual property (1%), a gain on the sale of an equity interest in a venture (2%) and a gain due to the change in control resulting from the restructuring of interests in IAE (2%), offset by the absence of gains on the sales of equity interests in ventures in 2011 (5%).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2012 Compared with Quarter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Factors contributing to total % Change</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1460" w:type="dxa"/>
            <w:vAlign w:val="bottom"/>
            <w:gridSpan w:val="2"/>
          </w:tcPr>
          <w:p>
            <w:pPr>
              <w:jc w:val="right"/>
              <w:ind w:right="732"/>
              <w:spacing w:after="0" w:line="129" w:lineRule="exact"/>
              <w:rPr>
                <w:sz w:val="20"/>
                <w:szCs w:val="20"/>
                <w:color w:val="auto"/>
              </w:rPr>
            </w:pPr>
            <w:r>
              <w:rPr>
                <w:rFonts w:ascii="Arial" w:cs="Arial" w:eastAsia="Arial" w:hAnsi="Arial"/>
                <w:sz w:val="14"/>
                <w:szCs w:val="14"/>
                <w:b w:val="1"/>
                <w:bCs w:val="1"/>
                <w:color w:val="auto"/>
              </w:rPr>
              <w:t>Organic /</w:t>
            </w:r>
          </w:p>
        </w:tc>
        <w:tc>
          <w:tcPr>
            <w:tcW w:w="14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rPr>
              <w:t>FX</w:t>
            </w:r>
          </w:p>
        </w:tc>
        <w:tc>
          <w:tcPr>
            <w:tcW w:w="1560" w:type="dxa"/>
            <w:vAlign w:val="bottom"/>
            <w:gridSpan w:val="2"/>
          </w:tcPr>
          <w:p>
            <w:pPr>
              <w:jc w:val="right"/>
              <w:ind w:right="61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66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9"/>
              </w:rPr>
              <w:t>Restructuring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Operational</w:t>
            </w: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Translation</w:t>
            </w:r>
          </w:p>
        </w:tc>
        <w:tc>
          <w:tcPr>
            <w:tcW w:w="760" w:type="dxa"/>
            <w:vAlign w:val="bottom"/>
          </w:tcPr>
          <w:p>
            <w:pPr>
              <w:spacing w:after="0"/>
              <w:rPr>
                <w:sz w:val="14"/>
                <w:szCs w:val="14"/>
                <w:color w:val="auto"/>
              </w:rPr>
            </w:pPr>
          </w:p>
        </w:tc>
        <w:tc>
          <w:tcPr>
            <w:tcW w:w="15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w w:val="84"/>
              </w:rPr>
              <w:t>Divestitures, net</w:t>
            </w:r>
          </w:p>
        </w:tc>
        <w:tc>
          <w:tcPr>
            <w:tcW w:w="8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jc w:val="right"/>
              <w:ind w:right="512"/>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gridSpan w:val="2"/>
          </w:tcPr>
          <w:p>
            <w:pPr>
              <w:jc w:val="right"/>
              <w:ind w:right="512"/>
              <w:spacing w:after="0"/>
              <w:rPr>
                <w:sz w:val="20"/>
                <w:szCs w:val="20"/>
                <w:color w:val="auto"/>
              </w:rPr>
            </w:pPr>
            <w:r>
              <w:rPr>
                <w:rFonts w:ascii="Arial" w:cs="Arial" w:eastAsia="Arial" w:hAnsi="Arial"/>
                <w:sz w:val="18"/>
                <w:szCs w:val="18"/>
                <w:color w:val="auto"/>
              </w:rPr>
              <w:t>4 %</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128 %</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1 %</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57 %</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organic sales growth (6%) primarily reflects higher commercial and military OEM (6%) and commercial aftermarket (1%) volume, partially offset by a decline in military aftermarket sales (1%).</w:t>
      </w:r>
    </w:p>
    <w:p>
      <w:pPr>
        <w:spacing w:after="0" w:line="132"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operational profit decrease (5%) is a result of higher engineering and development costs (9%), higher domestic pension and other employee benefit costs (10%), and lower licensing fees (3%), partially offset by the benefits of profit contribution on higher sales (11%) and lower warranty costs (7%). “Acquisitions and Divestitures, net” is a result of the acquisition of Goodrich, partially offset by the transfer of APU business to Pratt &amp; Whitney from UTC Aerospace Systems.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Factors contributing to total % Change</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400" w:type="dxa"/>
            <w:vAlign w:val="bottom"/>
            <w:gridSpan w:val="2"/>
          </w:tcPr>
          <w:p>
            <w:pPr>
              <w:jc w:val="right"/>
              <w:ind w:right="692"/>
              <w:spacing w:after="0" w:line="129" w:lineRule="exact"/>
              <w:rPr>
                <w:sz w:val="20"/>
                <w:szCs w:val="20"/>
                <w:color w:val="auto"/>
              </w:rPr>
            </w:pPr>
            <w:r>
              <w:rPr>
                <w:rFonts w:ascii="Arial" w:cs="Arial" w:eastAsia="Arial" w:hAnsi="Arial"/>
                <w:sz w:val="14"/>
                <w:szCs w:val="14"/>
                <w:b w:val="1"/>
                <w:bCs w:val="1"/>
                <w:color w:val="auto"/>
                <w:w w:val="98"/>
              </w:rPr>
              <w:t>Organic /</w:t>
            </w:r>
          </w:p>
        </w:tc>
        <w:tc>
          <w:tcPr>
            <w:tcW w:w="1440" w:type="dxa"/>
            <w:vAlign w:val="bottom"/>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rPr>
              <w:t>FX</w:t>
            </w:r>
          </w:p>
        </w:tc>
        <w:tc>
          <w:tcPr>
            <w:tcW w:w="1640" w:type="dxa"/>
            <w:vAlign w:val="bottom"/>
            <w:gridSpan w:val="2"/>
          </w:tcPr>
          <w:p>
            <w:pPr>
              <w:jc w:val="right"/>
              <w:ind w:right="692"/>
              <w:spacing w:after="0" w:line="129"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9"/>
              </w:rPr>
              <w:t>Restructuring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40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w w:val="87"/>
              </w:rPr>
              <w:t>Operational</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Translation</w:t>
            </w:r>
          </w:p>
        </w:tc>
        <w:tc>
          <w:tcPr>
            <w:tcW w:w="164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w w:val="84"/>
              </w:rPr>
              <w:t>Divestitures, net</w:t>
            </w: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jc w:val="right"/>
              <w:ind w:right="45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vMerge w:val="restart"/>
            <w:shd w:val="clear" w:color="auto" w:fill="CCEEFF"/>
          </w:tcPr>
          <w:p>
            <w:pPr>
              <w:jc w:val="right"/>
              <w:ind w:right="452"/>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8 %</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42 %</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1 %</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8 %</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640" w:type="dxa"/>
            <w:vAlign w:val="bottom"/>
            <w:tcBorders>
              <w:right w:val="single" w:sz="8" w:color="CCEEFF"/>
            </w:tcBorders>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20 %</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organic sales growth (8%) primarily reflects higher volumes in both the aerospace OEM (6%) and aerospace aftermarket (1%) businesses. The increase within aerospace OEM sales is primarily attributable to volume growth within commercial programs (4%) and military programs (2%).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operational profit (8%) primarily reflects the benefit of profit contribution on higher sales within aerospace OEM programs (8%), aftermarket programs (3%) and lower warranty costs (4%). Profit contribution was partially offset by higher domestic pension (5%) and higher research and development (3%) expenses. “Acquisitions and Divestitures, net” is a result of the acquisition of Goodrich, partially offset by the transfer of the APU business to Pratt &amp; Whitney from UTC Aerospace Systems.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2012 Compared with Quarter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1"/>
              </w:rPr>
              <w:t>Factors contributing to total % Change</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1420" w:type="dxa"/>
            <w:vAlign w:val="bottom"/>
            <w:gridSpan w:val="2"/>
          </w:tcPr>
          <w:p>
            <w:pPr>
              <w:jc w:val="right"/>
              <w:ind w:right="712"/>
              <w:spacing w:after="0" w:line="129" w:lineRule="exact"/>
              <w:rPr>
                <w:sz w:val="20"/>
                <w:szCs w:val="20"/>
                <w:color w:val="auto"/>
              </w:rPr>
            </w:pPr>
            <w:r>
              <w:rPr>
                <w:rFonts w:ascii="Arial" w:cs="Arial" w:eastAsia="Arial" w:hAnsi="Arial"/>
                <w:sz w:val="14"/>
                <w:szCs w:val="14"/>
                <w:b w:val="1"/>
                <w:bCs w:val="1"/>
                <w:color w:val="auto"/>
                <w:w w:val="98"/>
              </w:rPr>
              <w:t>Organic /</w:t>
            </w:r>
          </w:p>
        </w:tc>
        <w:tc>
          <w:tcPr>
            <w:tcW w:w="124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3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420" w:type="dxa"/>
            <w:vAlign w:val="bottom"/>
          </w:tcPr>
          <w:p>
            <w:pPr>
              <w:spacing w:after="0"/>
              <w:rPr>
                <w:sz w:val="14"/>
                <w:szCs w:val="14"/>
                <w:color w:val="auto"/>
              </w:rPr>
            </w:pPr>
          </w:p>
        </w:tc>
        <w:tc>
          <w:tcPr>
            <w:tcW w:w="14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w w:val="87"/>
              </w:rPr>
              <w:t>Operational</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Translation</w:t>
            </w: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Divestitures, net</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Costs</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tcBorders>
              <w:top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432"/>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organic sales decline (12%) reflects reduced aircraft deliveries from foreign military operations (12%), lower volume on customer funded development programs (2%) and a decrease in aftermarket support (1%) due to lower foreign military spares activity. Sales to the U.S. Government were flat. Commercial sales increased (3%) due primarily to increased S-92 sales, despite a lack of S-76 sales in the quarter as Sikorsky transitions to full-scale production of the new S-76D model.</w:t>
      </w:r>
    </w:p>
    <w:p>
      <w:pPr>
        <w:spacing w:after="0" w:line="143"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The operational profit decrease (6%) reflects lower profitability from foreign military operations due to reduced sales (19%), lower overall profitability from an unfavorable mix on U.S. Government sales (9%) and lower volume on customer funded development programs (2%). These decreases were partially offset by increased Commercial profits (13%) due primarily to strong S-92 demand and increased aftermarket profitability (2%). The remainder of the change reflects lower manufacturing overhead costs (4%) and lower research and development expenses (5%).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2"/>
              </w:rPr>
              <w:t>Factors contributing to total % Change</w:t>
            </w: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000" w:type="dxa"/>
            <w:vAlign w:val="bottom"/>
          </w:tcPr>
          <w:p>
            <w:pPr>
              <w:spacing w:after="0"/>
              <w:rPr>
                <w:sz w:val="11"/>
                <w:szCs w:val="11"/>
                <w:color w:val="auto"/>
              </w:rPr>
            </w:pPr>
          </w:p>
        </w:tc>
        <w:tc>
          <w:tcPr>
            <w:tcW w:w="1480" w:type="dxa"/>
            <w:vAlign w:val="bottom"/>
            <w:gridSpan w:val="2"/>
          </w:tcPr>
          <w:p>
            <w:pPr>
              <w:jc w:val="right"/>
              <w:ind w:right="772"/>
              <w:spacing w:after="0" w:line="129" w:lineRule="exact"/>
              <w:rPr>
                <w:sz w:val="20"/>
                <w:szCs w:val="20"/>
                <w:color w:val="auto"/>
              </w:rPr>
            </w:pPr>
            <w:r>
              <w:rPr>
                <w:rFonts w:ascii="Arial" w:cs="Arial" w:eastAsia="Arial" w:hAnsi="Arial"/>
                <w:sz w:val="14"/>
                <w:szCs w:val="14"/>
                <w:b w:val="1"/>
                <w:bCs w:val="1"/>
                <w:color w:val="auto"/>
                <w:w w:val="98"/>
              </w:rPr>
              <w:t>Organic /</w:t>
            </w:r>
          </w:p>
        </w:tc>
        <w:tc>
          <w:tcPr>
            <w:tcW w:w="130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146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Restructuring</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w w:val="87"/>
              </w:rPr>
              <w:t>Operational</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Translation</w:t>
            </w: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Divestitures, net</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77"/>
              </w:rPr>
              <w:t>Costs</w:t>
            </w: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tcBorders>
              <w:top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jc w:val="right"/>
              <w:ind w:right="49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15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organic sales decline (12%) reflects reduced aircraft deliveries from foreign military operations (10%), fewer aircraft sales to the U.S. Government (3%) and lower volume on customer-funded development programs (2%). These declines were partially offset by increased aftermarket support (2%) driven by higher military spares volume and increased Commercial sales (1%) as increased sales of our S-92 model more than offset a lack of S-76 sales in the period as Sikorsky transitions to full-scale production of the new S-76D model.</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operational profit decrease (1%) is a result of lower sales volume to the U.S. Government (10%) and foreign military operations (5%), and lower volume on customer-funded development programs (3%). These decreases were partially offset by increased Commercial profits (9%) due primarily to strong S-92 profitability and increased aftermarket support (8%) due primarily to increased U.S. Government spares sales. The 12% decrease in “Other” reflects the absence of a gain recognized on the contribution of a business to a venture in the United Arab Emirates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2"/>
              </w:rPr>
              <w:t>Net Sales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89"/>
              </w:rPr>
              <w:t>Operating Profits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136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3960" w:type="dxa"/>
            <w:vAlign w:val="bottom"/>
            <w:gridSpan w:val="11"/>
          </w:tcPr>
          <w:p>
            <w:pPr>
              <w:jc w:val="center"/>
              <w:spacing w:after="0" w:line="142" w:lineRule="exact"/>
              <w:rPr>
                <w:sz w:val="20"/>
                <w:szCs w:val="20"/>
                <w:color w:val="auto"/>
              </w:rPr>
            </w:pPr>
            <w:r>
              <w:rPr>
                <w:rFonts w:ascii="Arial" w:cs="Arial" w:eastAsia="Arial" w:hAnsi="Arial"/>
                <w:sz w:val="14"/>
                <w:szCs w:val="14"/>
                <w:b w:val="1"/>
                <w:bCs w:val="1"/>
                <w:color w:val="auto"/>
                <w:w w:val="89"/>
              </w:rPr>
              <w:t>Quarter Ended September 30,   Nine Months Ended September 30,</w:t>
            </w:r>
          </w:p>
        </w:tc>
        <w:tc>
          <w:tcPr>
            <w:tcW w:w="180" w:type="dxa"/>
            <w:vAlign w:val="bottom"/>
          </w:tcPr>
          <w:p>
            <w:pPr>
              <w:spacing w:after="0"/>
              <w:rPr>
                <w:sz w:val="12"/>
                <w:szCs w:val="12"/>
                <w:color w:val="auto"/>
              </w:rPr>
            </w:pPr>
          </w:p>
        </w:tc>
        <w:tc>
          <w:tcPr>
            <w:tcW w:w="3960" w:type="dxa"/>
            <w:vAlign w:val="bottom"/>
            <w:gridSpan w:val="11"/>
          </w:tcPr>
          <w:p>
            <w:pPr>
              <w:jc w:val="center"/>
              <w:spacing w:after="0" w:line="142" w:lineRule="exact"/>
              <w:rPr>
                <w:sz w:val="20"/>
                <w:szCs w:val="20"/>
                <w:color w:val="auto"/>
              </w:rPr>
            </w:pPr>
            <w:r>
              <w:rPr>
                <w:rFonts w:ascii="Arial" w:cs="Arial" w:eastAsia="Arial" w:hAnsi="Arial"/>
                <w:sz w:val="14"/>
                <w:szCs w:val="14"/>
                <w:b w:val="1"/>
                <w:bCs w:val="1"/>
                <w:color w:val="auto"/>
                <w:w w:val="89"/>
              </w:rPr>
              <w:t>Quarter Ended September 30,   Nine Months Ended 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20" w:type="dxa"/>
            <w:vAlign w:val="bottom"/>
            <w:tcBorders>
              <w:bottom w:val="single" w:sz="8" w:color="auto"/>
            </w:tcBorders>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1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center"/>
              <w:ind w:right="1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(377)</w:t>
            </w: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(274)</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center"/>
              <w:ind w:right="12"/>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71"/>
              </w:rPr>
              <w:t>(101)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center"/>
              <w:ind w:left="79"/>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95"/>
              </w:rPr>
              <w:t>(295)</w:t>
            </w:r>
          </w:p>
        </w:tc>
        <w:tc>
          <w:tcPr>
            <w:tcW w:w="0" w:type="dxa"/>
            <w:vAlign w:val="bottom"/>
          </w:tcPr>
          <w:p>
            <w:pPr>
              <w:spacing w:after="0"/>
              <w:rPr>
                <w:sz w:val="1"/>
                <w:szCs w:val="1"/>
                <w:color w:val="auto"/>
              </w:rPr>
            </w:pPr>
          </w:p>
        </w:tc>
      </w:tr>
      <w:tr>
        <w:trPr>
          <w:trHeight w:val="35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We have previously reported the results of UTC Power and Clipper within eliminations and other but have reclassified the results of these businesses to discontinued operations for all periods presented, as noted in the “Discontinued Operations” section of our Business Overview in Management’s Discussion and Analysis of Financial Condition and Results of Operations. The year-over-year change in sales for both the third quarter and first nine months of 2012, as compared with the same period of 2011, reflects an increase in the amount of inter-segment sales eliminations. The year-over-year change in operating profit for the third quarter of 2012, as compared with the same period of 2011, primarily reflects a $34 million gain on the fair value re-measurement of the Company’s previously held shares of Goodrich offset by the impact of higher acquisition and divestiture costs.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28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6,242</w:t>
            </w:r>
          </w:p>
        </w:tc>
        <w:tc>
          <w:tcPr>
            <w:tcW w:w="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5,960</w:t>
            </w: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28,700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10,260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22,458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26,091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22,820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54,791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equivalents)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48,549</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27,120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For the full year of 2012, we expect operating cash flows of continuing operations less capital expenditures to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Improvement in the global economy remains uneven, and in light of these circumstances, we continue to assess our current business and closely monitor the impact on our customers and suppliers. We have determined that overall there has not been a significant impact on our financial position, results of operations or liquidity during the first nine months of 2012.</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domestic pension funds, excluding the acquired Goodrich domestic pension funds, experienced a positive return on assets of approximately 12% during the first nine months of 2012. Approximately 88% of these domestic pension plans are invested in readily-liquid investments, including equity, fixed income, asset-backed receivables and structured products. The balance of these domestic pension plans (12%) is invested in less-liquid but market-valued investments, including real estate and private equity. The continued recognition of prior pension losses and the impact of a lower discount rate, partially offset by additional funding and the positive returns experienced during 2011 and the first nine months of 2012, are expected to result in increased pension expense in 2012 of approximately $250 million as compared to 2011 for these domestic pension plans.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discussed further below, despite a recent downgrade during the second quarter of 2012 attributed to our increased debt levels incurred to finance the acquisition of Goodrich, our strong debt ratings and financial position have historically enabled us to issue long-term debt at favorable market rates, including our issuance of $9.8 billion of long-term debt in June 2012. Our ability to obtain debt financing at comparable risk-based interest rates is partly a function of our existing debt-to-total-capitalization level as well as our current credit standing.</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purchase price of our acquisition of Goodrich on July 26, 2012 for $127.50 per share in cash equated to a total enterprise value of $18.3 billion, including $1.9 billion in net debt assumed. To finance the cash consideration for the Goodrich acquisition and pay related fees, expenses and other amounts due and payable, we utilized the previously disclosed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pursuant to our April 24, 2012 term loan credit agreement on July 26, 2012. For the remainder of the cash consideration, we utilized approximately $0.5 billion of cash and cash equivalents generated from operating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In 2012, the Company approved plans for the divestiture of a number of non-core businesses. Cash generated from these divestitures is intended to be used to repay debt incurred to finance the acquisition of Goodrich. The divestitures are expected to generate approximately $3 billion in net cash, on an after-tax basis.</w:t>
      </w:r>
    </w:p>
    <w:p>
      <w:pPr>
        <w:spacing w:after="0" w:line="62"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To manage the cash flow and liquidity impacts of these actions, we have suspended share repurchases until at least January 1, 2013, and will significantly reduce repurchases from historical levels for two years thereafter. In addition, we will reduce our budgeted acquisition spending for the next few years, which for 2012 we expect to approximate $300 million excluding spending for our acquisition of Goodrich and our acquisition of Rolls-Royce’s interests in IAE.</w:t>
      </w:r>
    </w:p>
    <w:p>
      <w:pPr>
        <w:spacing w:after="0" w:line="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April 24, 2012, we entered into a term loan credit agreement with various financial institutions that provides for a $2 billion unsecured term loan facility. On July 26, 2012 we borrowed the full $2 billion available pursuant to this facility to partially finance the cash consideration of the Goodrich acquisition and pay related fees, expenses and other amounts due and payable by UTC as a result of the acquisition. The outstanding balance under this term loan credit agreement matures on December 31, 2012.</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June 1, 2012, we issued a total of $9.8 billion of long-term debt, which is comprised of $1.0 billion aggregate principal amount of 1.200% notes due 2015, $1.5 billion aggregate principal amount of 1.800% notes due 2017, $2.3 billion aggregate principal amount of 3.100% notes due 2022, $3.5 billion aggregate principal amount of 4.500% notes due 2042, $1.0 billion aggregate principal amount of three-month LIBOR plus 0.270% floating rate notes due 2013, and $0.5 billion aggregate principal amount of three-month LIBOR plus 0.500% floating rate notes due 2015. We utilized approximately $9.6 billion of the net proceeds of these notes to partially finance the cash consideration of the acquisition of Goodrich and pay related fees, expenses and other amounts due and payable by UTC as a result of the acquisition. The three-month LIBOR rate as of September 30, 2012 was approximately 0.4%.</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18, 2012, we issued 22,000,000 Equity Units and received approximately $1.1 billion in net proceeds. Each Equity Unit has a stated amount of $50 and initially is in the form of a corporate unit consisting of (a) a freestanding stock purchase contract under which the holder will purchase from us on August 1, 2015, a number of shares of our common stock determined pursuant to the terms of the agreement and (b) a 1/20, or 5.0%, undivided beneficial ownership interest in $1,000 principal amount on our 1.55% junior subordinated notes due 2022. Holders of the Equity Units are entitled to receive quarterly contract adjustment payments at a rate of 5.95% per year of the stated amount of $50 per Equity Unit, subject to our right to defer such payments. We used the net proceeds of the Equity Units to partially finance the cash consideration of the Goodrich acquisition and pay related fees, expenses and other amounts due and payable by UTC as a result of the acquisition.</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September 30, 2012, we had revolving credit agreements with various banks permitting aggregate borrowings of up to $4 billion pursuant to a $2 billion revolving credit agreement and a $2 billion multicurrency revolving credit agreement, both of which expire in November 2016. As of September 30, 2012, there were no borrowings under either of these revolving credit agreements. The undrawn portions of these revolving credit agreements are also available to serve as backup facilities for the issuance of commercial paper. As of September 30, 2012, our maximum commercial paper borrowing authority as set by our Board of Directors was $4 billion. We generally use our commercial paper borrowings for general corporate purposes, including the funding of potential acquisitions and repurchases of our common stock.</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occasion, we are required to maintain cash deposits with certain banks with respect to contractual obligations related to acquisitions or divestitures or other legal obligations. Restricted cash as of September 30, 2012 and December 31, 2011 was approximately $227 million and $37 million, respectively.</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40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8"/>
              </w:rPr>
              <w:t>Net cash flows provided by operating activities of continuing operations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4,651</w:t>
            </w: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generated from operating activities of continuing operations in the first nine months of 2012 was $101 million higher than the same period in 2011, driven primarily by lower working capital cash requirements. While income from continuing operations increased by approximately $322 million, this included approximately $222 million of net non-cash gains from the portfolio transformation activities at UTC Climate, Controls &amp; Security, an approximately $218 million non-cash tax and interest benefit from the conclusion of the IRS’s examination of the Company’s 2006 – 2008 tax years and an approximately $59 million non-cash tax and interest benefit from the resolution of disputes with the Appeals Division of the IRS for the Company’s 2004 - 2005 tax years. During the first nine months of 2012, the net increase in working capital resulted in a cash outflow of $149 million compared to a cash outflow of $552 million during the first nine months of 2011. This decrease of $403 million was primarily driven by a decrease in accounts receivable due to strong collections, partially offset by an increase in inventories largely associated with anticipated volume changes at Sikorsky and Pratt &amp; Whitney and a decrease in accounts payable and accrued liabilities due to timing of payments made.</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nine months of 2012 and 2011 were $233 million and $246 million, respectively. We expect to make total cash contributions of approximately $300 million to our global defined benefit pension plans in 2012, including approximately $200 million of voluntary cash contributions to our domestic pension plans in the third quarter of 2012. During the first nine months of 2011, we also contributed $450 million in UTC common stock to our defined benefit pension plans. Our domestic pension plans are approximately 84% funded on a projected benefit obligation basis as of September 30, 2012 and we are not required to make additional contributions through the end of 2012. Contributions to our global defined benefit pension plans in 2012 are expected to meet or exceed the current funding requirements.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18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26"/>
              <w:spacing w:after="0" w:line="129"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investing activities of continuing operations</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(17,995)</w:t>
            </w: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increase in cash used in investing activities of continuing operations was primarily a result of our acquisition of Goodrich, which required cash payments, net of cash acquired, of $15.8 billion reflected in acquisitions of businesses, as well as payments made to Rolls-Royce, net of cash acquired, to acquire their ownership and collaboration interests in IAE and license its V2500 intellectual property to Pratt &amp; Whitney of approximately $1.6 billion in total reflected in acquisitions of businesses and increase in collaboration intangible assets. Partially offsetting these increases, concurrent with the closing of the purchase of Rolls-Royce’s interests in IAE, Pratt &amp; Whitney entered into a collaboration arrangement with MTU with respect to a portion of the acquired collaboration interest in IAE for consideration of approximately $233 million, with additional payments due to Pratt &amp; Whitney in the future. Investments in businesses in the first nine months of 2012 also included a number of additional small acquisitions in our commercial and aerospace businesses. Excluding spending for our acquisition of Goodrich and Rolls-Royce’s interests in IAE, we expect total cash investments for acquisitions in 2012 to be approximately $300 million, including acquisitions completed during the first nine months of 2012. However, actual acquisition spending may vary depending upon the timing, availability and appropriate value of acquisition opportunities. Capital expenditures increased $178 million primarily at Pratt &amp; Whitney and Otis, which reflected expenditures related to investments in new programs and low-cost manufacturing facilities, as well as at UTC Aerospace Systems due to spending of Goodrich businesses subsequent to acquisition.</w:t>
      </w:r>
    </w:p>
    <w:p>
      <w:pPr>
        <w:spacing w:after="0" w:line="11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Customer financing activities were a net source of cash of $1 million and $43 million for the first nine months of 2012 and 2011, respectively. While we expect that 2012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$2.8 billion, which now includes approximately $538 million of IAE commitments, related to commercial aircraft and certain contractual rights to provide product on new aircraft platforms at September 30, 2012, of which as much as $297 million may be required to be disbursed during 2012. We had commercial aerospace financing and other contractual commitments of approximately $2.3 billion at December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7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6"/>
              <w:spacing w:after="0" w:line="129"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3"/>
              </w:rPr>
              <w:t>Net cash flows provided by (used in) financing activities of continuing operations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13,986</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In June 2012, we issued $9.8 billion of long-term debt and $1.1 billion of Equity Units, and in July 2012, we borrowed $2.0 billion from our term loan credit agreement and issued $3.2 billion of commercial paper primarily to partially finance our acquisition of Goodrich and pay related fees, expenses and other amounts due and payable by UTC as a result of the acquisition. Commercial paper borrowings and revolving credit facilities provide short-term liquidity to supplement operating cash flows and are used for general corporate purposes, including the funding of potential acquisitions and repurchases of our stock. We had approximately $3.0 billion of outstanding commercial paper at September 30, 2012.</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our acquisition of Goodrich, we have suspended share repurchases until at least January 1, 2013, and will significantly reduce repurchases from historical levels for two years thereafter. At September 30, 2012, management had authority to repurchase approximately 7 million shares under the previously announced share repurchase program. When we repurchase shares, our share repurchases vary depending upon various factors including the level of other investing activities.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paid dividends on Common Stock of $0.48 per share in the first quarter of 2012 totaling $412 million in the aggregate, $0.48 per share in the second quarter of 2012 totaling $413 million in the aggregate and $0.535 per share in the third quarter of 2012 totaling $463 million in the aggregate. On October 10, 2012, the Board of Directors declared a dividend of $0.535 per share payable December 10, 2012 to shareowners of record at the close of business on November 16, 2012.</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2011 Annual Report, incorporated by reference in our 2011 Form 10-K, we disclosed our off-balance sheet arrangements and contractual obligations. On June 29, 2012, Pratt &amp; Whitney, Rolls-Royce, MTU and JAEC, completed a restructuring of their interests in IAE. Under the terms of the agreement, Rolls-Royce sold its ownership and collaboration interests in IAE to Pratt &amp; Whitney, while also entering into an agreement to license its V2500 intellectual property to Pratt &amp; Whitney. Concurrently, Pratt &amp; Whitney entered into a collaboration arrangement with MTU with respect to a portion of the acquired collaboration interest in IAE. As a result of the transactions, Pratt &amp; Whitney now consolidates IAE. As a result of the consolidation, purchase obligations increased $1.9 billion and are expected to be payable as follows: $436 million in 2012 and $1.5 billion in 2013 through 2014.</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exchange for the increased ownership and collaboration interests and intellectual property license, Pratt &amp; Whitney paid Rolls-Royce $1.5 billion at closing with additional payments due to Rolls-Royce contingent upon each hour flown by the V2500-powered aircraft in service as of June 29, 2012 during the fifteen year period following closing of the purchase. These payments will be capitalized as a collaboration intangible asset and amortized in relation to the economic benefits received over the projected remaining 30 year life of the V2500 program. Flight hour payments are estimated to be approximately $123 million in 2012, $593 million in 2013 through 2014, $646 million in 2015 through 2016, and $2.9 billion thereafter.</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partially finance our acquisition of Goodrich, we issued $9.8 billion of long-term debt and $1.1 billion of Equity Units in June 2012. Future interest payments on these issuances are estimated to be approximately $162 million in 2012, $722 million in 2013 through 2014, $614 million in 2015 through 2016, and $4.5 billion thereafter.</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part of our acquisition of Goodrich, we assumed $2.3 billion of long-term debt. Future interest payments on this assumed long-term debt is estimated to be approximately $55 million in 2012, $266 million in 2013 through 2014, $257 million in 2015 through 2016, and $1.0 billion thereafter. In addition, purchase obligations increased $1.7 billion and are expected to be payable as follows: $360 million in 2012, $1.2 billion in 2013 through 2014 and $115 million in 2015 through 2016, and our obligations under operating leases increased $288 million and are expected to be payable as follows: $32 million in 2012, $99 million in 2013 through 2014, $67 million in 2015 through 2016 and $90 million thereafter.</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also identified customer contractual obligations of approximately $2.0 billion on certain Goodrich OEM development programs where the expected costs exceed the expected revenue under contract. These liabilities will be liquidated in accordance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underlying economic pattern of obligations, as reflected by the net cash outflows incurred on the OEM contracts. We expect these customer contractual obligations will be liquidated as follows: $64 million in 2012, $575 million in 2013 through 2014, $457 million in 2015 through 2016, and $954 million thereafter.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Note 1 to the Condensed Consolidated Financial Statements in this Form 10-Q for further details of the IAE and Goodrich acquisitions, and associated contractual obligations incurred.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September 30, 2012, there have been no other material changes to off-balance sheet arrangements and contractual obligations outside the ordinary course of business except as otherwise disclosed.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third quarter of 2012. For discussion of our exposure to market risk, refer to Part II, Item 7A, “Quantitative and Qualitative Disclosures About Market Risk,” contained in our 2011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September 30, 2012.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2012,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26, 2012, we completed our acquisition of Goodrich. We have extended our oversight and monitoring processes that support our internal control over financial reporting to include Goodrich’s operations. We are continuing to integrate the acquired operations of Goodrich into our overall internal control over financial reporting process. There has been no other change in our internal control over financial reporting during the quarter ended September 30, 2012 that has materially affected, or is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Such risks, uncertainties and other factors include, without limitation:</w:t>
      </w:r>
    </w:p>
    <w:p>
      <w:pPr>
        <w:spacing w:after="0" w:line="39" w:lineRule="exact"/>
        <w:rPr>
          <w:sz w:val="20"/>
          <w:szCs w:val="20"/>
          <w:color w:val="auto"/>
        </w:rPr>
      </w:pPr>
    </w:p>
    <w:p>
      <w:pPr>
        <w:ind w:left="900" w:right="60" w:hanging="325"/>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right="5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respect of recently completed acquisitions, including the acquisition of Goodrich, our ability to integrate acquired operations and to realize synergies and opportunities for growth and innovation;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other acquisition, divestiture and joint venture activity, including integration of acquired businesses into our existing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2011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2011 Annual Report in the section titled “Management’s Discussion and Analysis of Financial Condition and Results of Operations” under the headings “Environmental Matters” and “Restructuring Costs.” The forward-looking statements speak 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previously disclosed, on February 21, 2007, the European Commission’s Competition Directorate (EU Commission) ruled that Otis’ subsidiaries in Belgium, Luxembourg and the Netherlands, and a portion of the business of Otis’ German subsidiary, violated European Union (EU) competition rules and assessed a €225 million (approximately $300 million) civil fine against Otis, its relevant local entities, and UTC, which was paid during 2007. In May 2007, we filed an appeal of the decision with the General Court of the European Court of Justice (General Court). On July 13, 2011, the General Court rejected our appeal. On September 23, 2011, we filed an appeal of the judgment with the European Court of Justice. On September 7, 2012, we received notice that the European Court of Justice dismissed our appeal. This matter is now concluded.</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w:t>
      </w:r>
    </w:p>
    <w:p>
      <w:pPr>
        <w:spacing w:after="0" w:line="295" w:lineRule="auto"/>
        <w:rPr>
          <w:sz w:val="20"/>
          <w:szCs w:val="20"/>
          <w:color w:val="auto"/>
        </w:rPr>
      </w:pPr>
      <w:r>
        <w:rPr>
          <w:rFonts w:ascii="Arial" w:cs="Arial" w:eastAsia="Arial" w:hAnsi="Arial"/>
          <w:sz w:val="16"/>
          <w:szCs w:val="16"/>
          <w:color w:val="auto"/>
        </w:rPr>
        <w:t>2006. These changes relate to the calculation of material overhead rates in government contracts. The DOD claims that Sikorsky’s liability is approximately $93 million (including interest through September 2012). We believe this claim is without merit and Sikorsky filed an appeal in December 2009 with the U.S. Court of Federal Claims. Trial in the matter started on October 22, 2012, and the court is expected to issue its decision in 2013. We do not believe the resolution of this matter will have a material adverse effect on our competitive position, results of operations, cash flows or financial condition.</w:t>
      </w:r>
    </w:p>
    <w:p>
      <w:pPr>
        <w:spacing w:after="0" w:line="11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previously disclosed in footnotes regarding Income Taxes that accompany the financial statements included in UTC’s Reports on Form 10-Q and 10-K, UTC has been involved in administrative review proceedings with the German Tax Office concerning €198 million (approximately $257 million) of tax benefits that we have claimed related to a 1998 reorganization of the corporate structure of Otis operations in Germany. A portion of these tax benefits was denied by the local German Tax Office on July 5, 2012, as a result of the audit of tax years 1999 to 2000. The legal and factual issues relating to the denial of the tax benefits center on the interpretation and application of a German tax law. On August 3, 2012, the Company filed suit in the local German tax court and intends vigorously to litigate the matter to conclusion. We do not believe the resolution of this matter will have a material adverse effect on our results of operations, cash flows or financial condition.</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Like many other industrial companies in recent years, we or our subsidiaries are named as a defendant in lawsuits alleging personal injury as a result of exposure to asbestos integrated into certain of our products or premises. While we have never manufactured asbestos and no longer incorporate it in any currently-manufactured products, certain of our historical products, like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those of many other manufacturers, have contained components incorporating asbestos. A substantial majority of these asbestos-related claims have been covered by insurance or other forms of indemnity or have been dismissed without payment. The remainder of the closed cases have been resolved for amounts that are not material individually or in the aggregate. While insurance coverage litigation is pending against a number of Goodrich insurers, based on information currently available we do not believe that resolution of asbestos-related matters will have a material adverse effect upon our competitive position, results of operations, cash flows or financial condition.</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2011 Form 10-K and Part II, Item 1, “Legal Proceedings,” of our Form 10-Q reports for the quarters ended March 31, 2012 and June 30,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Although the global economy has gradually improved since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uncertainty continues to exist as to the overall rate and stability of the recovery. Global gross domestic product growth continues to be led by emerging markets, particularly in Brazil, Russia, India and China, while in the developed economies, particularly in Europe, the recovery remains uncertain due to persistent high unemployment in the U.S. and Europe, a weak U.S. and European housing market, government budget reduction plans, the unwinding of fiscal stimuli and concerns over the European sovereign debt crisis. In addition, China has shown signs of a slowdown in construction, and its overall gross domestic product growth rate, while still high relative to other economies, has fallen from the growth rates seen in 2011. As a result, further disruptions or slowdown in these or in other economies could affect our sales or liquidity.</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Although consumer confidence in the U.S. has improved since the economic downturn, it still remains low, while, as mentioned above, unemployment remains high and the housing market remains weak.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also adversely affects our results, as the majority of our sales are non-U.S. based. Improvements in economic growth rates in the U.S. are threatened by the potential for sequestration (i.e. scheduled spending cuts and tax increases) in early 2013. It remains difficult to estimate the probability of policy action in the U.S. to avoid sequestration, and this uncertainty contributes to lower growth rates in the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results of our commercial and industrial businesses, which generated approximately 58 percent of our consolidated net sales in 2011,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our UTC Climate, Controls &amp; Security segment. In addition to these factors, the financial performance of UTC Climate, Controls &amp; Security can also be influenced by production and utilization of transport equipment and, particularly in its residential business, weather conditions.</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results of our commercial and military aerospace businesses, which generated approximately 42 percent of our consolidated net sales in 2011, are directly tied to the economic conditions in the commercial aviation and defense industries, which are cyclical in nature. Although the operating environment currently faced by commercial airlines has shown signs of improvement in 2012 with many airlines returning to profitability, uncertainty continues to exist. As a result, financial difficulties, including bankruptcy, of one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2012,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 U.S. defense spending is threatened by the potential for sequestration (i.e. scheduled spending cuts and tax increases) in early 2013, and it remains difficult to estimate the probability of policy action in the U.S. to avoid sequestration.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 and Laws Relating to Export of Goods and Technology</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As disclosed in Note 13 to the Condensed Consolidated Financial Statements in this Form 10-Q, on June 28, 2012 we entered into a consent agreement with the DTCC and a deferred prosecution agreement with the DOJ regarding separate but related export licensing compliance violations, both of which impose significant continuing obligations. In addition, we are also sensitive to U.S. military budgets, which may fluctuate based on the policies of a new administration or Congress.</w:t>
      </w:r>
    </w:p>
    <w:p>
      <w:pPr>
        <w:spacing w:after="0" w:line="10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61 percent of our total 2011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the Canadian Dollar, and the Polish Zloty).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2011 Annual Report and Note 9 to the Condensed Consolidated Financial Statements in this Form 10-Q for further discussion of our hedging strategies.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we recently completed our acquisition of Goodrich on July 26, 2012 and on June 29, 2012, Pratt &amp; Whitney completed its acquisition of the interests of Rolls-Royce in IAE. Further, on October 12, 2011 Pratt &amp; Whitney and Rolls-Royce announced an agreement to form a new joint venture to develop new engines to power the next generation of mid-size aircraft that will replace the existing fleet of mid-size aircraft currently in service or in development and MTU and JAEC subsequently agreed to join this new joint venture.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managing strategic investments. Additionally, we may not realize the degree or timing of benefits we anticipate when we first enter into a transaction. The success of our proposed acquisitions will depend on the satisfaction of conditions precedent to, and consummation of, the proposed transactions, the timing of consummation of these proposed transactions, and the ability of the parties to secure any required regulatory approvals in a timely manner. Any of the foregoing could adversely affect our business and results of operations.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 In addition, as disclosed in Note 2 to the Condensed Consolidated Financial Statements in this Form 10-Q, the Board of Directors of the Company has approved a plan for the divestiture of a number of non-core businesses, and net cash generated from these divestitures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intended to be used to repay a portion of the short-term debt we incurred as part of the financing for the recently completed acquisition of Goodrich. Whether and when these divestitures are consummated and the consideration received or paid will determine how much of such debt we are able to repay using these divestiture proceeds and the timeframe of repayment.</w:t>
      </w:r>
    </w:p>
    <w:p>
      <w:pPr>
        <w:spacing w:after="0" w:line="140"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Our Acquisition of Goodrich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is unpredictability in the business and regulatory conditions affecting the industries in which we and Goodrich operate. The success of the acquisition will depend, in part, on our ability to realize the anticipated synergies, cost savings and growth opportunities from the integration of Goodrich with our existing businesses. The integration process may be complex, costly and time-consuming. The potential difficulties of integrating the operations of Goodrich and realizing our expectations for the acquisition include, among others:</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unanticipated issues, expenses and liabilities.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Debt Has Increased As A Result of the Goodrich Acquisition and Will Increase If We Incur Additional Debt in the Future and Do Not Retire Existing Debt</w:t>
      </w:r>
    </w:p>
    <w:p>
      <w:pPr>
        <w:spacing w:after="0" w:line="13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We have outstanding debt and other financial obligations and significant unused borrowing capacity. As of September 30, 2012, we had approximately $28.7 billion of total debt on a consolidated basis. We have incurred substantial additional debt as a result of our financing of the Goodrich acquisition and assumed approximately $1.9 billion of net Goodrich debt. Our debt level and related debt service obligations could have negative consequences, including:</w:t>
      </w:r>
    </w:p>
    <w:p>
      <w:pPr>
        <w:spacing w:after="0" w:line="7"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significantly more debt in the future. If we add new debt and do not retire existing debt, the risks described above could increase.</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current global and domestic revolving credit facilities impose restrictions on us, including certain restrictions on our ability to incur liens on our assets. Our current revolving credit facilities are available for general corporate purposes. There are currently no amounts outstanding under our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 increased development costs or deflect resources from other projects. For example,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competitive position, results of operations, cash flows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possible liability relating to product liability matters, personal injuries, intellectual property rights, contract-related claims,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suspension, debarment or termination of export privileges. As disclosed in Note 13 to the Condensed Consolidated Financial Statements in this Form 10-Q, on June 28, 2012 we entered into a consent agreement with the DTCC and a deferred prosecution agreement with the DOJ regarding separate but related export licensing compliance violations, both of which impose significant continuing obligations.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for the period in which damages would be paid. For a description of current legal proceedings, see Part I, Item 3 “Legal Proceedings,” in our Form 10-K, as updated from time to time in subsequent filings, including this Form 10-Q. For income tax risks, we recognize tax benefits based on our 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Our Profitability May Be Hurt or Our Business Otherwise Might Be Adversely Affected</w:t>
      </w:r>
    </w:p>
    <w:p>
      <w:pPr>
        <w:spacing w:after="0" w:line="132"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Information Technology and Other Business Disruptions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 We believe that we have adopted appropriate measures to mitigate potential risks to our technology and our operations from these information technology-related and other potential disruptions. However, given the unpredictability of the timing, nature and scope of such disruptions, we could potentially be subject to production downtimes, operational delays, other detrimental impacts on our operations or ability to provide products and services to our customers, the compromising of confidential or otherwise protected information, destruction or corruption of data, security breaches, other manipulation or improper use of our systems and networks, financial losses from remedial actions, loss of business or potential liability, and/or damage to our reputation, any of which could have a material adverse effect on our cash flows, competitive position, financial condition or results of operations.</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We may also be subject to disruptions, losses and liability resulting from various cybersecurity attacks or information technology failures.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did not make any repurchases of our common stock under the current share repurchase program during the quarter ended September 30, 2012. Under the current program, which was announced on March 10, 2010 and which authorizes the repurchase of up to 60 million shares of our common stock, shares may be purchased on the open market, in privately negotiated transactions and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plans complying with Rules 10b5-1 and 10b-18 under the Securities Exchange Act of 1934, as amended. In connection with our acquisition of Goodrich, we announced that we will suspend additional share repurchases until at least January 1, 2013, and will significantly reduce repurchases for two years thereafter. The number of shares remaining for purchase under the current program is approximately 6,937,000. We may, however, continue to reacquire shares outside of this program from time to time in connection with the surrender of shares to cover taxes on the vesting of restricted stock. Approximately 4,000 shares were reacquired in transactions outside the program during the quarter ended September 30, 2012.</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16"/>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nine months ended September 30, 2012 and 2011, (ii) Condensed Consolidated Balance Sheet at September 30, 2012 and December 31, 2011, (iii) Condensed Consolidated Statement of Cash Flows for the nine months ended September 30, 2012 and 2011, and (iv)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(Registrant)</w:t>
      </w:r>
    </w:p>
    <w:p>
      <w:pPr>
        <w:spacing w:after="0" w:line="232" w:lineRule="exact"/>
        <w:rPr>
          <w:sz w:val="20"/>
          <w:szCs w:val="20"/>
          <w:color w:val="auto"/>
        </w:rPr>
      </w:pPr>
    </w:p>
    <w:p>
      <w:pPr>
        <w:spacing w:after="0"/>
        <w:tabs>
          <w:tab w:leader="none" w:pos="5560" w:val="left"/>
          <w:tab w:leader="none" w:pos="7620" w:val="left"/>
          <w:tab w:leader="none" w:pos="8020" w:val="left"/>
        </w:tabs>
        <w:rPr>
          <w:sz w:val="20"/>
          <w:szCs w:val="20"/>
          <w:color w:val="auto"/>
        </w:rPr>
      </w:pPr>
      <w:r>
        <w:rPr>
          <w:rFonts w:ascii="Arial" w:cs="Arial" w:eastAsia="Arial" w:hAnsi="Arial"/>
          <w:sz w:val="18"/>
          <w:szCs w:val="18"/>
          <w:color w:val="auto"/>
        </w:rPr>
        <w:t>Dated: October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10795</wp:posOffset>
            </wp:positionV>
            <wp:extent cx="35591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560" w:val="left"/>
          <w:tab w:leader="none" w:pos="7720" w:val="left"/>
          <w:tab w:leader="none" w:pos="8120" w:val="left"/>
        </w:tabs>
        <w:rPr>
          <w:sz w:val="20"/>
          <w:szCs w:val="20"/>
          <w:color w:val="auto"/>
        </w:rPr>
      </w:pPr>
      <w:r>
        <w:rPr>
          <w:rFonts w:ascii="Arial" w:cs="Arial" w:eastAsia="Arial" w:hAnsi="Arial"/>
          <w:sz w:val="18"/>
          <w:szCs w:val="18"/>
          <w:color w:val="auto"/>
        </w:rPr>
        <w:t>Dated: October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10795</wp:posOffset>
            </wp:positionV>
            <wp:extent cx="35591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Peter F. Longo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240" w:top="459" w:right="5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nine months ended September 30, 2012 and 2011, (ii) Condensed Consolidated Balance Sheet at September 30, 2012 and December 31, 2011, (iii) Condensed Consolidated Statement of Cash Flows for the nine months ended September 30, 2012 and 2011, and (iv)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Exhibit 12</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20" w:type="dxa"/>
            <w:vAlign w:val="bottom"/>
          </w:tcPr>
          <w:p>
            <w:pPr>
              <w:jc w:val="center"/>
              <w:ind w:left="132"/>
              <w:spacing w:after="0"/>
              <w:rPr>
                <w:sz w:val="20"/>
                <w:szCs w:val="20"/>
                <w:color w:val="auto"/>
              </w:rPr>
            </w:pPr>
            <w:r>
              <w:rPr>
                <w:rFonts w:ascii="Arial" w:cs="Arial" w:eastAsia="Arial" w:hAnsi="Arial"/>
                <w:sz w:val="18"/>
                <w:szCs w:val="18"/>
                <w:b w:val="1"/>
                <w:bCs w:val="1"/>
                <w:color w:val="auto"/>
                <w:w w:val="99"/>
              </w:rPr>
              <w:t>UNITED TECHNOLOGIES CORPORATION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20" w:type="dxa"/>
            <w:vAlign w:val="bottom"/>
          </w:tcPr>
          <w:p>
            <w:pPr>
              <w:jc w:val="center"/>
              <w:ind w:left="132"/>
              <w:spacing w:after="0"/>
              <w:rPr>
                <w:sz w:val="20"/>
                <w:szCs w:val="20"/>
                <w:color w:val="auto"/>
              </w:rPr>
            </w:pPr>
            <w:r>
              <w:rPr>
                <w:rFonts w:ascii="Arial" w:cs="Arial" w:eastAsia="Arial" w:hAnsi="Arial"/>
                <w:sz w:val="18"/>
                <w:szCs w:val="18"/>
                <w:b w:val="1"/>
                <w:bCs w:val="1"/>
                <w:color w:val="auto"/>
                <w:w w:val="96"/>
              </w:rPr>
              <w:t>AND SUBSIDIARIES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7"/>
              </w:rPr>
              <w:t>STATEMENT RE: COMPUTATION OF RATIO OF EARNINGS TO FIXED CHARGES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5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9"/>
        </w:trPr>
        <w:tc>
          <w:tcPr>
            <w:tcW w:w="2340" w:type="dxa"/>
            <w:vAlign w:val="bottom"/>
            <w:gridSpan w:val="3"/>
            <w:vMerge w:val="continue"/>
          </w:tcPr>
          <w:p>
            <w:pPr>
              <w:spacing w:after="0"/>
              <w:rPr>
                <w:sz w:val="12"/>
                <w:szCs w:val="12"/>
                <w:color w:val="auto"/>
              </w:rPr>
            </w:pPr>
          </w:p>
        </w:tc>
        <w:tc>
          <w:tcPr>
            <w:tcW w:w="65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Fixed Charges:</w:t>
            </w:r>
          </w:p>
        </w:tc>
        <w:tc>
          <w:tcPr>
            <w:tcW w:w="764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7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8860" w:type="dxa"/>
            <w:vAlign w:val="bottom"/>
            <w:gridSpan w:val="4"/>
            <w:vMerge w:val="restart"/>
          </w:tcPr>
          <w:p>
            <w:pPr>
              <w:spacing w:after="0"/>
              <w:rPr>
                <w:sz w:val="20"/>
                <w:szCs w:val="20"/>
                <w:color w:val="auto"/>
              </w:rPr>
            </w:pPr>
            <w:r>
              <w:rPr>
                <w:rFonts w:ascii="Arial" w:cs="Arial" w:eastAsia="Arial" w:hAnsi="Arial"/>
                <w:sz w:val="18"/>
                <w:szCs w:val="18"/>
                <w:color w:val="auto"/>
              </w:rPr>
              <w:t>Earnings: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Fixed charges per above</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731</w:t>
            </w:r>
          </w:p>
        </w:tc>
        <w:tc>
          <w:tcPr>
            <w:tcW w:w="7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Total earnings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6,161</w:t>
            </w:r>
          </w:p>
        </w:tc>
        <w:tc>
          <w:tcPr>
            <w:tcW w:w="7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$31 million and $14 million for the nine months ended September 30, 2012 and 2011, respectively. The ratio of earnings to fixed charges would have been 8.62 and 10.18 for the nine months ended September 30, 2012 and 2011, respectively, if such interest were excluded from the calculation. Reasonable approximation of the interest factor.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2">
            <w:col w:w="60" w:space="400"/>
            <w:col w:w="10960"/>
          </w:cols>
          <w:pgMar w:left="240" w:top="125"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aware that our report dated October 26, 2012 on our review of interim financial information of United Technologies Corporation (the “Corporation”) for the three-month and nine-month periods ended September 30, 2012 and 2011 and included in the Corporation’s quarterly report on Form 10-Q for the quarter ended September 30, 2012 is incorporated by reference in its Registration Statement on Form S-3 (No. 333-167771) as amended by Post-Effective Amendment No.1 on Form S-3 (No. 333-167771), in the Registration Statement on Form S-4 (No. 333-77991) as amended by Post-Effective Amendment No. 1 on Form S-8 (No. 333-77991) and in the Registration Statements on Form S-8 (Nos. 333-183123, 333-177520, 333-177517, 333-175781, 333-175780, 333-156390, 333-150643, 333-125293, 333-110020, 333-100724, 333-100723, 333-100718, 333-82911, 333-77817, 333-21853, 333-21851 and 033-51385).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 October 26, 2012</w:t>
            </w: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r>
        <w:trPr>
          <w:trHeight w:val="365"/>
        </w:trPr>
        <w:tc>
          <w:tcPr>
            <w:tcW w:w="36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69</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 October 26, 2012</w:t>
            </w: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6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 October 26, 2012</w:t>
            </w: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r>
        <w:trPr>
          <w:trHeight w:val="365"/>
        </w:trPr>
        <w:tc>
          <w:tcPr>
            <w:tcW w:w="36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Quarterly Report on Form 10-Q for the quarter ended September 30, 2012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26, 2012</w:t>
      </w:r>
      <w:r>
        <w:rPr>
          <w:sz w:val="20"/>
          <w:szCs w:val="20"/>
          <w:color w:val="auto"/>
        </w:rPr>
        <w:tab/>
      </w:r>
      <w:r>
        <w:rPr>
          <w:rFonts w:ascii="Arial" w:cs="Arial" w:eastAsia="Arial" w:hAnsi="Arial"/>
          <w:sz w:val="16"/>
          <w:szCs w:val="16"/>
          <w:color w:val="auto"/>
        </w:rPr>
        <w:t>/s/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26, 2012</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26, 2012</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F. Longo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and Controller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1"/>
    </w:lvl>
  </w:abstractNum>
  <w:abstractNum w:abstractNumId="13">
    <w:nsid w:val="41A7C4C9"/>
    <w:multiLevelType w:val="hybridMultilevel"/>
    <w:lvl w:ilvl="0">
      <w:lvlJc w:val="left"/>
      <w:lvlText w:val="%1"/>
      <w:numFmt w:val="decimal"/>
      <w:start w:val="3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2019-12-09T13:37:46Z</dcterms:created>
  <dcterms:modified xsi:type="dcterms:W3CDTF">2019-12-09T13:37:46Z</dcterms:modified>
</cp:coreProperties>
</file>