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Financial Plaza, Hartford, Connecticut 06101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March 31, 2015 there were 890,201,794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2015</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9"/>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 of Operations for the quarters ended March 31, 2015 and 2014</w:t>
              </w:r>
            </w:hyperlink>
          </w:p>
        </w:tc>
        <w:tc>
          <w:tcPr>
            <w:tcW w:w="32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for the quarters ended March 31, 2015 and 2014</w:t>
              </w:r>
            </w:hyperlink>
          </w:p>
        </w:tc>
        <w:tc>
          <w:tcPr>
            <w:tcW w:w="2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 at March 31, 2015 and December 31, 2014</w:t>
              </w:r>
            </w:hyperlink>
          </w:p>
        </w:tc>
        <w:tc>
          <w:tcPr>
            <w:tcW w:w="4360" w:type="dxa"/>
            <w:vAlign w:val="bottom"/>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 of Cash Flows for the quarters ended March 31, 2015 and 2014</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Borders>
              <w:top w:val="single" w:sz="8" w:color="0000FF"/>
            </w:tcBorders>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32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 Quantitative and Qualitative Disclosures About Market Risk</w:t>
              </w:r>
            </w:hyperlink>
          </w:p>
        </w:tc>
        <w:tc>
          <w:tcPr>
            <w:tcW w:w="358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6"/>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Item 4. Controls and Procedures</w:t>
              </w:r>
            </w:hyperlink>
          </w:p>
        </w:tc>
        <w:tc>
          <w:tcPr>
            <w:tcW w:w="2580" w:type="dxa"/>
            <w:vAlign w:val="bottom"/>
            <w:gridSpan w:val="6"/>
          </w:tcPr>
          <w:p>
            <w:pPr>
              <w:spacing w:after="0"/>
              <w:rPr>
                <w:sz w:val="24"/>
                <w:szCs w:val="24"/>
                <w:color w:val="auto"/>
              </w:rPr>
            </w:pPr>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8"/>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PART II – OTHER INFORMATION</w:t>
              </w:r>
            </w:hyperlink>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Item 1. Legal Proceedings</w:t>
              </w:r>
            </w:hyperlink>
          </w:p>
        </w:tc>
        <w:tc>
          <w:tcPr>
            <w:tcW w:w="660" w:type="dxa"/>
            <w:vAlign w:val="bottom"/>
            <w:gridSpan w:val="2"/>
          </w:tcPr>
          <w:p>
            <w:pPr>
              <w:spacing w:after="0"/>
              <w:rPr>
                <w:sz w:val="24"/>
                <w:szCs w:val="24"/>
                <w:color w:val="auto"/>
              </w:rPr>
            </w:pPr>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1A. Risk Factors</w:t>
              </w:r>
            </w:hyperlink>
          </w:p>
        </w:tc>
        <w:tc>
          <w:tcPr>
            <w:tcW w:w="280" w:type="dxa"/>
            <w:vAlign w:val="bottom"/>
          </w:tcPr>
          <w:p>
            <w:pPr>
              <w:spacing w:after="0"/>
              <w:rPr>
                <w:sz w:val="24"/>
                <w:szCs w:val="24"/>
                <w:color w:val="auto"/>
              </w:rPr>
            </w:pPr>
          </w:p>
        </w:tc>
        <w:tc>
          <w:tcPr>
            <w:tcW w:w="870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Item 2. Unregistered Sales of Equity Securities and Use of Proceeds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 Defaults Upon Senior Securities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5. Other Information</w:t>
              </w:r>
            </w:hyperlink>
          </w:p>
        </w:tc>
        <w:tc>
          <w:tcPr>
            <w:tcW w:w="960" w:type="dxa"/>
            <w:vAlign w:val="bottom"/>
            <w:gridSpan w:val="3"/>
          </w:tcPr>
          <w:p>
            <w:pPr>
              <w:spacing w:after="0"/>
              <w:rPr>
                <w:sz w:val="24"/>
                <w:szCs w:val="24"/>
                <w:color w:val="auto"/>
              </w:rPr>
            </w:pPr>
          </w:p>
        </w:tc>
        <w:tc>
          <w:tcPr>
            <w:tcW w:w="774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70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6. Exhibits</w:t>
              </w:r>
            </w:hyperlink>
          </w:p>
        </w:tc>
        <w:tc>
          <w:tcPr>
            <w:tcW w:w="870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SIGNATURES</w:t>
              </w:r>
            </w:hyperlink>
          </w:p>
        </w:tc>
        <w:tc>
          <w:tcPr>
            <w:tcW w:w="960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EXHIBIT INDEX</w:t>
              </w:r>
            </w:hyperlink>
          </w:p>
        </w:tc>
        <w:tc>
          <w:tcPr>
            <w:tcW w:w="942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10,692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4,053</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14,745</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8,081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12,910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1,426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1,213</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7"/>
        </w:trPr>
        <w:tc>
          <w:tcPr>
            <w:tcW w:w="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Reclassification adjustments for (gain) loss on sale of an investment in a foreign entity recognized in Other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Unrealized holding gain arising during period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loss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220" w:type="dxa"/>
            <w:vAlign w:val="bottom"/>
            <w:tcBorders>
              <w:top w:val="single" w:sz="8" w:color="CCEEFF"/>
            </w:tcBorders>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5,281</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5,235</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11,317</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10,336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9,865</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1,931</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 current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936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1,410</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29,758</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Customer financing assets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993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978</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1,494</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Fixed assets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19,632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19,764</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(10,488)</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Fixed assets, net</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9,175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9,276</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27,557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27,796</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15,571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15,560</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6,427</w:t>
            </w:r>
          </w:p>
        </w:tc>
      </w:tr>
      <w:tr>
        <w:trPr>
          <w:trHeight w:val="28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6"/>
          </w:tcPr>
          <w:p>
            <w:pPr>
              <w:ind w:left="340"/>
              <w:spacing w:after="0"/>
              <w:rPr>
                <w:sz w:val="20"/>
                <w:szCs w:val="20"/>
                <w:color w:val="auto"/>
              </w:rPr>
            </w:pPr>
            <w:r>
              <w:rPr>
                <w:rFonts w:ascii="Arial" w:cs="Arial" w:eastAsia="Arial" w:hAnsi="Arial"/>
                <w:sz w:val="17"/>
                <w:szCs w:val="17"/>
                <w:color w:val="auto"/>
              </w:rPr>
              <w:t>Total Assets</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91,327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91,289</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w w:val="94"/>
              </w:rPr>
              <w:t>Liabilities and Equity</w:t>
            </w:r>
          </w:p>
        </w:tc>
        <w:tc>
          <w:tcPr>
            <w:tcW w:w="3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Short-term borrowings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2,314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126</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6,967</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14,616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14,006</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1,796</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25,729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22,895</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17,872</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6,494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6,683</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11,135</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Liabilities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61,025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58,585</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Redeemable noncontrolling interest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140</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Common Stock</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15,032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15,300</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(21,922)</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45,462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44,611</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Unearned ESOP shares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(6,661)</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6"/>
            <w:shd w:val="clear" w:color="auto" w:fill="CCEEFF"/>
          </w:tcPr>
          <w:p>
            <w:pPr>
              <w:ind w:left="1100"/>
              <w:spacing w:after="0"/>
              <w:rPr>
                <w:sz w:val="20"/>
                <w:szCs w:val="20"/>
                <w:color w:val="auto"/>
              </w:rPr>
            </w:pPr>
            <w:r>
              <w:rPr>
                <w:rFonts w:ascii="Arial" w:cs="Arial" w:eastAsia="Arial" w:hAnsi="Arial"/>
                <w:sz w:val="17"/>
                <w:szCs w:val="17"/>
                <w:color w:val="auto"/>
              </w:rPr>
              <w:t>Total Shareowners'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31,213</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Noncontrolling interest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1,517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1,351</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32,564</w:t>
            </w:r>
          </w:p>
        </w:tc>
      </w:tr>
      <w:tr>
        <w:trPr>
          <w:trHeight w:val="244"/>
        </w:trPr>
        <w:tc>
          <w:tcPr>
            <w:tcW w:w="40" w:type="dxa"/>
            <w:vAlign w:val="bottom"/>
          </w:tcPr>
          <w:p>
            <w:pPr>
              <w:spacing w:after="0"/>
              <w:rPr>
                <w:sz w:val="21"/>
                <w:szCs w:val="21"/>
                <w:color w:val="auto"/>
              </w:rPr>
            </w:pPr>
          </w:p>
        </w:tc>
        <w:tc>
          <w:tcPr>
            <w:tcW w:w="8080" w:type="dxa"/>
            <w:vAlign w:val="bottom"/>
            <w:gridSpan w:val="6"/>
          </w:tcPr>
          <w:p>
            <w:pPr>
              <w:ind w:left="34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91,327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91,289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Receipts (payments) from settlements of derivative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provided by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Issuance of long-term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(decrease) in short-term borrowings,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4,619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Condensed Consolidated Financial Statements at March 31, 2015 and for the quarters ended March 31, 2015 and 2014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Certain reclassifications have been made to the prior year amounts to conform to the current year presentation. The financial information included herein should be read in conjunction with the financial statements and notes in our Annual Report to Shareowners (2014 Annual Report) incorporated by reference to our Annual Report on Form 10-K for calendar year 2014 (2014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quarter ended March 31, 2015, our investment in business acquisitions was $247 million, including debt</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of $17 million, and consisted of the acquisition of the majority interest in a UTC Climate, Controls &amp; Security joint venture and a number of small acquisitions, primarily in our commercial businesses.</w:t>
      </w:r>
    </w:p>
    <w:p>
      <w:pPr>
        <w:spacing w:after="0" w:line="180"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a result of the 2012 transactions related to IAE International Aero Engines AG (IAE), Pratt &amp; Whitney holds a 61% net interest in the collaboration and a 49.5% ownership interest in IAE. IAE's business purpose is to coordinate the design, development, manufacturing and product support of the V2500 jet engine program through involvement with the collaborators. IAE retains limited equity with the primary economics of the V2500 program passed to the participants in the separate collaboration arrangement. As such, we have determined that IAE is a variable interest entity with Pratt &amp; Whitney its primary beneficiary, and IAE has, therefore, been consolidated. The carrying amounts and classification of assets and liabilities for IAE in our Condensed Consolidated Balance Sheet as of March 31, 2015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0"/>
        </w:trPr>
        <w:tc>
          <w:tcPr>
            <w:tcW w:w="81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2015 were as follows:</w:t>
            </w: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gridSpan w:val="9"/>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24"/>
                <w:szCs w:val="2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24"/>
                <w:szCs w:val="24"/>
                <w:color w:val="auto"/>
              </w:rPr>
            </w:pPr>
          </w:p>
        </w:tc>
        <w:tc>
          <w:tcPr>
            <w:tcW w:w="13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2015</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220" w:type="dxa"/>
            <w:vAlign w:val="bottom"/>
          </w:tcPr>
          <w:p>
            <w:pPr>
              <w:spacing w:after="0"/>
              <w:rPr>
                <w:sz w:val="13"/>
                <w:szCs w:val="13"/>
                <w:color w:val="auto"/>
              </w:rPr>
            </w:pPr>
          </w:p>
        </w:tc>
        <w:tc>
          <w:tcPr>
            <w:tcW w:w="1380" w:type="dxa"/>
            <w:vAlign w:val="bottom"/>
          </w:tcPr>
          <w:p>
            <w:pPr>
              <w:jc w:val="right"/>
              <w:ind w:right="232"/>
              <w:spacing w:after="0" w:line="158" w:lineRule="exact"/>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27,792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27,796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27,557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7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17,611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Customer relationship intangible assets include payments made to our customers to secure certain contractual rights. We amortize these intangible assets based on the underlying pattern of economic benefit, which may result in an amortization method other than straight-line. We classify amortization of such payments as a reduction of sales. The IAE collaboration intangible asset is amortized based upon the economic pattern of benefits as represented by the underlying cash flows. Amortization of intangible assets was approximately $179 million for each of the quarters ended March 31, 2015 and 2014. The following is the expected amortization of intangible assets for the years 2015 through 2020, which reflects an increase in expected amortization expense due to the pattern of economic benefit on certain aerospace intangible assets.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Remaining 2015</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5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2: Earnings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0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494"/>
              <w:spacing w:after="0"/>
              <w:rPr>
                <w:sz w:val="20"/>
                <w:szCs w:val="20"/>
                <w:color w:val="auto"/>
              </w:rPr>
            </w:pPr>
            <w:r>
              <w:rPr>
                <w:rFonts w:ascii="Arial" w:cs="Arial" w:eastAsia="Arial" w:hAnsi="Arial"/>
                <w:sz w:val="14"/>
                <w:szCs w:val="14"/>
                <w:b w:val="1"/>
                <w:bCs w:val="1"/>
                <w:color w:val="auto"/>
                <w:w w:val="98"/>
              </w:rPr>
              <w:t>Quarter Ended March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gridSpan w:val="5"/>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Basic weighted average number of shares outstanding</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w w:val="95"/>
              </w:rPr>
              <w:t>Diluted weighted average number of shares outstanding</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 ended</w:t>
      </w:r>
    </w:p>
    <w:p>
      <w:pPr>
        <w:ind w:right="620"/>
        <w:spacing w:after="0" w:line="261" w:lineRule="auto"/>
        <w:rPr>
          <w:sz w:val="20"/>
          <w:szCs w:val="20"/>
          <w:color w:val="auto"/>
        </w:rPr>
      </w:pPr>
      <w:r>
        <w:rPr>
          <w:rFonts w:ascii="Arial" w:cs="Arial" w:eastAsia="Arial" w:hAnsi="Arial"/>
          <w:sz w:val="18"/>
          <w:szCs w:val="18"/>
          <w:color w:val="auto"/>
        </w:rPr>
        <w:t>March 31, 2015, the number of stock awards excluded from the computation was approximately 0.4 million. There were no anti-dilutive stock awards excluded from the computation for the quarter ended March 31, 2014.</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3,596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3,776</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8,189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(7,452)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Inventory also includes capitalized contract development costs related to certain aerospace programs at UTC Aerospace Systems. As of March 31, 2015 and December 31, 2014, these capitalized costs were $131 million and $141 million, respectively, which will be liquidated as production units are delivered to the customer.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At March 31, 2015, we had revolving credit agreements with various banks permitting aggregate borrowings of up to $5.85 billion pursuant to a $2.20 billion revolving credit agreement and a $2.15 billion multicurrency revolving credit agreement, both of which expire in May 2019, and a $1.5 billion revolving credit agreement, entered into on March 11, 2015, which expires in September 2015. As of March 31, 2015, there were no borrowings under these revolving credit agreements. The undrawn portions of these revolving credit agreements are also available to serve as backup facilities for the issuance of commercial paper. As of March 31, 2015, our maximum commercial paper borrowing limit was $4.35 billion. We use our commercial paper borrowings for general corporate purposes, including the funding of potential acquisitions, debt refinancing, and repurchases of our common stock. Commercial paper borrowings as of March 31, 2015 were largely used to initially finance the accelerated share repurchase agreements entered into on March 13, 2015. See Note 11 for further discussion of these accelerated share repurchase agreements.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4"/>
                <w:szCs w:val="1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0.500% floating rate notes due 2015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4.875% notes due 2015*</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5.375% notes due 2017*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1.800% notes due 2017*</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6.800% notes due 2018</w:t>
            </w:r>
            <w:r>
              <w:rPr>
                <w:rFonts w:ascii="Arial" w:cs="Arial" w:eastAsia="Arial" w:hAnsi="Arial"/>
                <w:sz w:val="25"/>
                <w:szCs w:val="25"/>
                <w:color w:val="auto"/>
                <w:vertAlign w:val="superscript"/>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6.125% notes due 2019*</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4.500% notes due 2020*</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4.875% notes due 2020</w:t>
            </w:r>
            <w:r>
              <w:rPr>
                <w:rFonts w:ascii="Arial" w:cs="Arial" w:eastAsia="Arial" w:hAnsi="Arial"/>
                <w:sz w:val="25"/>
                <w:szCs w:val="25"/>
                <w:color w:val="auto"/>
                <w:vertAlign w:val="superscript"/>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8.750% notes due 2021</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3.100% notes due 2022*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1.550% junior subordinated notes due 2022</w:t>
            </w:r>
            <w:r>
              <w:rPr>
                <w:rFonts w:ascii="Arial" w:cs="Arial" w:eastAsia="Arial" w:hAnsi="Arial"/>
                <w:sz w:val="25"/>
                <w:szCs w:val="25"/>
                <w:color w:val="auto"/>
                <w:vertAlign w:val="superscript"/>
              </w:rPr>
              <w: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7.100% notes due 2027</w:t>
            </w:r>
            <w:r>
              <w:rPr>
                <w:rFonts w:ascii="Arial" w:cs="Arial" w:eastAsia="Arial" w:hAnsi="Arial"/>
                <w:sz w:val="25"/>
                <w:szCs w:val="25"/>
                <w:color w:val="auto"/>
                <w:vertAlign w:val="superscript"/>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7.500% notes due 2029*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5.400% notes due 2035*</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6.050% notes due 2036*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6.800% notes due 2036</w:t>
            </w:r>
            <w:r>
              <w:rPr>
                <w:rFonts w:ascii="Arial" w:cs="Arial" w:eastAsia="Arial" w:hAnsi="Arial"/>
                <w:sz w:val="25"/>
                <w:szCs w:val="25"/>
                <w:color w:val="auto"/>
                <w:vertAlign w:val="superscript"/>
              </w:rPr>
              <w: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7.000% notes due 2038</w:t>
            </w:r>
            <w:r>
              <w:rPr>
                <w:rFonts w:ascii="Arial" w:cs="Arial" w:eastAsia="Arial" w:hAnsi="Arial"/>
                <w:sz w:val="25"/>
                <w:szCs w:val="25"/>
                <w:color w:val="auto"/>
                <w:vertAlign w:val="superscript"/>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6.125% notes due 2038*</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5.700% notes due 2040*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4.500% notes due 2042*</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Project financing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70"/>
        </w:trPr>
        <w:tc>
          <w:tcPr>
            <w:tcW w:w="81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Other (including capitalized leases)</w:t>
            </w:r>
            <w:r>
              <w:rPr>
                <w:rFonts w:ascii="Arial" w:cs="Arial" w:eastAsia="Arial" w:hAnsi="Arial"/>
                <w:sz w:val="25"/>
                <w:szCs w:val="25"/>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378</w:t>
            </w: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principal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19,500</w:t>
            </w:r>
          </w:p>
        </w:tc>
      </w:tr>
      <w:tr>
        <w:trPr>
          <w:trHeight w:val="270"/>
        </w:trPr>
        <w:tc>
          <w:tcPr>
            <w:tcW w:w="81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Other (fair market value adjustments and discounts)</w:t>
            </w:r>
            <w:r>
              <w:rPr>
                <w:rFonts w:ascii="Arial" w:cs="Arial" w:eastAsia="Arial" w:hAnsi="Arial"/>
                <w:sz w:val="25"/>
                <w:szCs w:val="25"/>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w:t>
            </w:r>
          </w:p>
        </w:tc>
      </w:tr>
      <w:tr>
        <w:trPr>
          <w:trHeight w:val="26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19,668</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17,872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340" w:hanging="332"/>
        <w:spacing w:after="0" w:line="27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36" w:lineRule="exact"/>
        <w:rPr>
          <w:sz w:val="20"/>
          <w:szCs w:val="20"/>
          <w:color w:val="auto"/>
        </w:rPr>
      </w:pPr>
    </w:p>
    <w:p>
      <w:pPr>
        <w:ind w:left="340" w:right="440" w:hanging="332"/>
        <w:spacing w:after="0" w:line="303"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5"/>
          <w:szCs w:val="15"/>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ind w:left="340" w:hanging="332"/>
        <w:spacing w:after="0" w:line="225"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three-month LIBOR rate as of March 31, 2015 was approximately 0.3%.</w:t>
      </w:r>
    </w:p>
    <w:p>
      <w:pPr>
        <w:spacing w:after="0" w:line="15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April 14, 2015, we announced our intention to conduct an optional remarketing of the 1.550% junior subordinated notes due in 2022, between April 29, 2015 and July 15, 2015.</w:t>
      </w:r>
    </w:p>
    <w:p>
      <w:pPr>
        <w:spacing w:after="0" w:line="17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Singapore, South Korea, Spain, the United Kingdom and the United States. With few exceptions, we are no longer subject to U.S. federal, state and local, or non-U.S. income tax examinations for years before 2003.</w:t>
      </w:r>
    </w:p>
    <w:p>
      <w:pPr>
        <w:spacing w:after="0" w:line="188"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twelve months the amount of unrecognized tax benefits may change within a range of a net increase of $35 million to a net decrease of $460 million as a result of additional worldwide uncertain tax positions, the revaluation of current uncertain tax positions arising from developments in examinations, in appeals, or in the courts, or the closure of tax statutes. See Note 13, Contingent Liabilities, for discussion regarding uncertain tax positions, included in the above range, related to pending litigation with respect to certain deductions claimed in Germany.</w:t>
      </w:r>
    </w:p>
    <w:p>
      <w:pPr>
        <w:spacing w:after="0" w:line="16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UTC tax years 2011 and 2012 are currently under review by the Examination Division of the Internal Revenue Service (IRS), which is expected to continue beyond the next 12 months. Goodrich Corporation tax years 2011 and 2012 through the date of acquisition by UTC are currently under review by the Examination Division of the IRS, which is also expected to continue beyond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There were no contributions to our domestic defined benefit pension plans in the quarters ended March 31, 2015 and 2014. The following table illustrates the components of net periodic benefit cost for our defined pension and other postretirement benefit plans: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Quarter Ended March 31,</w:t>
            </w:r>
          </w:p>
        </w:tc>
        <w:tc>
          <w:tcPr>
            <w:tcW w:w="320" w:type="dxa"/>
            <w:vAlign w:val="bottom"/>
          </w:tcPr>
          <w:p>
            <w:pPr>
              <w:spacing w:after="0"/>
              <w:rPr>
                <w:sz w:val="16"/>
                <w:szCs w:val="16"/>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quarter ended March 31, 2015, we recorded net pre-tax restructuring costs totaling $93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quarter ended March 31, 2015 primarily relate to actions initiated during 2015 and 2014,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quarter ended March 31, 2015, we recorded net pre-tax restructuring costs totaling $64 million, including $5 million in cost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$59 million in selling, general and administrative expenses. The 2015 actions relate to ongoing cost reduction efforts, including workforce reductions and the consolidation of field operations.</w:t>
      </w:r>
    </w:p>
    <w:p>
      <w:pPr>
        <w:spacing w:after="0" w:line="180"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2015 and 2016. No specific plans for significant other actions have been finalized at this time. All costs incurred during the quarter ended March 31, 2015 relate to severance. The following table summarizes the accrual balance and utilization for the 2015 restructuring actions: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1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60" w:type="dxa"/>
            <w:vAlign w:val="bottom"/>
            <w:gridSpan w:val="8"/>
          </w:tcPr>
          <w:p>
            <w:pPr>
              <w:jc w:val="right"/>
              <w:ind w:right="920"/>
              <w:spacing w:after="0"/>
              <w:rPr>
                <w:sz w:val="20"/>
                <w:szCs w:val="20"/>
                <w:color w:val="auto"/>
              </w:rPr>
            </w:pPr>
            <w:r>
              <w:rPr>
                <w:rFonts w:ascii="Arial" w:cs="Arial" w:eastAsia="Arial" w:hAnsi="Arial"/>
                <w:sz w:val="18"/>
                <w:szCs w:val="18"/>
                <w:color w:val="auto"/>
                <w:w w:val="94"/>
              </w:rPr>
              <w:t>The following table summarizes expected, incurred and remaining costs for the 2015 restructuring actions by segment: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Costs Incurred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104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Costs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8"/>
              </w:rPr>
              <w:t>March 31, 2015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w w:val="98"/>
              </w:rPr>
              <w:t>March 31, 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quarter ended March 31, 2015, we recorded net pre-tax restructuring costs totaling $23 million for restructuring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2014, including $14 million in cost of sales and $9 million in selling, general and administrative expenses. The 2014 actions relate to ongoing cost reduction efforts, including workforce reductions and the consolidation of field operations. The following table summarizes the accrual balances and utilization by cost type for the 2014 restructuring 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672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Facility Exit,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Lease</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7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Restructuring accruals at January 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6720" w:type="dxa"/>
            <w:vAlign w:val="bottom"/>
            <w:gridSpan w:val="4"/>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6720" w:type="dxa"/>
            <w:vAlign w:val="bottom"/>
            <w:gridSpan w:val="4"/>
          </w:tcPr>
          <w:p>
            <w:pPr>
              <w:ind w:left="40"/>
              <w:spacing w:after="0"/>
              <w:rPr>
                <w:sz w:val="20"/>
                <w:szCs w:val="20"/>
                <w:color w:val="auto"/>
              </w:rPr>
            </w:pPr>
            <w:r>
              <w:rPr>
                <w:rFonts w:ascii="Arial" w:cs="Arial" w:eastAsia="Arial" w:hAnsi="Arial"/>
                <w:sz w:val="18"/>
                <w:szCs w:val="18"/>
                <w:color w:val="auto"/>
              </w:rPr>
              <w:t>Balance at March 31, 2015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2014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98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3"/>
                <w:szCs w:val="13"/>
                <w:color w:val="auto"/>
              </w:rPr>
            </w:pPr>
          </w:p>
        </w:tc>
        <w:tc>
          <w:tcPr>
            <w:tcW w:w="1200" w:type="dxa"/>
            <w:vAlign w:val="bottom"/>
          </w:tcPr>
          <w:p>
            <w:pPr>
              <w:jc w:val="right"/>
              <w:ind w:right="112"/>
              <w:spacing w:after="0" w:line="158" w:lineRule="exact"/>
              <w:rPr>
                <w:sz w:val="20"/>
                <w:szCs w:val="20"/>
                <w:color w:val="auto"/>
              </w:rPr>
            </w:pPr>
            <w:r>
              <w:rPr>
                <w:rFonts w:ascii="Arial" w:cs="Arial" w:eastAsia="Arial" w:hAnsi="Arial"/>
                <w:sz w:val="14"/>
                <w:szCs w:val="14"/>
                <w:b w:val="1"/>
                <w:bCs w:val="1"/>
                <w:color w:val="auto"/>
                <w:w w:val="98"/>
              </w:rPr>
              <w:t>March 31,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As of March 31, 2015, we have approximately $71 million of accrual balances remaining related to 2013 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$14.5 billion and $13.9 billion at March 31, 2015 and December 31, 2014, respectively.</w:t>
      </w:r>
    </w:p>
    <w:p>
      <w:pPr>
        <w:spacing w:after="0" w:line="170" w:lineRule="exact"/>
        <w:rPr>
          <w:sz w:val="20"/>
          <w:szCs w:val="20"/>
          <w:color w:val="auto"/>
        </w:rPr>
      </w:pPr>
    </w:p>
    <w:p>
      <w:pPr>
        <w:jc w:val="both"/>
        <w:ind w:right="20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March 31, 2015 and December 31, 2014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Asset Derivatives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rPr>
              <w:t>Liability Derivatives</w:t>
            </w:r>
          </w:p>
        </w:tc>
        <w:tc>
          <w:tcPr>
            <w:tcW w:w="46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2015</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351"/>
        </w:trPr>
        <w:tc>
          <w:tcPr>
            <w:tcW w:w="40" w:type="dxa"/>
            <w:vAlign w:val="bottom"/>
          </w:tcPr>
          <w:p>
            <w:pPr>
              <w:spacing w:after="0"/>
              <w:rPr>
                <w:sz w:val="24"/>
                <w:szCs w:val="24"/>
                <w:color w:val="auto"/>
              </w:rPr>
            </w:pPr>
          </w:p>
        </w:tc>
        <w:tc>
          <w:tcPr>
            <w:tcW w:w="8540" w:type="dxa"/>
            <w:vAlign w:val="bottom"/>
            <w:gridSpan w:val="8"/>
          </w:tcPr>
          <w:p>
            <w:pPr>
              <w:ind w:left="400"/>
              <w:spacing w:after="0"/>
              <w:rPr>
                <w:sz w:val="20"/>
                <w:szCs w:val="20"/>
                <w:color w:val="auto"/>
              </w:rPr>
            </w:pPr>
            <w:r>
              <w:rPr>
                <w:rFonts w:ascii="Arial" w:cs="Arial" w:eastAsia="Arial" w:hAnsi="Arial"/>
                <w:sz w:val="18"/>
                <w:szCs w:val="18"/>
                <w:color w:val="auto"/>
                <w:w w:val="95"/>
              </w:rPr>
              <w:t>The impact from foreign exchange derivative instruments that qualified as cash flow hedges was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24"/>
                <w:szCs w:val="24"/>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recorded in Accumulated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1"/>
        </w:trPr>
        <w:tc>
          <w:tcPr>
            <w:tcW w:w="7840" w:type="dxa"/>
            <w:vAlign w:val="bottom"/>
            <w:gridSpan w:val="7"/>
          </w:tcPr>
          <w:p>
            <w:pPr>
              <w:ind w:left="40"/>
              <w:spacing w:after="0"/>
              <w:rPr>
                <w:sz w:val="20"/>
                <w:szCs w:val="20"/>
                <w:color w:val="auto"/>
              </w:rPr>
            </w:pPr>
            <w:r>
              <w:rPr>
                <w:rFonts w:ascii="Arial" w:cs="Arial" w:eastAsia="Arial" w:hAnsi="Arial"/>
                <w:sz w:val="18"/>
                <w:szCs w:val="18"/>
                <w:color w:val="auto"/>
                <w:w w:val="99"/>
              </w:rPr>
              <w:t>Loss reclassified from Accumulated other comprehensive loss into Product sales (effective portion)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Assuming current market conditions continue, a $176 million pre-tax loss is expected to be reclassified from Accumulated other comprehensive loss into Product sales to reflect the fixed prices obtained from foreign exchange hedging within the next 12 months. At March 31, 2015, all derivative contracts accounted for as cash flow hedges will mature by April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recognized gains of $18 million and $26 million in Other income, net on the Condensed Consolidated Statement of Comprehensive Income from foreign exchange contracts not designated as hedging instruments in the quarters ended March 31, 2015 and 2014, respectively. During the quarter ended March 31, 2015, we received $569 million from settlements of derivative contracts. During the quarter ended March 31, 2014, we made payments of $113 million to settle derivative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Fair Value Measurements and Disclosure Topic of the FASB ASC establishes a valuation hierarchy for disclosure of the inputs to the valuations used to measure fair value. A financial asset or liability's classification within the hierarchy is determined based on the lowest level input that is significant to the fair value measurement. This hierarchy prioritizes the inputs into three broad levels as follows:</w:t>
      </w:r>
    </w:p>
    <w:p>
      <w:pPr>
        <w:spacing w:after="0" w:line="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based on our own assumptions used to measure assets and liabilities at fair value.</w:t>
      </w:r>
    </w:p>
    <w:p>
      <w:pPr>
        <w:spacing w:after="0" w:line="10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and nonrecurring basis in our Condensed Consolidated Balance Sheet as of March 31, 2015 and December 31,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2015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2014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have recorded net gains of approximately $126 million during the quarter ended March 31, 2015, as a result of a fair value adjustment related to the acquisition of a controlling interest in a UTC Climate, Controls &amp; Security joint venture investment.</w:t>
      </w:r>
    </w:p>
    <w:p>
      <w:pPr>
        <w:spacing w:after="0" w:line="166"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March 31, 2015, there were no significant transfers in and out of Level 1 and Level 2.</w:t>
      </w:r>
    </w:p>
    <w:p>
      <w:pPr>
        <w:spacing w:after="0" w:line="155"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As of March 31, 2015,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2015 and December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2015</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March 31,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had commercial aerospace financing and other contractual commitments totaling approximately $10.9 billion and $11.3 billion as of March 31, 2015 and December 31, 2014,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these commitments is not readily determinable.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260" w:firstLine="567"/>
        <w:spacing w:after="0" w:line="276" w:lineRule="auto"/>
        <w:rPr>
          <w:sz w:val="20"/>
          <w:szCs w:val="20"/>
          <w:color w:val="auto"/>
        </w:rPr>
      </w:pPr>
      <w:r>
        <w:rPr>
          <w:rFonts w:ascii="Arial" w:cs="Arial" w:eastAsia="Arial" w:hAnsi="Arial"/>
          <w:sz w:val="17"/>
          <w:szCs w:val="17"/>
          <w:color w:val="auto"/>
        </w:rPr>
        <w:t>Long-term trade accounts receivable, including unbilled receivables primarily related to long-term aftermarket contracts,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business-related long-term receivables as of March 31, 2015 and December 31,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1,045</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381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40"/>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7% of our total long-term receivables were considered to bear high credit risk as of both March 31, 2015 and December 31, 2014.</w:t>
      </w:r>
    </w:p>
    <w:p>
      <w:pPr>
        <w:spacing w:after="0" w:line="154" w:lineRule="exact"/>
        <w:rPr>
          <w:sz w:val="20"/>
          <w:szCs w:val="20"/>
          <w:color w:val="auto"/>
        </w:rPr>
      </w:pPr>
    </w:p>
    <w:p>
      <w:pPr>
        <w:ind w:right="300" w:firstLine="540"/>
        <w:spacing w:after="0" w:line="264" w:lineRule="auto"/>
        <w:rPr>
          <w:sz w:val="20"/>
          <w:szCs w:val="20"/>
          <w:color w:val="auto"/>
        </w:rPr>
      </w:pPr>
      <w:r>
        <w:rPr>
          <w:rFonts w:ascii="Arial" w:cs="Arial" w:eastAsia="Arial" w:hAnsi="Arial"/>
          <w:sz w:val="18"/>
          <w:szCs w:val="18"/>
          <w:color w:val="auto"/>
        </w:rPr>
        <w:t>For long-term trade accounts receivable, we evaluate credit risk and collectability individually to determine if an allowance is necessary. Our long-term receivables included in the table above are individually evaluated for impairment, and we had valuation reserves of $10 million as of both March 31, 2015 and December 31, 2014. At March 31, 2015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December 31, 2014, we did not have any significant balances that are considered to be delinquent, on non-accrual status, past due 90 days or more, or considered to be impaired.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Shareowners' Equity and Noncontrolling Interest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ended March 31, 2015 and 2014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Quarter Ended March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loss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Sale of subsidiary shares from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32,317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392"/>
        <w:spacing w:after="0" w:line="279" w:lineRule="auto"/>
        <w:rPr>
          <w:sz w:val="20"/>
          <w:szCs w:val="20"/>
          <w:color w:val="auto"/>
        </w:rPr>
      </w:pPr>
      <w:r>
        <w:rPr>
          <w:rFonts w:ascii="Arial" w:cs="Arial" w:eastAsia="Arial" w:hAnsi="Arial"/>
          <w:sz w:val="17"/>
          <w:szCs w:val="17"/>
          <w:color w:val="auto"/>
        </w:rPr>
        <w:t>On March 13, 2015, we entered into accelerated share repurchase (ASR) agreements with each of Goldman, Sachs &amp; Co. (Goldman Sachs) and Morgan Stanley &amp; Co. LLC (Morgan Stanley) to repurchase shares of our common stock for an aggregate purchase price of $2.65 billion. Each ASR agreement provides for the repurchase of our common stock based on the average of the daily volume-weighted average prices of our common stock during the term of such ASR agreement, less a discount and subject to adjustments pursuant to the terms and conditions of the ASR agreement.</w:t>
      </w:r>
    </w:p>
    <w:p>
      <w:pPr>
        <w:spacing w:after="0" w:line="171" w:lineRule="exact"/>
        <w:rPr>
          <w:sz w:val="20"/>
          <w:szCs w:val="20"/>
          <w:color w:val="auto"/>
        </w:rPr>
      </w:pPr>
    </w:p>
    <w:p>
      <w:pPr>
        <w:ind w:right="140" w:firstLine="392"/>
        <w:spacing w:after="0" w:line="272" w:lineRule="auto"/>
        <w:rPr>
          <w:sz w:val="20"/>
          <w:szCs w:val="20"/>
          <w:color w:val="auto"/>
        </w:rPr>
      </w:pPr>
      <w:r>
        <w:rPr>
          <w:rFonts w:ascii="Arial" w:cs="Arial" w:eastAsia="Arial" w:hAnsi="Arial"/>
          <w:sz w:val="17"/>
          <w:szCs w:val="17"/>
          <w:color w:val="auto"/>
        </w:rPr>
        <w:t>On March 13, 2015, we paid the aggregate purchase price and received an initial delivery of 18.6 million shares of common stock at a price of $121.24 per share, representing approximately 85% of the shares expected to be repurchased. The aggregate purchase price was recorded as a reduction to shareowners’ equity, consisting of a $2.25 billion billion increase in treasury stock and a $398 million decrease in additional paid-in capital. Upon final settlement of the ASR agreements, under certain circumstances, each of Goldman Sachs and Morgan Stanley may be required to deliver additional shares of common stock, or, under certain circumstances, we may be required to deliver shares of common stock or to make a cash payment, at our election, to Goldman Sachs and Morgan Stanley. The final settlement of the transactions under the ASR agreements is expected to occur no later than the fourth quarter of 2015 and may be accelerated at the option of Goldman Sachs or Morgan Stanley, as the case may be.</w:t>
      </w:r>
    </w:p>
    <w:p>
      <w:pPr>
        <w:spacing w:after="0" w:line="178" w:lineRule="exact"/>
        <w:rPr>
          <w:sz w:val="20"/>
          <w:szCs w:val="20"/>
          <w:color w:val="auto"/>
        </w:rPr>
      </w:pPr>
    </w:p>
    <w:p>
      <w:pPr>
        <w:ind w:right="200" w:firstLine="392"/>
        <w:spacing w:after="0" w:line="257" w:lineRule="auto"/>
        <w:rPr>
          <w:sz w:val="20"/>
          <w:szCs w:val="20"/>
          <w:color w:val="auto"/>
        </w:rPr>
      </w:pPr>
      <w:r>
        <w:rPr>
          <w:rFonts w:ascii="Arial" w:cs="Arial" w:eastAsia="Arial" w:hAnsi="Arial"/>
          <w:sz w:val="18"/>
          <w:szCs w:val="18"/>
          <w:color w:val="auto"/>
        </w:rPr>
        <w:t>Each of the ASR agreements contains customary terms for these types of transactions, including the mechanisms to determine the number of shares or the amount of cash that will be delivered at settlement, the required timing of delivery upon settlement, the specific circumstances under which adjustments may be made to the repurchase transactions, the specific circumstances under which the repurchase transactions may be canceled prior to the scheduled maturity and various acknowledgments, representations and warranties made by the Company and Goldman Sachs or Morgan Stanley, as applicable, to one another.</w:t>
      </w:r>
    </w:p>
    <w:p>
      <w:pPr>
        <w:spacing w:after="0" w:line="18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income (loss), net of tax for the quarters ended March 31, 2015 and 2014 is provided below:</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March 31,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March 31, 2014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Amounts reclassified related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6 for additional details).</w:t>
      </w:r>
    </w:p>
    <w:p>
      <w:pPr>
        <w:spacing w:after="0" w:line="18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ended March 31, 2015 and 2014 is provided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translation,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Dividends attributable to noncontrolling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Redeemable noncontrolling interest fair value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Redeemable noncontrolling interest reclassification to noncontrolling interest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pro-forma effect on Net income attributable to common shareowners had they been recorded through net income for the quarters ended March 31, 2015 and 2014 is provided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858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82"/>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w:t>
            </w: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Transfers to noncontrolling interests: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Increase in common stock for sale of subsidiary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8540" w:type="dxa"/>
            <w:vAlign w:val="bottom"/>
            <w:gridSpan w:val="3"/>
          </w:tcPr>
          <w:p>
            <w:pPr>
              <w:ind w:left="180"/>
              <w:spacing w:after="0"/>
              <w:rPr>
                <w:sz w:val="20"/>
                <w:szCs w:val="20"/>
                <w:color w:val="auto"/>
              </w:rPr>
            </w:pPr>
            <w:r>
              <w:rPr>
                <w:rFonts w:ascii="Arial" w:cs="Arial" w:eastAsia="Arial" w:hAnsi="Arial"/>
                <w:sz w:val="18"/>
                <w:szCs w:val="18"/>
                <w:color w:val="auto"/>
              </w:rPr>
              <w:t>Decrease in common stock for purchase of subsidiary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 after transfers to noncontrolling interests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1,214</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2014. The changes in the carrying amount of service and product warranties and product performance guarantees for the quarters ended March 31, 2015 and 2014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March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2014 Annual Report, incorporated by reference in our 2014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2014 Annual Report, we have accrued for the costs of environmental remediation activities and periodically reassess these amounts. We believe that the likelihood of incurring losses materially in excess of amounts accrued is remote. Additional information pertaining to environmental matters is included in Note 1 to the Consolidated Financial Statements in our 2014 Annual Report.</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Government. </w:t>
      </w:r>
      <w:r>
        <w:rPr>
          <w:rFonts w:ascii="Arial" w:cs="Arial" w:eastAsia="Arial" w:hAnsi="Arial"/>
          <w:sz w:val="18"/>
          <w:szCs w:val="18"/>
          <w:color w:val="auto"/>
        </w:rPr>
        <w:t>We are now, and believe that, in light of the current U.S. Government contracting environment, we will continue to be the subject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92" w:lineRule="exact"/>
        <w:rPr>
          <w:sz w:val="20"/>
          <w:szCs w:val="20"/>
          <w:color w:val="auto"/>
        </w:rPr>
      </w:pPr>
    </w:p>
    <w:p>
      <w:pPr>
        <w:ind w:right="60" w:firstLine="540"/>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11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In November 2010, the Sixth Circuit affirmed Pratt &amp; Whitney's liability for the civil penalty under the False Claims Act, but remanded the case to the trial court for further proceedings on the issues of False Claims Act damages and common law liability and damages.</w:t>
      </w:r>
    </w:p>
    <w:p>
      <w:pPr>
        <w:spacing w:after="0" w:line="1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seeks damages for events occurring before March 3, 1989, which are not recoverable under the False Claims Act.</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89"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filed an appeal from the judgment to the United States Court of Appeals for the Sixth Circuit on August 26, 2013. On April 6, 2015, the Sixth Circuit reversed the trial court’s decision and vacated the prior damages award, noting that the government did not prove any damages. The Court rejected as a matter of law the evidence submitted by the government on damages and remanded the case to the trial court to decide in the first instance whether the government should have another opportunity to prove that it suffered any actual damages. We continue to believe that the government suffered no actual damages as a result of the inaccurate statements made in 1983, and continue not to accrue a reserve beyond the approximately $7 million of penalties referenced above and post-judgment interest on such penalties, which in the aggregate are not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By letter dated December 24, 2013, a Divisional Administrative Contracting Officer of the United States Defense Contract Management Agency asserted a claim and demand for payment of approximately $211 million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We believe this claim is without merit. On March 18, 2014, Pratt &amp; Whitney filed an appeal to the Armed Services Board of Contract Appeals.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As previously disclosed, UTC has been involved in administrative review proceedings with the German Tax Office, which concern approximately €215 million (approximately $237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$130 million). On August 3, 2012, we filed suit in the local German Tax Court (Berlin-Brandenburg). In 2008 the German Federal Tax Court (FTC) denied benefits to another taxpayer in a case involving a German tax law relevant to our reorganization. The determination of the FTC on this other matter was appealed to the European Court of Justice (ECJ) to determine if the underlying German tax law is violative of European Union principles. On September 17, 2009, the ECJ issued an opinion in this case that is generally favorable to the other taxpayer and referred the case back to the FTC for further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29" w:right="259" w:bottom="1440" w:gutter="0" w:footer="0" w:header="0"/>
        </w:sectPr>
      </w:pPr>
    </w:p>
    <w:bookmarkStart w:id="19" w:name="page20"/>
    <w:bookmarkEnd w:id="19"/>
    <w:p>
      <w:pPr>
        <w:ind w:right="80"/>
        <w:spacing w:after="0" w:line="271" w:lineRule="auto"/>
        <w:rPr>
          <w:sz w:val="20"/>
          <w:szCs w:val="20"/>
          <w:color w:val="auto"/>
        </w:rPr>
      </w:pPr>
      <w:r>
        <w:rPr>
          <w:rFonts w:ascii="Arial" w:cs="Arial" w:eastAsia="Arial" w:hAnsi="Arial"/>
          <w:sz w:val="17"/>
          <w:szCs w:val="17"/>
          <w:color w:val="auto"/>
        </w:rPr>
        <w:t>consideration of certain related issues. In May 2010, the FTC released its decision, in which it resolved certain tax issues that may be relevant to our suit and remanded the case to a lower court for further development. In 2012, the lower court decided in favor of the other taxpayer and the German Government again appealed the findings to the FTC. In November 2014, the FTC ruled in favor of the German Government, and against the other taxpayer. We believe that the FTC decision in the case involving the other taxpayer is not determinative of the outcome in our case, and we will continue vigorously to litigate the matter. However, in light of the FTC decision in the case involving the other taxpayer, we fully accrued for the matter during the quarter ended December 31, 2014. While we continue to litigate the matter at the local German Tax Court, UTC made tax and interest payments to German tax authorities of €20 million (approximately $22 million) in the quarter ended March 31, 2015 and expects to make tax and interest payments of €176 million (approximately $194 million) in April 2015 to avoid additional interest accruals pending final resolution of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described in Note 16 to the Consolidated Financial Statements in our 2014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8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29"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March 31, 2015 and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7 to the Condensed Consolidated Financial Statements for a discussion of restructuring costs included in segment operating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(Topic 606). This ASU is intended to clarify the principles for recognizing revenue by removing inconsistencies in revenue requirements; providing a more robust framework for addressing revenue issues; improving comparability of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recognition practices across entities, industries, jurisdictions and capital markets; and providing more useful information to users of financial statements through improved revenue disclosure requirements. In April 2015, the FASB voted to defer the effective date of the new revenue recognition standard by one year. As a result, the provisions of this ASU are now effective for interim and annual periods beginning after December 15, 2017. We are currently evaluating the impact of this ASU.</w:t>
      </w:r>
    </w:p>
    <w:p>
      <w:pPr>
        <w:spacing w:after="0" w:line="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February 2015, the FASB issued ASU No. 2015-02, "Amendments to the Consolidation Analysis." This update is intended to improve targeted areas of consolidation guidance by simplifying the consolidation evaluation process, and by placing more emphasis on risk of loss when determining a controlling financial interest. The provisions of this ASU are effective for interim and annual periods beginning after December 15, 2015. We are currently evaluating the impact of this ASU.</w:t>
      </w:r>
    </w:p>
    <w:p>
      <w:pPr>
        <w:spacing w:after="0" w:line="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April 2015, the FASB issued ASU No. 2015-03, “Simplifying the Presentation of Debt Issuance Costs”. This ASU more closely aligns the treatment of debt issuance costs with debt discounts and premiums and requires debt issuance costs be presented as a direct deduction from the carrying amount of the related debt. The amendments in this ASU are effective for financial statements issued for fiscal years beginning after December 15, 2015 and interim periods within those fiscal years. This ASU is not expected to have a significant impact on our financial statements or disclosures.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2015 and 2014, PricewaterhouseCoopers LLP (PricewaterhouseCoopers) reported that it has applied limited procedures in accordance with professional standards for a review of such information. However, its report dated April 24, 2015,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March 31, 2015 and the related condensed consolidated statements of operations and condensed consolidated statements of comprehensive income for the three-month periods ended March 31, 2015 and 2014 and the condensed consolidated statement of cash flows for the three-month periods ended March 31, 2015 and 2014. This interim financial information is the responsibility of the Corporation's management.</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previously audited, in accordance with the standards of the Public Company Accounting Oversight Board (United States), the consolidated balance sheet as of December 31, 2014, and the related consolidated statements of operations, of comprehensive income, of cash flows, and of changes in equity for the year then ended (not presented herein), and in our report dated February 5, 2015, we expressed an unqualified opinion on those consolidated financial statements. In our opinion, the information set forth in the accompanying condensed consolidated balance sheet as of December 31, 2014,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 UTC Building and Industrial Systems is an organizational structure consisting of our commercial businesses. Otis and UTC Climate, Controls &amp; Security each continue to report their financial and operational results as separate segments, which is consistent with how we allocate resources and measure the financial performance of these businesses. On March 11, 2015, we announced that we are conducting a review of strategic alternatives for the Sikorsky business, including a potential tax-free spinoff. We expect to conclude our strategic review mid-year 2015.</w:t>
      </w:r>
    </w:p>
    <w:p>
      <w:pPr>
        <w:spacing w:after="0" w:line="16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2015 is discussed below. For additional discussion, refer to the "Business Overview" section in Management's Discussion and Analysis of Financial Condition and Results of Operations in our 2014 Annual Report, which is incorporated by reference in our 2014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global economy continues to expand in 2015 with world gross domestic product (GDP) growth projected to reach 3.0% driven by strength in the U.S. and a modest improvement in Western Europe. With U.S. GDP forecasted at 3.0%, the U.S. economy is expected to reach its highest growth level in 10 years. Although emerging markets have historically led global growth relative to advanced and developing countries, slowing growth rates in China and forecasted contraction in Russia and Brazil have tempered growth expectations for emerging markets in 2015 to 4.0%. In China, with lower manufacturing growth and a decline in the real estate sector, China GDP is forecast to slow to 6.5% in 2015 as China continues to use fiscal policy to support growth.</w:t>
      </w:r>
    </w:p>
    <w:p>
      <w:pPr>
        <w:spacing w:after="0" w:line="15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U.S. Government deficit reduction measures continue to pressure U.S. Department of Defense spending and adversely affect our military businesses. Total sales to the U.S. Government were $2.1 billion in each of the quarters ended March 31, 2015 and 2014, or 14% of total UTC sales. The defense portion of our aerospace business is affected by changes in market demand and the global political environment. Our participation in long-term production and development programs for the U.S. Government has, and is expected to contribute positively to our results in 2015.</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quarter ended March 31, 2015, our investment in business acquisitions was approximately $247 million, including debt assumed of $17 million, which includes the acquisition of a majority interest in a UTC Climate, Controls &amp; Security joint venture and a number of other small acquisitions primarily in our commercial businesses. We expect cash investment in businesses to be approximately $1 billion in 2015. However, actual acquisition spending may vary depending upon the timing, availability and value of acquisition opportunities.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commercial airlines, and the impact from natural disasters and weather conditions create uncertainties that could impact our earnings outlook for the remainder of 2015. See Part I, Item 1A, "Risk Factors" in our 2014 Form 10-K for further discussion.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2014 Annual Report, incorporated by reference in our 2014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14,541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14,745</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factors contributing to the total percentage change year-over-year in total net sales for the quarter ended March 31, 2015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Organic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Quarter Ended March 31,</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2015</w:t>
      </w:r>
    </w:p>
    <w:p>
      <w:pPr>
        <w:spacing w:after="0" w:line="4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1166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80" w:space="720"/>
            <w:col w:w="1720"/>
          </w:cols>
          <w:pgMar w:left="240" w:top="121" w:right="239" w:bottom="1440" w:gutter="0" w:footer="0" w:header="0"/>
          <w:type w:val="continuous"/>
        </w:sectPr>
      </w:pPr>
    </w:p>
    <w:p>
      <w:pPr>
        <w:spacing w:after="0" w:line="7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During the quarter ended March 31, 2015, organic sales growth at UTC Aerospace Systems (7%), UTC Climate, Controls &amp; Security (6%), and Otis (2%) was partially offset by organic sales contraction at Sikorsky (7%). Organic sales growth at UTC Aerospace Systems was driven by higher commercial aerospace OEM and aftermarket sales volume. Organic sales growth at UTC Climate, Controls &amp; Security was driven by the U.S. commercial heating, ventilation, and air conditioning (HVAC) and fire products businesses, and by the transport refrigeration business, while organic growth at Otis was primarily due to higher new equipment sales in North America and China. The organic sales contraction at Sikorsky is primarily due to lower U.S. Government and commercial aircraft sales and lower aftermarket sales.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4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7,830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8,081</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4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4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2,609</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4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4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10,523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10,690</w:t>
            </w:r>
          </w:p>
        </w:tc>
      </w:tr>
      <w:tr>
        <w:trPr>
          <w:trHeight w:val="45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180" w:type="dxa"/>
            <w:vAlign w:val="bottom"/>
          </w:tcPr>
          <w:p>
            <w:pPr>
              <w:jc w:val="right"/>
              <w:ind w:right="253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ended March 31, 2015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840" w:type="dxa"/>
            <w:vAlign w:val="bottom"/>
          </w:tcPr>
          <w:p>
            <w:pPr>
              <w:jc w:val="right"/>
              <w:ind w:right="35"/>
              <w:spacing w:after="0"/>
              <w:rPr>
                <w:sz w:val="20"/>
                <w:szCs w:val="20"/>
                <w:color w:val="auto"/>
              </w:rPr>
            </w:pPr>
            <w:r>
              <w:rPr>
                <w:rFonts w:ascii="Arial" w:cs="Arial" w:eastAsia="Arial" w:hAnsi="Arial"/>
                <w:sz w:val="14"/>
                <w:szCs w:val="14"/>
                <w:b w:val="1"/>
                <w:bCs w:val="1"/>
                <w:color w:val="auto"/>
              </w:rPr>
              <w:t>Quarter Ended March 31,</w:t>
            </w:r>
          </w:p>
        </w:tc>
      </w:tr>
      <w:tr>
        <w:trPr>
          <w:trHeight w:val="192"/>
        </w:trPr>
        <w:tc>
          <w:tcPr>
            <w:tcW w:w="95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2015</w:t>
            </w:r>
          </w:p>
        </w:tc>
      </w:tr>
      <w:tr>
        <w:trPr>
          <w:trHeight w:val="25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95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5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958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5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5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organic increase in total cost of products and services sold in the quarter ended March 31, 2015 was driven by the organic sales increase noted above. Foreign exchange fluctuations provided a benefit through lower cost of sales of approximately 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4,055</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r>
    </w:tbl>
    <w:p>
      <w:pPr>
        <w:spacing w:after="0" w:line="121" w:lineRule="exact"/>
        <w:rPr>
          <w:sz w:val="20"/>
          <w:szCs w:val="20"/>
          <w:color w:val="auto"/>
        </w:rPr>
      </w:pPr>
    </w:p>
    <w:p>
      <w:pPr>
        <w:ind w:right="600" w:firstLine="432"/>
        <w:spacing w:after="0" w:line="308" w:lineRule="auto"/>
        <w:rPr>
          <w:sz w:val="20"/>
          <w:szCs w:val="20"/>
          <w:color w:val="auto"/>
        </w:rPr>
      </w:pPr>
      <w:r>
        <w:rPr>
          <w:rFonts w:ascii="Arial" w:cs="Arial" w:eastAsia="Arial" w:hAnsi="Arial"/>
          <w:sz w:val="17"/>
          <w:szCs w:val="17"/>
          <w:color w:val="auto"/>
        </w:rPr>
        <w:t>The 10 basis point increase in gross margin as a percentage of sales for the quarter ended March 31, 2015 is primarily due to lower restructuring expense (40 basis points), partially offset by negative margin associated with Pratt &amp; Whitney engine sales (40 basis points).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624</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523</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2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decrease in company-funded research and development (4%) for the quarter ended March 31, 2015 is primarily related to lower research and development within Pratt &amp; Whitney related to the development of multiple geared turbo-fan platforms. Customer-funded research and development increased (3%) primarily due to higher customer-funded spending at Sikorsky (11%) due to increased spending on U.S. Government development programs, and at UTC Aerospace Systems (6%) on commercial aerospace programs, partially offset by lower spending at Pratt &amp; Whitney (15%) due to lower spending on U.S. Government and commercial engine programs.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company-funded research and development for the full year 2015 to decline slightly from 2014 levels.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1,596</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121" w:lineRule="exact"/>
        <w:rPr>
          <w:sz w:val="20"/>
          <w:szCs w:val="20"/>
          <w:color w:val="auto"/>
        </w:rPr>
      </w:pPr>
    </w:p>
    <w:p>
      <w:pPr>
        <w:jc w:val="both"/>
        <w:ind w:right="60" w:firstLine="432"/>
        <w:spacing w:after="0" w:line="308" w:lineRule="auto"/>
        <w:rPr>
          <w:sz w:val="20"/>
          <w:szCs w:val="20"/>
          <w:color w:val="auto"/>
        </w:rPr>
      </w:pPr>
      <w:r>
        <w:rPr>
          <w:rFonts w:ascii="Arial" w:cs="Arial" w:eastAsia="Arial" w:hAnsi="Arial"/>
          <w:sz w:val="17"/>
          <w:szCs w:val="17"/>
          <w:color w:val="auto"/>
        </w:rPr>
        <w:t>Selling, general and administrative expenses declined 2% in the quarter ended March 31, 2015 due to the benefit of foreign exchange (5%), particularly within the commercial businesses and restructuring savings, partially offset by higher restructuring (2%) and pension (1%) expense.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Other income, net includes equity earnings in unconsolidated entities, royalty income, foreign exchange gains and losses as well as other ongoing and non-recurring items. The year-over-year increase in other income, net (60%) in the quarter ended March 31, 2015 reflects the re-measurement to fair value of previously held equity interests in UTC Climate, Controls &amp; Security joint venture investments (59%) by obtaining controlling interests in the ventures, and a gain on a UTC Climate, Controls &amp; Security property sale (5%), partially offset by other normal recurring operational activity.</w:t>
      </w:r>
    </w:p>
    <w:p>
      <w:pPr>
        <w:spacing w:after="0" w:line="262"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243</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increase in the average interest rate for the quarter ended March 31, 2015 relative to the prior year is a result of higher interest rates on short term borrowings, along with an increase in short term borrowings in the quarter ended March 31, 2015, relative to 2014.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63"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43"/>
        </w:trPr>
        <w:tc>
          <w:tcPr>
            <w:tcW w:w="9340" w:type="dxa"/>
            <w:vAlign w:val="bottom"/>
            <w:gridSpan w:val="2"/>
            <w:shd w:val="clear" w:color="auto" w:fill="CCEEFF"/>
          </w:tcPr>
          <w:p>
            <w:pPr>
              <w:jc w:val="right"/>
              <w:ind w:right="798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8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 decrease in the effective tax rate for the quarter ended March 31, 2015, primarily reflects a non-taxable gain recognized on the re-measurement to fair value of a previously held equity interest in a UTC Climate, Controls &amp; Security joint venture due to the purchase of a controlling interest in the venture.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estimate our full year annual effective income tax rate in 2015 to be approximately 29%, absent nonrecurring adjustments.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common shareowners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1,213</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attributable to common shareowners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1.32</w:t>
            </w:r>
          </w:p>
        </w:tc>
      </w:tr>
    </w:tbl>
    <w:p>
      <w:pPr>
        <w:spacing w:after="0" w:line="121" w:lineRule="exact"/>
        <w:rPr>
          <w:sz w:val="20"/>
          <w:szCs w:val="20"/>
          <w:color w:val="auto"/>
        </w:rPr>
      </w:pPr>
    </w:p>
    <w:p>
      <w:pPr>
        <w:jc w:val="both"/>
        <w:ind w:right="100" w:firstLine="432"/>
        <w:spacing w:after="0" w:line="291" w:lineRule="auto"/>
        <w:rPr>
          <w:sz w:val="20"/>
          <w:szCs w:val="20"/>
          <w:color w:val="auto"/>
        </w:rPr>
      </w:pPr>
      <w:r>
        <w:rPr>
          <w:rFonts w:ascii="Arial" w:cs="Arial" w:eastAsia="Arial" w:hAnsi="Arial"/>
          <w:sz w:val="16"/>
          <w:szCs w:val="16"/>
          <w:color w:val="auto"/>
        </w:rPr>
        <w:t>Net income attributable to common shareowners for the quarter ended March 31, 2015 includes restructuring charges, net of tax benefit, of $64 million as well as a benefit from non-recurring items of $126 million. The effect of non-recurring items on diluted earnings per share for the quarter ended</w:t>
      </w:r>
    </w:p>
    <w:p>
      <w:pPr>
        <w:ind w:right="140"/>
        <w:spacing w:after="0" w:line="323" w:lineRule="auto"/>
        <w:rPr>
          <w:sz w:val="20"/>
          <w:szCs w:val="20"/>
          <w:color w:val="auto"/>
        </w:rPr>
      </w:pPr>
      <w:r>
        <w:rPr>
          <w:rFonts w:ascii="Arial" w:cs="Arial" w:eastAsia="Arial" w:hAnsi="Arial"/>
          <w:sz w:val="16"/>
          <w:szCs w:val="16"/>
          <w:color w:val="auto"/>
        </w:rPr>
        <w:t>March 31, 2015 was a net benefit of $0.14 per share, which was partially offset by $0.07 of restructuring charges. The impact of foreign currency translation and hedging generated an unfavorable effect of $0.07 per diluted share on our operational performance in the quarter ended March 31, 2015.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those recently acquired. Charges generally arise from severance related to workforce reductions, accelerated depreciation on assets and facility exit and lease termination costs associated with the consolidation of field and manufacturing operations. We expect to incur restructuring costs in 2015 of approximately $300 million, including trailing costs related to prior actions associated with our continuing cost reduction efforts and the integration of acquisitions. The expected adverse impact on earnings in 2015 from anticipated additional restructuring costs is expected to be offset by the beneficial impact from gains and other items that are outside the normal operating activities of the business. Although no specific plans for significant actions have been finalized at this time, we continue to closely monitor the economic environment and may undertake further restructuring actions to keep our cost structure aligned with the demands of the prevailing market conditions.</w:t>
      </w:r>
    </w:p>
    <w:p>
      <w:pPr>
        <w:spacing w:after="0" w:line="17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described below, the charges incurred in the quarter ended March 31, 2015 primarily relate to actions initiated during 2015 and 2014, while the charges incurred in the quarter ended March 31, 2014 primarily relate to actions initiated during 2014 and 2013.</w:t>
      </w:r>
    </w:p>
    <w:p>
      <w:pPr>
        <w:spacing w:after="0" w:line="16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quarter ended March 31, 2015, we recorded net pre-tax restructuring charges of $64 million relating to ongoing cost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2015.</w:t>
      </w:r>
    </w:p>
    <w:p>
      <w:pPr>
        <w:spacing w:after="0" w:line="16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are targeting to complete in 2015 the majority of the remaining workforce and facility related cost reduction actions initiated in 2015. Approximately 95% of the total pre-tax charge will require cash payments, which we have funded and expect to continue to fund with cash generated from operations. During the quarter ended March 31, 2015, we had cash outflows of approximately $3 million related to the 2015 actions. We expect to incur additional restructuring charges of $7 million to complete these actions. We expect recurring pre-tax savings to increase over the two-year period subsequent to initiating the actions to approximately $75 million annually.</w:t>
      </w:r>
    </w:p>
    <w:p>
      <w:pPr>
        <w:spacing w:after="0" w:line="18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three months ended March 31, 2015 and 2014, we recorded net pre-tax restructuring charges of $23 million and $90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for actions initiated in 2014. The 2014 actions relate to ongoing cost reduction efforts, including severance related to workforce reductions and facility exit and lease termination costs related to the consolidation of field and manufacturing operations.</w:t>
      </w:r>
    </w:p>
    <w:p>
      <w:pPr>
        <w:spacing w:after="0" w:line="18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targeting to complete in 2015 the majority of the remaining workforce and all facility related cost reduction actions initiated in 2014. Approximately 75% of the total pre-tax charge will require cash payments, which we have and expect to continue to fund with cash generated from operations. During the quarter ended March 31, 2015, we had cash outflows of approximately $44 million related to the 2014 actions. We expect to incur additional restructuring charges of $87 million to complete these actions. We expect recurring pre-tax savings to increase over the two-year period subsequent to initiating the actions to approximately $215 million annually, of which, approximately $52 million was realized during the quarter ended March 31, 2015.</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7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2015 and 2014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reimbursements to distributors for offering promotional pricing on UTC Climate, Controls &amp; Security products. We account for incentive payments made as a reduction to sales.</w:t>
      </w:r>
    </w:p>
    <w:p>
      <w:pPr>
        <w:spacing w:after="0" w:line="170" w:lineRule="exact"/>
        <w:rPr>
          <w:sz w:val="20"/>
          <w:szCs w:val="20"/>
          <w:color w:val="auto"/>
        </w:rPr>
      </w:pPr>
    </w:p>
    <w:p>
      <w:pPr>
        <w:ind w:right="400" w:firstLine="432"/>
        <w:spacing w:after="0" w:line="255" w:lineRule="auto"/>
        <w:rPr>
          <w:sz w:val="20"/>
          <w:szCs w:val="20"/>
          <w:color w:val="auto"/>
        </w:rPr>
      </w:pPr>
      <w:r>
        <w:rPr>
          <w:rFonts w:ascii="Arial" w:cs="Arial" w:eastAsia="Arial" w:hAnsi="Arial"/>
          <w:sz w:val="18"/>
          <w:szCs w:val="18"/>
          <w:color w:val="auto"/>
        </w:rPr>
        <w:t>Within the UTC Climate, Controls &amp; Security segment, orders increased within transport refrigeration (24%) on order strength within the North American truck and trailer business, while global commercial HVAC orders increased (4%) as order growth in the Americas (5%) was partially offset by declines in Asia (1%). Within the Otis segment, new equipment orders increased 8% (excluding the adverse impact of foreign exchange of 10%) in the quarter ended March 31, 2015 with growth in Europe (37%, excluding the adverse impact of foreign exchange of 31%) and North America (8%). New equipment orders in China declined (12%, excluding the adverse impact of foreign exchange of 2%) in the quarter ended March 31, 2015 after having increased (27%) in the quarter ended March 31, 2014.</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March 31,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19.3%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13.9%</w:t>
            </w:r>
          </w:p>
        </w:tc>
        <w:tc>
          <w:tcPr>
            <w:tcW w:w="1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2015 Compared with Quarter Ended March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2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Organic sales increased (2%) due to higher new equipment sales primarily in North America (1%) and China (1%). Growth in service sales in Asia (1%) was offset by declines in service sales in Europe (1%).</w:t>
      </w:r>
    </w:p>
    <w:p>
      <w:pPr>
        <w:spacing w:after="0" w:line="170"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Operational profit increased (2%) due to higher new equipment contribution (11%) primarily due to higher volume and productivity initiatives partially offset by pricing pressure, lower service contribution (4%) primarily due to volume declines and continued pricing pressure in Europe, higher selling, general and administrative expenses (2%) and year-over-year unfavorable transactional foreign exchange embedded within certain new equipment contracts (3%).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2015 Compared with Quarter Ended March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Translation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67"/>
        </w:trPr>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28</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Organic sales increased by 6% primarily reflecting growth in Americas (3%) driven by the U.S. commercial HVAC and fire products businesses, and growth in refrigeration (3%) driven by Transicold.</w:t>
      </w:r>
    </w:p>
    <w:p>
      <w:pPr>
        <w:spacing w:after="0" w:line="170"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The 7% operational profit increase was driven by favorable volume and pricing (combined 8%). The 31% increase in "Other" is driven by a gain as a result of a fair value adjustment related to the acquisition of a controlling interest in a joint venture investment (23%), a gain as a result of a fair value adjustment related to a separate acquisition of a controlling interest in another joint venture investment (3%), and a gain on a property sale (3%).</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see growth in our commercial OEM and aftermarket businesses based on a strong airline industry which is benefiting from traffic growth and lower fuel costs. Airline traffic, as measured by RPMs, grew over 5% in the first two months of 2015, while jet fuel costs have declined more than 40% relative to prices one year ago in all geographic regions.</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commercial aftermarket businesses continue to evolve as an increasing proportion of our aerospace businesses' customers are covered under Fleet Management Programs (FMP). FMP are comprehensive long-term spare part and service agreements with our customers. We expect a continued shift to FMP in lieu of transactional spare part sales as new engines enter our customers' fleets on FMP, and legacy fleets are retired. Pratt &amp; Whitney commercial aftermarket sales increased 3% in the first quarter of 2015, while UTC Aerospace Systems commercial aerospace aftermarket sales increased 1% over the same period.</w:t>
      </w:r>
    </w:p>
    <w:p>
      <w:pPr>
        <w:spacing w:after="0" w:line="18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ASC. Operating profit included significant net favorable changes in aerospace contract estimates of $54 million in the quarter ended March 31, 2015, primarily representing favorable contract adjustments recorded at Pratt &amp; Whitney.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March 31,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7"/>
              </w:rPr>
              <w:t>Pratt &amp; Whitney</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ind w:right="593"/>
              <w:spacing w:after="0"/>
              <w:rPr>
                <w:sz w:val="20"/>
                <w:szCs w:val="20"/>
                <w:color w:val="auto"/>
              </w:rPr>
            </w:pPr>
            <w:r>
              <w:rPr>
                <w:rFonts w:ascii="Arial" w:cs="Arial" w:eastAsia="Arial" w:hAnsi="Arial"/>
                <w:sz w:val="14"/>
                <w:szCs w:val="14"/>
                <w:b w:val="1"/>
                <w:bCs w:val="1"/>
                <w:color w:val="auto"/>
              </w:rPr>
              <w:t>UTC Aerospace Systems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5"/>
              </w:rPr>
              <w:t>Sikorsky</w:t>
            </w:r>
          </w:p>
        </w:tc>
        <w:tc>
          <w:tcPr>
            <w:tcW w:w="800" w:type="dxa"/>
            <w:vAlign w:val="bottom"/>
            <w:tcBorders>
              <w:bottom w:val="single" w:sz="8" w:color="auto"/>
            </w:tcBorders>
          </w:tcPr>
          <w:p>
            <w:pPr>
              <w:spacing w:after="0"/>
              <w:rPr>
                <w:sz w:val="16"/>
                <w:szCs w:val="16"/>
                <w:color w:val="auto"/>
              </w:rPr>
            </w:pPr>
          </w:p>
        </w:tc>
      </w:tr>
      <w:tr>
        <w:trPr>
          <w:trHeight w:val="229"/>
        </w:trPr>
        <w:tc>
          <w:tcPr>
            <w:tcW w:w="24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9"/>
                <w:szCs w:val="19"/>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2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4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2,564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43"/>
        </w:trPr>
        <w:tc>
          <w:tcPr>
            <w:tcW w:w="248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65"/>
        </w:trPr>
        <w:tc>
          <w:tcPr>
            <w:tcW w:w="2480" w:type="dxa"/>
            <w:vAlign w:val="bottom"/>
            <w:gridSpan w:val="3"/>
          </w:tcPr>
          <w:p>
            <w:pPr>
              <w:ind w:left="40"/>
              <w:spacing w:after="0"/>
              <w:rPr>
                <w:sz w:val="20"/>
                <w:szCs w:val="20"/>
                <w:color w:val="auto"/>
              </w:rPr>
            </w:pPr>
            <w:r>
              <w:rPr>
                <w:rFonts w:ascii="Arial" w:cs="Arial" w:eastAsia="Arial" w:hAnsi="Arial"/>
                <w:sz w:val="18"/>
                <w:szCs w:val="18"/>
                <w:color w:val="auto"/>
              </w:rPr>
              <w:t>Operating Profit Margins</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6.3%</w:t>
            </w: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2015 Compared with Quarter Ended March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5"/>
          </w:tcPr>
          <w:p>
            <w:pPr>
              <w:jc w:val="center"/>
              <w:ind w:left="1119"/>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66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Organic /</w:t>
            </w: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98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480" w:firstLine="8"/>
        <w:spacing w:after="0" w:line="261"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i w:val="1"/>
          <w:iCs w:val="1"/>
          <w:color w:val="auto"/>
        </w:rPr>
        <w:t>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73"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Organic sales remained unchanged during the first quarter of 2015 as higher commercial aftermarket sales (2%) were offset by lower military (1%) and industrial (1%) engine sales. Sales increased 1% as a result of the acquisition of a majority interest in a joint venture in July 2014.</w:t>
      </w:r>
    </w:p>
    <w:p>
      <w:pPr>
        <w:spacing w:after="0" w:line="14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Pratt &amp; Whitney's operating profit reflects higher pension costs partially offset by restructuring savings across its businesses. The operational profit decrease (4%) was due to higher negative engine margin and volume decreases (17%), lower industrial engines development sales (5%), repayments of government research and development support in the form of royalties at Pratt &amp; Whitney Canada (3%), and lower military contract performance favorability (2%), offset by favorable aftermarket volume and mix (13%), an increase in favorable contract termination benefits (5%), and lower research and development spending (4%). Operating profit increased (3%) as a result of the acquisition of a majority interest in a joint venture, mentioned above.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2015 Compared with Quarter Ended March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w:t>
            </w:r>
          </w:p>
        </w:tc>
        <w:tc>
          <w:tcPr>
            <w:tcW w:w="12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The organic sales growth (7%) primarily reflects an increase in commercial aerospace OEM and commercial aftermarket sales volume (6%) and a benefit from a change in a customer arrangement (1%), offset by lower military OEM and aftermarket sales volume (1%).</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organic increase in operational profit (5%) reflects higher commercial aerospace OEM and aftermarket profit contribution (6%) primarily driven by the impact of higher volumes and cost reduction initiatives, benefits from favorable customer contract negotiations and other settlements (6%), partially offset by lower military OEM and aftermarket profit contribution (5%) primarily driven by adverse mix. The remaining change is primarily driven by higher pension costs.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2015 Compared with Quarter Ended March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64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92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2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60" w:firstLine="432"/>
        <w:spacing w:after="0" w:line="342" w:lineRule="auto"/>
        <w:rPr>
          <w:sz w:val="20"/>
          <w:szCs w:val="20"/>
          <w:color w:val="auto"/>
        </w:rPr>
      </w:pPr>
      <w:r>
        <w:rPr>
          <w:rFonts w:ascii="Arial" w:cs="Arial" w:eastAsia="Arial" w:hAnsi="Arial"/>
          <w:sz w:val="16"/>
          <w:szCs w:val="16"/>
          <w:color w:val="auto"/>
        </w:rPr>
        <w:t>The organic sales decrease (7%) reflects lower U.S. Government aircraft sales volume (2%), lower commercial aircraft volume (7%) and lower aftermarket sales (6%). These decreases were partially offset by increases in development programs (6%) and international military sales (3%).</w:t>
      </w:r>
    </w:p>
    <w:p>
      <w:pPr>
        <w:spacing w:after="0" w:line="12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operational profit decrease (14%) is driven by lower aftermarket profitability (41%), primarily due to a decline in year-over-year favorable military contract performance adjustments, lower commercial aircraft volume (9%) and lower profits from development programs (5%). These decreases were partially offset by increased profitability in U.S. Government aircraft contracts (22%) due to the absence of unfavorable contract performance adjustments in the prior year, increased profitability in international aircraft contracts (12%) and additional joint venture income (8%).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5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6"/>
              </w:rPr>
              <w:t>Quarter Ended March 31,</w:t>
            </w:r>
          </w:p>
        </w:tc>
        <w:tc>
          <w:tcPr>
            <w:tcW w:w="520" w:type="dxa"/>
            <w:vAlign w:val="bottom"/>
            <w:tcBorders>
              <w:bottom w:val="single" w:sz="8" w:color="auto"/>
            </w:tcBorders>
          </w:tcPr>
          <w:p>
            <w:pPr>
              <w:spacing w:after="0"/>
              <w:rPr>
                <w:sz w:val="22"/>
                <w:szCs w:val="22"/>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6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increase in operating profit for the quarter ended March 31, 2015, as compared with the same period of 2014, reflects an increase in royalty income in 2015.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2015</w:t>
            </w: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8"/>
        </w:trPr>
        <w:tc>
          <w:tcPr>
            <w:tcW w:w="65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21,993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19,794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20,043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14,559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30,167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32,564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33,695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52,358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53,738</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0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46,879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47,123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49,261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 of liquidity is operating cash flows, which, after netting out capital expenditures, we generally target to approximate net income attributable to common shareowners. For 2015, we expect this to approximate 90% to 100% of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78"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overall global economic outlook is improved, with recent GDP outlook for both U.S. and western Europe showing continued improvement, driven in part by monetary stimulus programs in Europe. Forecasted GDP growth moderation in China is in relation to a high base of strong growth over past years, and China's economy remains strong. Globally, construction spending continues to strengthen, and the airline industry and commercial aerospace outlook continues to improve with over 5% forecasted growth in revenue passenger miles and continuation of airline profitability. As a matter of practice, we continually assess our current business and closely monitor the impact on our customers and suppliers, and have determined that overall there was not a significant adverse impact on our financial position, results of operations or liquidity during the first quarter of 2015.</w:t>
      </w:r>
    </w:p>
    <w:p>
      <w:pPr>
        <w:spacing w:after="0" w:line="16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domestic pension funds experienced a positive return on assets of 3.77% during the first quarter of 2015.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impact of lower discount rates and the adoption of new mortality tables in the U.S. and Canada, partially offset by the positive asset experience from 2010 - 2013 and positive returns experienced during 2014, are expected to result in increased pension expense in 2015 of approximately $275 million as compared to 2014.</w:t>
      </w:r>
    </w:p>
    <w:p>
      <w:pPr>
        <w:spacing w:after="0" w:line="19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strong debt ratings and financial position have historically enabled us to issue long-term debt at favorable market rates. Our ability to obtain debt financing at comparable risk-based interest rates is partly a function of our existing debt-to-total-capitalization level as well as our credit standing. Our debt to total capitalization increased 4 points from 38% at December 31, 2014 to 42% at March 31, 2015 due to the initial use of short term borrowings to fund the accelerated share repurchase executed during the quarter ended March 31, 2015.</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On April 14, 2015, we announced our intention to conduct an optional remarketing of our 2022 1.550% junior subordinated notes, representing approximately $1.1 billion in aggregate principal, between April 29, 2015 and July 15, 2015. On April 1, 2014, we redeemed all remaining outstanding 2016 Goodrich 6.290% notes, representing approximately $188 million in aggregate principal, under our redemption notice issued on February 28, 2014.</w:t>
      </w:r>
    </w:p>
    <w:p>
      <w:pPr>
        <w:spacing w:after="0" w:line="147"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At March 31, 2015, we had revolving credit agreements with various banks permitting aggregate borrowings of up to $5.85 billion pursuant to a $2.20 billion revolving credit agreement and a $2.15 billion multicurrency revolving credit agreement, both of which expire in May 2019, and a $1.5 billion revolving credit agreement which expires in September 2015. As of March 31, 2015, there were no borrowings under these revolving credit agreements. The undrawn portions of these revolving credit agreements are also available to serve as backup facilities for the issuance of commercial paper. As of March 31, 2015, our maximum commercial paper borrowing limit was $4.35 billion. We use our commercial paper borrowings for general corporate purposes, including the funding of potential acquisitions, debt refinancing, and repurchases of our common stock. Commercial paper borrowings as of March 31, 2015 were largely used to finance the accelerated share repurchase agreements entered into on March 13, 2015. See Note 11 for further discussion of these accelerated share repurchase agreements.</w:t>
      </w:r>
    </w:p>
    <w:p>
      <w:pPr>
        <w:spacing w:after="0" w:line="1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81" w:lineRule="exact"/>
        <w:rPr>
          <w:sz w:val="20"/>
          <w:szCs w:val="20"/>
          <w:color w:val="auto"/>
        </w:rPr>
      </w:pPr>
    </w:p>
    <w:p>
      <w:pPr>
        <w:ind w:right="80" w:firstLine="540"/>
        <w:spacing w:after="0" w:line="255" w:lineRule="auto"/>
        <w:rPr>
          <w:sz w:val="20"/>
          <w:szCs w:val="20"/>
          <w:color w:val="auto"/>
        </w:rPr>
      </w:pPr>
      <w:r>
        <w:rPr>
          <w:rFonts w:ascii="Arial" w:cs="Arial" w:eastAsia="Arial" w:hAnsi="Arial"/>
          <w:sz w:val="18"/>
          <w:szCs w:val="18"/>
          <w:color w:val="auto"/>
        </w:rPr>
        <w:t>At March 31, 2015, over 97%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85"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color w:val="auto"/>
        </w:rPr>
        <w:t>We continue to be involved in litigation with the German Tax Office in the German Tax Court with respect to certain tax benefits that we have claimed related to a 1998 reorganization of the corporate structure of Otis operations in Germany. We expect to make tax and interest payments of approximately $305 million in 2015, including approximately $22 million paid during the quarter ended March 31, 2015 and approximately $194 million expected to be paid during April 2015, to avoid additional interest accruals while we continue to litigate this matter. See Note 13 for a further discussion of this German tax litigation.</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March 31, 2015 and December 31, 2014, the amount of such restricted cash was approximately $55 million and $255 million, respectively.</w:t>
      </w:r>
    </w:p>
    <w:p>
      <w:pPr>
        <w:spacing w:after="0" w:line="181"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1,310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Cash generated from operating activities in the quarter ended March 31, 2015 was $25 million lower than the same period in 2014. Higher net income of $192 million and noncash deferred income tax provision, stock compensation cost and depreciation and amortization charges of $104 million were more than offset by an increase in cash outflow for working capital investments of $118 million over the quarter ended March 31, 2014, noncash net gains of approximately $126 million during the quarter ended March 31, 2015, as a result of a fair value adjustment related to the acquisition of a controlling interest in a UTC Climate, Controls &amp; Security joint venture investment, and an increase in other net operating assets of approximately $116 million.</w:t>
      </w:r>
    </w:p>
    <w:p>
      <w:pPr>
        <w:spacing w:after="0" w:line="158"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cash outflows in the quarter ended March 31, 2015 for working capital were driven by increases in inventories and accounts receivable, partially offset by increases in accounts payable and accrued liabilities. Inventories increased at UTC Climate, Controls &amp; Security, primarily supporting demand for the peak cooling season and to meet other contractual</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deliveries, and at Pratt &amp; Whitney and UTC Aerospace Systems supporting an increase in customers' platform deliveries and related aftermarket demand. Accounts receivable increased across all of our business segments, partially offset by approximately $285 million of incremental factoring activity in the quarter ended March 31, 2015, primarily at Pratt &amp; Whitney and UTC Climate, Controls &amp; Security. The increase in accounts receivable in our commercial businesses was largely driven by seasonal service billings and project completions, while the increases in our aerospace businesses were largely driven by the timing of billings under aftermarket flight hour agreements and development contracts, as well as the timing of commercial aerospace product deliveries. Increases in accounts payable and accrued liabilities primarily relate to the timing of U.S. federal and foreign tax payments and refunds, partially offset by a reduction in accrued liabilities at Sikorsky driven by liquidation of customer receipts on service billings.</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For the quarter ended March 31, 2014, cash outflows for working capital were primarily driven by increases in inventory to support deliveries and other contractual commitments across all businesses. Reductions in accounts receivable in our aerospace businesses, driven primarily by accelerated customer collections and selected factoring primarily at Pratt &amp; Whitney, were partially offset by increases in accounts receivable in our commercial businesses. Increases in accounts payable and accrued liabilities were more than offset by liquidations of customer advances, primarily in Pratt &amp; Whitney's military business.</w:t>
      </w:r>
    </w:p>
    <w:p>
      <w:pPr>
        <w:spacing w:after="0" w:line="18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quarters ended March 31, 2015 and 2014 were $45 million and $84 million, respectively. Although our domestic pension plans are approximately 89% funded on a projected benefit obligation basis as of March 31, 2015, and we are not required to make additional contributions through the end of 2019, we may elect to make discretionary contributions in 2015. We expect to make total cash contributions of approximately $350 million to our global defined benefit pension plans in 2015, including discretionary contributions of approximately $200 million to our domestic plans. Contributions to our global defined benefit pension plans in 2015 are expected to meet or exceed the current funding requirements.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investing activities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567"/>
        <w:spacing w:after="0" w:line="297" w:lineRule="auto"/>
        <w:rPr>
          <w:sz w:val="20"/>
          <w:szCs w:val="20"/>
          <w:color w:val="auto"/>
        </w:rPr>
      </w:pPr>
      <w:r>
        <w:rPr>
          <w:rFonts w:ascii="Arial" w:cs="Arial" w:eastAsia="Arial" w:hAnsi="Arial"/>
          <w:sz w:val="16"/>
          <w:szCs w:val="16"/>
          <w:color w:val="auto"/>
        </w:rPr>
        <w:t>Cash flows provided by investing activities for the quarter ended March 31, 2015 primarily reflect net cash proceeds of approximately $569 million from the settlement of derivative instruments and $158 million from business dispositions, partially offset by capital expenditures of approximately $348 million and payments related to our collaboration intangible assets and contractual rights to provide product on new aircraft platforms of approximately $235 million. Cash flows used in investing activities for the quarter ended March 31, 2014 primarily reflect capital expenditures of approximately $333 million and payments related to our collaboration intangible assets and contractual rights to provide product on new aircraft platforms of approximately $148 million.</w:t>
      </w:r>
    </w:p>
    <w:p>
      <w:pPr>
        <w:spacing w:after="0" w:line="158" w:lineRule="exact"/>
        <w:rPr>
          <w:sz w:val="20"/>
          <w:szCs w:val="20"/>
          <w:color w:val="auto"/>
        </w:rPr>
      </w:pPr>
    </w:p>
    <w:p>
      <w:pPr>
        <w:jc w:val="both"/>
        <w:ind w:right="420" w:firstLine="540"/>
        <w:spacing w:after="0" w:line="286" w:lineRule="auto"/>
        <w:rPr>
          <w:sz w:val="20"/>
          <w:szCs w:val="20"/>
          <w:color w:val="auto"/>
        </w:rPr>
      </w:pPr>
      <w:r>
        <w:rPr>
          <w:rFonts w:ascii="Arial" w:cs="Arial" w:eastAsia="Arial" w:hAnsi="Arial"/>
          <w:sz w:val="17"/>
          <w:szCs w:val="17"/>
          <w:color w:val="auto"/>
        </w:rPr>
        <w:t>During the quarter ended March 31, 2015, we increased our collaboration intangible assets by approximately $132 million, of which $75 million represented payments made under our 2012 agreement to acquire Rolls-Royce's collaboration interest in IAE. Capital expenditures for the quarter ended March 31, 2015 primarily relate to investments in new programs at Pratt &amp; Whitney and UTC Aerospace Systems.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Cash investments in businesses in the quarter ended March 31, 2015 were approximately $230 million, and consisted of the acquisition of the majority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interest in a UTC Climate, Controls &amp; Security joint venture and a number of small acquisitions, primarily in our commercial businesses.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$210 million of our restricted cash balance as of December 31, 2014 was utilized in the cash investments in businesses in the quarter ended March 31,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expect total cash investments for acquisitions in 2015 to be approximately $1 billion, including acquisitions completed during the quarter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2015. However, actual acquisition spending may vary depending upon the timing, availability and appropriate value of acquisition opportunities.</w:t>
      </w:r>
    </w:p>
    <w:p>
      <w:pPr>
        <w:spacing w:after="0" w:line="234" w:lineRule="exact"/>
        <w:rPr>
          <w:sz w:val="20"/>
          <w:szCs w:val="20"/>
          <w:color w:val="auto"/>
        </w:rPr>
      </w:pPr>
    </w:p>
    <w:p>
      <w:pPr>
        <w:ind w:right="60" w:firstLine="540"/>
        <w:spacing w:after="0" w:line="273" w:lineRule="auto"/>
        <w:rPr>
          <w:sz w:val="20"/>
          <w:szCs w:val="20"/>
          <w:color w:val="auto"/>
        </w:rPr>
      </w:pPr>
      <w:r>
        <w:rPr>
          <w:rFonts w:ascii="Arial" w:cs="Arial" w:eastAsia="Arial" w:hAnsi="Arial"/>
          <w:sz w:val="17"/>
          <w:szCs w:val="17"/>
          <w:color w:val="auto"/>
        </w:rPr>
        <w:t>As discussed in Note 8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quarter ended March 31, 2015, we had net cash receipts of approximately $569 million from the settlement of these derivative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instruments, primarily related to the strengthening of the U.S. Dollar versus the Euro and Canadian Dollar. During the quarter ended March 31, 2014, we made net cash payments of approximately $113 million for the settlement of these derivative instruments.</w:t>
      </w:r>
    </w:p>
    <w:p>
      <w:pPr>
        <w:spacing w:after="0" w:line="170"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Customer financing activities were a net use of cash of $14 million for the quarter ended March 31, 2015 and a source of cash of $12 million for the quarter ended March 31, 2014. While we expect that 2015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$10.9 billion at March 31, 2015 related to commercial aircraft and certain contractual rights to provide product on new aircraft platforms, of which up to $1.0 billion may be required to be disbursed during the remainder of 2015. We had commercial aerospace financing and other contractual commitments of approximately $11.3 billion at December 31, 2014.</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had approximately $2.2 billion of outstanding commercial paper at March 31, 2015.</w:t>
      </w:r>
    </w:p>
    <w:p>
      <w:pPr>
        <w:spacing w:after="0" w:line="18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March 13, 2015, as part of our previously disclosed share repurchase target of $3 billion for 2015, we entered into accelerated share repurchase (ASR) agreements to repurchase an aggregate of $2.65 billion of our common stock, which was largely funded initially by our commercial paper borrowings. Under the terms of the ASR agreements, we made the aggregate payments and received an initial delivery of approximately 18.6 million shares of our common stock, representing approximately 85% of the shares expected to be repurchased. As of March 31, 2015, the shares associated with the remaining portion of the aggregate purchase price have not yet been settled. We anticipate that all repurchases under the ASR agreements will be completed no later than the fourth quarter of 2015, at which time we may be entitled to receive additional common shares or, under certain limited circumstances, be required to deliver shares or make additional payments to the counterparties. See Note 11 to the Condensed Consolidated Financial Statements for further discussion.</w:t>
      </w:r>
    </w:p>
    <w:p>
      <w:pPr>
        <w:spacing w:after="0" w:line="167"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In addition to transactions under the ASR agreements discussed above, we repurchased approximately 3 million shares of our common stock for approximately $350 million during the quarter ended March 31, 2015. At March 31, 2015, management had authority to repurchase approximately 16.2 million shares under the share repurchase program announced on February 4, 2013.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Other than the final settlement of the transactions under the ASR agreements, we do not currently expect to make additional 2015 share repurchases. Our share repurchase levels are influenced by various factors, including the level of other investing activities.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paid dividends on common stock of $0.64 per share in the first quarter of 2015 totaling $553 million in the aggregate.</w:t>
      </w:r>
    </w:p>
    <w:p>
      <w:pPr>
        <w:spacing w:after="0" w:line="225"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In our 2014 Annual Report, incorporated by reference in our 2014 Form 10-K, we disclosed our off-balance sheet arrangements and contractual obligations. As of March 31, 2015, there have been no material changes to these off-balance sheet arrangements and contractual obligations outside the ordinary course of business.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quarter ended March 31, 2015. For discussion of our exposure to market risk, refer to Part II, Item 7A, "Quantitative and Qualitative Disclosures About Market Risk," contained in our 2014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As required by Rule 13a-15 under the Exchange Act, we carried out an evaluation under the supervision and with the participation of our management, including the President and Chief Executive Officer (CEO), the Senior Vice President and Chief Financial Officer (CFO) and the Vice President and Controller (Controller), of the effectiveness of the design and operation of our disclosure controls and procedures as of March 31, 2015.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2015,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9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2" w:right="29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or potential future plans, strategies or transactions.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29" w:lineRule="exact"/>
        <w:rPr>
          <w:sz w:val="20"/>
          <w:szCs w:val="20"/>
          <w:color w:val="auto"/>
        </w:rPr>
      </w:pPr>
    </w:p>
    <w:p>
      <w:pPr>
        <w:ind w:left="740" w:right="140" w:hanging="327"/>
        <w:spacing w:after="0" w:line="30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00" w:lineRule="exact"/>
        <w:rPr>
          <w:rFonts w:ascii="Arial" w:cs="Arial" w:eastAsia="Arial" w:hAnsi="Arial"/>
          <w:sz w:val="16"/>
          <w:szCs w:val="16"/>
          <w:color w:val="auto"/>
        </w:rPr>
      </w:pPr>
    </w:p>
    <w:p>
      <w:pPr>
        <w:ind w:left="740" w:right="6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16" w:lineRule="exact"/>
        <w:rPr>
          <w:rFonts w:ascii="Arial" w:cs="Arial" w:eastAsia="Arial" w:hAnsi="Arial"/>
          <w:sz w:val="18"/>
          <w:szCs w:val="18"/>
          <w:color w:val="auto"/>
        </w:rPr>
      </w:pPr>
    </w:p>
    <w:p>
      <w:pPr>
        <w:ind w:left="740" w:right="5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timing or structure of potential strategic alternatives for Sikorsky (or whether any such transaction will take place at all) or future performance of UTC or Sikorsky if any such transaction is completed;</w:t>
      </w:r>
    </w:p>
    <w:p>
      <w:pPr>
        <w:spacing w:after="0" w:line="116" w:lineRule="exact"/>
        <w:rPr>
          <w:rFonts w:ascii="Arial" w:cs="Arial" w:eastAsia="Arial" w:hAnsi="Arial"/>
          <w:sz w:val="18"/>
          <w:szCs w:val="18"/>
          <w:color w:val="auto"/>
        </w:rPr>
      </w:pPr>
    </w:p>
    <w:p>
      <w:pPr>
        <w:ind w:left="740" w:right="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and Company- directed cost reduction efforts and restructuring costs and savings and other consequences thereof;</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and</w:t>
      </w:r>
    </w:p>
    <w:p>
      <w:pPr>
        <w:spacing w:after="0" w:line="171"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in the U.S. and other countries in which we operate.</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"Contingent Liabilities," the section titled "Management's Discussion and Analysis of Financial Condition and Results of Operations" under the headings "Business Overview," "Results of Operations," "Liquidity and Financial Condition," and "Critical Accounting Estimates," and the section titled "Risk Factors" in this Form 10-Q and in our 2014 Annual Report. This Form 10-Q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2014 Annual Report in the section titled "Management's Discussion and Analysis of Financial Condition and Results of Operations" under the headings "Restructuring Costs,"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DOJ/SEC Investigations</w:t>
      </w:r>
    </w:p>
    <w:p>
      <w:pPr>
        <w:spacing w:after="0" w:line="225"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As previously disclosed, in December 2013 and January 2014, UTC made voluntary disclosures to the United States Department of Justice (DOJ), the Securities and Exchange Commission (SEC) Division of Enforcement and the United Kingdom’s Serious Fraud Office to report the status of its internal investigation regarding a non-employee sales representative retained by United Technologies International Operations, Inc. (UTIO) and IAE for the sale of Pratt &amp; Whitney and IAE engines and aftermarket services, respectively, in China. On April 7, 2014, the SEC notified UTC that it was conducting a formal investigation and issued a subpoena to UTC. UTC continues to cooperate fully with the investigations and has responded to requests for documents and information. The DOJ and SEC also continue to request information, and the SEC issued a second subpoena on March 9, 2015 seeking documents related to internal allegations of alleged violations of anti-bribery laws from UTC’s aerospace and commercial businesses, including but not limited to Otis businesses in China. Because the investigations are ongoing, we cannot predict the outcome or the consequences thereof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UTC Aerospace Systems Environmental Proceeding</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On October 6, 2014, UTC Aerospace Systems had an air emissions release at its Spokane, Washington facility. UTC Aerospace Systems provided notifications of the release to various governmental agencies. On January 14, 2015, the Spokane Regional Clean Air Agency (“SRCAA”) issued a notice of violation to UTC Aerospace Systems in connection with the release, and on March 20, 2015, SRCAA issued a notice and order to UTC Aerospace Systems imposing a penalty of $39,507. On March 20, 2015, the United States Environmental Protection Agency (“US EPA”) issued a notice of intent to file an administrative complaint proposing a penalty of $92,900. UTC Aerospace Systems is evaluating the circumstances of the release, and will be engaging in discussions with the SRCAA and US EPA concerning the penalties sought by each agency.</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13, Contingent Liabilities, for discussion regarding other legal proceedings.</w:t>
      </w:r>
    </w:p>
    <w:p>
      <w:pPr>
        <w:spacing w:after="0" w:line="22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2014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2014 Form 10-K.</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March 31, 2015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a Publicly Announced</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Program</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 (000's)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3,021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115.86</w:t>
            </w:r>
          </w:p>
        </w:tc>
        <w:tc>
          <w:tcPr>
            <w:tcW w:w="2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3,021</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34,741</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8"/>
              <w:spacing w:after="0"/>
              <w:rPr>
                <w:sz w:val="20"/>
                <w:szCs w:val="20"/>
                <w:color w:val="auto"/>
              </w:rPr>
            </w:pPr>
            <w:r>
              <w:rPr>
                <w:rFonts w:ascii="Arial" w:cs="Arial" w:eastAsia="Arial" w:hAnsi="Arial"/>
                <w:sz w:val="18"/>
                <w:szCs w:val="18"/>
                <w:color w:val="auto"/>
              </w:rPr>
              <w:t>34,741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18,579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121.24</w:t>
            </w:r>
          </w:p>
        </w:tc>
        <w:tc>
          <w:tcPr>
            <w:tcW w:w="2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18,579</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21,600</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120.49</w:t>
            </w:r>
          </w:p>
        </w:tc>
        <w:tc>
          <w:tcPr>
            <w:tcW w:w="200" w:type="dxa"/>
            <w:vAlign w:val="bottom"/>
          </w:tcPr>
          <w:p>
            <w:pPr>
              <w:spacing w:after="0"/>
              <w:rPr>
                <w:sz w:val="22"/>
                <w:szCs w:val="22"/>
                <w:color w:val="auto"/>
              </w:rPr>
            </w:pPr>
          </w:p>
        </w:tc>
        <w:tc>
          <w:tcPr>
            <w:tcW w:w="2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21,600</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We repurchase shares under a program announced on February 4, 2013, which authorized the repurchase of up to 60 million shares of our common stock. Under this current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March 31, 2015.</w:t>
      </w:r>
    </w:p>
    <w:p>
      <w:pPr>
        <w:spacing w:after="0" w:line="1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connection with ASR agreements entered into on March 13, 2015, we received an initial delivery of approximately 18.6 million shares at a price of $121.24 per share, representing approximately 85% of the shares expected to be repurchased. As of March 31, 2015, the shares associated with the remaining portion of the aggregate purchase price have not yet been settled. We anticipate that all repurchases under the ASR agreements will be completed no later than the fourth quarter of 2015, at which time we may be entitled to receive additional common shares or, under certain limited circumstances, be required to deliver shares or make additional payments to the counterparties.</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center"/>
              <w:ind w:right="417"/>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center"/>
              <w:ind w:right="417"/>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56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quarters ended March 31, 2015 and 2014, (ii) Condensed Consolidated Statements of Comprehensive Income for the quarters ended March 31, 2015 and 2014, (iii) Condensed Consolidated Balance Sheets as of March 31, 2015 and December 31, 2014, (iv) Condensed Consolidated Statements of Cash Flows for the three months ended March 31, 2015 and 2014, and (v)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Neil G. Mitchill, Jr.</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Vice President and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122" w:right="3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56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quarters ended March 31, 2015 and 2014, (ii) Condensed Consolidated Statements of Comprehensive Income for the quarters ended March 31, 2015 and 2014, (iii) Condensed Consolidated Balance Sheets as of March 31, 2015 and December 31, 2014, (iv) Condensed Consolidated Statements of Cash Flows for the three months ended March 31, 2015 and 2014,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hanging="332"/>
        <w:spacing w:after="0" w:line="232"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$11 million for each of the quarters ended March 31, 2015 and 2014. The ratio of earnings to fixed charges would have been 8.58 and 7.82 for the quarters ended March 31, 2015 and 2014, respectively, if such interest were excluded from the calculation.</w:t>
      </w:r>
    </w:p>
    <w:p>
      <w:pPr>
        <w:ind w:left="340" w:hanging="332"/>
        <w:spacing w:after="0" w:line="225"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April 24,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We are aware that our report dated April 24, 2015 on our review of interim financial information of United Technologies Corporation (the "Corporation") for the three-month periods ending March 31, 2015 and 2014 and included in the Corporation's quarterly report on Form 10-Q for the quarter ended March 31, 2015 is incorporated by reference in its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(No. 333-188957) and in the Registration Statements on Form S-8 (Nos. 333-197704, 333-183123, 333-177520, 333-177517, 333-175781, 333-150643, 333-125293, 333-110020, 333-100724, 333-100723, 333-100718, 333-77817, and 033-51385).</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April 24, 2015</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April 24,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April 24, 2015</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and Controller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Quarterly Report on Form 10-Q for the quarter ended March 31, 2015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24, 2015</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24,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and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24, 2015</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and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3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3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2"/>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2019-12-29T18:19:05Z</dcterms:created>
  <dcterms:modified xsi:type="dcterms:W3CDTF">2019-12-29T18:19:05Z</dcterms:modified>
</cp:coreProperties>
</file>